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7CE26" w14:textId="08E06127" w:rsidR="00D84048" w:rsidRPr="007F0167" w:rsidRDefault="00D84048" w:rsidP="00724F77">
      <w:pPr>
        <w:pStyle w:val="Heading2"/>
        <w:numPr>
          <w:ilvl w:val="0"/>
          <w:numId w:val="0"/>
        </w:numPr>
        <w:rPr>
          <w:rFonts w:asciiTheme="minorHAnsi" w:eastAsia="SimSun" w:hAnsiTheme="minorHAnsi"/>
          <w:sz w:val="28"/>
          <w:lang w:val="en-US"/>
        </w:rPr>
      </w:pPr>
      <w:bookmarkStart w:id="0" w:name="_GoBack"/>
      <w:bookmarkEnd w:id="0"/>
      <w:r w:rsidRPr="007F0167">
        <w:rPr>
          <w:rFonts w:asciiTheme="minorHAnsi" w:eastAsia="SimSun" w:hAnsiTheme="minorHAnsi"/>
          <w:sz w:val="28"/>
          <w:lang w:val="en-US"/>
        </w:rPr>
        <w:t xml:space="preserve">Annex I – </w:t>
      </w:r>
      <w:r w:rsidR="005A1C9D" w:rsidRPr="007F0167">
        <w:rPr>
          <w:rFonts w:asciiTheme="minorHAnsi" w:eastAsia="SimSun" w:hAnsiTheme="minorHAnsi"/>
          <w:sz w:val="28"/>
          <w:lang w:val="en-US"/>
        </w:rPr>
        <w:t xml:space="preserve">2014 </w:t>
      </w:r>
      <w:r w:rsidR="007F0167">
        <w:rPr>
          <w:rFonts w:asciiTheme="minorHAnsi" w:eastAsia="SimSun" w:hAnsiTheme="minorHAnsi"/>
          <w:sz w:val="28"/>
          <w:lang w:val="en-US"/>
        </w:rPr>
        <w:t xml:space="preserve">Development </w:t>
      </w:r>
      <w:r w:rsidR="005A1C9D" w:rsidRPr="007F0167">
        <w:rPr>
          <w:rFonts w:asciiTheme="minorHAnsi" w:eastAsia="SimSun" w:hAnsiTheme="minorHAnsi"/>
          <w:sz w:val="28"/>
          <w:lang w:val="en-US"/>
        </w:rPr>
        <w:t>R</w:t>
      </w:r>
      <w:r w:rsidRPr="007F0167">
        <w:rPr>
          <w:rFonts w:asciiTheme="minorHAnsi" w:eastAsia="SimSun" w:hAnsiTheme="minorHAnsi"/>
          <w:sz w:val="28"/>
          <w:lang w:val="en-US"/>
        </w:rPr>
        <w:t>eport Card</w:t>
      </w:r>
    </w:p>
    <w:p w14:paraId="1ACC5EF3" w14:textId="77777777" w:rsidR="00D84048" w:rsidRDefault="00D84048" w:rsidP="00D84048">
      <w:pPr>
        <w:spacing w:after="120" w:line="240" w:lineRule="auto"/>
        <w:rPr>
          <w:sz w:val="20"/>
        </w:rPr>
      </w:pPr>
    </w:p>
    <w:p w14:paraId="5A6EA5CF" w14:textId="4A13D0B7" w:rsidR="00D84048" w:rsidRPr="00656205" w:rsidRDefault="0042578E" w:rsidP="006F161D">
      <w:pPr>
        <w:pStyle w:val="ListParagraph"/>
        <w:numPr>
          <w:ilvl w:val="0"/>
          <w:numId w:val="66"/>
        </w:numPr>
        <w:spacing w:after="120"/>
        <w:ind w:left="0" w:firstLine="0"/>
        <w:rPr>
          <w:sz w:val="20"/>
        </w:rPr>
      </w:pPr>
      <w:r>
        <w:rPr>
          <w:sz w:val="20"/>
        </w:rPr>
        <w:t>A</w:t>
      </w:r>
      <w:r w:rsidR="00656205">
        <w:rPr>
          <w:sz w:val="20"/>
        </w:rPr>
        <w:t>nnex</w:t>
      </w:r>
      <w:r>
        <w:rPr>
          <w:sz w:val="20"/>
        </w:rPr>
        <w:t xml:space="preserve"> I</w:t>
      </w:r>
      <w:r w:rsidR="00656205">
        <w:rPr>
          <w:sz w:val="20"/>
        </w:rPr>
        <w:t xml:space="preserve"> responds to Executive Board decision 2014/10, below, by providing a report card that summarizes UNDP’s progress and performance in 2014, including a description of the methodology used to generate it.</w:t>
      </w:r>
    </w:p>
    <w:tbl>
      <w:tblPr>
        <w:tblStyle w:val="TableGrid"/>
        <w:tblW w:w="12955" w:type="dxa"/>
        <w:tblLook w:val="04A0" w:firstRow="1" w:lastRow="0" w:firstColumn="1" w:lastColumn="0" w:noHBand="0" w:noVBand="1"/>
      </w:tblPr>
      <w:tblGrid>
        <w:gridCol w:w="1903"/>
        <w:gridCol w:w="11052"/>
      </w:tblGrid>
      <w:tr w:rsidR="00656205" w:rsidRPr="00656205" w14:paraId="043D23EE" w14:textId="77777777" w:rsidTr="00EF5D24">
        <w:tc>
          <w:tcPr>
            <w:tcW w:w="1308" w:type="dxa"/>
          </w:tcPr>
          <w:p w14:paraId="530F9DD5" w14:textId="77777777" w:rsidR="00656205" w:rsidRPr="00656205" w:rsidRDefault="00656205" w:rsidP="00EF5D24">
            <w:pPr>
              <w:rPr>
                <w:rFonts w:cstheme="minorHAnsi"/>
                <w:iCs/>
                <w:sz w:val="20"/>
              </w:rPr>
            </w:pPr>
            <w:r w:rsidRPr="00656205">
              <w:rPr>
                <w:rFonts w:cstheme="minorHAnsi"/>
                <w:iCs/>
                <w:sz w:val="20"/>
              </w:rPr>
              <w:t>2014/10</w:t>
            </w:r>
          </w:p>
        </w:tc>
        <w:tc>
          <w:tcPr>
            <w:tcW w:w="7597" w:type="dxa"/>
          </w:tcPr>
          <w:p w14:paraId="1926E573" w14:textId="325ED1B5" w:rsidR="00656205" w:rsidRPr="00656205" w:rsidRDefault="00656205" w:rsidP="00EF5D24">
            <w:pPr>
              <w:pStyle w:val="Default"/>
              <w:rPr>
                <w:rFonts w:asciiTheme="minorHAnsi" w:hAnsiTheme="minorHAnsi"/>
                <w:sz w:val="20"/>
                <w:szCs w:val="22"/>
              </w:rPr>
            </w:pPr>
            <w:r w:rsidRPr="00656205">
              <w:rPr>
                <w:rFonts w:asciiTheme="minorHAnsi" w:hAnsiTheme="minorHAnsi"/>
                <w:sz w:val="20"/>
                <w:szCs w:val="22"/>
              </w:rPr>
              <w:t xml:space="preserve">2. </w:t>
            </w:r>
            <w:r w:rsidRPr="00656205">
              <w:rPr>
                <w:rFonts w:asciiTheme="minorHAnsi" w:hAnsiTheme="minorHAnsi"/>
                <w:i/>
                <w:iCs/>
                <w:sz w:val="20"/>
                <w:szCs w:val="22"/>
              </w:rPr>
              <w:t xml:space="preserve">Takes note with appreciation </w:t>
            </w:r>
            <w:r w:rsidRPr="00656205">
              <w:rPr>
                <w:rFonts w:asciiTheme="minorHAnsi" w:hAnsiTheme="minorHAnsi"/>
                <w:sz w:val="20"/>
                <w:szCs w:val="22"/>
              </w:rPr>
              <w:t xml:space="preserve">of the efforts of UNDP to enhance its progress and performance reporting by </w:t>
            </w:r>
            <w:r w:rsidRPr="00656205">
              <w:rPr>
                <w:rFonts w:asciiTheme="minorHAnsi" w:hAnsiTheme="minorHAnsi"/>
                <w:b/>
                <w:sz w:val="20"/>
                <w:szCs w:val="22"/>
              </w:rPr>
              <w:t>developing a</w:t>
            </w:r>
            <w:r w:rsidRPr="00656205">
              <w:rPr>
                <w:rFonts w:asciiTheme="minorHAnsi" w:hAnsiTheme="minorHAnsi"/>
                <w:sz w:val="20"/>
                <w:szCs w:val="22"/>
              </w:rPr>
              <w:t xml:space="preserve"> </w:t>
            </w:r>
            <w:r w:rsidRPr="00656205">
              <w:rPr>
                <w:rFonts w:asciiTheme="minorHAnsi" w:hAnsiTheme="minorHAnsi"/>
                <w:b/>
                <w:sz w:val="20"/>
                <w:szCs w:val="22"/>
              </w:rPr>
              <w:t>“report card”</w:t>
            </w:r>
            <w:r w:rsidRPr="00656205">
              <w:rPr>
                <w:rFonts w:asciiTheme="minorHAnsi" w:hAnsiTheme="minorHAnsi"/>
                <w:sz w:val="20"/>
                <w:szCs w:val="22"/>
              </w:rPr>
              <w:t xml:space="preserve"> and </w:t>
            </w:r>
            <w:r w:rsidRPr="00656205">
              <w:rPr>
                <w:rFonts w:asciiTheme="minorHAnsi" w:hAnsiTheme="minorHAnsi"/>
                <w:i/>
                <w:iCs/>
                <w:sz w:val="20"/>
                <w:szCs w:val="22"/>
              </w:rPr>
              <w:t xml:space="preserve">encourages </w:t>
            </w:r>
            <w:r w:rsidRPr="00656205">
              <w:rPr>
                <w:rFonts w:asciiTheme="minorHAnsi" w:hAnsiTheme="minorHAnsi"/>
                <w:sz w:val="20"/>
                <w:szCs w:val="22"/>
              </w:rPr>
              <w:t xml:space="preserve">the management to </w:t>
            </w:r>
            <w:r w:rsidRPr="00656205">
              <w:rPr>
                <w:rFonts w:asciiTheme="minorHAnsi" w:hAnsiTheme="minorHAnsi"/>
                <w:b/>
                <w:sz w:val="20"/>
                <w:szCs w:val="22"/>
              </w:rPr>
              <w:t>further enhance it</w:t>
            </w:r>
            <w:r w:rsidRPr="00656205">
              <w:rPr>
                <w:rFonts w:asciiTheme="minorHAnsi" w:hAnsiTheme="minorHAnsi"/>
                <w:sz w:val="20"/>
                <w:szCs w:val="22"/>
              </w:rPr>
              <w:t xml:space="preserve"> in the area of performance assessment</w:t>
            </w:r>
          </w:p>
        </w:tc>
      </w:tr>
    </w:tbl>
    <w:p w14:paraId="61DBE025" w14:textId="77777777" w:rsidR="00D84048" w:rsidRDefault="00D84048" w:rsidP="00D84048">
      <w:pPr>
        <w:spacing w:after="120" w:line="240" w:lineRule="auto"/>
        <w:rPr>
          <w:sz w:val="20"/>
        </w:rPr>
      </w:pPr>
    </w:p>
    <w:p w14:paraId="5E419E19" w14:textId="37F2D533" w:rsidR="00055DB1" w:rsidRDefault="00055DB1" w:rsidP="006F161D">
      <w:pPr>
        <w:pStyle w:val="ListParagraph"/>
        <w:numPr>
          <w:ilvl w:val="0"/>
          <w:numId w:val="66"/>
        </w:numPr>
        <w:ind w:left="0" w:firstLine="0"/>
        <w:jc w:val="both"/>
        <w:rPr>
          <w:rFonts w:eastAsia="Times New Roman"/>
          <w:sz w:val="20"/>
          <w:szCs w:val="20"/>
        </w:rPr>
      </w:pPr>
      <w:r w:rsidRPr="00055DB1">
        <w:rPr>
          <w:rFonts w:eastAsia="Times New Roman"/>
          <w:b/>
          <w:sz w:val="20"/>
          <w:szCs w:val="20"/>
        </w:rPr>
        <w:t>Methodology</w:t>
      </w:r>
      <w:r>
        <w:rPr>
          <w:rFonts w:eastAsia="Times New Roman"/>
          <w:b/>
          <w:sz w:val="20"/>
          <w:szCs w:val="20"/>
        </w:rPr>
        <w:t xml:space="preserve"> used for </w:t>
      </w:r>
      <w:r w:rsidR="003E0DB2">
        <w:rPr>
          <w:rFonts w:eastAsia="Times New Roman"/>
          <w:b/>
          <w:sz w:val="20"/>
          <w:szCs w:val="20"/>
        </w:rPr>
        <w:t xml:space="preserve">assessing </w:t>
      </w:r>
      <w:r>
        <w:rPr>
          <w:rFonts w:eastAsia="Times New Roman"/>
          <w:b/>
          <w:sz w:val="20"/>
          <w:szCs w:val="20"/>
        </w:rPr>
        <w:t>development results</w:t>
      </w:r>
      <w:r w:rsidRPr="00055DB1">
        <w:rPr>
          <w:rFonts w:eastAsia="Times New Roman"/>
          <w:b/>
          <w:sz w:val="20"/>
          <w:szCs w:val="20"/>
        </w:rPr>
        <w:t>.</w:t>
      </w:r>
      <w:r>
        <w:rPr>
          <w:rFonts w:eastAsia="Times New Roman"/>
          <w:sz w:val="20"/>
          <w:szCs w:val="20"/>
        </w:rPr>
        <w:t xml:space="preserve"> Ass</w:t>
      </w:r>
      <w:r w:rsidRPr="00055DB1">
        <w:rPr>
          <w:rFonts w:eastAsia="Times New Roman"/>
          <w:sz w:val="20"/>
          <w:szCs w:val="20"/>
        </w:rPr>
        <w:t>essment of development pe</w:t>
      </w:r>
      <w:r>
        <w:rPr>
          <w:rFonts w:eastAsia="Times New Roman"/>
          <w:sz w:val="20"/>
          <w:szCs w:val="20"/>
        </w:rPr>
        <w:t>rformance</w:t>
      </w:r>
      <w:r w:rsidR="003E0DB2">
        <w:rPr>
          <w:rFonts w:eastAsia="Times New Roman"/>
          <w:sz w:val="20"/>
          <w:szCs w:val="20"/>
        </w:rPr>
        <w:t xml:space="preserve"> in 2014, in the report card, was conducted</w:t>
      </w:r>
      <w:r>
        <w:rPr>
          <w:rFonts w:eastAsia="Times New Roman"/>
          <w:sz w:val="20"/>
          <w:szCs w:val="20"/>
        </w:rPr>
        <w:t xml:space="preserve"> </w:t>
      </w:r>
      <w:r w:rsidR="003E0DB2">
        <w:rPr>
          <w:rFonts w:eastAsia="Times New Roman"/>
          <w:sz w:val="20"/>
          <w:szCs w:val="20"/>
        </w:rPr>
        <w:t xml:space="preserve">at output level. As a first step, performance under </w:t>
      </w:r>
      <w:r w:rsidR="003E4FE7">
        <w:rPr>
          <w:rFonts w:eastAsia="Times New Roman"/>
          <w:sz w:val="20"/>
          <w:szCs w:val="20"/>
        </w:rPr>
        <w:t>every</w:t>
      </w:r>
      <w:r w:rsidR="003E0DB2">
        <w:rPr>
          <w:rFonts w:eastAsia="Times New Roman"/>
          <w:sz w:val="20"/>
          <w:szCs w:val="20"/>
        </w:rPr>
        <w:t xml:space="preserve"> indicator for each output was recorded, on the basis of </w:t>
      </w:r>
      <w:r w:rsidR="00617577">
        <w:rPr>
          <w:rFonts w:eastAsia="Times New Roman"/>
          <w:sz w:val="20"/>
          <w:szCs w:val="20"/>
        </w:rPr>
        <w:t xml:space="preserve">2014 </w:t>
      </w:r>
      <w:r w:rsidR="003E0DB2">
        <w:rPr>
          <w:rFonts w:eastAsia="Times New Roman"/>
          <w:sz w:val="20"/>
          <w:szCs w:val="20"/>
        </w:rPr>
        <w:t>milestones and actual results for 20</w:t>
      </w:r>
      <w:r w:rsidR="002C2315">
        <w:rPr>
          <w:rFonts w:eastAsia="Times New Roman"/>
          <w:sz w:val="20"/>
          <w:szCs w:val="20"/>
        </w:rPr>
        <w:t xml:space="preserve">14 (see Annex II for output-level data collection methodologies). The second step consisted of comparing the actual </w:t>
      </w:r>
      <w:r w:rsidR="003E4FE7">
        <w:rPr>
          <w:rFonts w:eastAsia="Times New Roman"/>
          <w:sz w:val="20"/>
          <w:szCs w:val="20"/>
        </w:rPr>
        <w:t xml:space="preserve">2014 </w:t>
      </w:r>
      <w:r w:rsidR="002C2315">
        <w:rPr>
          <w:rFonts w:eastAsia="Times New Roman"/>
          <w:sz w:val="20"/>
          <w:szCs w:val="20"/>
        </w:rPr>
        <w:t xml:space="preserve">result for each indicator with its </w:t>
      </w:r>
      <w:r w:rsidR="003E4FE7">
        <w:rPr>
          <w:rFonts w:eastAsia="Times New Roman"/>
          <w:sz w:val="20"/>
          <w:szCs w:val="20"/>
        </w:rPr>
        <w:t xml:space="preserve">2014 </w:t>
      </w:r>
      <w:r w:rsidR="002C2315">
        <w:rPr>
          <w:rFonts w:eastAsia="Times New Roman"/>
          <w:sz w:val="20"/>
          <w:szCs w:val="20"/>
        </w:rPr>
        <w:t>milestone, by</w:t>
      </w:r>
      <w:r>
        <w:rPr>
          <w:rFonts w:eastAsia="Times New Roman"/>
          <w:sz w:val="20"/>
          <w:szCs w:val="20"/>
        </w:rPr>
        <w:t xml:space="preserve"> calculating the percentage of</w:t>
      </w:r>
      <w:r w:rsidRPr="00055DB1">
        <w:rPr>
          <w:rFonts w:eastAsia="Times New Roman"/>
          <w:sz w:val="20"/>
          <w:szCs w:val="20"/>
        </w:rPr>
        <w:t xml:space="preserve"> </w:t>
      </w:r>
      <w:r w:rsidR="002C2315">
        <w:rPr>
          <w:rFonts w:eastAsia="Times New Roman"/>
          <w:sz w:val="20"/>
          <w:szCs w:val="20"/>
        </w:rPr>
        <w:t>the 2014 milestone</w:t>
      </w:r>
      <w:r w:rsidRPr="00055DB1">
        <w:rPr>
          <w:rFonts w:eastAsia="Times New Roman"/>
          <w:sz w:val="20"/>
          <w:szCs w:val="20"/>
        </w:rPr>
        <w:t xml:space="preserve"> </w:t>
      </w:r>
      <w:r w:rsidR="002C2315">
        <w:rPr>
          <w:rFonts w:eastAsia="Times New Roman"/>
          <w:sz w:val="20"/>
          <w:szCs w:val="20"/>
        </w:rPr>
        <w:t xml:space="preserve">that was actually achieved. Finally, </w:t>
      </w:r>
      <w:r w:rsidRPr="00055DB1">
        <w:rPr>
          <w:rFonts w:eastAsia="Times New Roman"/>
          <w:sz w:val="20"/>
          <w:szCs w:val="20"/>
        </w:rPr>
        <w:t xml:space="preserve">a non-weighted average </w:t>
      </w:r>
      <w:r w:rsidR="002C2315">
        <w:rPr>
          <w:rFonts w:eastAsia="Times New Roman"/>
          <w:sz w:val="20"/>
          <w:szCs w:val="20"/>
        </w:rPr>
        <w:t xml:space="preserve">of resulting percentages was taken </w:t>
      </w:r>
      <w:r w:rsidRPr="00055DB1">
        <w:rPr>
          <w:rFonts w:eastAsia="Times New Roman"/>
          <w:sz w:val="20"/>
          <w:szCs w:val="20"/>
        </w:rPr>
        <w:t xml:space="preserve">across </w:t>
      </w:r>
      <w:r w:rsidR="002C2315">
        <w:rPr>
          <w:rFonts w:eastAsia="Times New Roman"/>
          <w:sz w:val="20"/>
          <w:szCs w:val="20"/>
        </w:rPr>
        <w:t xml:space="preserve">all </w:t>
      </w:r>
      <w:r w:rsidRPr="00055DB1">
        <w:rPr>
          <w:rFonts w:eastAsia="Times New Roman"/>
          <w:sz w:val="20"/>
          <w:szCs w:val="20"/>
        </w:rPr>
        <w:t xml:space="preserve">indicators </w:t>
      </w:r>
      <w:r w:rsidR="002C2315">
        <w:rPr>
          <w:rFonts w:eastAsia="Times New Roman"/>
          <w:sz w:val="20"/>
          <w:szCs w:val="20"/>
        </w:rPr>
        <w:t xml:space="preserve">under an output, </w:t>
      </w:r>
      <w:r w:rsidRPr="00055DB1">
        <w:rPr>
          <w:rFonts w:eastAsia="Times New Roman"/>
          <w:sz w:val="20"/>
          <w:szCs w:val="20"/>
        </w:rPr>
        <w:t xml:space="preserve">to calculate </w:t>
      </w:r>
      <w:r w:rsidR="002C2315">
        <w:rPr>
          <w:rFonts w:eastAsia="Times New Roman"/>
          <w:sz w:val="20"/>
          <w:szCs w:val="20"/>
        </w:rPr>
        <w:t xml:space="preserve">the average </w:t>
      </w:r>
      <w:r>
        <w:rPr>
          <w:rFonts w:eastAsia="Times New Roman"/>
          <w:sz w:val="20"/>
          <w:szCs w:val="20"/>
        </w:rPr>
        <w:t xml:space="preserve">percent </w:t>
      </w:r>
      <w:r w:rsidR="002C2315">
        <w:rPr>
          <w:rFonts w:eastAsia="Times New Roman"/>
          <w:sz w:val="20"/>
          <w:szCs w:val="20"/>
        </w:rPr>
        <w:t>achievement</w:t>
      </w:r>
      <w:r w:rsidR="003E4FE7" w:rsidRPr="003E4FE7">
        <w:rPr>
          <w:rFonts w:eastAsia="Times New Roman"/>
          <w:sz w:val="20"/>
          <w:szCs w:val="20"/>
        </w:rPr>
        <w:t xml:space="preserve"> </w:t>
      </w:r>
      <w:r w:rsidR="003E4FE7">
        <w:rPr>
          <w:rFonts w:eastAsia="Times New Roman"/>
          <w:sz w:val="20"/>
          <w:szCs w:val="20"/>
        </w:rPr>
        <w:t>for that output</w:t>
      </w:r>
      <w:r w:rsidR="002C2315">
        <w:rPr>
          <w:rFonts w:eastAsia="Times New Roman"/>
          <w:sz w:val="20"/>
          <w:szCs w:val="20"/>
        </w:rPr>
        <w:t>. The result of this calculation was translated into</w:t>
      </w:r>
      <w:r w:rsidRPr="00055DB1">
        <w:rPr>
          <w:rFonts w:eastAsia="Times New Roman"/>
          <w:sz w:val="20"/>
          <w:szCs w:val="20"/>
        </w:rPr>
        <w:t xml:space="preserve"> a </w:t>
      </w:r>
      <w:r w:rsidR="002C2315">
        <w:rPr>
          <w:rFonts w:eastAsia="Times New Roman"/>
          <w:sz w:val="20"/>
          <w:szCs w:val="20"/>
        </w:rPr>
        <w:t>“</w:t>
      </w:r>
      <w:r w:rsidRPr="00055DB1">
        <w:rPr>
          <w:rFonts w:eastAsia="Times New Roman"/>
          <w:sz w:val="20"/>
          <w:szCs w:val="20"/>
        </w:rPr>
        <w:t>traffic light</w:t>
      </w:r>
      <w:r w:rsidR="002C2315">
        <w:rPr>
          <w:rFonts w:eastAsia="Times New Roman"/>
          <w:sz w:val="20"/>
          <w:szCs w:val="20"/>
        </w:rPr>
        <w:t>” coding</w:t>
      </w:r>
      <w:r w:rsidR="00201F84" w:rsidRPr="00201F84">
        <w:rPr>
          <w:rFonts w:eastAsia="Times New Roman"/>
          <w:sz w:val="20"/>
          <w:szCs w:val="20"/>
        </w:rPr>
        <w:t xml:space="preserve"> </w:t>
      </w:r>
      <w:r w:rsidR="00201F84">
        <w:rPr>
          <w:rFonts w:eastAsia="Times New Roman"/>
          <w:sz w:val="20"/>
          <w:szCs w:val="20"/>
        </w:rPr>
        <w:t>for presentation in the report card</w:t>
      </w:r>
      <w:r w:rsidR="002C2315">
        <w:rPr>
          <w:rFonts w:eastAsia="Times New Roman"/>
          <w:sz w:val="20"/>
          <w:szCs w:val="20"/>
        </w:rPr>
        <w:t>, with colors having the re</w:t>
      </w:r>
      <w:r w:rsidR="00201F84">
        <w:rPr>
          <w:rFonts w:eastAsia="Times New Roman"/>
          <w:sz w:val="20"/>
          <w:szCs w:val="20"/>
        </w:rPr>
        <w:t>spective meanings</w:t>
      </w:r>
      <w:r w:rsidR="002C2315">
        <w:rPr>
          <w:rFonts w:eastAsia="Times New Roman"/>
          <w:sz w:val="20"/>
          <w:szCs w:val="20"/>
        </w:rPr>
        <w:t xml:space="preserve"> below</w:t>
      </w:r>
      <w:r>
        <w:rPr>
          <w:rFonts w:eastAsia="Times New Roman"/>
          <w:sz w:val="20"/>
          <w:szCs w:val="20"/>
        </w:rPr>
        <w:t>:</w:t>
      </w:r>
    </w:p>
    <w:p w14:paraId="0FA5FBF5" w14:textId="77777777" w:rsidR="00055DB1" w:rsidRPr="00055DB1" w:rsidRDefault="00055DB1" w:rsidP="00055DB1">
      <w:pPr>
        <w:spacing w:after="120" w:line="240" w:lineRule="auto"/>
        <w:rPr>
          <w:rFonts w:eastAsia="Times New Roman"/>
          <w:sz w:val="20"/>
          <w:szCs w:val="20"/>
        </w:rPr>
      </w:pPr>
    </w:p>
    <w:tbl>
      <w:tblPr>
        <w:tblStyle w:val="TableGrid"/>
        <w:tblW w:w="0" w:type="auto"/>
        <w:tblLook w:val="04A0" w:firstRow="1" w:lastRow="0" w:firstColumn="1" w:lastColumn="0" w:noHBand="0" w:noVBand="1"/>
      </w:tblPr>
      <w:tblGrid>
        <w:gridCol w:w="1885"/>
        <w:gridCol w:w="11065"/>
      </w:tblGrid>
      <w:tr w:rsidR="00055DB1" w14:paraId="5F2BE7AE" w14:textId="77777777" w:rsidTr="002C2315">
        <w:tc>
          <w:tcPr>
            <w:tcW w:w="1885" w:type="dxa"/>
            <w:shd w:val="clear" w:color="auto" w:fill="DBE5F1" w:themeFill="accent1" w:themeFillTint="33"/>
          </w:tcPr>
          <w:p w14:paraId="07BFABC3" w14:textId="356DAC43" w:rsidR="00055DB1" w:rsidRPr="00055DB1" w:rsidRDefault="002C2315" w:rsidP="002C2315">
            <w:pPr>
              <w:rPr>
                <w:b/>
                <w:sz w:val="20"/>
                <w:szCs w:val="20"/>
                <w:lang w:val="en-GB"/>
              </w:rPr>
            </w:pPr>
            <w:r>
              <w:rPr>
                <w:b/>
                <w:sz w:val="20"/>
                <w:szCs w:val="20"/>
                <w:lang w:val="en-GB"/>
              </w:rPr>
              <w:t xml:space="preserve">Traffic light </w:t>
            </w:r>
            <w:r w:rsidR="00055DB1" w:rsidRPr="00055DB1">
              <w:rPr>
                <w:b/>
                <w:sz w:val="20"/>
                <w:szCs w:val="20"/>
                <w:lang w:val="en-GB"/>
              </w:rPr>
              <w:t>coding</w:t>
            </w:r>
          </w:p>
        </w:tc>
        <w:tc>
          <w:tcPr>
            <w:tcW w:w="11065" w:type="dxa"/>
            <w:shd w:val="clear" w:color="auto" w:fill="DBE5F1" w:themeFill="accent1" w:themeFillTint="33"/>
          </w:tcPr>
          <w:p w14:paraId="5F2D1282" w14:textId="3F46CFA6" w:rsidR="00055DB1" w:rsidRPr="00055DB1" w:rsidRDefault="00055DB1" w:rsidP="00055DB1">
            <w:pPr>
              <w:rPr>
                <w:b/>
                <w:sz w:val="20"/>
                <w:szCs w:val="20"/>
                <w:lang w:val="en-GB"/>
              </w:rPr>
            </w:pPr>
            <w:r w:rsidRPr="00055DB1">
              <w:rPr>
                <w:b/>
                <w:sz w:val="20"/>
                <w:szCs w:val="20"/>
                <w:lang w:val="en-GB"/>
              </w:rPr>
              <w:t>Meaning</w:t>
            </w:r>
          </w:p>
        </w:tc>
      </w:tr>
      <w:tr w:rsidR="00055DB1" w14:paraId="68CB5344" w14:textId="77777777" w:rsidTr="00055DB1">
        <w:tc>
          <w:tcPr>
            <w:tcW w:w="1885" w:type="dxa"/>
          </w:tcPr>
          <w:p w14:paraId="5B83DB58" w14:textId="2A900DAD" w:rsidR="00055DB1" w:rsidRDefault="00055DB1" w:rsidP="00055DB1">
            <w:pPr>
              <w:rPr>
                <w:rFonts w:eastAsia="Times New Roman"/>
                <w:sz w:val="20"/>
                <w:szCs w:val="20"/>
              </w:rPr>
            </w:pPr>
            <w:r>
              <w:rPr>
                <w:b/>
                <w:color w:val="92D050"/>
                <w:sz w:val="20"/>
                <w:szCs w:val="20"/>
                <w:lang w:val="en-GB"/>
              </w:rPr>
              <w:t>Green</w:t>
            </w:r>
          </w:p>
        </w:tc>
        <w:tc>
          <w:tcPr>
            <w:tcW w:w="11065" w:type="dxa"/>
          </w:tcPr>
          <w:p w14:paraId="6C829642" w14:textId="4506B21A" w:rsidR="00055DB1" w:rsidRDefault="00055DB1" w:rsidP="003E4FE7">
            <w:pPr>
              <w:rPr>
                <w:rFonts w:eastAsia="Times New Roman"/>
                <w:sz w:val="20"/>
                <w:szCs w:val="20"/>
              </w:rPr>
            </w:pPr>
            <w:r w:rsidRPr="00055DB1">
              <w:rPr>
                <w:sz w:val="20"/>
                <w:szCs w:val="20"/>
                <w:lang w:val="en-GB"/>
              </w:rPr>
              <w:t xml:space="preserve">If the average </w:t>
            </w:r>
            <w:r w:rsidR="003E4FE7">
              <w:rPr>
                <w:sz w:val="20"/>
                <w:szCs w:val="20"/>
                <w:lang w:val="en-GB"/>
              </w:rPr>
              <w:t xml:space="preserve">percent </w:t>
            </w:r>
            <w:r w:rsidRPr="00055DB1">
              <w:rPr>
                <w:sz w:val="20"/>
                <w:szCs w:val="20"/>
                <w:lang w:val="en-GB"/>
              </w:rPr>
              <w:t>achievement across the output is equal to or above the milestone</w:t>
            </w:r>
            <w:r w:rsidR="00521712">
              <w:rPr>
                <w:sz w:val="20"/>
                <w:szCs w:val="20"/>
                <w:lang w:val="en-GB"/>
              </w:rPr>
              <w:t xml:space="preserve"> (i.e., at or above 100%)</w:t>
            </w:r>
          </w:p>
        </w:tc>
      </w:tr>
      <w:tr w:rsidR="00055DB1" w14:paraId="4A71BE26" w14:textId="77777777" w:rsidTr="00055DB1">
        <w:tc>
          <w:tcPr>
            <w:tcW w:w="1885" w:type="dxa"/>
          </w:tcPr>
          <w:p w14:paraId="5B464A1E" w14:textId="7369695B" w:rsidR="00055DB1" w:rsidRDefault="00055DB1" w:rsidP="00055DB1">
            <w:pPr>
              <w:rPr>
                <w:rFonts w:eastAsia="Times New Roman"/>
                <w:sz w:val="20"/>
                <w:szCs w:val="20"/>
              </w:rPr>
            </w:pPr>
            <w:r w:rsidRPr="00055DB1">
              <w:rPr>
                <w:b/>
                <w:color w:val="FFC000"/>
                <w:sz w:val="20"/>
                <w:szCs w:val="20"/>
                <w:lang w:val="en-GB"/>
              </w:rPr>
              <w:t>Amber</w:t>
            </w:r>
          </w:p>
        </w:tc>
        <w:tc>
          <w:tcPr>
            <w:tcW w:w="11065" w:type="dxa"/>
          </w:tcPr>
          <w:p w14:paraId="329648C0" w14:textId="2CEB74D3" w:rsidR="00055DB1" w:rsidRDefault="00055DB1" w:rsidP="003E4FE7">
            <w:pPr>
              <w:rPr>
                <w:rFonts w:eastAsia="Times New Roman"/>
                <w:sz w:val="20"/>
                <w:szCs w:val="20"/>
              </w:rPr>
            </w:pPr>
            <w:r w:rsidRPr="00055DB1">
              <w:rPr>
                <w:sz w:val="20"/>
                <w:szCs w:val="20"/>
                <w:lang w:val="en-GB"/>
              </w:rPr>
              <w:t>I</w:t>
            </w:r>
            <w:r w:rsidR="003E4FE7">
              <w:rPr>
                <w:sz w:val="20"/>
                <w:szCs w:val="20"/>
                <w:lang w:val="en-GB"/>
              </w:rPr>
              <w:t>f the average percent</w:t>
            </w:r>
            <w:r w:rsidRPr="00055DB1">
              <w:rPr>
                <w:sz w:val="20"/>
                <w:szCs w:val="20"/>
                <w:lang w:val="en-GB"/>
              </w:rPr>
              <w:t xml:space="preserve"> achievement </w:t>
            </w:r>
            <w:r w:rsidR="003E4FE7" w:rsidRPr="00055DB1">
              <w:rPr>
                <w:sz w:val="20"/>
                <w:szCs w:val="20"/>
                <w:lang w:val="en-GB"/>
              </w:rPr>
              <w:t xml:space="preserve">across the output </w:t>
            </w:r>
            <w:r w:rsidRPr="00055DB1">
              <w:rPr>
                <w:sz w:val="20"/>
                <w:szCs w:val="20"/>
                <w:lang w:val="en-GB"/>
              </w:rPr>
              <w:t>is between 50% and 99% of the milestone</w:t>
            </w:r>
          </w:p>
        </w:tc>
      </w:tr>
      <w:tr w:rsidR="00055DB1" w14:paraId="2439A001" w14:textId="77777777" w:rsidTr="00055DB1">
        <w:tc>
          <w:tcPr>
            <w:tcW w:w="1885" w:type="dxa"/>
          </w:tcPr>
          <w:p w14:paraId="08988DD3" w14:textId="2D477AA5" w:rsidR="00055DB1" w:rsidRDefault="00055DB1" w:rsidP="00055DB1">
            <w:pPr>
              <w:rPr>
                <w:rFonts w:eastAsia="Times New Roman"/>
                <w:sz w:val="20"/>
                <w:szCs w:val="20"/>
              </w:rPr>
            </w:pPr>
            <w:r>
              <w:rPr>
                <w:b/>
                <w:color w:val="FF0000"/>
                <w:sz w:val="20"/>
                <w:szCs w:val="20"/>
                <w:lang w:val="en-GB"/>
              </w:rPr>
              <w:t>Red</w:t>
            </w:r>
          </w:p>
        </w:tc>
        <w:tc>
          <w:tcPr>
            <w:tcW w:w="11065" w:type="dxa"/>
          </w:tcPr>
          <w:p w14:paraId="5F859F35" w14:textId="5FED9346" w:rsidR="00055DB1" w:rsidRDefault="00055DB1" w:rsidP="003E4FE7">
            <w:pPr>
              <w:rPr>
                <w:rFonts w:eastAsia="Times New Roman"/>
                <w:sz w:val="20"/>
                <w:szCs w:val="20"/>
              </w:rPr>
            </w:pPr>
            <w:r w:rsidRPr="00055DB1">
              <w:rPr>
                <w:sz w:val="20"/>
                <w:szCs w:val="20"/>
                <w:lang w:val="en-GB"/>
              </w:rPr>
              <w:t xml:space="preserve">If the </w:t>
            </w:r>
            <w:r w:rsidR="003E4FE7">
              <w:rPr>
                <w:sz w:val="20"/>
                <w:szCs w:val="20"/>
                <w:lang w:val="en-GB"/>
              </w:rPr>
              <w:t>average percent</w:t>
            </w:r>
            <w:r w:rsidR="003E4FE7" w:rsidRPr="00055DB1">
              <w:rPr>
                <w:sz w:val="20"/>
                <w:szCs w:val="20"/>
                <w:lang w:val="en-GB"/>
              </w:rPr>
              <w:t xml:space="preserve"> achievement across the output is </w:t>
            </w:r>
            <w:r w:rsidRPr="00055DB1">
              <w:rPr>
                <w:sz w:val="20"/>
                <w:szCs w:val="20"/>
                <w:lang w:val="en-GB"/>
              </w:rPr>
              <w:t>less than 50% of the milestone</w:t>
            </w:r>
          </w:p>
        </w:tc>
      </w:tr>
      <w:tr w:rsidR="00055DB1" w14:paraId="5456A287" w14:textId="77777777" w:rsidTr="00055DB1">
        <w:tc>
          <w:tcPr>
            <w:tcW w:w="1885" w:type="dxa"/>
          </w:tcPr>
          <w:p w14:paraId="51BC017B" w14:textId="629AA96C" w:rsidR="00055DB1" w:rsidRDefault="00055DB1" w:rsidP="00055DB1">
            <w:pPr>
              <w:rPr>
                <w:rFonts w:eastAsia="Times New Roman"/>
                <w:sz w:val="20"/>
                <w:szCs w:val="20"/>
              </w:rPr>
            </w:pPr>
            <w:r>
              <w:rPr>
                <w:b/>
                <w:color w:val="A6A6A6" w:themeColor="background1" w:themeShade="A6"/>
                <w:sz w:val="20"/>
                <w:szCs w:val="20"/>
                <w:lang w:val="en-GB"/>
              </w:rPr>
              <w:t>Grey</w:t>
            </w:r>
          </w:p>
        </w:tc>
        <w:tc>
          <w:tcPr>
            <w:tcW w:w="11065" w:type="dxa"/>
          </w:tcPr>
          <w:p w14:paraId="3491B196" w14:textId="6788C53A" w:rsidR="00055DB1" w:rsidRDefault="00055DB1" w:rsidP="002825CA">
            <w:pPr>
              <w:rPr>
                <w:rFonts w:eastAsia="Times New Roman"/>
                <w:sz w:val="20"/>
                <w:szCs w:val="20"/>
              </w:rPr>
            </w:pPr>
            <w:r w:rsidRPr="00055DB1">
              <w:rPr>
                <w:sz w:val="20"/>
                <w:szCs w:val="20"/>
                <w:lang w:val="en-GB"/>
              </w:rPr>
              <w:t xml:space="preserve">If there is currently insufficient data to assess </w:t>
            </w:r>
            <w:r w:rsidR="003E4FE7">
              <w:rPr>
                <w:sz w:val="20"/>
                <w:szCs w:val="20"/>
                <w:lang w:val="en-GB"/>
              </w:rPr>
              <w:t>average percent</w:t>
            </w:r>
            <w:r w:rsidRPr="00055DB1">
              <w:rPr>
                <w:sz w:val="20"/>
                <w:szCs w:val="20"/>
                <w:lang w:val="en-GB"/>
              </w:rPr>
              <w:t xml:space="preserve"> achievement for </w:t>
            </w:r>
            <w:r w:rsidR="002825CA">
              <w:rPr>
                <w:sz w:val="20"/>
                <w:szCs w:val="20"/>
                <w:lang w:val="en-GB"/>
              </w:rPr>
              <w:t>all</w:t>
            </w:r>
            <w:r w:rsidR="003E4FE7">
              <w:rPr>
                <w:sz w:val="20"/>
                <w:szCs w:val="20"/>
                <w:lang w:val="en-GB"/>
              </w:rPr>
              <w:t xml:space="preserve"> </w:t>
            </w:r>
            <w:r w:rsidRPr="00055DB1">
              <w:rPr>
                <w:sz w:val="20"/>
                <w:szCs w:val="20"/>
                <w:lang w:val="en-GB"/>
              </w:rPr>
              <w:t>indicator</w:t>
            </w:r>
            <w:r w:rsidR="003E4FE7">
              <w:rPr>
                <w:sz w:val="20"/>
                <w:szCs w:val="20"/>
                <w:lang w:val="en-GB"/>
              </w:rPr>
              <w:t>s under the</w:t>
            </w:r>
            <w:r w:rsidRPr="00055DB1">
              <w:rPr>
                <w:sz w:val="20"/>
                <w:szCs w:val="20"/>
                <w:lang w:val="en-GB"/>
              </w:rPr>
              <w:t xml:space="preserve"> output</w:t>
            </w:r>
          </w:p>
        </w:tc>
      </w:tr>
    </w:tbl>
    <w:p w14:paraId="66834271" w14:textId="77777777" w:rsidR="00055DB1" w:rsidRPr="00055DB1" w:rsidRDefault="00055DB1" w:rsidP="00055DB1">
      <w:pPr>
        <w:spacing w:after="120" w:line="240" w:lineRule="auto"/>
        <w:rPr>
          <w:rFonts w:eastAsia="Times New Roman"/>
          <w:sz w:val="20"/>
          <w:szCs w:val="20"/>
        </w:rPr>
      </w:pPr>
    </w:p>
    <w:p w14:paraId="5498DBB1" w14:textId="185B3DED" w:rsidR="00055DB1" w:rsidRDefault="00055DB1" w:rsidP="006F161D">
      <w:pPr>
        <w:pStyle w:val="ListParagraph"/>
        <w:numPr>
          <w:ilvl w:val="0"/>
          <w:numId w:val="66"/>
        </w:numPr>
        <w:spacing w:after="120"/>
        <w:ind w:left="0" w:firstLine="0"/>
        <w:jc w:val="both"/>
        <w:rPr>
          <w:rFonts w:eastAsia="Times New Roman"/>
          <w:sz w:val="20"/>
          <w:szCs w:val="20"/>
        </w:rPr>
      </w:pPr>
      <w:r w:rsidRPr="00055DB1">
        <w:rPr>
          <w:rFonts w:eastAsia="Times New Roman"/>
          <w:sz w:val="20"/>
          <w:szCs w:val="20"/>
        </w:rPr>
        <w:t xml:space="preserve">The </w:t>
      </w:r>
      <w:r w:rsidR="00D0793B">
        <w:rPr>
          <w:rFonts w:eastAsia="Times New Roman"/>
          <w:sz w:val="20"/>
          <w:szCs w:val="20"/>
        </w:rPr>
        <w:t>percent</w:t>
      </w:r>
      <w:r w:rsidR="00257BA6">
        <w:rPr>
          <w:rFonts w:eastAsia="Times New Roman"/>
          <w:sz w:val="20"/>
          <w:szCs w:val="20"/>
        </w:rPr>
        <w:t xml:space="preserve">age of the 2014 </w:t>
      </w:r>
      <w:r w:rsidRPr="00055DB1">
        <w:rPr>
          <w:rFonts w:eastAsia="Times New Roman"/>
          <w:sz w:val="20"/>
          <w:szCs w:val="20"/>
        </w:rPr>
        <w:t>milestone</w:t>
      </w:r>
      <w:r w:rsidR="00257BA6">
        <w:rPr>
          <w:rFonts w:eastAsia="Times New Roman"/>
          <w:sz w:val="20"/>
          <w:szCs w:val="20"/>
        </w:rPr>
        <w:t xml:space="preserve"> that was actually achieved was</w:t>
      </w:r>
      <w:r w:rsidRPr="00055DB1">
        <w:rPr>
          <w:rFonts w:eastAsia="Times New Roman"/>
          <w:sz w:val="20"/>
          <w:szCs w:val="20"/>
        </w:rPr>
        <w:t xml:space="preserve"> calculated</w:t>
      </w:r>
      <w:r w:rsidR="00257BA6">
        <w:rPr>
          <w:rFonts w:eastAsia="Times New Roman"/>
          <w:sz w:val="20"/>
          <w:szCs w:val="20"/>
        </w:rPr>
        <w:t>,</w:t>
      </w:r>
      <w:r w:rsidRPr="00055DB1">
        <w:rPr>
          <w:rFonts w:eastAsia="Times New Roman"/>
          <w:sz w:val="20"/>
          <w:szCs w:val="20"/>
        </w:rPr>
        <w:t xml:space="preserve"> for </w:t>
      </w:r>
      <w:r w:rsidR="00257BA6">
        <w:rPr>
          <w:rFonts w:eastAsia="Times New Roman"/>
          <w:sz w:val="20"/>
          <w:szCs w:val="20"/>
        </w:rPr>
        <w:t xml:space="preserve">output </w:t>
      </w:r>
      <w:r w:rsidRPr="00055DB1">
        <w:rPr>
          <w:rFonts w:eastAsia="Times New Roman"/>
          <w:sz w:val="20"/>
          <w:szCs w:val="20"/>
        </w:rPr>
        <w:t>indicators</w:t>
      </w:r>
      <w:r w:rsidR="00257BA6">
        <w:rPr>
          <w:rFonts w:eastAsia="Times New Roman"/>
          <w:sz w:val="20"/>
          <w:szCs w:val="20"/>
        </w:rPr>
        <w:t xml:space="preserve"> presenting cumulative results over the strategic plan cycle,</w:t>
      </w:r>
      <w:r w:rsidRPr="00055DB1">
        <w:rPr>
          <w:rFonts w:eastAsia="Times New Roman"/>
          <w:sz w:val="20"/>
          <w:szCs w:val="20"/>
        </w:rPr>
        <w:t xml:space="preserve"> by comparing actual progress since the baseline with expect</w:t>
      </w:r>
      <w:r w:rsidR="00257BA6">
        <w:rPr>
          <w:rFonts w:eastAsia="Times New Roman"/>
          <w:sz w:val="20"/>
          <w:szCs w:val="20"/>
        </w:rPr>
        <w:t>ed progress since the baseline</w:t>
      </w:r>
      <w:r w:rsidRPr="00055DB1">
        <w:rPr>
          <w:rFonts w:eastAsia="Times New Roman"/>
          <w:sz w:val="20"/>
          <w:szCs w:val="20"/>
        </w:rPr>
        <w:t xml:space="preserve">. For </w:t>
      </w:r>
      <w:r w:rsidR="00257BA6">
        <w:rPr>
          <w:rFonts w:eastAsia="Times New Roman"/>
          <w:sz w:val="20"/>
          <w:szCs w:val="20"/>
        </w:rPr>
        <w:t xml:space="preserve">output </w:t>
      </w:r>
      <w:r w:rsidRPr="00055DB1">
        <w:rPr>
          <w:rFonts w:eastAsia="Times New Roman"/>
          <w:sz w:val="20"/>
          <w:szCs w:val="20"/>
        </w:rPr>
        <w:t>indicators</w:t>
      </w:r>
      <w:r w:rsidR="00257BA6">
        <w:rPr>
          <w:rFonts w:eastAsia="Times New Roman"/>
          <w:sz w:val="20"/>
          <w:szCs w:val="20"/>
        </w:rPr>
        <w:t xml:space="preserve"> showing non-cumulative results</w:t>
      </w:r>
      <w:r w:rsidR="004E2B85">
        <w:rPr>
          <w:rFonts w:eastAsia="Times New Roman"/>
          <w:sz w:val="20"/>
          <w:szCs w:val="20"/>
        </w:rPr>
        <w:t xml:space="preserve"> </w:t>
      </w:r>
      <w:r w:rsidR="00257BA6" w:rsidRPr="00055DB1">
        <w:rPr>
          <w:rFonts w:eastAsia="Times New Roman"/>
          <w:sz w:val="20"/>
          <w:szCs w:val="20"/>
        </w:rPr>
        <w:t>(3.3.1, 3.3.2, 7.7.1</w:t>
      </w:r>
      <w:r w:rsidR="009C016C">
        <w:rPr>
          <w:rFonts w:eastAsia="Times New Roman"/>
          <w:sz w:val="20"/>
          <w:szCs w:val="20"/>
        </w:rPr>
        <w:t>, 7.7.2</w:t>
      </w:r>
      <w:r w:rsidR="00257BA6" w:rsidRPr="00055DB1">
        <w:rPr>
          <w:rFonts w:eastAsia="Times New Roman"/>
          <w:sz w:val="20"/>
          <w:szCs w:val="20"/>
        </w:rPr>
        <w:t>)</w:t>
      </w:r>
      <w:r w:rsidR="00257BA6">
        <w:rPr>
          <w:rFonts w:eastAsia="Times New Roman"/>
          <w:sz w:val="20"/>
          <w:szCs w:val="20"/>
        </w:rPr>
        <w:t xml:space="preserve"> and/or output indicators </w:t>
      </w:r>
      <w:r w:rsidR="00257BA6" w:rsidRPr="00055DB1">
        <w:rPr>
          <w:rFonts w:eastAsia="Times New Roman"/>
          <w:sz w:val="20"/>
          <w:szCs w:val="20"/>
        </w:rPr>
        <w:t>for which there was no expected change between baseline and milestone</w:t>
      </w:r>
      <w:r w:rsidR="00257BA6" w:rsidRPr="00257BA6">
        <w:rPr>
          <w:rFonts w:eastAsia="Times New Roman"/>
          <w:sz w:val="20"/>
          <w:szCs w:val="20"/>
        </w:rPr>
        <w:t xml:space="preserve"> </w:t>
      </w:r>
      <w:r w:rsidR="00257BA6">
        <w:rPr>
          <w:rFonts w:eastAsia="Times New Roman"/>
          <w:sz w:val="20"/>
          <w:szCs w:val="20"/>
        </w:rPr>
        <w:t>(such that there was</w:t>
      </w:r>
      <w:r w:rsidR="00257BA6" w:rsidRPr="00055DB1">
        <w:rPr>
          <w:rFonts w:eastAsia="Times New Roman"/>
          <w:sz w:val="20"/>
          <w:szCs w:val="20"/>
        </w:rPr>
        <w:t xml:space="preserve"> no meaningful denominator</w:t>
      </w:r>
      <w:r w:rsidR="00257BA6" w:rsidRPr="00156F63">
        <w:rPr>
          <w:rStyle w:val="FootnoteReference"/>
          <w:rFonts w:eastAsia="Times New Roman"/>
          <w:sz w:val="20"/>
          <w:szCs w:val="20"/>
        </w:rPr>
        <w:footnoteReference w:id="1"/>
      </w:r>
      <w:r w:rsidR="00257BA6">
        <w:rPr>
          <w:rFonts w:eastAsia="Times New Roman"/>
          <w:sz w:val="20"/>
          <w:szCs w:val="20"/>
        </w:rPr>
        <w:t xml:space="preserve">  - as in </w:t>
      </w:r>
      <w:r w:rsidR="00452233">
        <w:rPr>
          <w:rFonts w:eastAsia="Times New Roman"/>
          <w:sz w:val="20"/>
          <w:szCs w:val="20"/>
        </w:rPr>
        <w:t xml:space="preserve">the </w:t>
      </w:r>
      <w:r w:rsidR="00257BA6" w:rsidRPr="00055DB1">
        <w:rPr>
          <w:rFonts w:eastAsia="Times New Roman"/>
          <w:sz w:val="20"/>
          <w:szCs w:val="20"/>
        </w:rPr>
        <w:t>fourth component</w:t>
      </w:r>
      <w:r w:rsidR="00452233">
        <w:rPr>
          <w:rFonts w:eastAsia="Times New Roman"/>
          <w:sz w:val="20"/>
          <w:szCs w:val="20"/>
        </w:rPr>
        <w:t xml:space="preserve"> of indicators</w:t>
      </w:r>
      <w:r w:rsidR="00257BA6" w:rsidRPr="00055DB1">
        <w:rPr>
          <w:rFonts w:eastAsia="Times New Roman"/>
          <w:sz w:val="20"/>
          <w:szCs w:val="20"/>
        </w:rPr>
        <w:t xml:space="preserve"> </w:t>
      </w:r>
      <w:r w:rsidR="00452233" w:rsidRPr="00055DB1">
        <w:rPr>
          <w:rFonts w:eastAsia="Times New Roman"/>
          <w:sz w:val="20"/>
          <w:szCs w:val="20"/>
        </w:rPr>
        <w:t xml:space="preserve">1.4.1 </w:t>
      </w:r>
      <w:r w:rsidR="00452233">
        <w:rPr>
          <w:rFonts w:eastAsia="Times New Roman"/>
          <w:sz w:val="20"/>
          <w:szCs w:val="20"/>
        </w:rPr>
        <w:t xml:space="preserve">and </w:t>
      </w:r>
      <w:r w:rsidR="00257BA6" w:rsidRPr="00055DB1">
        <w:rPr>
          <w:rFonts w:eastAsia="Times New Roman"/>
          <w:sz w:val="20"/>
          <w:szCs w:val="20"/>
        </w:rPr>
        <w:t xml:space="preserve">6.1.2, </w:t>
      </w:r>
      <w:r w:rsidR="00257BA6">
        <w:rPr>
          <w:rFonts w:eastAsia="Times New Roman"/>
          <w:sz w:val="20"/>
          <w:szCs w:val="20"/>
        </w:rPr>
        <w:t xml:space="preserve">and </w:t>
      </w:r>
      <w:r w:rsidR="00452233">
        <w:rPr>
          <w:rFonts w:eastAsia="Times New Roman"/>
          <w:sz w:val="20"/>
          <w:szCs w:val="20"/>
        </w:rPr>
        <w:t xml:space="preserve">indicator </w:t>
      </w:r>
      <w:r w:rsidR="00257BA6" w:rsidRPr="00055DB1">
        <w:rPr>
          <w:rFonts w:eastAsia="Times New Roman"/>
          <w:sz w:val="20"/>
          <w:szCs w:val="20"/>
        </w:rPr>
        <w:t>7.1.1)</w:t>
      </w:r>
      <w:r w:rsidR="00257BA6">
        <w:rPr>
          <w:rFonts w:eastAsia="Times New Roman"/>
          <w:sz w:val="20"/>
          <w:szCs w:val="20"/>
        </w:rPr>
        <w:t>, the percent achievement wa</w:t>
      </w:r>
      <w:r w:rsidRPr="00055DB1">
        <w:rPr>
          <w:rFonts w:eastAsia="Times New Roman"/>
          <w:sz w:val="20"/>
          <w:szCs w:val="20"/>
        </w:rPr>
        <w:t xml:space="preserve">s calculated by comparing overall results achieved with overall results expected, </w:t>
      </w:r>
      <w:r w:rsidR="009C5083" w:rsidRPr="00055DB1">
        <w:rPr>
          <w:rFonts w:eastAsia="Times New Roman"/>
          <w:sz w:val="20"/>
          <w:szCs w:val="20"/>
        </w:rPr>
        <w:t>i.e.</w:t>
      </w:r>
      <w:r w:rsidRPr="00055DB1">
        <w:rPr>
          <w:rFonts w:eastAsia="Times New Roman"/>
          <w:sz w:val="20"/>
          <w:szCs w:val="20"/>
        </w:rPr>
        <w:t xml:space="preserve"> w</w:t>
      </w:r>
      <w:r w:rsidR="00257BA6">
        <w:rPr>
          <w:rFonts w:eastAsia="Times New Roman"/>
          <w:sz w:val="20"/>
          <w:szCs w:val="20"/>
        </w:rPr>
        <w:t xml:space="preserve">ithout subtracting the baseline. Formulas utilized are </w:t>
      </w:r>
      <w:r w:rsidR="00EF5D24">
        <w:rPr>
          <w:rFonts w:eastAsia="Times New Roman"/>
          <w:sz w:val="20"/>
          <w:szCs w:val="20"/>
        </w:rPr>
        <w:t xml:space="preserve">presented </w:t>
      </w:r>
      <w:r w:rsidR="00257BA6">
        <w:rPr>
          <w:rFonts w:eastAsia="Times New Roman"/>
          <w:sz w:val="20"/>
          <w:szCs w:val="20"/>
        </w:rPr>
        <w:t>below:</w:t>
      </w:r>
    </w:p>
    <w:tbl>
      <w:tblPr>
        <w:tblStyle w:val="TableGrid"/>
        <w:tblW w:w="0" w:type="auto"/>
        <w:tblLook w:val="04A0" w:firstRow="1" w:lastRow="0" w:firstColumn="1" w:lastColumn="0" w:noHBand="0" w:noVBand="1"/>
      </w:tblPr>
      <w:tblGrid>
        <w:gridCol w:w="6475"/>
        <w:gridCol w:w="6475"/>
      </w:tblGrid>
      <w:tr w:rsidR="00257BA6" w14:paraId="1AF0E4A1" w14:textId="77777777" w:rsidTr="00257BA6">
        <w:tc>
          <w:tcPr>
            <w:tcW w:w="6475" w:type="dxa"/>
            <w:shd w:val="clear" w:color="auto" w:fill="DBE5F1" w:themeFill="accent1" w:themeFillTint="33"/>
          </w:tcPr>
          <w:p w14:paraId="4657D49D" w14:textId="1A506735" w:rsidR="00257BA6" w:rsidRPr="00257BA6" w:rsidRDefault="00257BA6" w:rsidP="00257BA6">
            <w:pPr>
              <w:spacing w:after="120"/>
              <w:jc w:val="both"/>
              <w:rPr>
                <w:rFonts w:eastAsia="Times New Roman"/>
                <w:b/>
                <w:sz w:val="20"/>
                <w:szCs w:val="20"/>
              </w:rPr>
            </w:pPr>
            <w:r w:rsidRPr="00257BA6">
              <w:rPr>
                <w:rFonts w:eastAsia="Times New Roman"/>
                <w:b/>
                <w:sz w:val="20"/>
                <w:szCs w:val="20"/>
              </w:rPr>
              <w:t>Indicators showing cumulative results</w:t>
            </w:r>
          </w:p>
        </w:tc>
        <w:tc>
          <w:tcPr>
            <w:tcW w:w="6475" w:type="dxa"/>
            <w:shd w:val="clear" w:color="auto" w:fill="DBE5F1" w:themeFill="accent1" w:themeFillTint="33"/>
          </w:tcPr>
          <w:p w14:paraId="32845D02" w14:textId="53126B23" w:rsidR="00257BA6" w:rsidRPr="00257BA6" w:rsidRDefault="00257BA6" w:rsidP="00257BA6">
            <w:pPr>
              <w:spacing w:after="120"/>
              <w:jc w:val="both"/>
              <w:rPr>
                <w:rFonts w:eastAsia="Times New Roman"/>
                <w:b/>
                <w:sz w:val="20"/>
                <w:szCs w:val="20"/>
              </w:rPr>
            </w:pPr>
            <w:r w:rsidRPr="00257BA6">
              <w:rPr>
                <w:rFonts w:eastAsia="Times New Roman"/>
                <w:b/>
                <w:sz w:val="20"/>
                <w:szCs w:val="20"/>
              </w:rPr>
              <w:t>Indicators showing non-cumulative results</w:t>
            </w:r>
          </w:p>
        </w:tc>
      </w:tr>
      <w:tr w:rsidR="00257BA6" w14:paraId="770873D3" w14:textId="77777777" w:rsidTr="00257BA6">
        <w:tc>
          <w:tcPr>
            <w:tcW w:w="6475" w:type="dxa"/>
          </w:tcPr>
          <w:p w14:paraId="267FB23B" w14:textId="098C9D66" w:rsidR="00257BA6" w:rsidRDefault="00257BA6" w:rsidP="00257BA6">
            <w:pPr>
              <w:spacing w:before="80" w:after="80"/>
              <w:jc w:val="both"/>
              <w:rPr>
                <w:rFonts w:eastAsia="Times New Roman"/>
                <w:sz w:val="20"/>
                <w:szCs w:val="20"/>
              </w:rPr>
            </w:pPr>
            <m:oMathPara>
              <m:oMath>
                <m:r>
                  <w:rPr>
                    <w:rFonts w:ascii="Cambria Math" w:eastAsia="Times New Roman" w:hAnsi="Cambria Math"/>
                    <w:sz w:val="20"/>
                    <w:szCs w:val="20"/>
                  </w:rPr>
                  <m:t>cumulative percent achievement=</m:t>
                </m:r>
                <m:f>
                  <m:fPr>
                    <m:ctrlPr>
                      <w:rPr>
                        <w:rFonts w:ascii="Cambria Math" w:eastAsia="Times New Roman" w:hAnsi="Cambria Math"/>
                        <w:i/>
                        <w:sz w:val="20"/>
                        <w:szCs w:val="20"/>
                      </w:rPr>
                    </m:ctrlPr>
                  </m:fPr>
                  <m:num>
                    <m:r>
                      <w:rPr>
                        <w:rFonts w:ascii="Cambria Math" w:eastAsia="Times New Roman" w:hAnsi="Cambria Math"/>
                        <w:sz w:val="20"/>
                        <w:szCs w:val="20"/>
                      </w:rPr>
                      <m:t>2014 actual-2013 baseline</m:t>
                    </m:r>
                  </m:num>
                  <m:den>
                    <m:r>
                      <w:rPr>
                        <w:rFonts w:ascii="Cambria Math" w:eastAsia="Times New Roman" w:hAnsi="Cambria Math"/>
                        <w:sz w:val="20"/>
                        <w:szCs w:val="20"/>
                      </w:rPr>
                      <m:t>2014 milestone-2013 baseline</m:t>
                    </m:r>
                  </m:den>
                </m:f>
              </m:oMath>
            </m:oMathPara>
          </w:p>
        </w:tc>
        <w:tc>
          <w:tcPr>
            <w:tcW w:w="6475" w:type="dxa"/>
          </w:tcPr>
          <w:p w14:paraId="0BE54EB0" w14:textId="402B2A88" w:rsidR="00257BA6" w:rsidRDefault="00257BA6" w:rsidP="00257BA6">
            <w:pPr>
              <w:spacing w:before="80" w:after="80"/>
              <w:jc w:val="both"/>
              <w:rPr>
                <w:rFonts w:eastAsia="Times New Roman"/>
                <w:sz w:val="20"/>
                <w:szCs w:val="20"/>
              </w:rPr>
            </w:pPr>
            <m:oMathPara>
              <m:oMath>
                <m:r>
                  <w:rPr>
                    <w:rFonts w:ascii="Cambria Math" w:eastAsia="Times New Roman" w:hAnsi="Cambria Math"/>
                    <w:sz w:val="20"/>
                    <w:szCs w:val="20"/>
                  </w:rPr>
                  <m:t>non-cumulative percent achievement=</m:t>
                </m:r>
                <m:f>
                  <m:fPr>
                    <m:ctrlPr>
                      <w:rPr>
                        <w:rFonts w:ascii="Cambria Math" w:eastAsia="Times New Roman" w:hAnsi="Cambria Math"/>
                        <w:i/>
                        <w:sz w:val="20"/>
                        <w:szCs w:val="20"/>
                      </w:rPr>
                    </m:ctrlPr>
                  </m:fPr>
                  <m:num>
                    <m:r>
                      <w:rPr>
                        <w:rFonts w:ascii="Cambria Math" w:eastAsia="Times New Roman" w:hAnsi="Cambria Math"/>
                        <w:sz w:val="20"/>
                        <w:szCs w:val="20"/>
                      </w:rPr>
                      <m:t>2014 actual</m:t>
                    </m:r>
                  </m:num>
                  <m:den>
                    <m:r>
                      <w:rPr>
                        <w:rFonts w:ascii="Cambria Math" w:eastAsia="Times New Roman" w:hAnsi="Cambria Math"/>
                        <w:sz w:val="20"/>
                        <w:szCs w:val="20"/>
                      </w:rPr>
                      <m:t>2014 milestone</m:t>
                    </m:r>
                  </m:den>
                </m:f>
              </m:oMath>
            </m:oMathPara>
          </w:p>
        </w:tc>
      </w:tr>
    </w:tbl>
    <w:p w14:paraId="0D3175A1" w14:textId="77777777" w:rsidR="00257BA6" w:rsidRPr="00257BA6" w:rsidRDefault="00257BA6" w:rsidP="00257BA6">
      <w:pPr>
        <w:spacing w:after="120"/>
        <w:jc w:val="both"/>
        <w:rPr>
          <w:rFonts w:eastAsia="Times New Roman"/>
          <w:sz w:val="20"/>
          <w:szCs w:val="20"/>
        </w:rPr>
      </w:pPr>
    </w:p>
    <w:p w14:paraId="7ACECFB2" w14:textId="0291FC98" w:rsidR="00055DB1" w:rsidRDefault="004A1CF7" w:rsidP="006F161D">
      <w:pPr>
        <w:pStyle w:val="ListParagraph"/>
        <w:numPr>
          <w:ilvl w:val="0"/>
          <w:numId w:val="66"/>
        </w:numPr>
        <w:spacing w:after="120"/>
        <w:ind w:left="0" w:firstLine="0"/>
        <w:jc w:val="both"/>
        <w:rPr>
          <w:rFonts w:eastAsia="Times New Roman"/>
          <w:sz w:val="20"/>
          <w:szCs w:val="20"/>
        </w:rPr>
      </w:pPr>
      <w:r>
        <w:rPr>
          <w:rFonts w:eastAsia="Times New Roman"/>
          <w:sz w:val="20"/>
          <w:szCs w:val="20"/>
        </w:rPr>
        <w:lastRenderedPageBreak/>
        <w:t>A</w:t>
      </w:r>
      <w:r w:rsidR="00055DB1" w:rsidRPr="00055DB1">
        <w:rPr>
          <w:rFonts w:eastAsia="Times New Roman"/>
          <w:sz w:val="20"/>
          <w:szCs w:val="20"/>
        </w:rPr>
        <w:t>ll relevant indicators and sub-in</w:t>
      </w:r>
      <w:r>
        <w:rPr>
          <w:rFonts w:eastAsia="Times New Roman"/>
          <w:sz w:val="20"/>
          <w:szCs w:val="20"/>
        </w:rPr>
        <w:t>dicators for which a milestone was set in the IRRF we</w:t>
      </w:r>
      <w:r w:rsidR="00055DB1" w:rsidRPr="00055DB1">
        <w:rPr>
          <w:rFonts w:eastAsia="Times New Roman"/>
          <w:sz w:val="20"/>
          <w:szCs w:val="20"/>
        </w:rPr>
        <w:t xml:space="preserve">re used to calculate the average </w:t>
      </w:r>
      <w:r>
        <w:rPr>
          <w:rFonts w:eastAsia="Times New Roman"/>
          <w:sz w:val="20"/>
          <w:szCs w:val="20"/>
        </w:rPr>
        <w:t>percent</w:t>
      </w:r>
      <w:r w:rsidR="00055DB1" w:rsidRPr="00055DB1">
        <w:rPr>
          <w:rFonts w:eastAsia="Times New Roman"/>
          <w:sz w:val="20"/>
          <w:szCs w:val="20"/>
        </w:rPr>
        <w:t xml:space="preserve"> achievement across </w:t>
      </w:r>
      <w:r>
        <w:rPr>
          <w:rFonts w:eastAsia="Times New Roman"/>
          <w:sz w:val="20"/>
          <w:szCs w:val="20"/>
        </w:rPr>
        <w:t>an output, ex</w:t>
      </w:r>
      <w:r w:rsidRPr="0095141B">
        <w:rPr>
          <w:rFonts w:eastAsia="Times New Roman"/>
          <w:sz w:val="20"/>
          <w:szCs w:val="20"/>
        </w:rPr>
        <w:t xml:space="preserve">cept for indicators 2.6.1, 5.1.2.b, </w:t>
      </w:r>
      <w:r w:rsidR="009C016C">
        <w:rPr>
          <w:rFonts w:eastAsia="Times New Roman"/>
          <w:sz w:val="20"/>
          <w:szCs w:val="20"/>
        </w:rPr>
        <w:t xml:space="preserve">5.3.1 and </w:t>
      </w:r>
      <w:r w:rsidRPr="0095141B">
        <w:rPr>
          <w:rFonts w:eastAsia="Times New Roman"/>
          <w:sz w:val="20"/>
          <w:szCs w:val="20"/>
        </w:rPr>
        <w:t>7.5.3, for which</w:t>
      </w:r>
      <w:r w:rsidR="00055DB1" w:rsidRPr="0095141B">
        <w:rPr>
          <w:rFonts w:eastAsia="Times New Roman"/>
          <w:sz w:val="20"/>
          <w:szCs w:val="20"/>
        </w:rPr>
        <w:t xml:space="preserve"> insufficient </w:t>
      </w:r>
      <w:r w:rsidRPr="0095141B">
        <w:rPr>
          <w:rFonts w:eastAsia="Times New Roman"/>
          <w:sz w:val="20"/>
          <w:szCs w:val="20"/>
        </w:rPr>
        <w:t>data existed to assess indicator-</w:t>
      </w:r>
      <w:r w:rsidR="00055DB1" w:rsidRPr="0095141B">
        <w:rPr>
          <w:rFonts w:eastAsia="Times New Roman"/>
          <w:sz w:val="20"/>
          <w:szCs w:val="20"/>
        </w:rPr>
        <w:t>level performance (</w:t>
      </w:r>
      <w:r w:rsidRPr="0095141B">
        <w:rPr>
          <w:rFonts w:eastAsia="Times New Roman"/>
          <w:sz w:val="20"/>
          <w:szCs w:val="20"/>
        </w:rPr>
        <w:t>for instance, due to 2014 actual data being</w:t>
      </w:r>
      <w:r w:rsidR="00055DB1" w:rsidRPr="0095141B">
        <w:rPr>
          <w:rFonts w:eastAsia="Times New Roman"/>
          <w:sz w:val="20"/>
          <w:szCs w:val="20"/>
        </w:rPr>
        <w:t xml:space="preserve"> missing for too many countries to determine whether the indicator milestone was met). </w:t>
      </w:r>
      <w:r w:rsidRPr="0095141B">
        <w:rPr>
          <w:rFonts w:eastAsia="Times New Roman"/>
          <w:sz w:val="20"/>
          <w:szCs w:val="20"/>
        </w:rPr>
        <w:t>For indicators 5.1.2.b</w:t>
      </w:r>
      <w:r w:rsidR="00D054E8">
        <w:rPr>
          <w:rFonts w:eastAsia="Times New Roman"/>
          <w:sz w:val="20"/>
          <w:szCs w:val="20"/>
        </w:rPr>
        <w:t xml:space="preserve"> and</w:t>
      </w:r>
      <w:r w:rsidRPr="0095141B">
        <w:rPr>
          <w:rFonts w:eastAsia="Times New Roman"/>
          <w:sz w:val="20"/>
          <w:szCs w:val="20"/>
        </w:rPr>
        <w:t xml:space="preserve"> 7.5.3</w:t>
      </w:r>
      <w:r w:rsidR="00055DB1" w:rsidRPr="0095141B">
        <w:rPr>
          <w:rFonts w:eastAsia="Times New Roman"/>
          <w:sz w:val="20"/>
          <w:szCs w:val="20"/>
        </w:rPr>
        <w:t>, a provisiona</w:t>
      </w:r>
      <w:r w:rsidRPr="0095141B">
        <w:rPr>
          <w:rFonts w:eastAsia="Times New Roman"/>
          <w:sz w:val="20"/>
          <w:szCs w:val="20"/>
        </w:rPr>
        <w:t>l traffic light wa</w:t>
      </w:r>
      <w:r w:rsidR="00055DB1" w:rsidRPr="0095141B">
        <w:rPr>
          <w:rFonts w:eastAsia="Times New Roman"/>
          <w:sz w:val="20"/>
          <w:szCs w:val="20"/>
        </w:rPr>
        <w:t>s calculated based on the remaining indicators under the ou</w:t>
      </w:r>
      <w:r w:rsidRPr="0095141B">
        <w:rPr>
          <w:rFonts w:eastAsia="Times New Roman"/>
          <w:sz w:val="20"/>
          <w:szCs w:val="20"/>
        </w:rPr>
        <w:t>tput for which sufficient data wa</w:t>
      </w:r>
      <w:r w:rsidR="00055DB1" w:rsidRPr="0095141B">
        <w:rPr>
          <w:rFonts w:eastAsia="Times New Roman"/>
          <w:sz w:val="20"/>
          <w:szCs w:val="20"/>
        </w:rPr>
        <w:t xml:space="preserve">s available. </w:t>
      </w:r>
      <w:r w:rsidRPr="0095141B">
        <w:rPr>
          <w:rFonts w:eastAsia="Times New Roman"/>
          <w:sz w:val="20"/>
          <w:szCs w:val="20"/>
        </w:rPr>
        <w:t>I</w:t>
      </w:r>
      <w:r w:rsidR="00055DB1" w:rsidRPr="0095141B">
        <w:rPr>
          <w:rFonts w:eastAsia="Times New Roman"/>
          <w:sz w:val="20"/>
          <w:szCs w:val="20"/>
        </w:rPr>
        <w:t>n the case of indicator</w:t>
      </w:r>
      <w:r w:rsidR="0095141B" w:rsidRPr="0095141B">
        <w:rPr>
          <w:rFonts w:eastAsia="Times New Roman"/>
          <w:sz w:val="20"/>
          <w:szCs w:val="20"/>
        </w:rPr>
        <w:t>s</w:t>
      </w:r>
      <w:r w:rsidR="00055DB1" w:rsidRPr="0095141B">
        <w:rPr>
          <w:rFonts w:eastAsia="Times New Roman"/>
          <w:sz w:val="20"/>
          <w:szCs w:val="20"/>
        </w:rPr>
        <w:t xml:space="preserve"> 2.6.1</w:t>
      </w:r>
      <w:r w:rsidR="0095141B" w:rsidRPr="0095141B">
        <w:rPr>
          <w:rFonts w:eastAsia="Times New Roman"/>
          <w:sz w:val="20"/>
          <w:szCs w:val="20"/>
        </w:rPr>
        <w:t xml:space="preserve"> and 5.3.1</w:t>
      </w:r>
      <w:r w:rsidR="00055DB1" w:rsidRPr="0095141B">
        <w:rPr>
          <w:rFonts w:eastAsia="Times New Roman"/>
          <w:sz w:val="20"/>
          <w:szCs w:val="20"/>
        </w:rPr>
        <w:t xml:space="preserve">, the missing data prevented </w:t>
      </w:r>
      <w:r w:rsidRPr="0095141B">
        <w:rPr>
          <w:rFonts w:eastAsia="Times New Roman"/>
          <w:sz w:val="20"/>
          <w:szCs w:val="20"/>
        </w:rPr>
        <w:t>determination</w:t>
      </w:r>
      <w:r w:rsidR="00055DB1" w:rsidRPr="0095141B">
        <w:rPr>
          <w:rFonts w:eastAsia="Times New Roman"/>
          <w:sz w:val="20"/>
          <w:szCs w:val="20"/>
        </w:rPr>
        <w:t xml:space="preserve"> of a traffic light </w:t>
      </w:r>
      <w:r w:rsidRPr="0095141B">
        <w:rPr>
          <w:rFonts w:eastAsia="Times New Roman"/>
          <w:sz w:val="20"/>
          <w:szCs w:val="20"/>
        </w:rPr>
        <w:t>for the</w:t>
      </w:r>
      <w:r w:rsidR="0095141B" w:rsidRPr="0095141B">
        <w:rPr>
          <w:rFonts w:eastAsia="Times New Roman"/>
          <w:sz w:val="20"/>
          <w:szCs w:val="20"/>
        </w:rPr>
        <w:t>se two</w:t>
      </w:r>
      <w:r w:rsidRPr="0095141B">
        <w:rPr>
          <w:rFonts w:eastAsia="Times New Roman"/>
          <w:sz w:val="20"/>
          <w:szCs w:val="20"/>
        </w:rPr>
        <w:t xml:space="preserve"> output</w:t>
      </w:r>
      <w:r w:rsidR="0095141B" w:rsidRPr="0095141B">
        <w:rPr>
          <w:rFonts w:eastAsia="Times New Roman"/>
          <w:sz w:val="20"/>
          <w:szCs w:val="20"/>
        </w:rPr>
        <w:t>s</w:t>
      </w:r>
      <w:r w:rsidRPr="0095141B">
        <w:rPr>
          <w:rFonts w:eastAsia="Times New Roman"/>
          <w:sz w:val="20"/>
          <w:szCs w:val="20"/>
        </w:rPr>
        <w:t>, since th</w:t>
      </w:r>
      <w:r w:rsidR="0095141B" w:rsidRPr="0095141B">
        <w:rPr>
          <w:rFonts w:eastAsia="Times New Roman"/>
          <w:sz w:val="20"/>
          <w:szCs w:val="20"/>
        </w:rPr>
        <w:t>ey</w:t>
      </w:r>
      <w:r w:rsidRPr="0095141B">
        <w:rPr>
          <w:rFonts w:eastAsia="Times New Roman"/>
          <w:sz w:val="20"/>
          <w:szCs w:val="20"/>
        </w:rPr>
        <w:t xml:space="preserve"> w</w:t>
      </w:r>
      <w:r w:rsidR="0095141B" w:rsidRPr="0095141B">
        <w:rPr>
          <w:rFonts w:eastAsia="Times New Roman"/>
          <w:sz w:val="20"/>
          <w:szCs w:val="20"/>
        </w:rPr>
        <w:t>ere</w:t>
      </w:r>
      <w:r w:rsidR="00055DB1" w:rsidRPr="0095141B">
        <w:rPr>
          <w:rFonts w:eastAsia="Times New Roman"/>
          <w:sz w:val="20"/>
          <w:szCs w:val="20"/>
        </w:rPr>
        <w:t xml:space="preserve"> the only indicator</w:t>
      </w:r>
      <w:r w:rsidR="0095141B" w:rsidRPr="0095141B">
        <w:rPr>
          <w:rFonts w:eastAsia="Times New Roman"/>
          <w:sz w:val="20"/>
          <w:szCs w:val="20"/>
        </w:rPr>
        <w:t>s</w:t>
      </w:r>
      <w:r w:rsidR="00055DB1" w:rsidRPr="0095141B">
        <w:rPr>
          <w:rFonts w:eastAsia="Times New Roman"/>
          <w:sz w:val="20"/>
          <w:szCs w:val="20"/>
        </w:rPr>
        <w:t xml:space="preserve"> for output 2.6</w:t>
      </w:r>
      <w:r w:rsidR="0095141B" w:rsidRPr="0095141B">
        <w:rPr>
          <w:rFonts w:eastAsia="Times New Roman"/>
          <w:sz w:val="20"/>
          <w:szCs w:val="20"/>
        </w:rPr>
        <w:t xml:space="preserve"> and 5.3 respectively</w:t>
      </w:r>
      <w:r w:rsidR="00055DB1" w:rsidRPr="0095141B">
        <w:rPr>
          <w:rFonts w:eastAsia="Times New Roman"/>
          <w:sz w:val="20"/>
          <w:szCs w:val="20"/>
        </w:rPr>
        <w:t xml:space="preserve">. Final results and traffic lights for these </w:t>
      </w:r>
      <w:r w:rsidRPr="0095141B">
        <w:rPr>
          <w:rFonts w:eastAsia="Times New Roman"/>
          <w:sz w:val="20"/>
          <w:szCs w:val="20"/>
        </w:rPr>
        <w:t xml:space="preserve">outputs </w:t>
      </w:r>
      <w:r w:rsidR="00055DB1" w:rsidRPr="0095141B">
        <w:rPr>
          <w:rFonts w:eastAsia="Times New Roman"/>
          <w:sz w:val="20"/>
          <w:szCs w:val="20"/>
        </w:rPr>
        <w:t>will be confirm</w:t>
      </w:r>
      <w:r w:rsidRPr="0095141B">
        <w:rPr>
          <w:rFonts w:eastAsia="Times New Roman"/>
          <w:sz w:val="20"/>
          <w:szCs w:val="20"/>
        </w:rPr>
        <w:t>ed in the next reporting cycle.</w:t>
      </w:r>
    </w:p>
    <w:p w14:paraId="29626815" w14:textId="1EA0C5CA" w:rsidR="00A371AE" w:rsidRPr="006B56E7" w:rsidRDefault="00FD4A53" w:rsidP="00A371AE">
      <w:pPr>
        <w:tabs>
          <w:tab w:val="left" w:pos="360"/>
        </w:tabs>
        <w:spacing w:after="0" w:line="240" w:lineRule="auto"/>
        <w:jc w:val="both"/>
        <w:rPr>
          <w:rFonts w:eastAsia="Times New Roman"/>
          <w:b/>
          <w:sz w:val="20"/>
          <w:szCs w:val="20"/>
          <w:u w:val="single"/>
        </w:rPr>
      </w:pPr>
      <w:r w:rsidRPr="006B56E7">
        <w:rPr>
          <w:rFonts w:eastAsia="Times New Roman"/>
          <w:b/>
          <w:sz w:val="20"/>
          <w:szCs w:val="20"/>
          <w:u w:val="single"/>
        </w:rPr>
        <w:t>D</w:t>
      </w:r>
      <w:r w:rsidR="00A371AE" w:rsidRPr="006B56E7">
        <w:rPr>
          <w:rFonts w:eastAsia="Times New Roman"/>
          <w:b/>
          <w:sz w:val="20"/>
          <w:szCs w:val="20"/>
          <w:u w:val="single"/>
        </w:rPr>
        <w:t xml:space="preserve">evelopment Performance </w:t>
      </w:r>
      <w:r w:rsidR="006B56E7" w:rsidRPr="006B56E7">
        <w:rPr>
          <w:rFonts w:eastAsia="Times New Roman"/>
          <w:b/>
          <w:sz w:val="20"/>
          <w:szCs w:val="20"/>
          <w:u w:val="single"/>
        </w:rPr>
        <w:t>Report Card</w:t>
      </w:r>
      <w:r w:rsidR="00A371AE" w:rsidRPr="006B56E7">
        <w:rPr>
          <w:rFonts w:eastAsia="Times New Roman"/>
          <w:b/>
          <w:sz w:val="20"/>
          <w:szCs w:val="20"/>
          <w:u w:val="single"/>
        </w:rPr>
        <w:t xml:space="preserve"> </w:t>
      </w:r>
    </w:p>
    <w:p w14:paraId="4051F51D" w14:textId="77777777" w:rsidR="000E4938" w:rsidRDefault="000E4938" w:rsidP="000E4938">
      <w:pPr>
        <w:spacing w:after="0" w:line="240" w:lineRule="auto"/>
        <w:rPr>
          <w:rFonts w:ascii="Times New Roman" w:hAnsi="Times New Roman"/>
          <w:b/>
          <w:sz w:val="20"/>
          <w:szCs w:val="20"/>
        </w:rPr>
      </w:pPr>
    </w:p>
    <w:tbl>
      <w:tblPr>
        <w:tblW w:w="11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6840"/>
        <w:gridCol w:w="445"/>
        <w:gridCol w:w="1445"/>
        <w:gridCol w:w="1710"/>
        <w:gridCol w:w="810"/>
      </w:tblGrid>
      <w:tr w:rsidR="00243D06" w:rsidRPr="005F03B6" w14:paraId="048BC374" w14:textId="77777777" w:rsidTr="005C192B">
        <w:trPr>
          <w:trHeight w:val="593"/>
          <w:tblHeader/>
        </w:trPr>
        <w:tc>
          <w:tcPr>
            <w:tcW w:w="7290" w:type="dxa"/>
            <w:gridSpan w:val="2"/>
            <w:tcBorders>
              <w:right w:val="single" w:sz="4" w:space="0" w:color="auto"/>
            </w:tcBorders>
            <w:shd w:val="clear" w:color="auto" w:fill="365F91" w:themeFill="accent1" w:themeFillShade="BF"/>
            <w:vAlign w:val="center"/>
          </w:tcPr>
          <w:p w14:paraId="233537DF" w14:textId="77777777" w:rsidR="000E4938" w:rsidRPr="005F4D6B" w:rsidRDefault="000E4938" w:rsidP="00255B74">
            <w:pPr>
              <w:pStyle w:val="ColorfulList-Accent11"/>
              <w:widowControl w:val="0"/>
              <w:tabs>
                <w:tab w:val="left" w:pos="450"/>
              </w:tabs>
              <w:spacing w:after="0" w:line="240" w:lineRule="auto"/>
              <w:ind w:left="0"/>
              <w:contextualSpacing w:val="0"/>
              <w:jc w:val="center"/>
              <w:rPr>
                <w:rFonts w:ascii="Times New Roman" w:hAnsi="Times New Roman"/>
                <w:b/>
                <w:caps/>
                <w:color w:val="FFFFFF" w:themeColor="background1"/>
                <w:sz w:val="18"/>
                <w:szCs w:val="18"/>
                <w:lang w:val="en-US"/>
              </w:rPr>
            </w:pPr>
            <w:r w:rsidRPr="005F03B6">
              <w:rPr>
                <w:rFonts w:ascii="Times New Roman" w:hAnsi="Times New Roman"/>
                <w:b/>
                <w:caps/>
                <w:color w:val="FFFFFF" w:themeColor="background1"/>
                <w:sz w:val="18"/>
                <w:szCs w:val="18"/>
                <w:lang w:val="en-US"/>
              </w:rPr>
              <w:t>Development Outcomes &amp;</w:t>
            </w:r>
            <w:r>
              <w:rPr>
                <w:rFonts w:ascii="Times New Roman" w:hAnsi="Times New Roman"/>
                <w:b/>
                <w:caps/>
                <w:color w:val="FFFFFF" w:themeColor="background1"/>
                <w:sz w:val="18"/>
                <w:szCs w:val="18"/>
                <w:lang w:val="en-US"/>
              </w:rPr>
              <w:t xml:space="preserve"> </w:t>
            </w:r>
            <w:r w:rsidRPr="005F03B6">
              <w:rPr>
                <w:rFonts w:ascii="Times New Roman" w:hAnsi="Times New Roman"/>
                <w:b/>
                <w:caps/>
                <w:color w:val="FFFFFF" w:themeColor="background1"/>
                <w:sz w:val="18"/>
                <w:szCs w:val="18"/>
                <w:lang w:val="en-US"/>
              </w:rPr>
              <w:t>Outputs</w:t>
            </w:r>
          </w:p>
        </w:tc>
        <w:tc>
          <w:tcPr>
            <w:tcW w:w="1890" w:type="dxa"/>
            <w:gridSpan w:val="2"/>
            <w:tcBorders>
              <w:bottom w:val="single" w:sz="4" w:space="0" w:color="000000"/>
            </w:tcBorders>
            <w:shd w:val="clear" w:color="auto" w:fill="365F91" w:themeFill="accent1" w:themeFillShade="BF"/>
            <w:vAlign w:val="center"/>
          </w:tcPr>
          <w:p w14:paraId="345D08A4" w14:textId="29A0442B" w:rsidR="000E4938" w:rsidRDefault="000E4938" w:rsidP="00243D06">
            <w:pPr>
              <w:pStyle w:val="ColorfulList-Accent11"/>
              <w:widowControl w:val="0"/>
              <w:tabs>
                <w:tab w:val="left" w:pos="450"/>
              </w:tabs>
              <w:spacing w:after="0" w:line="240" w:lineRule="auto"/>
              <w:ind w:left="0"/>
              <w:contextualSpacing w:val="0"/>
              <w:jc w:val="center"/>
              <w:rPr>
                <w:rFonts w:ascii="Times New Roman" w:hAnsi="Times New Roman"/>
                <w:b/>
                <w:color w:val="FFFFFF" w:themeColor="background1"/>
                <w:sz w:val="18"/>
                <w:szCs w:val="18"/>
                <w:lang w:val="en-US"/>
              </w:rPr>
            </w:pPr>
            <w:r w:rsidRPr="006D3925">
              <w:rPr>
                <w:rFonts w:ascii="Times New Roman" w:hAnsi="Times New Roman"/>
                <w:b/>
                <w:color w:val="FFFFFF" w:themeColor="background1"/>
                <w:sz w:val="18"/>
                <w:szCs w:val="18"/>
                <w:lang w:val="en-US"/>
              </w:rPr>
              <w:t>2014</w:t>
            </w:r>
            <w:r w:rsidR="00243D06">
              <w:rPr>
                <w:rFonts w:ascii="Times New Roman" w:hAnsi="Times New Roman"/>
                <w:b/>
                <w:color w:val="FFFFFF" w:themeColor="background1"/>
                <w:sz w:val="18"/>
                <w:szCs w:val="18"/>
                <w:lang w:val="en-US"/>
              </w:rPr>
              <w:t xml:space="preserve"> </w:t>
            </w:r>
            <w:r>
              <w:rPr>
                <w:rFonts w:ascii="Times New Roman" w:hAnsi="Times New Roman"/>
                <w:b/>
                <w:color w:val="FFFFFF" w:themeColor="background1"/>
                <w:sz w:val="18"/>
                <w:szCs w:val="18"/>
                <w:lang w:val="en-US"/>
              </w:rPr>
              <w:t>Expenditure to Budget Ratio</w:t>
            </w:r>
          </w:p>
        </w:tc>
        <w:tc>
          <w:tcPr>
            <w:tcW w:w="2520" w:type="dxa"/>
            <w:gridSpan w:val="2"/>
            <w:tcBorders>
              <w:bottom w:val="single" w:sz="4" w:space="0" w:color="000000"/>
            </w:tcBorders>
            <w:shd w:val="clear" w:color="auto" w:fill="365F91" w:themeFill="accent1" w:themeFillShade="BF"/>
            <w:vAlign w:val="center"/>
          </w:tcPr>
          <w:p w14:paraId="4A8EB344" w14:textId="77777777" w:rsidR="000E4938" w:rsidRDefault="000E4938" w:rsidP="00255B74">
            <w:pPr>
              <w:pStyle w:val="ColorfulList-Accent11"/>
              <w:widowControl w:val="0"/>
              <w:spacing w:after="0" w:line="240" w:lineRule="auto"/>
              <w:ind w:left="-108" w:right="-108"/>
              <w:contextualSpacing w:val="0"/>
              <w:jc w:val="center"/>
              <w:rPr>
                <w:rFonts w:ascii="Times New Roman" w:hAnsi="Times New Roman"/>
                <w:b/>
                <w:color w:val="FFFFFF" w:themeColor="background1"/>
                <w:sz w:val="18"/>
                <w:szCs w:val="18"/>
                <w:lang w:val="en-US"/>
              </w:rPr>
            </w:pPr>
            <w:r>
              <w:rPr>
                <w:rFonts w:ascii="Times New Roman" w:hAnsi="Times New Roman"/>
                <w:b/>
                <w:color w:val="FFFFFF" w:themeColor="background1"/>
                <w:sz w:val="18"/>
                <w:szCs w:val="18"/>
                <w:lang w:val="en-US"/>
              </w:rPr>
              <w:t xml:space="preserve">Indicator Performance Against </w:t>
            </w:r>
          </w:p>
          <w:p w14:paraId="4FDA4B68" w14:textId="003030C8" w:rsidR="000E4938" w:rsidRPr="007930A9" w:rsidRDefault="00D3077E" w:rsidP="00D3077E">
            <w:pPr>
              <w:pStyle w:val="ColorfulList-Accent11"/>
              <w:widowControl w:val="0"/>
              <w:spacing w:after="0" w:line="240" w:lineRule="auto"/>
              <w:ind w:left="-108" w:right="-108"/>
              <w:contextualSpacing w:val="0"/>
              <w:jc w:val="center"/>
              <w:rPr>
                <w:rFonts w:ascii="Times New Roman" w:hAnsi="Times New Roman"/>
                <w:b/>
                <w:color w:val="FFFFFF" w:themeColor="background1"/>
                <w:sz w:val="18"/>
                <w:szCs w:val="18"/>
                <w:lang w:val="en-US"/>
              </w:rPr>
            </w:pPr>
            <w:r>
              <w:rPr>
                <w:rFonts w:ascii="Times New Roman" w:hAnsi="Times New Roman"/>
                <w:b/>
                <w:color w:val="FFFFFF" w:themeColor="background1"/>
                <w:sz w:val="18"/>
                <w:szCs w:val="18"/>
                <w:lang w:val="en-US"/>
              </w:rPr>
              <w:t>2014 Milestones</w:t>
            </w:r>
          </w:p>
        </w:tc>
      </w:tr>
      <w:tr w:rsidR="000E4938" w:rsidRPr="005F03B6" w14:paraId="47A9C397" w14:textId="77777777" w:rsidTr="00243D06">
        <w:trPr>
          <w:trHeight w:val="360"/>
        </w:trPr>
        <w:tc>
          <w:tcPr>
            <w:tcW w:w="450" w:type="dxa"/>
            <w:shd w:val="clear" w:color="auto" w:fill="95B3D7" w:themeFill="accent1" w:themeFillTint="99"/>
            <w:vAlign w:val="center"/>
          </w:tcPr>
          <w:p w14:paraId="00D5F77C" w14:textId="77777777" w:rsidR="000E4938" w:rsidRPr="007D083D" w:rsidRDefault="000E4938" w:rsidP="00255B74">
            <w:pPr>
              <w:pStyle w:val="ColorfulList-Accent11"/>
              <w:widowControl w:val="0"/>
              <w:tabs>
                <w:tab w:val="left" w:pos="450"/>
              </w:tabs>
              <w:spacing w:before="20" w:after="20" w:line="240" w:lineRule="auto"/>
              <w:ind w:left="-108" w:right="-108"/>
              <w:contextualSpacing w:val="0"/>
              <w:jc w:val="center"/>
              <w:rPr>
                <w:rFonts w:ascii="Times New Roman" w:hAnsi="Times New Roman"/>
                <w:b/>
                <w:sz w:val="18"/>
                <w:szCs w:val="18"/>
                <w:lang w:val="en-US"/>
              </w:rPr>
            </w:pPr>
            <w:r w:rsidRPr="007D083D">
              <w:rPr>
                <w:rFonts w:ascii="Times New Roman" w:hAnsi="Times New Roman"/>
                <w:b/>
                <w:sz w:val="18"/>
                <w:szCs w:val="18"/>
                <w:lang w:val="en-US"/>
              </w:rPr>
              <w:t>1</w:t>
            </w:r>
          </w:p>
        </w:tc>
        <w:tc>
          <w:tcPr>
            <w:tcW w:w="7285" w:type="dxa"/>
            <w:gridSpan w:val="2"/>
            <w:tcBorders>
              <w:right w:val="single" w:sz="4" w:space="0" w:color="95B3D7" w:themeColor="accent1" w:themeTint="99"/>
            </w:tcBorders>
            <w:shd w:val="clear" w:color="auto" w:fill="95B3D7" w:themeFill="accent1" w:themeFillTint="99"/>
            <w:vAlign w:val="center"/>
          </w:tcPr>
          <w:p w14:paraId="2B840852"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7D083D">
              <w:rPr>
                <w:rFonts w:ascii="Times New Roman" w:hAnsi="Times New Roman"/>
                <w:b/>
                <w:sz w:val="18"/>
                <w:szCs w:val="18"/>
                <w:lang w:val="en-US"/>
              </w:rPr>
              <w:t>Sustainable growth and development</w:t>
            </w:r>
          </w:p>
        </w:tc>
        <w:tc>
          <w:tcPr>
            <w:tcW w:w="3965" w:type="dxa"/>
            <w:gridSpan w:val="3"/>
            <w:tcBorders>
              <w:left w:val="single" w:sz="4" w:space="0" w:color="95B3D7" w:themeColor="accent1" w:themeTint="99"/>
            </w:tcBorders>
            <w:shd w:val="clear" w:color="auto" w:fill="95B3D7" w:themeFill="accent1" w:themeFillTint="99"/>
            <w:vAlign w:val="center"/>
          </w:tcPr>
          <w:p w14:paraId="033FF514" w14:textId="77777777" w:rsidR="000E4938" w:rsidRPr="000466FA" w:rsidRDefault="000E4938" w:rsidP="00255B74">
            <w:pPr>
              <w:spacing w:after="0" w:line="240" w:lineRule="auto"/>
              <w:jc w:val="right"/>
              <w:rPr>
                <w:rFonts w:ascii="Times New Roman" w:hAnsi="Times New Roman"/>
                <w:b/>
                <w:sz w:val="18"/>
                <w:szCs w:val="18"/>
              </w:rPr>
            </w:pPr>
          </w:p>
        </w:tc>
      </w:tr>
      <w:tr w:rsidR="00243D06" w:rsidRPr="005F03B6" w14:paraId="765C9110" w14:textId="77777777" w:rsidTr="00243D06">
        <w:trPr>
          <w:trHeight w:val="360"/>
        </w:trPr>
        <w:tc>
          <w:tcPr>
            <w:tcW w:w="450" w:type="dxa"/>
            <w:shd w:val="clear" w:color="auto" w:fill="auto"/>
            <w:vAlign w:val="center"/>
          </w:tcPr>
          <w:p w14:paraId="56C14658" w14:textId="77777777" w:rsidR="000E4938" w:rsidRPr="005F4D6B" w:rsidRDefault="000E4938" w:rsidP="00255B74">
            <w:pPr>
              <w:pStyle w:val="ColorfulList-Accent11"/>
              <w:widowControl w:val="0"/>
              <w:tabs>
                <w:tab w:val="left" w:pos="450"/>
              </w:tabs>
              <w:spacing w:before="20" w:after="20" w:line="240" w:lineRule="auto"/>
              <w:ind w:left="-108" w:right="-108"/>
              <w:contextualSpacing w:val="0"/>
              <w:jc w:val="center"/>
              <w:rPr>
                <w:rFonts w:ascii="Times New Roman" w:hAnsi="Times New Roman"/>
                <w:sz w:val="18"/>
                <w:szCs w:val="18"/>
                <w:lang w:val="en-US"/>
              </w:rPr>
            </w:pPr>
            <w:r>
              <w:rPr>
                <w:rFonts w:ascii="Times New Roman" w:hAnsi="Times New Roman"/>
                <w:sz w:val="18"/>
                <w:szCs w:val="18"/>
                <w:lang w:val="en-US"/>
              </w:rPr>
              <w:t>1.1</w:t>
            </w:r>
          </w:p>
        </w:tc>
        <w:tc>
          <w:tcPr>
            <w:tcW w:w="6840" w:type="dxa"/>
            <w:tcBorders>
              <w:right w:val="single" w:sz="4" w:space="0" w:color="auto"/>
            </w:tcBorders>
            <w:shd w:val="clear" w:color="auto" w:fill="auto"/>
            <w:vAlign w:val="center"/>
          </w:tcPr>
          <w:p w14:paraId="4FB485E5"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color w:val="000000"/>
                <w:sz w:val="18"/>
                <w:szCs w:val="18"/>
                <w:lang w:val="en-US"/>
              </w:rPr>
            </w:pPr>
            <w:r w:rsidRPr="005F03B6">
              <w:rPr>
                <w:rFonts w:ascii="Times New Roman" w:hAnsi="Times New Roman"/>
                <w:color w:val="000000"/>
                <w:sz w:val="18"/>
                <w:szCs w:val="18"/>
                <w:lang w:val="en-US"/>
              </w:rPr>
              <w:t>Structural transformation of productive capacities</w:t>
            </w:r>
          </w:p>
        </w:tc>
        <w:tc>
          <w:tcPr>
            <w:tcW w:w="1890" w:type="dxa"/>
            <w:gridSpan w:val="2"/>
            <w:vAlign w:val="center"/>
          </w:tcPr>
          <w:p w14:paraId="5B81798E" w14:textId="77777777" w:rsidR="000E4938"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90%</w:t>
            </w:r>
          </w:p>
        </w:tc>
        <w:tc>
          <w:tcPr>
            <w:tcW w:w="1710" w:type="dxa"/>
            <w:shd w:val="clear" w:color="auto" w:fill="DBE5F1" w:themeFill="accent1" w:themeFillTint="33"/>
            <w:vAlign w:val="center"/>
          </w:tcPr>
          <w:p w14:paraId="112134D9"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111%</w:t>
            </w:r>
          </w:p>
        </w:tc>
        <w:tc>
          <w:tcPr>
            <w:tcW w:w="810" w:type="dxa"/>
            <w:shd w:val="clear" w:color="auto" w:fill="auto"/>
            <w:vAlign w:val="center"/>
          </w:tcPr>
          <w:p w14:paraId="41F530C3"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3D0398">
              <w:rPr>
                <w:rFonts w:ascii="Times New Roman" w:hAnsi="Times New Roman"/>
                <w:b/>
                <w:noProof/>
                <w:sz w:val="18"/>
                <w:szCs w:val="18"/>
                <w:lang w:val="en-US"/>
              </w:rPr>
              <mc:AlternateContent>
                <mc:Choice Requires="wps">
                  <w:drawing>
                    <wp:inline distT="0" distB="0" distL="0" distR="0" wp14:anchorId="3A17FE95" wp14:editId="458E5ADE">
                      <wp:extent cx="172720" cy="172720"/>
                      <wp:effectExtent l="0" t="0" r="5080" b="5080"/>
                      <wp:docPr id="3" name="Oval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720" cy="172720"/>
                              </a:xfrm>
                              <a:prstGeom prst="ellipse">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9DB9095" id="Oval 75" o:spid="_x0000_s1026" style="width:13.6pt;height: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" fillcolor="#92d050" stroked="f" strokeweight="1pt">
                      <v:stroke joinstyle="miter"/>
                      <v:path arrowok="t"/>
                      <o:lock v:ext="edit" aspectratio="t"/>
                      <w10:anchorlock/>
                    </v:oval>
                  </w:pict>
                </mc:Fallback>
              </mc:AlternateContent>
            </w:r>
          </w:p>
        </w:tc>
      </w:tr>
      <w:tr w:rsidR="00243D06" w:rsidRPr="005F03B6" w14:paraId="4E40F7A2" w14:textId="77777777" w:rsidTr="00243D06">
        <w:trPr>
          <w:trHeight w:val="360"/>
        </w:trPr>
        <w:tc>
          <w:tcPr>
            <w:tcW w:w="450" w:type="dxa"/>
            <w:shd w:val="clear" w:color="auto" w:fill="auto"/>
            <w:vAlign w:val="center"/>
          </w:tcPr>
          <w:p w14:paraId="5836060D" w14:textId="77777777" w:rsidR="000E4938" w:rsidRPr="005F4D6B" w:rsidRDefault="000E4938" w:rsidP="00255B74">
            <w:pPr>
              <w:pStyle w:val="ColorfulList-Accent11"/>
              <w:widowControl w:val="0"/>
              <w:tabs>
                <w:tab w:val="left" w:pos="450"/>
              </w:tabs>
              <w:spacing w:before="20" w:after="20" w:line="240" w:lineRule="auto"/>
              <w:ind w:left="-108" w:right="-108"/>
              <w:contextualSpacing w:val="0"/>
              <w:jc w:val="center"/>
              <w:rPr>
                <w:rFonts w:ascii="Times New Roman" w:hAnsi="Times New Roman"/>
                <w:sz w:val="18"/>
                <w:szCs w:val="18"/>
                <w:lang w:val="en-US"/>
              </w:rPr>
            </w:pPr>
            <w:r>
              <w:rPr>
                <w:rFonts w:ascii="Times New Roman" w:hAnsi="Times New Roman"/>
                <w:sz w:val="18"/>
                <w:szCs w:val="18"/>
                <w:lang w:val="en-US"/>
              </w:rPr>
              <w:t>1.2</w:t>
            </w:r>
          </w:p>
        </w:tc>
        <w:tc>
          <w:tcPr>
            <w:tcW w:w="6840" w:type="dxa"/>
            <w:tcBorders>
              <w:right w:val="single" w:sz="4" w:space="0" w:color="auto"/>
            </w:tcBorders>
            <w:shd w:val="clear" w:color="auto" w:fill="auto"/>
            <w:vAlign w:val="center"/>
          </w:tcPr>
          <w:p w14:paraId="2B9308A6"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color w:val="000000"/>
                <w:sz w:val="18"/>
                <w:szCs w:val="18"/>
                <w:lang w:val="en-US"/>
              </w:rPr>
            </w:pPr>
            <w:r w:rsidRPr="005F03B6">
              <w:rPr>
                <w:rFonts w:ascii="Times New Roman" w:hAnsi="Times New Roman"/>
                <w:color w:val="000000"/>
                <w:sz w:val="18"/>
                <w:szCs w:val="18"/>
                <w:lang w:val="en-US"/>
              </w:rPr>
              <w:t>Social protection</w:t>
            </w:r>
          </w:p>
        </w:tc>
        <w:tc>
          <w:tcPr>
            <w:tcW w:w="1890" w:type="dxa"/>
            <w:gridSpan w:val="2"/>
            <w:vAlign w:val="center"/>
          </w:tcPr>
          <w:p w14:paraId="42BF9FAC" w14:textId="77777777" w:rsidR="000E4938"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80%</w:t>
            </w:r>
          </w:p>
        </w:tc>
        <w:tc>
          <w:tcPr>
            <w:tcW w:w="1710" w:type="dxa"/>
            <w:shd w:val="clear" w:color="auto" w:fill="DBE5F1" w:themeFill="accent1" w:themeFillTint="33"/>
            <w:vAlign w:val="center"/>
          </w:tcPr>
          <w:p w14:paraId="4C5D5B61"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60%</w:t>
            </w:r>
          </w:p>
        </w:tc>
        <w:tc>
          <w:tcPr>
            <w:tcW w:w="810" w:type="dxa"/>
            <w:shd w:val="clear" w:color="auto" w:fill="auto"/>
            <w:vAlign w:val="center"/>
          </w:tcPr>
          <w:p w14:paraId="34878689"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3D0398">
              <w:rPr>
                <w:rFonts w:ascii="Times New Roman" w:hAnsi="Times New Roman"/>
                <w:b/>
                <w:noProof/>
                <w:color w:val="FFFFFF" w:themeColor="background1"/>
                <w:sz w:val="18"/>
                <w:szCs w:val="18"/>
                <w:lang w:val="en-US"/>
              </w:rPr>
              <mc:AlternateContent>
                <mc:Choice Requires="wps">
                  <w:drawing>
                    <wp:inline distT="0" distB="0" distL="0" distR="0" wp14:anchorId="0140CE18" wp14:editId="2E2F2139">
                      <wp:extent cx="172085" cy="172085"/>
                      <wp:effectExtent l="0" t="0" r="5715" b="5715"/>
                      <wp:docPr id="12" name="Oval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085" cy="172085"/>
                              </a:xfrm>
                              <a:prstGeom prst="ellipse">
                                <a:avLst/>
                              </a:prstGeom>
                              <a:solidFill>
                                <a:srgbClr val="F5D80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BDFEFE7" id="Oval 12" o:spid="_x0000_s1026" style="width:13.55pt;height:1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" fillcolor="#f5d805" stroked="f" strokeweight="1pt">
                      <v:stroke joinstyle="miter"/>
                      <v:path arrowok="t"/>
                      <o:lock v:ext="edit" aspectratio="t"/>
                      <w10:anchorlock/>
                    </v:oval>
                  </w:pict>
                </mc:Fallback>
              </mc:AlternateContent>
            </w:r>
          </w:p>
        </w:tc>
      </w:tr>
      <w:tr w:rsidR="00243D06" w:rsidRPr="005F03B6" w14:paraId="3EF81D0E" w14:textId="77777777" w:rsidTr="00243D06">
        <w:trPr>
          <w:trHeight w:val="360"/>
        </w:trPr>
        <w:tc>
          <w:tcPr>
            <w:tcW w:w="450" w:type="dxa"/>
            <w:shd w:val="clear" w:color="auto" w:fill="auto"/>
            <w:vAlign w:val="center"/>
          </w:tcPr>
          <w:p w14:paraId="2D68CEBB" w14:textId="77777777" w:rsidR="000E4938" w:rsidRPr="005F4D6B" w:rsidRDefault="000E4938" w:rsidP="00255B74">
            <w:pPr>
              <w:pStyle w:val="ColorfulList-Accent11"/>
              <w:widowControl w:val="0"/>
              <w:tabs>
                <w:tab w:val="left" w:pos="450"/>
              </w:tabs>
              <w:spacing w:before="20" w:after="20" w:line="240" w:lineRule="auto"/>
              <w:ind w:left="-108" w:right="-108"/>
              <w:contextualSpacing w:val="0"/>
              <w:jc w:val="center"/>
              <w:rPr>
                <w:rFonts w:ascii="Times New Roman" w:hAnsi="Times New Roman"/>
                <w:sz w:val="18"/>
                <w:szCs w:val="18"/>
                <w:lang w:val="en-US"/>
              </w:rPr>
            </w:pPr>
            <w:r w:rsidRPr="005F4D6B">
              <w:rPr>
                <w:rFonts w:ascii="Times New Roman" w:hAnsi="Times New Roman"/>
                <w:sz w:val="18"/>
                <w:szCs w:val="18"/>
                <w:lang w:val="en-US"/>
              </w:rPr>
              <w:t>1.3</w:t>
            </w:r>
          </w:p>
        </w:tc>
        <w:tc>
          <w:tcPr>
            <w:tcW w:w="6840" w:type="dxa"/>
            <w:tcBorders>
              <w:right w:val="single" w:sz="4" w:space="0" w:color="auto"/>
            </w:tcBorders>
            <w:shd w:val="clear" w:color="auto" w:fill="auto"/>
            <w:vAlign w:val="center"/>
          </w:tcPr>
          <w:p w14:paraId="28CF9D59"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color w:val="000000"/>
                <w:sz w:val="18"/>
                <w:szCs w:val="18"/>
                <w:lang w:val="en-US"/>
              </w:rPr>
              <w:t>Sustainable management of natural resources, ecosystem services, chemicals and waste</w:t>
            </w:r>
          </w:p>
        </w:tc>
        <w:tc>
          <w:tcPr>
            <w:tcW w:w="1890" w:type="dxa"/>
            <w:gridSpan w:val="2"/>
            <w:vAlign w:val="center"/>
          </w:tcPr>
          <w:p w14:paraId="3FD428C3"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87%</w:t>
            </w:r>
          </w:p>
        </w:tc>
        <w:tc>
          <w:tcPr>
            <w:tcW w:w="1710" w:type="dxa"/>
            <w:shd w:val="clear" w:color="auto" w:fill="DBE5F1" w:themeFill="accent1" w:themeFillTint="33"/>
            <w:vAlign w:val="center"/>
          </w:tcPr>
          <w:p w14:paraId="492C9AFA"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5F03B6">
              <w:rPr>
                <w:rFonts w:ascii="Times New Roman" w:hAnsi="Times New Roman"/>
                <w:sz w:val="18"/>
                <w:szCs w:val="18"/>
                <w:lang w:val="en-US"/>
              </w:rPr>
              <w:t>7</w:t>
            </w:r>
            <w:r>
              <w:rPr>
                <w:rFonts w:ascii="Times New Roman" w:hAnsi="Times New Roman"/>
                <w:sz w:val="18"/>
                <w:szCs w:val="18"/>
                <w:lang w:val="en-US"/>
              </w:rPr>
              <w:t>5</w:t>
            </w:r>
            <w:r w:rsidRPr="005F03B6">
              <w:rPr>
                <w:rFonts w:ascii="Times New Roman" w:hAnsi="Times New Roman"/>
                <w:sz w:val="18"/>
                <w:szCs w:val="18"/>
                <w:lang w:val="en-US"/>
              </w:rPr>
              <w:t>%</w:t>
            </w:r>
          </w:p>
        </w:tc>
        <w:tc>
          <w:tcPr>
            <w:tcW w:w="810" w:type="dxa"/>
            <w:shd w:val="clear" w:color="auto" w:fill="auto"/>
            <w:vAlign w:val="center"/>
          </w:tcPr>
          <w:p w14:paraId="4F42565D"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3D0398">
              <w:rPr>
                <w:rFonts w:ascii="Times New Roman" w:hAnsi="Times New Roman"/>
                <w:b/>
                <w:noProof/>
                <w:color w:val="FFFFFF" w:themeColor="background1"/>
                <w:sz w:val="18"/>
                <w:szCs w:val="18"/>
                <w:lang w:val="en-US"/>
              </w:rPr>
              <mc:AlternateContent>
                <mc:Choice Requires="wps">
                  <w:drawing>
                    <wp:inline distT="0" distB="0" distL="0" distR="0" wp14:anchorId="611A4B84" wp14:editId="48CFFB0E">
                      <wp:extent cx="172085" cy="172085"/>
                      <wp:effectExtent l="0" t="0" r="5715" b="5715"/>
                      <wp:docPr id="14" name="Oval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085" cy="172085"/>
                              </a:xfrm>
                              <a:prstGeom prst="ellipse">
                                <a:avLst/>
                              </a:prstGeom>
                              <a:solidFill>
                                <a:srgbClr val="F5D80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4884F7B" id="Oval 14" o:spid="_x0000_s1026" style="width:13.55pt;height:1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" fillcolor="#f5d805" stroked="f" strokeweight="1pt">
                      <v:stroke joinstyle="miter"/>
                      <v:path arrowok="t"/>
                      <o:lock v:ext="edit" aspectratio="t"/>
                      <w10:anchorlock/>
                    </v:oval>
                  </w:pict>
                </mc:Fallback>
              </mc:AlternateContent>
            </w:r>
          </w:p>
        </w:tc>
      </w:tr>
      <w:tr w:rsidR="00243D06" w:rsidRPr="005F03B6" w14:paraId="4F8C730B" w14:textId="77777777" w:rsidTr="00243D06">
        <w:trPr>
          <w:trHeight w:val="360"/>
        </w:trPr>
        <w:tc>
          <w:tcPr>
            <w:tcW w:w="450" w:type="dxa"/>
            <w:shd w:val="clear" w:color="auto" w:fill="auto"/>
            <w:vAlign w:val="center"/>
          </w:tcPr>
          <w:p w14:paraId="4F7F71CF" w14:textId="77777777" w:rsidR="000E4938" w:rsidRPr="005F4D6B" w:rsidRDefault="000E4938" w:rsidP="00255B74">
            <w:pPr>
              <w:pStyle w:val="ColorfulList-Accent11"/>
              <w:widowControl w:val="0"/>
              <w:tabs>
                <w:tab w:val="left" w:pos="450"/>
              </w:tabs>
              <w:spacing w:before="20" w:after="20" w:line="240" w:lineRule="auto"/>
              <w:ind w:left="-108" w:right="-108"/>
              <w:contextualSpacing w:val="0"/>
              <w:jc w:val="center"/>
              <w:rPr>
                <w:rFonts w:ascii="Times New Roman" w:hAnsi="Times New Roman"/>
                <w:sz w:val="18"/>
                <w:szCs w:val="18"/>
                <w:lang w:val="en-US"/>
              </w:rPr>
            </w:pPr>
            <w:r w:rsidRPr="005F4D6B">
              <w:rPr>
                <w:rFonts w:ascii="Times New Roman" w:hAnsi="Times New Roman"/>
                <w:sz w:val="18"/>
                <w:szCs w:val="18"/>
                <w:lang w:val="en-US"/>
              </w:rPr>
              <w:t>1.4</w:t>
            </w:r>
          </w:p>
        </w:tc>
        <w:tc>
          <w:tcPr>
            <w:tcW w:w="6840" w:type="dxa"/>
            <w:tcBorders>
              <w:right w:val="single" w:sz="4" w:space="0" w:color="auto"/>
            </w:tcBorders>
            <w:shd w:val="clear" w:color="auto" w:fill="auto"/>
            <w:vAlign w:val="center"/>
          </w:tcPr>
          <w:p w14:paraId="673DF63A"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color w:val="000000"/>
                <w:sz w:val="18"/>
                <w:szCs w:val="18"/>
                <w:lang w:val="en-US"/>
              </w:rPr>
              <w:t>Climate change adaptation and mitigation</w:t>
            </w:r>
          </w:p>
        </w:tc>
        <w:tc>
          <w:tcPr>
            <w:tcW w:w="1890" w:type="dxa"/>
            <w:gridSpan w:val="2"/>
            <w:vAlign w:val="center"/>
          </w:tcPr>
          <w:p w14:paraId="4F1BFBB7"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84%</w:t>
            </w:r>
          </w:p>
        </w:tc>
        <w:tc>
          <w:tcPr>
            <w:tcW w:w="1710" w:type="dxa"/>
            <w:shd w:val="clear" w:color="auto" w:fill="DBE5F1" w:themeFill="accent1" w:themeFillTint="33"/>
            <w:vAlign w:val="center"/>
          </w:tcPr>
          <w:p w14:paraId="7F9483DA"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5F03B6">
              <w:rPr>
                <w:rFonts w:ascii="Times New Roman" w:hAnsi="Times New Roman"/>
                <w:sz w:val="18"/>
                <w:szCs w:val="18"/>
                <w:lang w:val="en-US"/>
              </w:rPr>
              <w:t>102%</w:t>
            </w:r>
          </w:p>
        </w:tc>
        <w:tc>
          <w:tcPr>
            <w:tcW w:w="810" w:type="dxa"/>
            <w:shd w:val="clear" w:color="auto" w:fill="auto"/>
            <w:vAlign w:val="center"/>
          </w:tcPr>
          <w:p w14:paraId="7F93435E"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3D0398">
              <w:rPr>
                <w:rFonts w:ascii="Times New Roman" w:hAnsi="Times New Roman"/>
                <w:b/>
                <w:noProof/>
                <w:sz w:val="18"/>
                <w:szCs w:val="18"/>
                <w:lang w:val="en-US"/>
              </w:rPr>
              <mc:AlternateContent>
                <mc:Choice Requires="wps">
                  <w:drawing>
                    <wp:inline distT="0" distB="0" distL="0" distR="0" wp14:anchorId="6DDF200D" wp14:editId="23DD7601">
                      <wp:extent cx="172720" cy="172720"/>
                      <wp:effectExtent l="0" t="0" r="5080" b="5080"/>
                      <wp:docPr id="17" name="Oval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720" cy="172720"/>
                              </a:xfrm>
                              <a:prstGeom prst="ellipse">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5135AB2" id="Oval 17" o:spid="_x0000_s1026" style="width:13.6pt;height: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" fillcolor="#92d050" stroked="f" strokeweight="1pt">
                      <v:stroke joinstyle="miter"/>
                      <v:path arrowok="t"/>
                      <o:lock v:ext="edit" aspectratio="t"/>
                      <w10:anchorlock/>
                    </v:oval>
                  </w:pict>
                </mc:Fallback>
              </mc:AlternateContent>
            </w:r>
          </w:p>
        </w:tc>
      </w:tr>
      <w:tr w:rsidR="00243D06" w:rsidRPr="005F03B6" w14:paraId="63B424AE" w14:textId="77777777" w:rsidTr="00243D06">
        <w:trPr>
          <w:trHeight w:val="360"/>
        </w:trPr>
        <w:tc>
          <w:tcPr>
            <w:tcW w:w="450" w:type="dxa"/>
            <w:shd w:val="clear" w:color="auto" w:fill="auto"/>
            <w:vAlign w:val="center"/>
          </w:tcPr>
          <w:p w14:paraId="5A265D9D" w14:textId="77777777" w:rsidR="000E4938" w:rsidRPr="005F4D6B" w:rsidRDefault="000E4938" w:rsidP="00255B74">
            <w:pPr>
              <w:pStyle w:val="ColorfulList-Accent11"/>
              <w:widowControl w:val="0"/>
              <w:tabs>
                <w:tab w:val="left" w:pos="450"/>
              </w:tabs>
              <w:spacing w:before="20" w:after="20" w:line="240" w:lineRule="auto"/>
              <w:ind w:left="-108" w:right="-108"/>
              <w:contextualSpacing w:val="0"/>
              <w:jc w:val="center"/>
              <w:rPr>
                <w:rFonts w:ascii="Times New Roman" w:hAnsi="Times New Roman"/>
                <w:sz w:val="18"/>
                <w:szCs w:val="18"/>
                <w:lang w:val="en-US"/>
              </w:rPr>
            </w:pPr>
            <w:r w:rsidRPr="005F4D6B">
              <w:rPr>
                <w:rFonts w:ascii="Times New Roman" w:hAnsi="Times New Roman"/>
                <w:sz w:val="18"/>
                <w:szCs w:val="18"/>
                <w:lang w:val="en-US"/>
              </w:rPr>
              <w:t>1.5</w:t>
            </w:r>
          </w:p>
        </w:tc>
        <w:tc>
          <w:tcPr>
            <w:tcW w:w="6840" w:type="dxa"/>
            <w:tcBorders>
              <w:right w:val="single" w:sz="4" w:space="0" w:color="auto"/>
            </w:tcBorders>
            <w:shd w:val="clear" w:color="auto" w:fill="auto"/>
            <w:vAlign w:val="center"/>
          </w:tcPr>
          <w:p w14:paraId="0CE22A1A"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color w:val="000000"/>
                <w:sz w:val="18"/>
                <w:szCs w:val="18"/>
                <w:lang w:val="en-US"/>
              </w:rPr>
              <w:t>Energy efficiency / universal modern energy access</w:t>
            </w:r>
          </w:p>
        </w:tc>
        <w:tc>
          <w:tcPr>
            <w:tcW w:w="1890" w:type="dxa"/>
            <w:gridSpan w:val="2"/>
            <w:tcBorders>
              <w:bottom w:val="single" w:sz="4" w:space="0" w:color="000000"/>
            </w:tcBorders>
            <w:vAlign w:val="center"/>
          </w:tcPr>
          <w:p w14:paraId="5B75E7A8"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86%</w:t>
            </w:r>
          </w:p>
        </w:tc>
        <w:tc>
          <w:tcPr>
            <w:tcW w:w="1710" w:type="dxa"/>
            <w:tcBorders>
              <w:bottom w:val="single" w:sz="4" w:space="0" w:color="000000"/>
            </w:tcBorders>
            <w:shd w:val="clear" w:color="auto" w:fill="DBE5F1" w:themeFill="accent1" w:themeFillTint="33"/>
            <w:vAlign w:val="center"/>
          </w:tcPr>
          <w:p w14:paraId="55450B6B"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5F03B6">
              <w:rPr>
                <w:rFonts w:ascii="Times New Roman" w:hAnsi="Times New Roman"/>
                <w:sz w:val="18"/>
                <w:szCs w:val="18"/>
                <w:lang w:val="en-US"/>
              </w:rPr>
              <w:t>110%</w:t>
            </w:r>
          </w:p>
        </w:tc>
        <w:tc>
          <w:tcPr>
            <w:tcW w:w="810" w:type="dxa"/>
            <w:shd w:val="clear" w:color="auto" w:fill="auto"/>
            <w:vAlign w:val="center"/>
          </w:tcPr>
          <w:p w14:paraId="54D3FD95"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3D0398">
              <w:rPr>
                <w:rFonts w:ascii="Times New Roman" w:hAnsi="Times New Roman"/>
                <w:b/>
                <w:noProof/>
                <w:sz w:val="18"/>
                <w:szCs w:val="18"/>
                <w:lang w:val="en-US"/>
              </w:rPr>
              <mc:AlternateContent>
                <mc:Choice Requires="wps">
                  <w:drawing>
                    <wp:inline distT="0" distB="0" distL="0" distR="0" wp14:anchorId="0204D1C5" wp14:editId="0DF01809">
                      <wp:extent cx="172720" cy="172720"/>
                      <wp:effectExtent l="0" t="0" r="5080" b="5080"/>
                      <wp:docPr id="18" name="Oval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720" cy="172720"/>
                              </a:xfrm>
                              <a:prstGeom prst="ellipse">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8AB92A0" id="Oval 76" o:spid="_x0000_s1026" style="width:13.6pt;height: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" fillcolor="#92d050" stroked="f" strokeweight="1pt">
                      <v:stroke joinstyle="miter"/>
                      <v:path arrowok="t"/>
                      <o:lock v:ext="edit" aspectratio="t"/>
                      <w10:anchorlock/>
                    </v:oval>
                  </w:pict>
                </mc:Fallback>
              </mc:AlternateContent>
            </w:r>
          </w:p>
        </w:tc>
      </w:tr>
      <w:tr w:rsidR="000E4938" w:rsidRPr="005F03B6" w14:paraId="5392CBB1" w14:textId="77777777" w:rsidTr="00243D06">
        <w:trPr>
          <w:trHeight w:val="360"/>
        </w:trPr>
        <w:tc>
          <w:tcPr>
            <w:tcW w:w="450" w:type="dxa"/>
            <w:shd w:val="clear" w:color="auto" w:fill="95B3D7" w:themeFill="accent1" w:themeFillTint="99"/>
            <w:vAlign w:val="center"/>
          </w:tcPr>
          <w:p w14:paraId="10F0021A" w14:textId="77777777" w:rsidR="000E4938" w:rsidRPr="007D083D" w:rsidRDefault="000E4938" w:rsidP="00255B74">
            <w:pPr>
              <w:pStyle w:val="ColorfulList-Accent11"/>
              <w:widowControl w:val="0"/>
              <w:tabs>
                <w:tab w:val="left" w:pos="450"/>
              </w:tabs>
              <w:spacing w:before="20" w:after="20" w:line="240" w:lineRule="auto"/>
              <w:ind w:left="-108" w:right="-108"/>
              <w:contextualSpacing w:val="0"/>
              <w:jc w:val="center"/>
              <w:rPr>
                <w:rFonts w:ascii="Times New Roman" w:hAnsi="Times New Roman"/>
                <w:b/>
                <w:sz w:val="18"/>
                <w:szCs w:val="18"/>
                <w:lang w:val="en-US"/>
              </w:rPr>
            </w:pPr>
            <w:r>
              <w:rPr>
                <w:rFonts w:ascii="Times New Roman" w:hAnsi="Times New Roman"/>
                <w:b/>
                <w:sz w:val="18"/>
                <w:szCs w:val="18"/>
                <w:lang w:val="en-US"/>
              </w:rPr>
              <w:t>2</w:t>
            </w:r>
          </w:p>
        </w:tc>
        <w:tc>
          <w:tcPr>
            <w:tcW w:w="10440" w:type="dxa"/>
            <w:gridSpan w:val="4"/>
            <w:tcBorders>
              <w:right w:val="single" w:sz="4" w:space="0" w:color="95B3D7" w:themeColor="accent1" w:themeTint="99"/>
            </w:tcBorders>
            <w:shd w:val="clear" w:color="auto" w:fill="95B3D7" w:themeFill="accent1" w:themeFillTint="99"/>
            <w:vAlign w:val="center"/>
          </w:tcPr>
          <w:p w14:paraId="628D5F95"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b/>
                <w:sz w:val="18"/>
                <w:szCs w:val="18"/>
                <w:lang w:val="en-US"/>
              </w:rPr>
              <w:t>Citizen voice, rule of law, accountability and democratic governance</w:t>
            </w:r>
          </w:p>
        </w:tc>
        <w:tc>
          <w:tcPr>
            <w:tcW w:w="810" w:type="dxa"/>
            <w:tcBorders>
              <w:left w:val="single" w:sz="4" w:space="0" w:color="95B3D7" w:themeColor="accent1" w:themeTint="99"/>
            </w:tcBorders>
            <w:shd w:val="clear" w:color="auto" w:fill="95B3D7" w:themeFill="accent1" w:themeFillTint="99"/>
            <w:vAlign w:val="center"/>
          </w:tcPr>
          <w:p w14:paraId="6498C38C" w14:textId="77777777" w:rsidR="000E4938" w:rsidRPr="000466FA" w:rsidRDefault="000E4938" w:rsidP="00255B74">
            <w:pPr>
              <w:spacing w:after="0" w:line="240" w:lineRule="auto"/>
              <w:jc w:val="right"/>
              <w:rPr>
                <w:rFonts w:ascii="Times New Roman" w:hAnsi="Times New Roman"/>
                <w:b/>
                <w:sz w:val="18"/>
                <w:szCs w:val="18"/>
              </w:rPr>
            </w:pPr>
          </w:p>
        </w:tc>
      </w:tr>
      <w:tr w:rsidR="00243D06" w:rsidRPr="005F03B6" w14:paraId="24487E6C" w14:textId="77777777" w:rsidTr="00243D06">
        <w:trPr>
          <w:trHeight w:hRule="exact" w:val="360"/>
        </w:trPr>
        <w:tc>
          <w:tcPr>
            <w:tcW w:w="450" w:type="dxa"/>
            <w:shd w:val="clear" w:color="auto" w:fill="auto"/>
            <w:vAlign w:val="center"/>
          </w:tcPr>
          <w:p w14:paraId="419D2C7A" w14:textId="77777777" w:rsidR="000E4938" w:rsidRPr="005F4D6B" w:rsidRDefault="000E4938" w:rsidP="00255B74">
            <w:pPr>
              <w:pStyle w:val="ColorfulList-Accent11"/>
              <w:widowControl w:val="0"/>
              <w:tabs>
                <w:tab w:val="left" w:pos="450"/>
              </w:tabs>
              <w:spacing w:before="20" w:after="20" w:line="240" w:lineRule="auto"/>
              <w:ind w:left="-108" w:right="-108"/>
              <w:contextualSpacing w:val="0"/>
              <w:jc w:val="center"/>
              <w:rPr>
                <w:rFonts w:ascii="Times New Roman" w:hAnsi="Times New Roman"/>
                <w:sz w:val="18"/>
                <w:szCs w:val="18"/>
                <w:lang w:val="en-US"/>
              </w:rPr>
            </w:pPr>
            <w:r w:rsidRPr="005F4D6B">
              <w:rPr>
                <w:rFonts w:ascii="Times New Roman" w:hAnsi="Times New Roman"/>
                <w:sz w:val="18"/>
                <w:szCs w:val="18"/>
                <w:lang w:val="en-US"/>
              </w:rPr>
              <w:t>2.1</w:t>
            </w:r>
          </w:p>
        </w:tc>
        <w:tc>
          <w:tcPr>
            <w:tcW w:w="6840" w:type="dxa"/>
            <w:tcBorders>
              <w:right w:val="single" w:sz="4" w:space="0" w:color="auto"/>
            </w:tcBorders>
            <w:shd w:val="clear" w:color="auto" w:fill="auto"/>
            <w:vAlign w:val="center"/>
          </w:tcPr>
          <w:p w14:paraId="45C022BB"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color w:val="000000"/>
                <w:sz w:val="18"/>
                <w:szCs w:val="18"/>
                <w:lang w:val="en-US"/>
              </w:rPr>
              <w:t>Parliaments, constitution</w:t>
            </w:r>
            <w:r>
              <w:rPr>
                <w:rFonts w:ascii="Times New Roman" w:hAnsi="Times New Roman"/>
                <w:color w:val="000000"/>
                <w:sz w:val="18"/>
                <w:szCs w:val="18"/>
                <w:lang w:val="en-US"/>
              </w:rPr>
              <w:t>-</w:t>
            </w:r>
            <w:r w:rsidRPr="005F03B6">
              <w:rPr>
                <w:rFonts w:ascii="Times New Roman" w:hAnsi="Times New Roman"/>
                <w:color w:val="000000"/>
                <w:sz w:val="18"/>
                <w:szCs w:val="18"/>
                <w:lang w:val="en-US"/>
              </w:rPr>
              <w:t>making bodies and electoral institutions</w:t>
            </w:r>
          </w:p>
        </w:tc>
        <w:tc>
          <w:tcPr>
            <w:tcW w:w="1890" w:type="dxa"/>
            <w:gridSpan w:val="2"/>
            <w:vAlign w:val="center"/>
          </w:tcPr>
          <w:p w14:paraId="770134AD"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88%</w:t>
            </w:r>
          </w:p>
        </w:tc>
        <w:tc>
          <w:tcPr>
            <w:tcW w:w="1710" w:type="dxa"/>
            <w:shd w:val="clear" w:color="auto" w:fill="DBE5F1" w:themeFill="accent1" w:themeFillTint="33"/>
            <w:vAlign w:val="center"/>
          </w:tcPr>
          <w:p w14:paraId="044EBB66"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5F03B6">
              <w:rPr>
                <w:rFonts w:ascii="Times New Roman" w:hAnsi="Times New Roman"/>
                <w:sz w:val="18"/>
                <w:szCs w:val="18"/>
                <w:lang w:val="en-US"/>
              </w:rPr>
              <w:t>11</w:t>
            </w:r>
            <w:r>
              <w:rPr>
                <w:rFonts w:ascii="Times New Roman" w:hAnsi="Times New Roman"/>
                <w:sz w:val="18"/>
                <w:szCs w:val="18"/>
                <w:lang w:val="en-US"/>
              </w:rPr>
              <w:t>7</w:t>
            </w:r>
            <w:r w:rsidRPr="005F03B6">
              <w:rPr>
                <w:rFonts w:ascii="Times New Roman" w:hAnsi="Times New Roman"/>
                <w:sz w:val="18"/>
                <w:szCs w:val="18"/>
                <w:lang w:val="en-US"/>
              </w:rPr>
              <w:t>%</w:t>
            </w:r>
          </w:p>
        </w:tc>
        <w:tc>
          <w:tcPr>
            <w:tcW w:w="810" w:type="dxa"/>
            <w:shd w:val="clear" w:color="auto" w:fill="auto"/>
            <w:vAlign w:val="center"/>
          </w:tcPr>
          <w:p w14:paraId="5B77F6EB"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3D0398">
              <w:rPr>
                <w:rFonts w:ascii="Times New Roman" w:hAnsi="Times New Roman"/>
                <w:b/>
                <w:noProof/>
                <w:sz w:val="18"/>
                <w:szCs w:val="18"/>
                <w:lang w:val="en-US"/>
              </w:rPr>
              <mc:AlternateContent>
                <mc:Choice Requires="wps">
                  <w:drawing>
                    <wp:inline distT="0" distB="0" distL="0" distR="0" wp14:anchorId="4ED6BDDB" wp14:editId="1F3E47F6">
                      <wp:extent cx="172720" cy="172720"/>
                      <wp:effectExtent l="0" t="0" r="5080" b="5080"/>
                      <wp:docPr id="19" name="Oval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720" cy="172720"/>
                              </a:xfrm>
                              <a:prstGeom prst="ellipse">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70D6DC6" id="Oval 19" o:spid="_x0000_s1026" style="width:13.6pt;height: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" fillcolor="#92d050" stroked="f" strokeweight="1pt">
                      <v:stroke joinstyle="miter"/>
                      <v:path arrowok="t"/>
                      <o:lock v:ext="edit" aspectratio="t"/>
                      <w10:anchorlock/>
                    </v:oval>
                  </w:pict>
                </mc:Fallback>
              </mc:AlternateContent>
            </w:r>
          </w:p>
        </w:tc>
      </w:tr>
      <w:tr w:rsidR="00243D06" w:rsidRPr="005F03B6" w14:paraId="79C9E39D" w14:textId="77777777" w:rsidTr="00243D06">
        <w:trPr>
          <w:trHeight w:hRule="exact" w:val="360"/>
        </w:trPr>
        <w:tc>
          <w:tcPr>
            <w:tcW w:w="450" w:type="dxa"/>
            <w:shd w:val="clear" w:color="auto" w:fill="auto"/>
            <w:vAlign w:val="center"/>
          </w:tcPr>
          <w:p w14:paraId="0C26C20A" w14:textId="77777777" w:rsidR="000E4938" w:rsidRPr="005F4D6B" w:rsidRDefault="000E4938" w:rsidP="00255B74">
            <w:pPr>
              <w:pStyle w:val="ColorfulList-Accent11"/>
              <w:widowControl w:val="0"/>
              <w:tabs>
                <w:tab w:val="left" w:pos="450"/>
              </w:tabs>
              <w:spacing w:before="20" w:after="20" w:line="240" w:lineRule="auto"/>
              <w:ind w:left="-108" w:right="-108"/>
              <w:contextualSpacing w:val="0"/>
              <w:jc w:val="center"/>
              <w:rPr>
                <w:rFonts w:ascii="Times New Roman" w:hAnsi="Times New Roman"/>
                <w:sz w:val="18"/>
                <w:szCs w:val="18"/>
                <w:lang w:val="en-US"/>
              </w:rPr>
            </w:pPr>
            <w:r w:rsidRPr="005F4D6B">
              <w:rPr>
                <w:rFonts w:ascii="Times New Roman" w:hAnsi="Times New Roman"/>
                <w:sz w:val="18"/>
                <w:szCs w:val="18"/>
                <w:lang w:val="en-US"/>
              </w:rPr>
              <w:t>2.2</w:t>
            </w:r>
          </w:p>
        </w:tc>
        <w:tc>
          <w:tcPr>
            <w:tcW w:w="6840" w:type="dxa"/>
            <w:tcBorders>
              <w:right w:val="single" w:sz="4" w:space="0" w:color="auto"/>
            </w:tcBorders>
            <w:shd w:val="clear" w:color="auto" w:fill="auto"/>
            <w:vAlign w:val="center"/>
          </w:tcPr>
          <w:p w14:paraId="45EEB414"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color w:val="000000"/>
                <w:sz w:val="18"/>
                <w:szCs w:val="18"/>
                <w:lang w:val="en-US"/>
              </w:rPr>
              <w:t>Anti-corruption awareness, prevention and enforcement measure</w:t>
            </w:r>
            <w:r>
              <w:rPr>
                <w:rFonts w:ascii="Times New Roman" w:hAnsi="Times New Roman"/>
                <w:color w:val="000000"/>
                <w:sz w:val="18"/>
                <w:szCs w:val="18"/>
                <w:lang w:val="en-US"/>
              </w:rPr>
              <w:t>s</w:t>
            </w:r>
          </w:p>
        </w:tc>
        <w:tc>
          <w:tcPr>
            <w:tcW w:w="1890" w:type="dxa"/>
            <w:gridSpan w:val="2"/>
            <w:vAlign w:val="center"/>
          </w:tcPr>
          <w:p w14:paraId="717F30D0"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85%</w:t>
            </w:r>
          </w:p>
        </w:tc>
        <w:tc>
          <w:tcPr>
            <w:tcW w:w="1710" w:type="dxa"/>
            <w:shd w:val="clear" w:color="auto" w:fill="DBE5F1" w:themeFill="accent1" w:themeFillTint="33"/>
            <w:vAlign w:val="center"/>
          </w:tcPr>
          <w:p w14:paraId="37809BB1"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5F03B6">
              <w:rPr>
                <w:rFonts w:ascii="Times New Roman" w:hAnsi="Times New Roman"/>
                <w:sz w:val="18"/>
                <w:szCs w:val="18"/>
                <w:lang w:val="en-US"/>
              </w:rPr>
              <w:t>80%</w:t>
            </w:r>
          </w:p>
        </w:tc>
        <w:tc>
          <w:tcPr>
            <w:tcW w:w="810" w:type="dxa"/>
            <w:shd w:val="clear" w:color="auto" w:fill="auto"/>
            <w:vAlign w:val="center"/>
          </w:tcPr>
          <w:p w14:paraId="5BE1A027"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3D0398">
              <w:rPr>
                <w:rFonts w:ascii="Times New Roman" w:hAnsi="Times New Roman"/>
                <w:b/>
                <w:noProof/>
                <w:color w:val="FFFFFF" w:themeColor="background1"/>
                <w:sz w:val="18"/>
                <w:szCs w:val="18"/>
                <w:lang w:val="en-US"/>
              </w:rPr>
              <mc:AlternateContent>
                <mc:Choice Requires="wps">
                  <w:drawing>
                    <wp:inline distT="0" distB="0" distL="0" distR="0" wp14:anchorId="335B7432" wp14:editId="5685751C">
                      <wp:extent cx="172085" cy="172085"/>
                      <wp:effectExtent l="0" t="0" r="5715" b="5715"/>
                      <wp:docPr id="20" name="Oval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085" cy="172085"/>
                              </a:xfrm>
                              <a:prstGeom prst="ellipse">
                                <a:avLst/>
                              </a:prstGeom>
                              <a:solidFill>
                                <a:srgbClr val="F5D80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C63FFED" id="Oval 20" o:spid="_x0000_s1026" style="width:13.55pt;height:1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" fillcolor="#f5d805" stroked="f" strokeweight="1pt">
                      <v:stroke joinstyle="miter"/>
                      <v:path arrowok="t"/>
                      <o:lock v:ext="edit" aspectratio="t"/>
                      <w10:anchorlock/>
                    </v:oval>
                  </w:pict>
                </mc:Fallback>
              </mc:AlternateContent>
            </w:r>
          </w:p>
        </w:tc>
      </w:tr>
      <w:tr w:rsidR="00243D06" w:rsidRPr="005F03B6" w14:paraId="40E1661C" w14:textId="77777777" w:rsidTr="00243D06">
        <w:trPr>
          <w:trHeight w:hRule="exact" w:val="360"/>
        </w:trPr>
        <w:tc>
          <w:tcPr>
            <w:tcW w:w="450" w:type="dxa"/>
            <w:shd w:val="clear" w:color="auto" w:fill="auto"/>
            <w:vAlign w:val="center"/>
          </w:tcPr>
          <w:p w14:paraId="512DEA02" w14:textId="77777777" w:rsidR="000E4938" w:rsidRPr="005F4D6B" w:rsidRDefault="000E4938" w:rsidP="00255B74">
            <w:pPr>
              <w:pStyle w:val="ColorfulList-Accent11"/>
              <w:widowControl w:val="0"/>
              <w:tabs>
                <w:tab w:val="left" w:pos="450"/>
              </w:tabs>
              <w:spacing w:before="20" w:after="20" w:line="240" w:lineRule="auto"/>
              <w:ind w:left="-108" w:right="-108"/>
              <w:contextualSpacing w:val="0"/>
              <w:jc w:val="center"/>
              <w:rPr>
                <w:rFonts w:ascii="Times New Roman" w:hAnsi="Times New Roman"/>
                <w:sz w:val="18"/>
                <w:szCs w:val="18"/>
                <w:lang w:val="en-US"/>
              </w:rPr>
            </w:pPr>
            <w:r w:rsidRPr="005F4D6B">
              <w:rPr>
                <w:rFonts w:ascii="Times New Roman" w:hAnsi="Times New Roman"/>
                <w:sz w:val="18"/>
                <w:szCs w:val="18"/>
                <w:lang w:val="en-US"/>
              </w:rPr>
              <w:t>2.3</w:t>
            </w:r>
          </w:p>
        </w:tc>
        <w:tc>
          <w:tcPr>
            <w:tcW w:w="6840" w:type="dxa"/>
            <w:tcBorders>
              <w:right w:val="single" w:sz="4" w:space="0" w:color="auto"/>
            </w:tcBorders>
            <w:shd w:val="clear" w:color="auto" w:fill="auto"/>
            <w:vAlign w:val="center"/>
          </w:tcPr>
          <w:p w14:paraId="69771ED3"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color w:val="000000"/>
                <w:sz w:val="18"/>
                <w:szCs w:val="18"/>
                <w:lang w:val="en-US"/>
              </w:rPr>
              <w:t>Capacities of human rights institutions</w:t>
            </w:r>
          </w:p>
        </w:tc>
        <w:tc>
          <w:tcPr>
            <w:tcW w:w="1890" w:type="dxa"/>
            <w:gridSpan w:val="2"/>
            <w:vAlign w:val="center"/>
          </w:tcPr>
          <w:p w14:paraId="19E6652A"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81%</w:t>
            </w:r>
          </w:p>
        </w:tc>
        <w:tc>
          <w:tcPr>
            <w:tcW w:w="1710" w:type="dxa"/>
            <w:shd w:val="clear" w:color="auto" w:fill="DBE5F1" w:themeFill="accent1" w:themeFillTint="33"/>
            <w:vAlign w:val="center"/>
          </w:tcPr>
          <w:p w14:paraId="36C3ADF0"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5F03B6">
              <w:rPr>
                <w:rFonts w:ascii="Times New Roman" w:hAnsi="Times New Roman"/>
                <w:sz w:val="18"/>
                <w:szCs w:val="18"/>
                <w:lang w:val="en-US"/>
              </w:rPr>
              <w:t>105%</w:t>
            </w:r>
          </w:p>
        </w:tc>
        <w:tc>
          <w:tcPr>
            <w:tcW w:w="810" w:type="dxa"/>
            <w:shd w:val="clear" w:color="auto" w:fill="auto"/>
            <w:vAlign w:val="center"/>
          </w:tcPr>
          <w:p w14:paraId="0BF49413"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3D0398">
              <w:rPr>
                <w:rFonts w:ascii="Times New Roman" w:hAnsi="Times New Roman"/>
                <w:b/>
                <w:noProof/>
                <w:sz w:val="18"/>
                <w:szCs w:val="18"/>
                <w:lang w:val="en-US"/>
              </w:rPr>
              <mc:AlternateContent>
                <mc:Choice Requires="wps">
                  <w:drawing>
                    <wp:inline distT="0" distB="0" distL="0" distR="0" wp14:anchorId="58EA8FEF" wp14:editId="39A098B8">
                      <wp:extent cx="172720" cy="172720"/>
                      <wp:effectExtent l="0" t="0" r="5080" b="5080"/>
                      <wp:docPr id="22" name="Oval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720" cy="172720"/>
                              </a:xfrm>
                              <a:prstGeom prst="ellipse">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0D497D3" id="Oval 22" o:spid="_x0000_s1026" style="width:13.6pt;height: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" fillcolor="#92d050" stroked="f" strokeweight="1pt">
                      <v:stroke joinstyle="miter"/>
                      <v:path arrowok="t"/>
                      <o:lock v:ext="edit" aspectratio="t"/>
                      <w10:anchorlock/>
                    </v:oval>
                  </w:pict>
                </mc:Fallback>
              </mc:AlternateContent>
            </w:r>
          </w:p>
        </w:tc>
      </w:tr>
      <w:tr w:rsidR="00243D06" w:rsidRPr="005F03B6" w14:paraId="0F095E84" w14:textId="77777777" w:rsidTr="00243D06">
        <w:trPr>
          <w:trHeight w:hRule="exact" w:val="360"/>
        </w:trPr>
        <w:tc>
          <w:tcPr>
            <w:tcW w:w="450" w:type="dxa"/>
            <w:shd w:val="clear" w:color="auto" w:fill="auto"/>
            <w:vAlign w:val="center"/>
          </w:tcPr>
          <w:p w14:paraId="22170568" w14:textId="77777777" w:rsidR="000E4938" w:rsidRPr="005F4D6B" w:rsidRDefault="000E4938" w:rsidP="00255B74">
            <w:pPr>
              <w:pStyle w:val="ColorfulList-Accent11"/>
              <w:widowControl w:val="0"/>
              <w:tabs>
                <w:tab w:val="left" w:pos="450"/>
              </w:tabs>
              <w:spacing w:before="20" w:after="20" w:line="240" w:lineRule="auto"/>
              <w:ind w:left="-108" w:right="-108"/>
              <w:contextualSpacing w:val="0"/>
              <w:jc w:val="center"/>
              <w:rPr>
                <w:rFonts w:ascii="Times New Roman" w:hAnsi="Times New Roman"/>
                <w:sz w:val="18"/>
                <w:szCs w:val="18"/>
                <w:lang w:val="en-US"/>
              </w:rPr>
            </w:pPr>
            <w:r w:rsidRPr="005F4D6B">
              <w:rPr>
                <w:rFonts w:ascii="Times New Roman" w:hAnsi="Times New Roman"/>
                <w:sz w:val="18"/>
                <w:szCs w:val="18"/>
                <w:lang w:val="en-US"/>
              </w:rPr>
              <w:t>2.4</w:t>
            </w:r>
          </w:p>
        </w:tc>
        <w:tc>
          <w:tcPr>
            <w:tcW w:w="6840" w:type="dxa"/>
            <w:tcBorders>
              <w:right w:val="single" w:sz="4" w:space="0" w:color="auto"/>
            </w:tcBorders>
            <w:shd w:val="clear" w:color="auto" w:fill="auto"/>
            <w:vAlign w:val="center"/>
          </w:tcPr>
          <w:p w14:paraId="68373A53"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color w:val="000000"/>
                <w:sz w:val="18"/>
                <w:szCs w:val="18"/>
                <w:lang w:val="en-US"/>
              </w:rPr>
              <w:t>Civil society engagement in national development</w:t>
            </w:r>
          </w:p>
        </w:tc>
        <w:tc>
          <w:tcPr>
            <w:tcW w:w="1890" w:type="dxa"/>
            <w:gridSpan w:val="2"/>
            <w:vAlign w:val="center"/>
          </w:tcPr>
          <w:p w14:paraId="29C5704C" w14:textId="77777777" w:rsidR="000E4938"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86%</w:t>
            </w:r>
          </w:p>
        </w:tc>
        <w:tc>
          <w:tcPr>
            <w:tcW w:w="1710" w:type="dxa"/>
            <w:shd w:val="clear" w:color="auto" w:fill="DBE5F1" w:themeFill="accent1" w:themeFillTint="33"/>
            <w:vAlign w:val="center"/>
          </w:tcPr>
          <w:p w14:paraId="1671EDE7"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72</w:t>
            </w:r>
            <w:r w:rsidRPr="005F03B6">
              <w:rPr>
                <w:rFonts w:ascii="Times New Roman" w:hAnsi="Times New Roman"/>
                <w:sz w:val="18"/>
                <w:szCs w:val="18"/>
                <w:lang w:val="en-US"/>
              </w:rPr>
              <w:t>%</w:t>
            </w:r>
          </w:p>
        </w:tc>
        <w:tc>
          <w:tcPr>
            <w:tcW w:w="810" w:type="dxa"/>
            <w:shd w:val="clear" w:color="auto" w:fill="auto"/>
            <w:vAlign w:val="center"/>
          </w:tcPr>
          <w:p w14:paraId="2BC065AD"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3D0398">
              <w:rPr>
                <w:rFonts w:ascii="Times New Roman" w:hAnsi="Times New Roman"/>
                <w:b/>
                <w:noProof/>
                <w:color w:val="FFFFFF" w:themeColor="background1"/>
                <w:sz w:val="18"/>
                <w:szCs w:val="18"/>
                <w:lang w:val="en-US"/>
              </w:rPr>
              <mc:AlternateContent>
                <mc:Choice Requires="wps">
                  <w:drawing>
                    <wp:inline distT="0" distB="0" distL="0" distR="0" wp14:anchorId="610F9CF7" wp14:editId="2F058C91">
                      <wp:extent cx="172085" cy="172085"/>
                      <wp:effectExtent l="0" t="0" r="5715" b="5715"/>
                      <wp:docPr id="23" name="Oval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085" cy="172085"/>
                              </a:xfrm>
                              <a:prstGeom prst="ellipse">
                                <a:avLst/>
                              </a:prstGeom>
                              <a:solidFill>
                                <a:srgbClr val="F5D80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87BEA4F" id="Oval 23" o:spid="_x0000_s1026" style="width:13.55pt;height:1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" fillcolor="#f5d805" stroked="f" strokeweight="1pt">
                      <v:stroke joinstyle="miter"/>
                      <v:path arrowok="t"/>
                      <o:lock v:ext="edit" aspectratio="t"/>
                      <w10:anchorlock/>
                    </v:oval>
                  </w:pict>
                </mc:Fallback>
              </mc:AlternateContent>
            </w:r>
          </w:p>
        </w:tc>
      </w:tr>
      <w:tr w:rsidR="00243D06" w:rsidRPr="005F03B6" w14:paraId="3B7ED4BD" w14:textId="77777777" w:rsidTr="00243D06">
        <w:trPr>
          <w:trHeight w:hRule="exact" w:val="360"/>
        </w:trPr>
        <w:tc>
          <w:tcPr>
            <w:tcW w:w="450" w:type="dxa"/>
            <w:shd w:val="clear" w:color="auto" w:fill="auto"/>
            <w:vAlign w:val="center"/>
          </w:tcPr>
          <w:p w14:paraId="757B980F" w14:textId="77777777" w:rsidR="000E4938" w:rsidRPr="005F4D6B" w:rsidRDefault="000E4938" w:rsidP="00255B74">
            <w:pPr>
              <w:pStyle w:val="ColorfulList-Accent11"/>
              <w:widowControl w:val="0"/>
              <w:tabs>
                <w:tab w:val="left" w:pos="450"/>
              </w:tabs>
              <w:spacing w:before="20" w:after="20" w:line="240" w:lineRule="auto"/>
              <w:ind w:left="-108" w:right="-108"/>
              <w:contextualSpacing w:val="0"/>
              <w:jc w:val="center"/>
              <w:rPr>
                <w:rFonts w:ascii="Times New Roman" w:hAnsi="Times New Roman"/>
                <w:sz w:val="18"/>
                <w:szCs w:val="18"/>
                <w:lang w:val="en-US"/>
              </w:rPr>
            </w:pPr>
            <w:r w:rsidRPr="005F4D6B">
              <w:rPr>
                <w:rFonts w:ascii="Times New Roman" w:hAnsi="Times New Roman"/>
                <w:sz w:val="18"/>
                <w:szCs w:val="18"/>
                <w:lang w:val="en-US"/>
              </w:rPr>
              <w:t>2.5</w:t>
            </w:r>
          </w:p>
        </w:tc>
        <w:tc>
          <w:tcPr>
            <w:tcW w:w="6840" w:type="dxa"/>
            <w:tcBorders>
              <w:right w:val="single" w:sz="4" w:space="0" w:color="auto"/>
            </w:tcBorders>
            <w:shd w:val="clear" w:color="auto" w:fill="auto"/>
            <w:vAlign w:val="center"/>
          </w:tcPr>
          <w:p w14:paraId="21857ACD"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sz w:val="18"/>
                <w:szCs w:val="18"/>
                <w:lang w:val="en-US"/>
              </w:rPr>
              <w:t>Natural resources, biodiversity and ecosystems</w:t>
            </w:r>
          </w:p>
        </w:tc>
        <w:tc>
          <w:tcPr>
            <w:tcW w:w="1890" w:type="dxa"/>
            <w:gridSpan w:val="2"/>
            <w:tcBorders>
              <w:right w:val="single" w:sz="4" w:space="0" w:color="000000" w:themeColor="text1"/>
            </w:tcBorders>
            <w:vAlign w:val="center"/>
          </w:tcPr>
          <w:p w14:paraId="18C4CDFC" w14:textId="77777777" w:rsidR="000E4938"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83%</w:t>
            </w:r>
          </w:p>
        </w:tc>
        <w:tc>
          <w:tcPr>
            <w:tcW w:w="1710" w:type="dxa"/>
            <w:tcBorders>
              <w:left w:val="single" w:sz="4" w:space="0" w:color="000000" w:themeColor="text1"/>
            </w:tcBorders>
            <w:shd w:val="clear" w:color="auto" w:fill="DBE5F1" w:themeFill="accent1" w:themeFillTint="33"/>
            <w:vAlign w:val="center"/>
          </w:tcPr>
          <w:p w14:paraId="511F0946"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119</w:t>
            </w:r>
            <w:r w:rsidRPr="005F03B6">
              <w:rPr>
                <w:rFonts w:ascii="Times New Roman" w:hAnsi="Times New Roman"/>
                <w:sz w:val="18"/>
                <w:szCs w:val="18"/>
                <w:lang w:val="en-US"/>
              </w:rPr>
              <w:t>%</w:t>
            </w:r>
          </w:p>
        </w:tc>
        <w:tc>
          <w:tcPr>
            <w:tcW w:w="810" w:type="dxa"/>
            <w:shd w:val="clear" w:color="auto" w:fill="auto"/>
            <w:vAlign w:val="center"/>
          </w:tcPr>
          <w:p w14:paraId="2EB39C45"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3D0398">
              <w:rPr>
                <w:rFonts w:ascii="Times New Roman" w:hAnsi="Times New Roman"/>
                <w:b/>
                <w:noProof/>
                <w:sz w:val="18"/>
                <w:szCs w:val="18"/>
                <w:lang w:val="en-US"/>
              </w:rPr>
              <mc:AlternateContent>
                <mc:Choice Requires="wps">
                  <w:drawing>
                    <wp:inline distT="0" distB="0" distL="0" distR="0" wp14:anchorId="02EE728B" wp14:editId="10ACE623">
                      <wp:extent cx="172720" cy="172720"/>
                      <wp:effectExtent l="0" t="0" r="5080" b="5080"/>
                      <wp:docPr id="24" name="Oval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720" cy="172720"/>
                              </a:xfrm>
                              <a:prstGeom prst="ellipse">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92F315B" id="Oval 24" o:spid="_x0000_s1026" style="width:13.6pt;height: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" fillcolor="#92d050" stroked="f" strokeweight="1pt">
                      <v:stroke joinstyle="miter"/>
                      <v:path arrowok="t"/>
                      <o:lock v:ext="edit" aspectratio="t"/>
                      <w10:anchorlock/>
                    </v:oval>
                  </w:pict>
                </mc:Fallback>
              </mc:AlternateContent>
            </w:r>
          </w:p>
        </w:tc>
      </w:tr>
      <w:tr w:rsidR="00243D06" w:rsidRPr="005F03B6" w14:paraId="4B654A11" w14:textId="77777777" w:rsidTr="00243D06">
        <w:trPr>
          <w:trHeight w:hRule="exact" w:val="360"/>
        </w:trPr>
        <w:tc>
          <w:tcPr>
            <w:tcW w:w="450" w:type="dxa"/>
            <w:shd w:val="clear" w:color="auto" w:fill="auto"/>
            <w:vAlign w:val="center"/>
          </w:tcPr>
          <w:p w14:paraId="0BB4300E" w14:textId="77777777" w:rsidR="000E4938" w:rsidRPr="005F4D6B" w:rsidRDefault="000E4938" w:rsidP="00255B74">
            <w:pPr>
              <w:pStyle w:val="ColorfulList-Accent11"/>
              <w:widowControl w:val="0"/>
              <w:tabs>
                <w:tab w:val="left" w:pos="450"/>
              </w:tabs>
              <w:spacing w:before="20" w:after="20" w:line="240" w:lineRule="auto"/>
              <w:ind w:left="-108" w:right="-108"/>
              <w:contextualSpacing w:val="0"/>
              <w:jc w:val="center"/>
              <w:rPr>
                <w:rFonts w:ascii="Times New Roman" w:hAnsi="Times New Roman"/>
                <w:sz w:val="18"/>
                <w:szCs w:val="18"/>
                <w:lang w:val="en-US"/>
              </w:rPr>
            </w:pPr>
            <w:r w:rsidRPr="005F4D6B">
              <w:rPr>
                <w:rFonts w:ascii="Times New Roman" w:hAnsi="Times New Roman"/>
                <w:sz w:val="18"/>
                <w:szCs w:val="18"/>
                <w:lang w:val="en-US"/>
              </w:rPr>
              <w:t>2.6</w:t>
            </w:r>
          </w:p>
        </w:tc>
        <w:tc>
          <w:tcPr>
            <w:tcW w:w="6840" w:type="dxa"/>
            <w:tcBorders>
              <w:right w:val="single" w:sz="4" w:space="0" w:color="auto"/>
            </w:tcBorders>
            <w:shd w:val="clear" w:color="auto" w:fill="auto"/>
            <w:vAlign w:val="center"/>
          </w:tcPr>
          <w:p w14:paraId="1AA430F3"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color w:val="000000"/>
                <w:sz w:val="18"/>
                <w:szCs w:val="18"/>
                <w:lang w:val="en-US"/>
              </w:rPr>
              <w:t>Discrimination and emerging issues</w:t>
            </w:r>
          </w:p>
        </w:tc>
        <w:tc>
          <w:tcPr>
            <w:tcW w:w="1890" w:type="dxa"/>
            <w:gridSpan w:val="2"/>
            <w:tcBorders>
              <w:bottom w:val="single" w:sz="4" w:space="0" w:color="000000"/>
              <w:right w:val="single" w:sz="4" w:space="0" w:color="000000" w:themeColor="text1"/>
            </w:tcBorders>
            <w:vAlign w:val="center"/>
          </w:tcPr>
          <w:p w14:paraId="27F6A608"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90%</w:t>
            </w:r>
          </w:p>
        </w:tc>
        <w:tc>
          <w:tcPr>
            <w:tcW w:w="1710" w:type="dxa"/>
            <w:tcBorders>
              <w:left w:val="single" w:sz="4" w:space="0" w:color="000000" w:themeColor="text1"/>
              <w:bottom w:val="single" w:sz="4" w:space="0" w:color="000000"/>
            </w:tcBorders>
            <w:shd w:val="clear" w:color="auto" w:fill="DBE5F1" w:themeFill="accent1" w:themeFillTint="33"/>
            <w:vAlign w:val="center"/>
          </w:tcPr>
          <w:p w14:paraId="3C4C4CE2"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5F03B6">
              <w:rPr>
                <w:rFonts w:ascii="Times New Roman" w:hAnsi="Times New Roman"/>
                <w:sz w:val="18"/>
                <w:szCs w:val="18"/>
                <w:lang w:val="en-US"/>
              </w:rPr>
              <w:t>TBC</w:t>
            </w:r>
          </w:p>
        </w:tc>
        <w:tc>
          <w:tcPr>
            <w:tcW w:w="810" w:type="dxa"/>
            <w:shd w:val="clear" w:color="auto" w:fill="auto"/>
            <w:vAlign w:val="center"/>
          </w:tcPr>
          <w:p w14:paraId="562E5AFC"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3D0398">
              <w:rPr>
                <w:rFonts w:ascii="Times New Roman" w:hAnsi="Times New Roman"/>
                <w:b/>
                <w:noProof/>
                <w:color w:val="FFFFFF" w:themeColor="background1"/>
                <w:sz w:val="18"/>
                <w:szCs w:val="18"/>
                <w:lang w:val="en-US"/>
              </w:rPr>
              <mc:AlternateContent>
                <mc:Choice Requires="wps">
                  <w:drawing>
                    <wp:inline distT="0" distB="0" distL="0" distR="0" wp14:anchorId="54058390" wp14:editId="72951AA7">
                      <wp:extent cx="172085" cy="172085"/>
                      <wp:effectExtent l="0" t="0" r="5715" b="5715"/>
                      <wp:docPr id="25" name="Oval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085" cy="172085"/>
                              </a:xfrm>
                              <a:prstGeom prst="ellipse">
                                <a:avLst/>
                              </a:prstGeom>
                              <a:solidFill>
                                <a:schemeClr val="bg1">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1113C93" id="Oval 25" o:spid="_x0000_s1026" style="width:13.55pt;height:1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" fillcolor="#bfbfbf [2412]" stroked="f" strokeweight="1pt">
                      <v:stroke joinstyle="miter"/>
                      <v:path arrowok="t"/>
                      <o:lock v:ext="edit" aspectratio="t"/>
                      <w10:anchorlock/>
                    </v:oval>
                  </w:pict>
                </mc:Fallback>
              </mc:AlternateContent>
            </w:r>
          </w:p>
        </w:tc>
      </w:tr>
      <w:tr w:rsidR="000E4938" w:rsidRPr="005F03B6" w14:paraId="003F3854" w14:textId="77777777" w:rsidTr="00243D06">
        <w:trPr>
          <w:trHeight w:val="360"/>
        </w:trPr>
        <w:tc>
          <w:tcPr>
            <w:tcW w:w="450" w:type="dxa"/>
            <w:shd w:val="clear" w:color="auto" w:fill="95B3D7" w:themeFill="accent1" w:themeFillTint="99"/>
            <w:vAlign w:val="center"/>
          </w:tcPr>
          <w:p w14:paraId="07D743D3" w14:textId="77777777" w:rsidR="000E4938" w:rsidRPr="007D083D" w:rsidRDefault="000E4938" w:rsidP="00255B74">
            <w:pPr>
              <w:pStyle w:val="ColorfulList-Accent11"/>
              <w:widowControl w:val="0"/>
              <w:tabs>
                <w:tab w:val="left" w:pos="450"/>
              </w:tabs>
              <w:spacing w:before="20" w:after="20" w:line="240" w:lineRule="auto"/>
              <w:ind w:left="-108" w:right="-108"/>
              <w:contextualSpacing w:val="0"/>
              <w:jc w:val="center"/>
              <w:rPr>
                <w:rFonts w:ascii="Times New Roman" w:hAnsi="Times New Roman"/>
                <w:b/>
                <w:sz w:val="18"/>
                <w:szCs w:val="18"/>
                <w:lang w:val="en-US"/>
              </w:rPr>
            </w:pPr>
            <w:r>
              <w:rPr>
                <w:rFonts w:ascii="Times New Roman" w:hAnsi="Times New Roman"/>
                <w:b/>
                <w:sz w:val="18"/>
                <w:szCs w:val="18"/>
                <w:lang w:val="en-US"/>
              </w:rPr>
              <w:t>3</w:t>
            </w:r>
          </w:p>
        </w:tc>
        <w:tc>
          <w:tcPr>
            <w:tcW w:w="10440" w:type="dxa"/>
            <w:gridSpan w:val="4"/>
            <w:tcBorders>
              <w:right w:val="single" w:sz="4" w:space="0" w:color="95B3D7" w:themeColor="accent1" w:themeTint="99"/>
            </w:tcBorders>
            <w:shd w:val="clear" w:color="auto" w:fill="95B3D7" w:themeFill="accent1" w:themeFillTint="99"/>
            <w:vAlign w:val="center"/>
          </w:tcPr>
          <w:p w14:paraId="68519A5D"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b/>
                <w:sz w:val="18"/>
                <w:szCs w:val="18"/>
                <w:lang w:val="en-US"/>
              </w:rPr>
              <w:t>Strengthened institutions for universal access to basic services</w:t>
            </w:r>
          </w:p>
        </w:tc>
        <w:tc>
          <w:tcPr>
            <w:tcW w:w="810" w:type="dxa"/>
            <w:tcBorders>
              <w:left w:val="single" w:sz="4" w:space="0" w:color="95B3D7" w:themeColor="accent1" w:themeTint="99"/>
            </w:tcBorders>
            <w:shd w:val="clear" w:color="auto" w:fill="95B3D7" w:themeFill="accent1" w:themeFillTint="99"/>
            <w:vAlign w:val="center"/>
          </w:tcPr>
          <w:p w14:paraId="1D9BE224" w14:textId="77777777" w:rsidR="000E4938" w:rsidRPr="000466FA" w:rsidRDefault="000E4938" w:rsidP="00255B74">
            <w:pPr>
              <w:spacing w:after="0" w:line="240" w:lineRule="auto"/>
              <w:jc w:val="right"/>
              <w:rPr>
                <w:rFonts w:ascii="Times New Roman" w:hAnsi="Times New Roman"/>
                <w:b/>
                <w:sz w:val="18"/>
                <w:szCs w:val="18"/>
              </w:rPr>
            </w:pPr>
          </w:p>
        </w:tc>
      </w:tr>
      <w:tr w:rsidR="00243D06" w:rsidRPr="005F03B6" w14:paraId="7010D15B" w14:textId="77777777" w:rsidTr="00243D06">
        <w:trPr>
          <w:trHeight w:val="360"/>
        </w:trPr>
        <w:tc>
          <w:tcPr>
            <w:tcW w:w="450" w:type="dxa"/>
            <w:shd w:val="clear" w:color="auto" w:fill="auto"/>
            <w:vAlign w:val="center"/>
          </w:tcPr>
          <w:p w14:paraId="1460994D" w14:textId="77777777" w:rsidR="000E4938" w:rsidRPr="005F4D6B" w:rsidRDefault="000E4938" w:rsidP="00255B74">
            <w:pPr>
              <w:pStyle w:val="ColorfulList-Accent11"/>
              <w:widowControl w:val="0"/>
              <w:tabs>
                <w:tab w:val="left" w:pos="450"/>
              </w:tabs>
              <w:spacing w:before="20" w:after="20" w:line="240" w:lineRule="auto"/>
              <w:ind w:left="-108" w:right="-108"/>
              <w:contextualSpacing w:val="0"/>
              <w:jc w:val="center"/>
              <w:rPr>
                <w:rFonts w:ascii="Times New Roman" w:hAnsi="Times New Roman"/>
                <w:sz w:val="18"/>
                <w:szCs w:val="18"/>
                <w:lang w:val="en-US"/>
              </w:rPr>
            </w:pPr>
            <w:r w:rsidRPr="005F4D6B">
              <w:rPr>
                <w:rFonts w:ascii="Times New Roman" w:hAnsi="Times New Roman"/>
                <w:sz w:val="18"/>
                <w:szCs w:val="18"/>
                <w:lang w:val="en-US"/>
              </w:rPr>
              <w:t>3.1</w:t>
            </w:r>
          </w:p>
        </w:tc>
        <w:tc>
          <w:tcPr>
            <w:tcW w:w="6840" w:type="dxa"/>
            <w:tcBorders>
              <w:right w:val="single" w:sz="4" w:space="0" w:color="auto"/>
            </w:tcBorders>
            <w:shd w:val="clear" w:color="auto" w:fill="auto"/>
            <w:vAlign w:val="center"/>
          </w:tcPr>
          <w:p w14:paraId="58E5EDF3"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color w:val="000000"/>
                <w:sz w:val="18"/>
                <w:szCs w:val="18"/>
                <w:lang w:val="en-US"/>
              </w:rPr>
              <w:t>National ownership of recovery and development processes</w:t>
            </w:r>
          </w:p>
        </w:tc>
        <w:tc>
          <w:tcPr>
            <w:tcW w:w="1890" w:type="dxa"/>
            <w:gridSpan w:val="2"/>
            <w:vAlign w:val="center"/>
          </w:tcPr>
          <w:p w14:paraId="07E6565C"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91%</w:t>
            </w:r>
          </w:p>
        </w:tc>
        <w:tc>
          <w:tcPr>
            <w:tcW w:w="1710" w:type="dxa"/>
            <w:shd w:val="clear" w:color="auto" w:fill="DBE5F1" w:themeFill="accent1" w:themeFillTint="33"/>
            <w:vAlign w:val="center"/>
          </w:tcPr>
          <w:p w14:paraId="2A8BAD43"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5F03B6">
              <w:rPr>
                <w:rFonts w:ascii="Times New Roman" w:hAnsi="Times New Roman"/>
                <w:sz w:val="18"/>
                <w:szCs w:val="18"/>
                <w:lang w:val="en-US"/>
              </w:rPr>
              <w:t>176%</w:t>
            </w:r>
          </w:p>
        </w:tc>
        <w:tc>
          <w:tcPr>
            <w:tcW w:w="810" w:type="dxa"/>
            <w:shd w:val="clear" w:color="auto" w:fill="auto"/>
            <w:vAlign w:val="center"/>
          </w:tcPr>
          <w:p w14:paraId="4B82B2C3"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3D0398">
              <w:rPr>
                <w:rFonts w:ascii="Times New Roman" w:hAnsi="Times New Roman"/>
                <w:b/>
                <w:noProof/>
                <w:sz w:val="18"/>
                <w:szCs w:val="18"/>
                <w:lang w:val="en-US"/>
              </w:rPr>
              <mc:AlternateContent>
                <mc:Choice Requires="wps">
                  <w:drawing>
                    <wp:inline distT="0" distB="0" distL="0" distR="0" wp14:anchorId="5D2C75B9" wp14:editId="0DAD1A32">
                      <wp:extent cx="172720" cy="172720"/>
                      <wp:effectExtent l="0" t="0" r="5080" b="5080"/>
                      <wp:docPr id="26" name="Oval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720" cy="172720"/>
                              </a:xfrm>
                              <a:prstGeom prst="ellipse">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55D593F" id="Oval 26" o:spid="_x0000_s1026" style="width:13.6pt;height: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" fillcolor="#92d050" stroked="f" strokeweight="1pt">
                      <v:stroke joinstyle="miter"/>
                      <v:path arrowok="t"/>
                      <o:lock v:ext="edit" aspectratio="t"/>
                      <w10:anchorlock/>
                    </v:oval>
                  </w:pict>
                </mc:Fallback>
              </mc:AlternateContent>
            </w:r>
          </w:p>
        </w:tc>
      </w:tr>
      <w:tr w:rsidR="00243D06" w:rsidRPr="005F03B6" w14:paraId="24C9AE9C" w14:textId="77777777" w:rsidTr="00243D06">
        <w:trPr>
          <w:trHeight w:val="360"/>
        </w:trPr>
        <w:tc>
          <w:tcPr>
            <w:tcW w:w="450" w:type="dxa"/>
            <w:shd w:val="clear" w:color="auto" w:fill="auto"/>
            <w:vAlign w:val="center"/>
          </w:tcPr>
          <w:p w14:paraId="503C8D30" w14:textId="77777777" w:rsidR="000E4938" w:rsidRPr="005F4D6B" w:rsidRDefault="000E4938" w:rsidP="00255B74">
            <w:pPr>
              <w:pStyle w:val="ColorfulList-Accent11"/>
              <w:widowControl w:val="0"/>
              <w:tabs>
                <w:tab w:val="left" w:pos="450"/>
              </w:tabs>
              <w:spacing w:before="20" w:after="20" w:line="240" w:lineRule="auto"/>
              <w:ind w:left="-108" w:right="-108"/>
              <w:contextualSpacing w:val="0"/>
              <w:jc w:val="center"/>
              <w:rPr>
                <w:rFonts w:ascii="Times New Roman" w:hAnsi="Times New Roman"/>
                <w:sz w:val="18"/>
                <w:szCs w:val="18"/>
                <w:lang w:val="en-US"/>
              </w:rPr>
            </w:pPr>
            <w:r w:rsidRPr="005F4D6B">
              <w:rPr>
                <w:rFonts w:ascii="Times New Roman" w:hAnsi="Times New Roman"/>
                <w:sz w:val="18"/>
                <w:szCs w:val="18"/>
                <w:lang w:val="en-US"/>
              </w:rPr>
              <w:t>3.2</w:t>
            </w:r>
          </w:p>
        </w:tc>
        <w:tc>
          <w:tcPr>
            <w:tcW w:w="6840" w:type="dxa"/>
            <w:tcBorders>
              <w:right w:val="single" w:sz="4" w:space="0" w:color="auto"/>
            </w:tcBorders>
            <w:shd w:val="clear" w:color="auto" w:fill="auto"/>
            <w:vAlign w:val="center"/>
          </w:tcPr>
          <w:p w14:paraId="3E015177"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color w:val="000000"/>
                <w:sz w:val="18"/>
                <w:szCs w:val="18"/>
                <w:lang w:val="en-US"/>
              </w:rPr>
              <w:t>Sub-national capacity to deliver improved basic services</w:t>
            </w:r>
          </w:p>
        </w:tc>
        <w:tc>
          <w:tcPr>
            <w:tcW w:w="1890" w:type="dxa"/>
            <w:gridSpan w:val="2"/>
            <w:vAlign w:val="center"/>
          </w:tcPr>
          <w:p w14:paraId="539F12B4"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80%</w:t>
            </w:r>
          </w:p>
        </w:tc>
        <w:tc>
          <w:tcPr>
            <w:tcW w:w="1710" w:type="dxa"/>
            <w:shd w:val="clear" w:color="auto" w:fill="DBE5F1" w:themeFill="accent1" w:themeFillTint="33"/>
            <w:vAlign w:val="center"/>
          </w:tcPr>
          <w:p w14:paraId="189D6061"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5F03B6">
              <w:rPr>
                <w:rFonts w:ascii="Times New Roman" w:hAnsi="Times New Roman"/>
                <w:sz w:val="18"/>
                <w:szCs w:val="18"/>
                <w:lang w:val="en-US"/>
              </w:rPr>
              <w:t>91%</w:t>
            </w:r>
          </w:p>
        </w:tc>
        <w:tc>
          <w:tcPr>
            <w:tcW w:w="810" w:type="dxa"/>
            <w:shd w:val="clear" w:color="auto" w:fill="auto"/>
            <w:vAlign w:val="center"/>
          </w:tcPr>
          <w:p w14:paraId="68872CAC"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3D0398">
              <w:rPr>
                <w:rFonts w:ascii="Times New Roman" w:hAnsi="Times New Roman"/>
                <w:b/>
                <w:noProof/>
                <w:color w:val="FFFFFF" w:themeColor="background1"/>
                <w:sz w:val="18"/>
                <w:szCs w:val="18"/>
                <w:lang w:val="en-US"/>
              </w:rPr>
              <mc:AlternateContent>
                <mc:Choice Requires="wps">
                  <w:drawing>
                    <wp:inline distT="0" distB="0" distL="0" distR="0" wp14:anchorId="44D2976D" wp14:editId="5E081154">
                      <wp:extent cx="172085" cy="172085"/>
                      <wp:effectExtent l="0" t="0" r="5715" b="5715"/>
                      <wp:docPr id="27" name="Oval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085" cy="172085"/>
                              </a:xfrm>
                              <a:prstGeom prst="ellipse">
                                <a:avLst/>
                              </a:prstGeom>
                              <a:solidFill>
                                <a:srgbClr val="F5D80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A9D92B9" id="Oval 27" o:spid="_x0000_s1026" style="width:13.55pt;height:1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" fillcolor="#f5d805" stroked="f" strokeweight="1pt">
                      <v:stroke joinstyle="miter"/>
                      <v:path arrowok="t"/>
                      <o:lock v:ext="edit" aspectratio="t"/>
                      <w10:anchorlock/>
                    </v:oval>
                  </w:pict>
                </mc:Fallback>
              </mc:AlternateContent>
            </w:r>
          </w:p>
        </w:tc>
      </w:tr>
      <w:tr w:rsidR="00243D06" w:rsidRPr="005F03B6" w14:paraId="3D6FC1E9" w14:textId="77777777" w:rsidTr="00243D06">
        <w:trPr>
          <w:trHeight w:val="360"/>
        </w:trPr>
        <w:tc>
          <w:tcPr>
            <w:tcW w:w="450" w:type="dxa"/>
            <w:shd w:val="clear" w:color="auto" w:fill="auto"/>
            <w:vAlign w:val="center"/>
          </w:tcPr>
          <w:p w14:paraId="683C4E44" w14:textId="77777777" w:rsidR="000E4938" w:rsidRPr="005F4D6B" w:rsidRDefault="000E4938" w:rsidP="00255B74">
            <w:pPr>
              <w:pStyle w:val="ColorfulList-Accent11"/>
              <w:widowControl w:val="0"/>
              <w:tabs>
                <w:tab w:val="left" w:pos="450"/>
              </w:tabs>
              <w:spacing w:before="20" w:after="20" w:line="240" w:lineRule="auto"/>
              <w:ind w:left="-108" w:right="-108"/>
              <w:contextualSpacing w:val="0"/>
              <w:jc w:val="center"/>
              <w:rPr>
                <w:rFonts w:ascii="Times New Roman" w:hAnsi="Times New Roman"/>
                <w:sz w:val="18"/>
                <w:szCs w:val="18"/>
                <w:lang w:val="en-US"/>
              </w:rPr>
            </w:pPr>
            <w:r w:rsidRPr="005F4D6B">
              <w:rPr>
                <w:rFonts w:ascii="Times New Roman" w:hAnsi="Times New Roman"/>
                <w:sz w:val="18"/>
                <w:szCs w:val="18"/>
                <w:lang w:val="en-US"/>
              </w:rPr>
              <w:t>3.3</w:t>
            </w:r>
          </w:p>
        </w:tc>
        <w:tc>
          <w:tcPr>
            <w:tcW w:w="6840" w:type="dxa"/>
            <w:tcBorders>
              <w:right w:val="single" w:sz="4" w:space="0" w:color="auto"/>
            </w:tcBorders>
            <w:shd w:val="clear" w:color="auto" w:fill="auto"/>
            <w:vAlign w:val="center"/>
          </w:tcPr>
          <w:p w14:paraId="6C937E5C"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color w:val="000000"/>
                <w:sz w:val="18"/>
                <w:szCs w:val="18"/>
                <w:lang w:val="en-US"/>
              </w:rPr>
              <w:t>HIV and related services</w:t>
            </w:r>
          </w:p>
        </w:tc>
        <w:tc>
          <w:tcPr>
            <w:tcW w:w="1890" w:type="dxa"/>
            <w:gridSpan w:val="2"/>
            <w:vAlign w:val="center"/>
          </w:tcPr>
          <w:p w14:paraId="716392B2" w14:textId="77777777" w:rsidR="000E4938"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105%</w:t>
            </w:r>
          </w:p>
        </w:tc>
        <w:tc>
          <w:tcPr>
            <w:tcW w:w="1710" w:type="dxa"/>
            <w:shd w:val="clear" w:color="auto" w:fill="DBE5F1" w:themeFill="accent1" w:themeFillTint="33"/>
            <w:vAlign w:val="center"/>
          </w:tcPr>
          <w:p w14:paraId="13FF997F"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100%</w:t>
            </w:r>
          </w:p>
        </w:tc>
        <w:tc>
          <w:tcPr>
            <w:tcW w:w="810" w:type="dxa"/>
            <w:shd w:val="clear" w:color="auto" w:fill="auto"/>
            <w:vAlign w:val="center"/>
          </w:tcPr>
          <w:p w14:paraId="4FB06717"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3D0398">
              <w:rPr>
                <w:rFonts w:ascii="Times New Roman" w:hAnsi="Times New Roman"/>
                <w:b/>
                <w:noProof/>
                <w:sz w:val="18"/>
                <w:szCs w:val="18"/>
                <w:lang w:val="en-US"/>
              </w:rPr>
              <mc:AlternateContent>
                <mc:Choice Requires="wps">
                  <w:drawing>
                    <wp:inline distT="0" distB="0" distL="0" distR="0" wp14:anchorId="768DB075" wp14:editId="34B77CC1">
                      <wp:extent cx="172720" cy="172720"/>
                      <wp:effectExtent l="0" t="0" r="5080" b="5080"/>
                      <wp:docPr id="28"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720" cy="172720"/>
                              </a:xfrm>
                              <a:prstGeom prst="ellipse">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BBB4870" id="Oval 28" o:spid="_x0000_s1026" style="width:13.6pt;height: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" fillcolor="#92d050" stroked="f" strokeweight="1pt">
                      <v:stroke joinstyle="miter"/>
                      <v:path arrowok="t"/>
                      <o:lock v:ext="edit" aspectratio="t"/>
                      <w10:anchorlock/>
                    </v:oval>
                  </w:pict>
                </mc:Fallback>
              </mc:AlternateContent>
            </w:r>
          </w:p>
        </w:tc>
      </w:tr>
      <w:tr w:rsidR="00243D06" w:rsidRPr="005F03B6" w14:paraId="362BA1F5" w14:textId="77777777" w:rsidTr="00243D06">
        <w:trPr>
          <w:trHeight w:val="360"/>
        </w:trPr>
        <w:tc>
          <w:tcPr>
            <w:tcW w:w="450" w:type="dxa"/>
            <w:shd w:val="clear" w:color="auto" w:fill="auto"/>
            <w:vAlign w:val="center"/>
          </w:tcPr>
          <w:p w14:paraId="036ED859" w14:textId="77777777" w:rsidR="000E4938" w:rsidRPr="005F4D6B" w:rsidRDefault="000E4938" w:rsidP="00255B74">
            <w:pPr>
              <w:pStyle w:val="ColorfulList-Accent11"/>
              <w:widowControl w:val="0"/>
              <w:tabs>
                <w:tab w:val="left" w:pos="450"/>
              </w:tabs>
              <w:spacing w:before="20" w:after="20" w:line="240" w:lineRule="auto"/>
              <w:ind w:left="-108" w:right="-108"/>
              <w:contextualSpacing w:val="0"/>
              <w:jc w:val="center"/>
              <w:rPr>
                <w:rFonts w:ascii="Times New Roman" w:hAnsi="Times New Roman"/>
                <w:sz w:val="18"/>
                <w:szCs w:val="18"/>
                <w:lang w:val="en-US"/>
              </w:rPr>
            </w:pPr>
            <w:r w:rsidRPr="005F4D6B">
              <w:rPr>
                <w:rFonts w:ascii="Times New Roman" w:hAnsi="Times New Roman"/>
                <w:sz w:val="18"/>
                <w:szCs w:val="18"/>
                <w:lang w:val="en-US"/>
              </w:rPr>
              <w:t>3.4</w:t>
            </w:r>
          </w:p>
        </w:tc>
        <w:tc>
          <w:tcPr>
            <w:tcW w:w="6840" w:type="dxa"/>
            <w:tcBorders>
              <w:right w:val="single" w:sz="4" w:space="0" w:color="auto"/>
            </w:tcBorders>
            <w:shd w:val="clear" w:color="auto" w:fill="auto"/>
            <w:vAlign w:val="center"/>
          </w:tcPr>
          <w:p w14:paraId="4E6E737F"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color w:val="000000"/>
                <w:sz w:val="18"/>
                <w:szCs w:val="18"/>
                <w:lang w:val="en-US"/>
              </w:rPr>
              <w:t>Rule of law / access to justice</w:t>
            </w:r>
          </w:p>
        </w:tc>
        <w:tc>
          <w:tcPr>
            <w:tcW w:w="1890" w:type="dxa"/>
            <w:gridSpan w:val="2"/>
            <w:vAlign w:val="center"/>
          </w:tcPr>
          <w:p w14:paraId="7E51AC92" w14:textId="77777777" w:rsidR="000E4938" w:rsidRPr="00484B1D"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84%</w:t>
            </w:r>
          </w:p>
        </w:tc>
        <w:tc>
          <w:tcPr>
            <w:tcW w:w="1710" w:type="dxa"/>
            <w:shd w:val="clear" w:color="auto" w:fill="DBE5F1" w:themeFill="accent1" w:themeFillTint="33"/>
            <w:vAlign w:val="center"/>
          </w:tcPr>
          <w:p w14:paraId="1E564A49" w14:textId="77777777" w:rsidR="000E4938" w:rsidRPr="00484B1D"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484B1D">
              <w:rPr>
                <w:rFonts w:ascii="Times New Roman" w:hAnsi="Times New Roman"/>
                <w:sz w:val="18"/>
                <w:szCs w:val="18"/>
                <w:lang w:val="en-US"/>
              </w:rPr>
              <w:t>213%</w:t>
            </w:r>
          </w:p>
        </w:tc>
        <w:tc>
          <w:tcPr>
            <w:tcW w:w="810" w:type="dxa"/>
            <w:shd w:val="clear" w:color="auto" w:fill="auto"/>
            <w:vAlign w:val="center"/>
          </w:tcPr>
          <w:p w14:paraId="6F6CA610"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3D0398">
              <w:rPr>
                <w:rFonts w:ascii="Times New Roman" w:hAnsi="Times New Roman"/>
                <w:b/>
                <w:noProof/>
                <w:sz w:val="18"/>
                <w:szCs w:val="18"/>
                <w:lang w:val="en-US"/>
              </w:rPr>
              <mc:AlternateContent>
                <mc:Choice Requires="wps">
                  <w:drawing>
                    <wp:inline distT="0" distB="0" distL="0" distR="0" wp14:anchorId="7E39C283" wp14:editId="08E829F5">
                      <wp:extent cx="172720" cy="172720"/>
                      <wp:effectExtent l="0" t="0" r="5080" b="5080"/>
                      <wp:docPr id="31"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720" cy="172720"/>
                              </a:xfrm>
                              <a:prstGeom prst="ellipse">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C4BC49F" id="Oval 31" o:spid="_x0000_s1026" style="width:13.6pt;height: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" fillcolor="#92d050" stroked="f" strokeweight="1pt">
                      <v:stroke joinstyle="miter"/>
                      <v:path arrowok="t"/>
                      <o:lock v:ext="edit" aspectratio="t"/>
                      <w10:anchorlock/>
                    </v:oval>
                  </w:pict>
                </mc:Fallback>
              </mc:AlternateContent>
            </w:r>
          </w:p>
        </w:tc>
      </w:tr>
      <w:tr w:rsidR="00243D06" w:rsidRPr="005F03B6" w14:paraId="60B27D39" w14:textId="77777777" w:rsidTr="00243D06">
        <w:trPr>
          <w:trHeight w:val="360"/>
        </w:trPr>
        <w:tc>
          <w:tcPr>
            <w:tcW w:w="450" w:type="dxa"/>
            <w:shd w:val="clear" w:color="auto" w:fill="auto"/>
            <w:vAlign w:val="center"/>
          </w:tcPr>
          <w:p w14:paraId="42F10E71" w14:textId="77777777" w:rsidR="000E4938" w:rsidRPr="005F4D6B" w:rsidRDefault="000E4938" w:rsidP="00255B74">
            <w:pPr>
              <w:pStyle w:val="ColorfulList-Accent11"/>
              <w:widowControl w:val="0"/>
              <w:tabs>
                <w:tab w:val="left" w:pos="450"/>
              </w:tabs>
              <w:spacing w:before="20" w:after="20" w:line="240" w:lineRule="auto"/>
              <w:ind w:left="-108" w:right="-108"/>
              <w:contextualSpacing w:val="0"/>
              <w:jc w:val="center"/>
              <w:rPr>
                <w:rFonts w:ascii="Times New Roman" w:hAnsi="Times New Roman"/>
                <w:sz w:val="18"/>
                <w:szCs w:val="18"/>
                <w:lang w:val="en-US"/>
              </w:rPr>
            </w:pPr>
            <w:r w:rsidRPr="005F4D6B">
              <w:rPr>
                <w:rFonts w:ascii="Times New Roman" w:hAnsi="Times New Roman"/>
                <w:sz w:val="18"/>
                <w:szCs w:val="18"/>
                <w:lang w:val="en-US"/>
              </w:rPr>
              <w:lastRenderedPageBreak/>
              <w:t>3.5</w:t>
            </w:r>
          </w:p>
        </w:tc>
        <w:tc>
          <w:tcPr>
            <w:tcW w:w="6840" w:type="dxa"/>
            <w:tcBorders>
              <w:right w:val="single" w:sz="4" w:space="0" w:color="auto"/>
            </w:tcBorders>
            <w:shd w:val="clear" w:color="auto" w:fill="auto"/>
            <w:vAlign w:val="center"/>
          </w:tcPr>
          <w:p w14:paraId="34C3E81B"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sz w:val="18"/>
                <w:szCs w:val="18"/>
                <w:lang w:val="en-US"/>
              </w:rPr>
              <w:t>Citizen security</w:t>
            </w:r>
          </w:p>
        </w:tc>
        <w:tc>
          <w:tcPr>
            <w:tcW w:w="1890" w:type="dxa"/>
            <w:gridSpan w:val="2"/>
            <w:tcBorders>
              <w:bottom w:val="single" w:sz="4" w:space="0" w:color="000000"/>
            </w:tcBorders>
            <w:vAlign w:val="center"/>
          </w:tcPr>
          <w:p w14:paraId="5AAC3297" w14:textId="77777777" w:rsidR="000E4938" w:rsidRPr="00484B1D"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78%</w:t>
            </w:r>
          </w:p>
        </w:tc>
        <w:tc>
          <w:tcPr>
            <w:tcW w:w="1710" w:type="dxa"/>
            <w:tcBorders>
              <w:bottom w:val="single" w:sz="4" w:space="0" w:color="000000"/>
            </w:tcBorders>
            <w:shd w:val="clear" w:color="auto" w:fill="DBE5F1" w:themeFill="accent1" w:themeFillTint="33"/>
            <w:vAlign w:val="center"/>
          </w:tcPr>
          <w:p w14:paraId="1B1DC272" w14:textId="77777777" w:rsidR="000E4938" w:rsidRPr="00484B1D"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484B1D">
              <w:rPr>
                <w:rFonts w:ascii="Times New Roman" w:hAnsi="Times New Roman"/>
                <w:sz w:val="18"/>
                <w:szCs w:val="18"/>
                <w:lang w:val="en-US"/>
              </w:rPr>
              <w:t>139%</w:t>
            </w:r>
          </w:p>
        </w:tc>
        <w:tc>
          <w:tcPr>
            <w:tcW w:w="810" w:type="dxa"/>
            <w:shd w:val="clear" w:color="auto" w:fill="auto"/>
            <w:vAlign w:val="center"/>
          </w:tcPr>
          <w:p w14:paraId="5FB93EFE"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3D0398">
              <w:rPr>
                <w:rFonts w:ascii="Times New Roman" w:hAnsi="Times New Roman"/>
                <w:b/>
                <w:noProof/>
                <w:sz w:val="18"/>
                <w:szCs w:val="18"/>
                <w:lang w:val="en-US"/>
              </w:rPr>
              <mc:AlternateContent>
                <mc:Choice Requires="wps">
                  <w:drawing>
                    <wp:inline distT="0" distB="0" distL="0" distR="0" wp14:anchorId="4D9E53FA" wp14:editId="4E086B98">
                      <wp:extent cx="172720" cy="172720"/>
                      <wp:effectExtent l="0" t="0" r="5080" b="5080"/>
                      <wp:docPr id="224" name="Oval 2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720" cy="172720"/>
                              </a:xfrm>
                              <a:prstGeom prst="ellipse">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6D43EC7" id="Oval 224" o:spid="_x0000_s1026" style="width:13.6pt;height: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" fillcolor="#92d050" stroked="f" strokeweight="1pt">
                      <v:stroke joinstyle="miter"/>
                      <v:path arrowok="t"/>
                      <o:lock v:ext="edit" aspectratio="t"/>
                      <w10:anchorlock/>
                    </v:oval>
                  </w:pict>
                </mc:Fallback>
              </mc:AlternateContent>
            </w:r>
          </w:p>
        </w:tc>
      </w:tr>
      <w:tr w:rsidR="000E4938" w:rsidRPr="005F03B6" w14:paraId="2F30BAF3" w14:textId="77777777" w:rsidTr="00243D06">
        <w:trPr>
          <w:trHeight w:val="360"/>
        </w:trPr>
        <w:tc>
          <w:tcPr>
            <w:tcW w:w="450" w:type="dxa"/>
            <w:shd w:val="clear" w:color="auto" w:fill="95B3D7" w:themeFill="accent1" w:themeFillTint="99"/>
            <w:vAlign w:val="center"/>
          </w:tcPr>
          <w:p w14:paraId="3A7AE393" w14:textId="77777777" w:rsidR="000E4938" w:rsidRPr="007D083D" w:rsidRDefault="000E4938" w:rsidP="00255B74">
            <w:pPr>
              <w:pStyle w:val="ColorfulList-Accent11"/>
              <w:widowControl w:val="0"/>
              <w:tabs>
                <w:tab w:val="left" w:pos="450"/>
              </w:tabs>
              <w:spacing w:before="20" w:after="20" w:line="240" w:lineRule="auto"/>
              <w:ind w:left="-108" w:right="-108"/>
              <w:contextualSpacing w:val="0"/>
              <w:jc w:val="center"/>
              <w:rPr>
                <w:rFonts w:ascii="Times New Roman" w:hAnsi="Times New Roman"/>
                <w:b/>
                <w:sz w:val="18"/>
                <w:szCs w:val="18"/>
                <w:lang w:val="en-US"/>
              </w:rPr>
            </w:pPr>
            <w:r>
              <w:rPr>
                <w:rFonts w:ascii="Times New Roman" w:hAnsi="Times New Roman"/>
                <w:b/>
                <w:sz w:val="18"/>
                <w:szCs w:val="18"/>
                <w:lang w:val="en-US"/>
              </w:rPr>
              <w:t>4</w:t>
            </w:r>
          </w:p>
        </w:tc>
        <w:tc>
          <w:tcPr>
            <w:tcW w:w="10440" w:type="dxa"/>
            <w:gridSpan w:val="4"/>
            <w:tcBorders>
              <w:right w:val="single" w:sz="4" w:space="0" w:color="95B3D7" w:themeColor="accent1" w:themeTint="99"/>
            </w:tcBorders>
            <w:shd w:val="clear" w:color="auto" w:fill="95B3D7" w:themeFill="accent1" w:themeFillTint="99"/>
            <w:vAlign w:val="center"/>
          </w:tcPr>
          <w:p w14:paraId="17795F83"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b/>
                <w:sz w:val="18"/>
                <w:szCs w:val="18"/>
                <w:lang w:val="en-US"/>
              </w:rPr>
              <w:t>Gender equality and women’s empowerment</w:t>
            </w:r>
          </w:p>
        </w:tc>
        <w:tc>
          <w:tcPr>
            <w:tcW w:w="810" w:type="dxa"/>
            <w:tcBorders>
              <w:left w:val="single" w:sz="4" w:space="0" w:color="95B3D7" w:themeColor="accent1" w:themeTint="99"/>
            </w:tcBorders>
            <w:shd w:val="clear" w:color="auto" w:fill="95B3D7" w:themeFill="accent1" w:themeFillTint="99"/>
            <w:vAlign w:val="center"/>
          </w:tcPr>
          <w:p w14:paraId="2651E7A7" w14:textId="77777777" w:rsidR="000E4938" w:rsidRPr="00BB40C5" w:rsidRDefault="000E4938" w:rsidP="00255B74">
            <w:pPr>
              <w:spacing w:after="0" w:line="240" w:lineRule="auto"/>
              <w:jc w:val="right"/>
              <w:rPr>
                <w:rFonts w:ascii="Times New Roman" w:hAnsi="Times New Roman"/>
                <w:b/>
                <w:sz w:val="18"/>
                <w:szCs w:val="18"/>
              </w:rPr>
            </w:pPr>
          </w:p>
        </w:tc>
      </w:tr>
      <w:tr w:rsidR="00243D06" w:rsidRPr="005F03B6" w14:paraId="7E90A5E1" w14:textId="77777777" w:rsidTr="00243D06">
        <w:trPr>
          <w:trHeight w:hRule="exact" w:val="360"/>
        </w:trPr>
        <w:tc>
          <w:tcPr>
            <w:tcW w:w="450" w:type="dxa"/>
            <w:shd w:val="clear" w:color="auto" w:fill="auto"/>
            <w:vAlign w:val="center"/>
          </w:tcPr>
          <w:p w14:paraId="7B80C87A" w14:textId="77777777" w:rsidR="000E4938" w:rsidRPr="005F4D6B" w:rsidRDefault="000E4938" w:rsidP="00255B74">
            <w:pPr>
              <w:pStyle w:val="ColorfulList-Accent11"/>
              <w:widowControl w:val="0"/>
              <w:tabs>
                <w:tab w:val="left" w:pos="450"/>
              </w:tabs>
              <w:spacing w:before="20" w:after="20" w:line="240" w:lineRule="auto"/>
              <w:ind w:left="-108" w:right="-108"/>
              <w:contextualSpacing w:val="0"/>
              <w:jc w:val="center"/>
              <w:rPr>
                <w:rFonts w:ascii="Times New Roman" w:hAnsi="Times New Roman"/>
                <w:sz w:val="18"/>
                <w:szCs w:val="18"/>
                <w:lang w:val="en-US"/>
              </w:rPr>
            </w:pPr>
            <w:r w:rsidRPr="005F4D6B">
              <w:rPr>
                <w:rFonts w:ascii="Times New Roman" w:hAnsi="Times New Roman"/>
                <w:sz w:val="18"/>
                <w:szCs w:val="18"/>
                <w:lang w:val="en-US"/>
              </w:rPr>
              <w:t>4.1</w:t>
            </w:r>
          </w:p>
        </w:tc>
        <w:tc>
          <w:tcPr>
            <w:tcW w:w="6840" w:type="dxa"/>
            <w:tcBorders>
              <w:right w:val="single" w:sz="4" w:space="0" w:color="auto"/>
            </w:tcBorders>
            <w:shd w:val="clear" w:color="auto" w:fill="auto"/>
            <w:vAlign w:val="center"/>
          </w:tcPr>
          <w:p w14:paraId="1697E61C"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color w:val="000000"/>
                <w:sz w:val="18"/>
                <w:szCs w:val="18"/>
                <w:lang w:val="en-US"/>
              </w:rPr>
              <w:t>Women’s economic empowerment</w:t>
            </w:r>
          </w:p>
        </w:tc>
        <w:tc>
          <w:tcPr>
            <w:tcW w:w="1890" w:type="dxa"/>
            <w:gridSpan w:val="2"/>
            <w:vAlign w:val="center"/>
          </w:tcPr>
          <w:p w14:paraId="5C638854"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83%</w:t>
            </w:r>
          </w:p>
        </w:tc>
        <w:tc>
          <w:tcPr>
            <w:tcW w:w="1710" w:type="dxa"/>
            <w:shd w:val="clear" w:color="auto" w:fill="DBE5F1" w:themeFill="accent1" w:themeFillTint="33"/>
            <w:vAlign w:val="center"/>
          </w:tcPr>
          <w:p w14:paraId="7171D548"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5F03B6">
              <w:rPr>
                <w:rFonts w:ascii="Times New Roman" w:hAnsi="Times New Roman"/>
                <w:sz w:val="18"/>
                <w:szCs w:val="18"/>
                <w:lang w:val="en-US"/>
              </w:rPr>
              <w:t>125%</w:t>
            </w:r>
          </w:p>
        </w:tc>
        <w:tc>
          <w:tcPr>
            <w:tcW w:w="810" w:type="dxa"/>
            <w:shd w:val="clear" w:color="auto" w:fill="auto"/>
            <w:vAlign w:val="center"/>
          </w:tcPr>
          <w:p w14:paraId="37101209"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3D0398">
              <w:rPr>
                <w:rFonts w:ascii="Times New Roman" w:hAnsi="Times New Roman"/>
                <w:b/>
                <w:noProof/>
                <w:sz w:val="18"/>
                <w:szCs w:val="18"/>
                <w:lang w:val="en-US"/>
              </w:rPr>
              <mc:AlternateContent>
                <mc:Choice Requires="wps">
                  <w:drawing>
                    <wp:inline distT="0" distB="0" distL="0" distR="0" wp14:anchorId="341494E4" wp14:editId="14A0AD2C">
                      <wp:extent cx="172720" cy="172720"/>
                      <wp:effectExtent l="0" t="0" r="5080" b="5080"/>
                      <wp:docPr id="225" name="Oval 2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720" cy="172720"/>
                              </a:xfrm>
                              <a:prstGeom prst="ellipse">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8631583" id="Oval 225" o:spid="_x0000_s1026" style="width:13.6pt;height: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" fillcolor="#92d050" stroked="f" strokeweight="1pt">
                      <v:stroke joinstyle="miter"/>
                      <v:path arrowok="t"/>
                      <o:lock v:ext="edit" aspectratio="t"/>
                      <w10:anchorlock/>
                    </v:oval>
                  </w:pict>
                </mc:Fallback>
              </mc:AlternateContent>
            </w:r>
          </w:p>
        </w:tc>
      </w:tr>
      <w:tr w:rsidR="00243D06" w:rsidRPr="005F03B6" w14:paraId="2607901A" w14:textId="77777777" w:rsidTr="00243D06">
        <w:trPr>
          <w:trHeight w:hRule="exact" w:val="360"/>
        </w:trPr>
        <w:tc>
          <w:tcPr>
            <w:tcW w:w="450" w:type="dxa"/>
            <w:shd w:val="clear" w:color="auto" w:fill="auto"/>
            <w:vAlign w:val="center"/>
          </w:tcPr>
          <w:p w14:paraId="0E3894F0" w14:textId="77777777" w:rsidR="000E4938" w:rsidRPr="005F4D6B" w:rsidRDefault="000E4938" w:rsidP="00255B74">
            <w:pPr>
              <w:pStyle w:val="ColorfulList-Accent11"/>
              <w:widowControl w:val="0"/>
              <w:tabs>
                <w:tab w:val="left" w:pos="450"/>
              </w:tabs>
              <w:spacing w:before="20" w:after="20" w:line="240" w:lineRule="auto"/>
              <w:ind w:left="-108" w:right="-108"/>
              <w:contextualSpacing w:val="0"/>
              <w:jc w:val="center"/>
              <w:rPr>
                <w:rFonts w:ascii="Times New Roman" w:hAnsi="Times New Roman"/>
                <w:sz w:val="18"/>
                <w:szCs w:val="18"/>
                <w:lang w:val="en-US"/>
              </w:rPr>
            </w:pPr>
            <w:r w:rsidRPr="005F4D6B">
              <w:rPr>
                <w:rFonts w:ascii="Times New Roman" w:hAnsi="Times New Roman"/>
                <w:sz w:val="18"/>
                <w:szCs w:val="18"/>
                <w:lang w:val="en-US"/>
              </w:rPr>
              <w:t>4.2</w:t>
            </w:r>
          </w:p>
        </w:tc>
        <w:tc>
          <w:tcPr>
            <w:tcW w:w="6840" w:type="dxa"/>
            <w:tcBorders>
              <w:right w:val="single" w:sz="4" w:space="0" w:color="auto"/>
            </w:tcBorders>
            <w:shd w:val="clear" w:color="auto" w:fill="auto"/>
            <w:vAlign w:val="center"/>
          </w:tcPr>
          <w:p w14:paraId="2BB679C1"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color w:val="000000"/>
                <w:sz w:val="18"/>
                <w:szCs w:val="18"/>
                <w:lang w:val="en-US"/>
              </w:rPr>
              <w:t xml:space="preserve">Sexual and </w:t>
            </w:r>
            <w:r>
              <w:rPr>
                <w:rFonts w:ascii="Times New Roman" w:hAnsi="Times New Roman"/>
                <w:color w:val="000000"/>
                <w:sz w:val="18"/>
                <w:szCs w:val="18"/>
                <w:lang w:val="en-US"/>
              </w:rPr>
              <w:t>g</w:t>
            </w:r>
            <w:r w:rsidRPr="005F03B6">
              <w:rPr>
                <w:rFonts w:ascii="Times New Roman" w:hAnsi="Times New Roman"/>
                <w:color w:val="000000"/>
                <w:sz w:val="18"/>
                <w:szCs w:val="18"/>
                <w:lang w:val="en-US"/>
              </w:rPr>
              <w:t>ender</w:t>
            </w:r>
            <w:r>
              <w:rPr>
                <w:rFonts w:ascii="Times New Roman" w:hAnsi="Times New Roman"/>
                <w:color w:val="000000"/>
                <w:sz w:val="18"/>
                <w:szCs w:val="18"/>
                <w:lang w:val="en-US"/>
              </w:rPr>
              <w:t>-b</w:t>
            </w:r>
            <w:r w:rsidRPr="005F03B6">
              <w:rPr>
                <w:rFonts w:ascii="Times New Roman" w:hAnsi="Times New Roman"/>
                <w:color w:val="000000"/>
                <w:sz w:val="18"/>
                <w:szCs w:val="18"/>
                <w:lang w:val="en-US"/>
              </w:rPr>
              <w:t xml:space="preserve">ased </w:t>
            </w:r>
            <w:r>
              <w:rPr>
                <w:rFonts w:ascii="Times New Roman" w:hAnsi="Times New Roman"/>
                <w:color w:val="000000"/>
                <w:sz w:val="18"/>
                <w:szCs w:val="18"/>
                <w:lang w:val="en-US"/>
              </w:rPr>
              <w:t>v</w:t>
            </w:r>
            <w:r w:rsidRPr="005F03B6">
              <w:rPr>
                <w:rFonts w:ascii="Times New Roman" w:hAnsi="Times New Roman"/>
                <w:color w:val="000000"/>
                <w:sz w:val="18"/>
                <w:szCs w:val="18"/>
                <w:lang w:val="en-US"/>
              </w:rPr>
              <w:t>iolence</w:t>
            </w:r>
          </w:p>
        </w:tc>
        <w:tc>
          <w:tcPr>
            <w:tcW w:w="1890" w:type="dxa"/>
            <w:gridSpan w:val="2"/>
            <w:vAlign w:val="center"/>
          </w:tcPr>
          <w:p w14:paraId="1269AE4B"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76%</w:t>
            </w:r>
          </w:p>
        </w:tc>
        <w:tc>
          <w:tcPr>
            <w:tcW w:w="1710" w:type="dxa"/>
            <w:shd w:val="clear" w:color="auto" w:fill="DBE5F1" w:themeFill="accent1" w:themeFillTint="33"/>
            <w:vAlign w:val="center"/>
          </w:tcPr>
          <w:p w14:paraId="7B502A2A"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5F03B6">
              <w:rPr>
                <w:rFonts w:ascii="Times New Roman" w:hAnsi="Times New Roman"/>
                <w:sz w:val="18"/>
                <w:szCs w:val="18"/>
                <w:lang w:val="en-US"/>
              </w:rPr>
              <w:t>183%</w:t>
            </w:r>
          </w:p>
        </w:tc>
        <w:tc>
          <w:tcPr>
            <w:tcW w:w="810" w:type="dxa"/>
            <w:shd w:val="clear" w:color="auto" w:fill="auto"/>
            <w:vAlign w:val="center"/>
          </w:tcPr>
          <w:p w14:paraId="4D6E92EE"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3D0398">
              <w:rPr>
                <w:rFonts w:ascii="Times New Roman" w:hAnsi="Times New Roman"/>
                <w:b/>
                <w:noProof/>
                <w:sz w:val="18"/>
                <w:szCs w:val="18"/>
                <w:lang w:val="en-US"/>
              </w:rPr>
              <mc:AlternateContent>
                <mc:Choice Requires="wps">
                  <w:drawing>
                    <wp:inline distT="0" distB="0" distL="0" distR="0" wp14:anchorId="73202941" wp14:editId="33DB8C43">
                      <wp:extent cx="172720" cy="172720"/>
                      <wp:effectExtent l="0" t="0" r="5080" b="5080"/>
                      <wp:docPr id="226" name="Oval 2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720" cy="172720"/>
                              </a:xfrm>
                              <a:prstGeom prst="ellipse">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0FCB991" id="Oval 226" o:spid="_x0000_s1026" style="width:13.6pt;height: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" fillcolor="#92d050" stroked="f" strokeweight="1pt">
                      <v:stroke joinstyle="miter"/>
                      <v:path arrowok="t"/>
                      <o:lock v:ext="edit" aspectratio="t"/>
                      <w10:anchorlock/>
                    </v:oval>
                  </w:pict>
                </mc:Fallback>
              </mc:AlternateContent>
            </w:r>
          </w:p>
        </w:tc>
      </w:tr>
      <w:tr w:rsidR="00243D06" w:rsidRPr="005F03B6" w14:paraId="5A21819F" w14:textId="77777777" w:rsidTr="00243D06">
        <w:trPr>
          <w:trHeight w:hRule="exact" w:val="360"/>
        </w:trPr>
        <w:tc>
          <w:tcPr>
            <w:tcW w:w="450" w:type="dxa"/>
            <w:shd w:val="clear" w:color="auto" w:fill="auto"/>
            <w:vAlign w:val="center"/>
          </w:tcPr>
          <w:p w14:paraId="0B2FEE8B" w14:textId="77777777" w:rsidR="000E4938" w:rsidRPr="005F4D6B" w:rsidRDefault="000E4938" w:rsidP="00255B74">
            <w:pPr>
              <w:pStyle w:val="ColorfulList-Accent11"/>
              <w:widowControl w:val="0"/>
              <w:tabs>
                <w:tab w:val="left" w:pos="450"/>
              </w:tabs>
              <w:spacing w:before="20" w:after="20" w:line="240" w:lineRule="auto"/>
              <w:ind w:left="-108" w:right="-108"/>
              <w:contextualSpacing w:val="0"/>
              <w:jc w:val="center"/>
              <w:rPr>
                <w:rFonts w:ascii="Times New Roman" w:hAnsi="Times New Roman"/>
                <w:sz w:val="18"/>
                <w:szCs w:val="18"/>
                <w:lang w:val="en-US"/>
              </w:rPr>
            </w:pPr>
            <w:r w:rsidRPr="005F4D6B">
              <w:rPr>
                <w:rFonts w:ascii="Times New Roman" w:hAnsi="Times New Roman"/>
                <w:sz w:val="18"/>
                <w:szCs w:val="18"/>
                <w:lang w:val="en-US"/>
              </w:rPr>
              <w:t>4.3</w:t>
            </w:r>
          </w:p>
        </w:tc>
        <w:tc>
          <w:tcPr>
            <w:tcW w:w="6840" w:type="dxa"/>
            <w:tcBorders>
              <w:right w:val="single" w:sz="4" w:space="0" w:color="auto"/>
            </w:tcBorders>
            <w:shd w:val="clear" w:color="auto" w:fill="auto"/>
            <w:vAlign w:val="center"/>
          </w:tcPr>
          <w:p w14:paraId="48DF0DB5"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color w:val="000000"/>
                <w:sz w:val="18"/>
                <w:szCs w:val="18"/>
                <w:lang w:val="en-US"/>
              </w:rPr>
              <w:t>Gender evidence</w:t>
            </w:r>
          </w:p>
        </w:tc>
        <w:tc>
          <w:tcPr>
            <w:tcW w:w="1890" w:type="dxa"/>
            <w:gridSpan w:val="2"/>
            <w:vAlign w:val="center"/>
          </w:tcPr>
          <w:p w14:paraId="301DAFF9"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76%</w:t>
            </w:r>
          </w:p>
        </w:tc>
        <w:tc>
          <w:tcPr>
            <w:tcW w:w="1710" w:type="dxa"/>
            <w:shd w:val="clear" w:color="auto" w:fill="DBE5F1" w:themeFill="accent1" w:themeFillTint="33"/>
            <w:vAlign w:val="center"/>
          </w:tcPr>
          <w:p w14:paraId="7DF4A76A"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5F03B6">
              <w:rPr>
                <w:rFonts w:ascii="Times New Roman" w:hAnsi="Times New Roman"/>
                <w:sz w:val="18"/>
                <w:szCs w:val="18"/>
                <w:lang w:val="en-US"/>
              </w:rPr>
              <w:t>100%</w:t>
            </w:r>
          </w:p>
        </w:tc>
        <w:tc>
          <w:tcPr>
            <w:tcW w:w="810" w:type="dxa"/>
            <w:shd w:val="clear" w:color="auto" w:fill="auto"/>
            <w:vAlign w:val="center"/>
          </w:tcPr>
          <w:p w14:paraId="2DC7840C"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3D0398">
              <w:rPr>
                <w:rFonts w:ascii="Times New Roman" w:hAnsi="Times New Roman"/>
                <w:b/>
                <w:noProof/>
                <w:sz w:val="18"/>
                <w:szCs w:val="18"/>
                <w:lang w:val="en-US"/>
              </w:rPr>
              <mc:AlternateContent>
                <mc:Choice Requires="wps">
                  <w:drawing>
                    <wp:inline distT="0" distB="0" distL="0" distR="0" wp14:anchorId="08A0C4AE" wp14:editId="1AA5EEA0">
                      <wp:extent cx="172720" cy="172720"/>
                      <wp:effectExtent l="0" t="0" r="5080" b="5080"/>
                      <wp:docPr id="227" name="Oval 2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720" cy="172720"/>
                              </a:xfrm>
                              <a:prstGeom prst="ellipse">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F001331" id="Oval 227" o:spid="_x0000_s1026" style="width:13.6pt;height: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" fillcolor="#92d050" stroked="f" strokeweight="1pt">
                      <v:stroke joinstyle="miter"/>
                      <v:path arrowok="t"/>
                      <o:lock v:ext="edit" aspectratio="t"/>
                      <w10:anchorlock/>
                    </v:oval>
                  </w:pict>
                </mc:Fallback>
              </mc:AlternateContent>
            </w:r>
          </w:p>
        </w:tc>
      </w:tr>
      <w:tr w:rsidR="00243D06" w:rsidRPr="005F03B6" w14:paraId="544D5490" w14:textId="77777777" w:rsidTr="00243D06">
        <w:trPr>
          <w:trHeight w:hRule="exact" w:val="360"/>
        </w:trPr>
        <w:tc>
          <w:tcPr>
            <w:tcW w:w="450" w:type="dxa"/>
            <w:shd w:val="clear" w:color="auto" w:fill="auto"/>
            <w:vAlign w:val="center"/>
          </w:tcPr>
          <w:p w14:paraId="5276929E" w14:textId="77777777" w:rsidR="000E4938" w:rsidRPr="005F4D6B" w:rsidRDefault="000E4938" w:rsidP="00255B74">
            <w:pPr>
              <w:pStyle w:val="ColorfulList-Accent11"/>
              <w:widowControl w:val="0"/>
              <w:tabs>
                <w:tab w:val="left" w:pos="450"/>
              </w:tabs>
              <w:spacing w:before="20" w:after="20" w:line="240" w:lineRule="auto"/>
              <w:ind w:left="-108" w:right="-108"/>
              <w:contextualSpacing w:val="0"/>
              <w:jc w:val="center"/>
              <w:rPr>
                <w:rFonts w:ascii="Times New Roman" w:hAnsi="Times New Roman"/>
                <w:sz w:val="18"/>
                <w:szCs w:val="18"/>
                <w:lang w:val="en-US"/>
              </w:rPr>
            </w:pPr>
            <w:r w:rsidRPr="005F4D6B">
              <w:rPr>
                <w:rFonts w:ascii="Times New Roman" w:hAnsi="Times New Roman"/>
                <w:sz w:val="18"/>
                <w:szCs w:val="18"/>
                <w:lang w:val="en-US"/>
              </w:rPr>
              <w:t>4.4</w:t>
            </w:r>
          </w:p>
        </w:tc>
        <w:tc>
          <w:tcPr>
            <w:tcW w:w="6840" w:type="dxa"/>
            <w:tcBorders>
              <w:right w:val="single" w:sz="4" w:space="0" w:color="auto"/>
            </w:tcBorders>
            <w:shd w:val="clear" w:color="auto" w:fill="auto"/>
            <w:vAlign w:val="center"/>
          </w:tcPr>
          <w:p w14:paraId="29E399C8"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color w:val="000000"/>
                <w:sz w:val="18"/>
                <w:szCs w:val="18"/>
                <w:lang w:val="en-US"/>
              </w:rPr>
              <w:t>Women’s participation in decision-making</w:t>
            </w:r>
          </w:p>
        </w:tc>
        <w:tc>
          <w:tcPr>
            <w:tcW w:w="1890" w:type="dxa"/>
            <w:gridSpan w:val="2"/>
            <w:tcBorders>
              <w:bottom w:val="single" w:sz="4" w:space="0" w:color="000000"/>
            </w:tcBorders>
            <w:vAlign w:val="center"/>
          </w:tcPr>
          <w:p w14:paraId="1B8F5417"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82%</w:t>
            </w:r>
          </w:p>
        </w:tc>
        <w:tc>
          <w:tcPr>
            <w:tcW w:w="1710" w:type="dxa"/>
            <w:tcBorders>
              <w:bottom w:val="single" w:sz="4" w:space="0" w:color="000000"/>
            </w:tcBorders>
            <w:shd w:val="clear" w:color="auto" w:fill="DBE5F1" w:themeFill="accent1" w:themeFillTint="33"/>
            <w:vAlign w:val="center"/>
          </w:tcPr>
          <w:p w14:paraId="6499C64D"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5F03B6">
              <w:rPr>
                <w:rFonts w:ascii="Times New Roman" w:hAnsi="Times New Roman"/>
                <w:sz w:val="18"/>
                <w:szCs w:val="18"/>
                <w:lang w:val="en-US"/>
              </w:rPr>
              <w:t>86%</w:t>
            </w:r>
          </w:p>
        </w:tc>
        <w:tc>
          <w:tcPr>
            <w:tcW w:w="810" w:type="dxa"/>
            <w:shd w:val="clear" w:color="auto" w:fill="auto"/>
            <w:vAlign w:val="center"/>
          </w:tcPr>
          <w:p w14:paraId="7A5970E7"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3D0398">
              <w:rPr>
                <w:rFonts w:ascii="Times New Roman" w:hAnsi="Times New Roman"/>
                <w:b/>
                <w:noProof/>
                <w:color w:val="FFFFFF" w:themeColor="background1"/>
                <w:sz w:val="18"/>
                <w:szCs w:val="18"/>
                <w:lang w:val="en-US"/>
              </w:rPr>
              <mc:AlternateContent>
                <mc:Choice Requires="wps">
                  <w:drawing>
                    <wp:inline distT="0" distB="0" distL="0" distR="0" wp14:anchorId="6AC0386E" wp14:editId="6B41B8AA">
                      <wp:extent cx="172085" cy="172085"/>
                      <wp:effectExtent l="0" t="0" r="5715" b="5715"/>
                      <wp:docPr id="228" name="Oval 2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085" cy="172085"/>
                              </a:xfrm>
                              <a:prstGeom prst="ellipse">
                                <a:avLst/>
                              </a:prstGeom>
                              <a:solidFill>
                                <a:srgbClr val="F5D80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4E6CEDC" id="Oval 228" o:spid="_x0000_s1026" style="width:13.55pt;height:1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" fillcolor="#f5d805" stroked="f" strokeweight="1pt">
                      <v:stroke joinstyle="miter"/>
                      <v:path arrowok="t"/>
                      <o:lock v:ext="edit" aspectratio="t"/>
                      <w10:anchorlock/>
                    </v:oval>
                  </w:pict>
                </mc:Fallback>
              </mc:AlternateContent>
            </w:r>
          </w:p>
        </w:tc>
      </w:tr>
      <w:tr w:rsidR="000E4938" w:rsidRPr="005F03B6" w14:paraId="069438F2" w14:textId="77777777" w:rsidTr="00243D06">
        <w:trPr>
          <w:trHeight w:val="440"/>
        </w:trPr>
        <w:tc>
          <w:tcPr>
            <w:tcW w:w="450" w:type="dxa"/>
            <w:shd w:val="clear" w:color="auto" w:fill="95B3D7" w:themeFill="accent1" w:themeFillTint="99"/>
            <w:vAlign w:val="center"/>
          </w:tcPr>
          <w:p w14:paraId="35B201E3" w14:textId="77777777" w:rsidR="000E4938" w:rsidRPr="007D083D" w:rsidRDefault="000E4938" w:rsidP="00255B74">
            <w:pPr>
              <w:pStyle w:val="ColorfulList-Accent11"/>
              <w:widowControl w:val="0"/>
              <w:tabs>
                <w:tab w:val="left" w:pos="450"/>
              </w:tabs>
              <w:spacing w:before="20" w:after="20" w:line="240" w:lineRule="auto"/>
              <w:ind w:left="-108" w:right="-108"/>
              <w:contextualSpacing w:val="0"/>
              <w:jc w:val="center"/>
              <w:rPr>
                <w:rFonts w:ascii="Times New Roman" w:hAnsi="Times New Roman"/>
                <w:b/>
                <w:sz w:val="18"/>
                <w:szCs w:val="18"/>
                <w:lang w:val="en-US"/>
              </w:rPr>
            </w:pPr>
            <w:r>
              <w:rPr>
                <w:rFonts w:ascii="Times New Roman" w:hAnsi="Times New Roman"/>
                <w:b/>
                <w:sz w:val="18"/>
                <w:szCs w:val="18"/>
                <w:lang w:val="en-US"/>
              </w:rPr>
              <w:t>5</w:t>
            </w:r>
          </w:p>
        </w:tc>
        <w:tc>
          <w:tcPr>
            <w:tcW w:w="7285" w:type="dxa"/>
            <w:gridSpan w:val="2"/>
            <w:tcBorders>
              <w:right w:val="single" w:sz="4" w:space="0" w:color="95B3D7" w:themeColor="accent1" w:themeTint="99"/>
            </w:tcBorders>
            <w:shd w:val="clear" w:color="auto" w:fill="95B3D7" w:themeFill="accent1" w:themeFillTint="99"/>
            <w:vAlign w:val="center"/>
          </w:tcPr>
          <w:p w14:paraId="08FF38AF"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b/>
                <w:sz w:val="18"/>
                <w:szCs w:val="18"/>
                <w:lang w:val="en-US"/>
              </w:rPr>
              <w:t>Risk reduction - conflict and natural disaster, including climate change</w:t>
            </w:r>
          </w:p>
        </w:tc>
        <w:tc>
          <w:tcPr>
            <w:tcW w:w="3965" w:type="dxa"/>
            <w:gridSpan w:val="3"/>
            <w:tcBorders>
              <w:left w:val="single" w:sz="4" w:space="0" w:color="95B3D7" w:themeColor="accent1" w:themeTint="99"/>
            </w:tcBorders>
            <w:shd w:val="clear" w:color="auto" w:fill="95B3D7" w:themeFill="accent1" w:themeFillTint="99"/>
            <w:vAlign w:val="center"/>
          </w:tcPr>
          <w:p w14:paraId="422E5589" w14:textId="77777777" w:rsidR="000E4938" w:rsidRPr="00BB40C5" w:rsidRDefault="000E4938" w:rsidP="00255B74">
            <w:pPr>
              <w:spacing w:after="0" w:line="240" w:lineRule="auto"/>
              <w:jc w:val="right"/>
              <w:rPr>
                <w:rFonts w:ascii="Times New Roman" w:hAnsi="Times New Roman"/>
                <w:b/>
                <w:sz w:val="18"/>
                <w:szCs w:val="18"/>
              </w:rPr>
            </w:pPr>
          </w:p>
        </w:tc>
      </w:tr>
      <w:tr w:rsidR="00243D06" w:rsidRPr="005F03B6" w14:paraId="2C03758E" w14:textId="77777777" w:rsidTr="00243D06">
        <w:trPr>
          <w:trHeight w:hRule="exact" w:val="360"/>
        </w:trPr>
        <w:tc>
          <w:tcPr>
            <w:tcW w:w="450" w:type="dxa"/>
            <w:shd w:val="clear" w:color="auto" w:fill="auto"/>
            <w:vAlign w:val="center"/>
          </w:tcPr>
          <w:p w14:paraId="7F595D06" w14:textId="77777777" w:rsidR="000E4938" w:rsidRPr="005F4D6B" w:rsidRDefault="000E4938" w:rsidP="00255B74">
            <w:pPr>
              <w:pStyle w:val="ColorfulList-Accent11"/>
              <w:widowControl w:val="0"/>
              <w:tabs>
                <w:tab w:val="left" w:pos="450"/>
              </w:tabs>
              <w:spacing w:before="20" w:after="20" w:line="240" w:lineRule="auto"/>
              <w:ind w:left="-108" w:right="-108"/>
              <w:contextualSpacing w:val="0"/>
              <w:jc w:val="center"/>
              <w:rPr>
                <w:rFonts w:ascii="Times New Roman" w:hAnsi="Times New Roman"/>
                <w:sz w:val="18"/>
                <w:szCs w:val="18"/>
                <w:lang w:val="en-US"/>
              </w:rPr>
            </w:pPr>
            <w:r w:rsidRPr="005F4D6B">
              <w:rPr>
                <w:rFonts w:ascii="Times New Roman" w:hAnsi="Times New Roman"/>
                <w:bCs/>
                <w:color w:val="000000"/>
                <w:sz w:val="18"/>
                <w:szCs w:val="18"/>
                <w:lang w:val="en-US"/>
              </w:rPr>
              <w:t>5.1</w:t>
            </w:r>
          </w:p>
        </w:tc>
        <w:tc>
          <w:tcPr>
            <w:tcW w:w="6840" w:type="dxa"/>
            <w:tcBorders>
              <w:right w:val="single" w:sz="4" w:space="0" w:color="auto"/>
            </w:tcBorders>
            <w:shd w:val="clear" w:color="auto" w:fill="auto"/>
            <w:vAlign w:val="center"/>
          </w:tcPr>
          <w:p w14:paraId="2252A977"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color w:val="000000"/>
                <w:sz w:val="18"/>
                <w:szCs w:val="18"/>
                <w:lang w:val="en-US"/>
              </w:rPr>
              <w:t>Mechanisms to assess natural and man-made risks</w:t>
            </w:r>
          </w:p>
        </w:tc>
        <w:tc>
          <w:tcPr>
            <w:tcW w:w="1890" w:type="dxa"/>
            <w:gridSpan w:val="2"/>
            <w:vAlign w:val="center"/>
          </w:tcPr>
          <w:p w14:paraId="583BFE7D"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91%</w:t>
            </w:r>
          </w:p>
        </w:tc>
        <w:tc>
          <w:tcPr>
            <w:tcW w:w="1710" w:type="dxa"/>
            <w:shd w:val="clear" w:color="auto" w:fill="DBE5F1" w:themeFill="accent1" w:themeFillTint="33"/>
            <w:vAlign w:val="center"/>
          </w:tcPr>
          <w:p w14:paraId="109EED76" w14:textId="756584F0" w:rsidR="000E4938" w:rsidRPr="005F03B6" w:rsidRDefault="000E4938" w:rsidP="0095141B">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5F03B6">
              <w:rPr>
                <w:rFonts w:ascii="Times New Roman" w:hAnsi="Times New Roman"/>
                <w:sz w:val="18"/>
                <w:szCs w:val="18"/>
                <w:lang w:val="en-US"/>
              </w:rPr>
              <w:t>12</w:t>
            </w:r>
            <w:r w:rsidR="0095141B">
              <w:rPr>
                <w:rFonts w:ascii="Times New Roman" w:hAnsi="Times New Roman"/>
                <w:sz w:val="18"/>
                <w:szCs w:val="18"/>
                <w:lang w:val="en-US"/>
              </w:rPr>
              <w:t>4</w:t>
            </w:r>
            <w:r w:rsidRPr="005F03B6">
              <w:rPr>
                <w:rFonts w:ascii="Times New Roman" w:hAnsi="Times New Roman"/>
                <w:sz w:val="18"/>
                <w:szCs w:val="18"/>
                <w:lang w:val="en-US"/>
              </w:rPr>
              <w:t>%</w:t>
            </w:r>
          </w:p>
        </w:tc>
        <w:tc>
          <w:tcPr>
            <w:tcW w:w="810" w:type="dxa"/>
            <w:shd w:val="clear" w:color="auto" w:fill="auto"/>
            <w:vAlign w:val="center"/>
          </w:tcPr>
          <w:p w14:paraId="3C08787F"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3D0398">
              <w:rPr>
                <w:rFonts w:ascii="Times New Roman" w:hAnsi="Times New Roman"/>
                <w:b/>
                <w:noProof/>
                <w:sz w:val="18"/>
                <w:szCs w:val="18"/>
                <w:lang w:val="en-US"/>
              </w:rPr>
              <mc:AlternateContent>
                <mc:Choice Requires="wps">
                  <w:drawing>
                    <wp:inline distT="0" distB="0" distL="0" distR="0" wp14:anchorId="53563064" wp14:editId="2C8B560E">
                      <wp:extent cx="172720" cy="172720"/>
                      <wp:effectExtent l="0" t="0" r="5080" b="5080"/>
                      <wp:docPr id="229" name="Oval 2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720" cy="172720"/>
                              </a:xfrm>
                              <a:prstGeom prst="ellipse">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6A8CB68" id="Oval 229" o:spid="_x0000_s1026" style="width:13.6pt;height: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" fillcolor="#92d050" stroked="f" strokeweight="1pt">
                      <v:stroke joinstyle="miter"/>
                      <v:path arrowok="t"/>
                      <o:lock v:ext="edit" aspectratio="t"/>
                      <w10:anchorlock/>
                    </v:oval>
                  </w:pict>
                </mc:Fallback>
              </mc:AlternateContent>
            </w:r>
          </w:p>
        </w:tc>
      </w:tr>
      <w:tr w:rsidR="00243D06" w:rsidRPr="005F03B6" w14:paraId="72A5326F" w14:textId="77777777" w:rsidTr="00243D06">
        <w:trPr>
          <w:trHeight w:hRule="exact" w:val="360"/>
        </w:trPr>
        <w:tc>
          <w:tcPr>
            <w:tcW w:w="450" w:type="dxa"/>
            <w:shd w:val="clear" w:color="auto" w:fill="auto"/>
            <w:vAlign w:val="center"/>
          </w:tcPr>
          <w:p w14:paraId="1BC1A520" w14:textId="77777777" w:rsidR="000E4938" w:rsidRPr="005F4D6B" w:rsidRDefault="000E4938" w:rsidP="00255B74">
            <w:pPr>
              <w:pStyle w:val="ColorfulList-Accent11"/>
              <w:widowControl w:val="0"/>
              <w:tabs>
                <w:tab w:val="left" w:pos="450"/>
              </w:tabs>
              <w:spacing w:before="20" w:after="20" w:line="240" w:lineRule="auto"/>
              <w:ind w:left="-108" w:right="-108"/>
              <w:contextualSpacing w:val="0"/>
              <w:jc w:val="center"/>
              <w:rPr>
                <w:rFonts w:ascii="Times New Roman" w:hAnsi="Times New Roman"/>
                <w:sz w:val="18"/>
                <w:szCs w:val="18"/>
                <w:lang w:val="en-US"/>
              </w:rPr>
            </w:pPr>
            <w:r w:rsidRPr="005F4D6B">
              <w:rPr>
                <w:rFonts w:ascii="Times New Roman" w:hAnsi="Times New Roman"/>
                <w:bCs/>
                <w:color w:val="000000"/>
                <w:sz w:val="18"/>
                <w:szCs w:val="18"/>
                <w:lang w:val="en-US"/>
              </w:rPr>
              <w:t>5.2</w:t>
            </w:r>
          </w:p>
        </w:tc>
        <w:tc>
          <w:tcPr>
            <w:tcW w:w="6840" w:type="dxa"/>
            <w:tcBorders>
              <w:right w:val="single" w:sz="4" w:space="0" w:color="auto"/>
            </w:tcBorders>
            <w:shd w:val="clear" w:color="auto" w:fill="auto"/>
            <w:vAlign w:val="center"/>
          </w:tcPr>
          <w:p w14:paraId="6EE87C9C"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color w:val="000000"/>
                <w:sz w:val="18"/>
                <w:szCs w:val="18"/>
                <w:lang w:val="en-US"/>
              </w:rPr>
              <w:t>Disaster and climate risk management</w:t>
            </w:r>
          </w:p>
        </w:tc>
        <w:tc>
          <w:tcPr>
            <w:tcW w:w="1890" w:type="dxa"/>
            <w:gridSpan w:val="2"/>
            <w:vAlign w:val="center"/>
          </w:tcPr>
          <w:p w14:paraId="68017185" w14:textId="77777777" w:rsidR="000E4938"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83%</w:t>
            </w:r>
          </w:p>
        </w:tc>
        <w:tc>
          <w:tcPr>
            <w:tcW w:w="1710" w:type="dxa"/>
            <w:shd w:val="clear" w:color="auto" w:fill="DBE5F1" w:themeFill="accent1" w:themeFillTint="33"/>
            <w:vAlign w:val="center"/>
          </w:tcPr>
          <w:p w14:paraId="1A6CD71B"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94</w:t>
            </w:r>
            <w:r w:rsidRPr="005F03B6">
              <w:rPr>
                <w:rFonts w:ascii="Times New Roman" w:hAnsi="Times New Roman"/>
                <w:sz w:val="18"/>
                <w:szCs w:val="18"/>
                <w:lang w:val="en-US"/>
              </w:rPr>
              <w:t>%</w:t>
            </w:r>
          </w:p>
        </w:tc>
        <w:tc>
          <w:tcPr>
            <w:tcW w:w="810" w:type="dxa"/>
            <w:shd w:val="clear" w:color="auto" w:fill="auto"/>
            <w:vAlign w:val="center"/>
          </w:tcPr>
          <w:p w14:paraId="5C84EDD7"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3D0398">
              <w:rPr>
                <w:rFonts w:ascii="Times New Roman" w:hAnsi="Times New Roman"/>
                <w:b/>
                <w:noProof/>
                <w:color w:val="FFFFFF" w:themeColor="background1"/>
                <w:sz w:val="18"/>
                <w:szCs w:val="18"/>
                <w:lang w:val="en-US"/>
              </w:rPr>
              <mc:AlternateContent>
                <mc:Choice Requires="wps">
                  <w:drawing>
                    <wp:inline distT="0" distB="0" distL="0" distR="0" wp14:anchorId="787115DF" wp14:editId="25611475">
                      <wp:extent cx="172085" cy="172085"/>
                      <wp:effectExtent l="0" t="0" r="5715" b="5715"/>
                      <wp:docPr id="230" name="Oval 2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085" cy="172085"/>
                              </a:xfrm>
                              <a:prstGeom prst="ellipse">
                                <a:avLst/>
                              </a:prstGeom>
                              <a:solidFill>
                                <a:srgbClr val="F5D80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967E994" id="Oval 230" o:spid="_x0000_s1026" style="width:13.55pt;height:1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" fillcolor="#f5d805" stroked="f" strokeweight="1pt">
                      <v:stroke joinstyle="miter"/>
                      <v:path arrowok="t"/>
                      <o:lock v:ext="edit" aspectratio="t"/>
                      <w10:anchorlock/>
                    </v:oval>
                  </w:pict>
                </mc:Fallback>
              </mc:AlternateContent>
            </w:r>
          </w:p>
        </w:tc>
      </w:tr>
      <w:tr w:rsidR="00243D06" w:rsidRPr="005F03B6" w14:paraId="59EF9810" w14:textId="77777777" w:rsidTr="00243D06">
        <w:trPr>
          <w:trHeight w:hRule="exact" w:val="397"/>
        </w:trPr>
        <w:tc>
          <w:tcPr>
            <w:tcW w:w="450" w:type="dxa"/>
            <w:shd w:val="clear" w:color="auto" w:fill="auto"/>
            <w:vAlign w:val="center"/>
          </w:tcPr>
          <w:p w14:paraId="468CCAA7" w14:textId="77777777" w:rsidR="000E4938" w:rsidRPr="005F4D6B" w:rsidRDefault="000E4938" w:rsidP="00255B74">
            <w:pPr>
              <w:pStyle w:val="ColorfulList-Accent11"/>
              <w:widowControl w:val="0"/>
              <w:tabs>
                <w:tab w:val="left" w:pos="450"/>
              </w:tabs>
              <w:spacing w:before="20" w:after="20" w:line="240" w:lineRule="auto"/>
              <w:ind w:left="-108" w:right="-108"/>
              <w:contextualSpacing w:val="0"/>
              <w:jc w:val="center"/>
              <w:rPr>
                <w:rFonts w:ascii="Times New Roman" w:hAnsi="Times New Roman"/>
                <w:sz w:val="18"/>
                <w:szCs w:val="18"/>
                <w:lang w:val="en-US"/>
              </w:rPr>
            </w:pPr>
            <w:r w:rsidRPr="005F4D6B">
              <w:rPr>
                <w:rFonts w:ascii="Times New Roman" w:hAnsi="Times New Roman"/>
                <w:bCs/>
                <w:color w:val="000000"/>
                <w:sz w:val="18"/>
                <w:szCs w:val="18"/>
                <w:lang w:val="en-US"/>
              </w:rPr>
              <w:t>5.3</w:t>
            </w:r>
          </w:p>
        </w:tc>
        <w:tc>
          <w:tcPr>
            <w:tcW w:w="6840" w:type="dxa"/>
            <w:tcBorders>
              <w:right w:val="single" w:sz="4" w:space="0" w:color="auto"/>
            </w:tcBorders>
            <w:shd w:val="clear" w:color="auto" w:fill="auto"/>
            <w:vAlign w:val="center"/>
          </w:tcPr>
          <w:p w14:paraId="22474C1A"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color w:val="000000"/>
                <w:sz w:val="18"/>
                <w:szCs w:val="18"/>
                <w:lang w:val="en-US"/>
              </w:rPr>
              <w:t>Gender-responsive disaster and climate risk management</w:t>
            </w:r>
          </w:p>
        </w:tc>
        <w:tc>
          <w:tcPr>
            <w:tcW w:w="1890" w:type="dxa"/>
            <w:gridSpan w:val="2"/>
            <w:vAlign w:val="center"/>
          </w:tcPr>
          <w:p w14:paraId="243F3659"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64%</w:t>
            </w:r>
          </w:p>
        </w:tc>
        <w:tc>
          <w:tcPr>
            <w:tcW w:w="1710" w:type="dxa"/>
            <w:shd w:val="clear" w:color="auto" w:fill="DBE5F1" w:themeFill="accent1" w:themeFillTint="33"/>
            <w:vAlign w:val="center"/>
          </w:tcPr>
          <w:p w14:paraId="2814B0F3" w14:textId="610B2EAB" w:rsidR="000E4938" w:rsidRPr="005F03B6" w:rsidRDefault="0095141B"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TBC</w:t>
            </w:r>
          </w:p>
        </w:tc>
        <w:tc>
          <w:tcPr>
            <w:tcW w:w="810" w:type="dxa"/>
            <w:shd w:val="clear" w:color="auto" w:fill="auto"/>
            <w:vAlign w:val="center"/>
          </w:tcPr>
          <w:p w14:paraId="3CD53218" w14:textId="10693772" w:rsidR="000E4938" w:rsidRPr="005F03B6" w:rsidRDefault="0095141B"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3D0398">
              <w:rPr>
                <w:rFonts w:ascii="Times New Roman" w:hAnsi="Times New Roman"/>
                <w:b/>
                <w:noProof/>
                <w:color w:val="FFFFFF" w:themeColor="background1"/>
                <w:sz w:val="18"/>
                <w:szCs w:val="18"/>
                <w:lang w:val="en-US"/>
              </w:rPr>
              <mc:AlternateContent>
                <mc:Choice Requires="wps">
                  <w:drawing>
                    <wp:inline distT="0" distB="0" distL="0" distR="0" wp14:anchorId="2F80C756" wp14:editId="7A6C0D8C">
                      <wp:extent cx="172085" cy="172085"/>
                      <wp:effectExtent l="0" t="0" r="5715" b="5715"/>
                      <wp:docPr id="1"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085" cy="172085"/>
                              </a:xfrm>
                              <a:prstGeom prst="ellipse">
                                <a:avLst/>
                              </a:prstGeom>
                              <a:solidFill>
                                <a:schemeClr val="bg1">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219AB86" id="Oval 1" o:spid="_x0000_s1026" style="width:13.55pt;height:1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" fillcolor="#bfbfbf [2412]" stroked="f" strokeweight="1pt">
                      <v:stroke joinstyle="miter"/>
                      <v:path arrowok="t"/>
                      <o:lock v:ext="edit" aspectratio="t"/>
                      <w10:anchorlock/>
                    </v:oval>
                  </w:pict>
                </mc:Fallback>
              </mc:AlternateContent>
            </w:r>
          </w:p>
        </w:tc>
      </w:tr>
      <w:tr w:rsidR="00243D06" w:rsidRPr="005F03B6" w14:paraId="14DB78F2" w14:textId="77777777" w:rsidTr="00243D06">
        <w:trPr>
          <w:trHeight w:hRule="exact" w:val="360"/>
        </w:trPr>
        <w:tc>
          <w:tcPr>
            <w:tcW w:w="450" w:type="dxa"/>
            <w:shd w:val="clear" w:color="auto" w:fill="auto"/>
            <w:vAlign w:val="center"/>
          </w:tcPr>
          <w:p w14:paraId="57A97361" w14:textId="77777777" w:rsidR="000E4938" w:rsidRPr="005F4D6B" w:rsidRDefault="000E4938" w:rsidP="00255B74">
            <w:pPr>
              <w:pStyle w:val="ColorfulList-Accent11"/>
              <w:widowControl w:val="0"/>
              <w:tabs>
                <w:tab w:val="left" w:pos="450"/>
                <w:tab w:val="left" w:pos="571"/>
              </w:tabs>
              <w:spacing w:before="20" w:after="20" w:line="240" w:lineRule="auto"/>
              <w:ind w:left="-108" w:right="-108"/>
              <w:contextualSpacing w:val="0"/>
              <w:jc w:val="center"/>
              <w:rPr>
                <w:rFonts w:ascii="Times New Roman" w:hAnsi="Times New Roman"/>
                <w:sz w:val="18"/>
                <w:szCs w:val="18"/>
                <w:lang w:val="en-US"/>
              </w:rPr>
            </w:pPr>
            <w:r w:rsidRPr="005F4D6B">
              <w:rPr>
                <w:rFonts w:ascii="Times New Roman" w:hAnsi="Times New Roman"/>
                <w:bCs/>
                <w:color w:val="000000"/>
                <w:sz w:val="18"/>
                <w:szCs w:val="18"/>
                <w:lang w:val="en-US"/>
              </w:rPr>
              <w:t>5.4</w:t>
            </w:r>
          </w:p>
        </w:tc>
        <w:tc>
          <w:tcPr>
            <w:tcW w:w="6840" w:type="dxa"/>
            <w:tcBorders>
              <w:right w:val="single" w:sz="4" w:space="0" w:color="auto"/>
            </w:tcBorders>
            <w:shd w:val="clear" w:color="auto" w:fill="auto"/>
            <w:vAlign w:val="center"/>
          </w:tcPr>
          <w:p w14:paraId="1ABC3AB7"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color w:val="000000"/>
                <w:sz w:val="18"/>
                <w:szCs w:val="18"/>
                <w:lang w:val="en-US"/>
              </w:rPr>
              <w:t>Natural hazard preparedness</w:t>
            </w:r>
          </w:p>
        </w:tc>
        <w:tc>
          <w:tcPr>
            <w:tcW w:w="1890" w:type="dxa"/>
            <w:gridSpan w:val="2"/>
            <w:vAlign w:val="center"/>
          </w:tcPr>
          <w:p w14:paraId="4225363A"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79%</w:t>
            </w:r>
          </w:p>
        </w:tc>
        <w:tc>
          <w:tcPr>
            <w:tcW w:w="1710" w:type="dxa"/>
            <w:shd w:val="clear" w:color="auto" w:fill="DBE5F1" w:themeFill="accent1" w:themeFillTint="33"/>
            <w:vAlign w:val="center"/>
          </w:tcPr>
          <w:p w14:paraId="289E2E4E"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5F03B6">
              <w:rPr>
                <w:rFonts w:ascii="Times New Roman" w:hAnsi="Times New Roman"/>
                <w:sz w:val="18"/>
                <w:szCs w:val="18"/>
                <w:lang w:val="en-US"/>
              </w:rPr>
              <w:t>104%</w:t>
            </w:r>
          </w:p>
        </w:tc>
        <w:tc>
          <w:tcPr>
            <w:tcW w:w="810" w:type="dxa"/>
            <w:shd w:val="clear" w:color="auto" w:fill="auto"/>
            <w:vAlign w:val="center"/>
          </w:tcPr>
          <w:p w14:paraId="57633B01"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3D0398">
              <w:rPr>
                <w:rFonts w:ascii="Times New Roman" w:hAnsi="Times New Roman"/>
                <w:b/>
                <w:noProof/>
                <w:sz w:val="18"/>
                <w:szCs w:val="18"/>
                <w:lang w:val="en-US"/>
              </w:rPr>
              <mc:AlternateContent>
                <mc:Choice Requires="wps">
                  <w:drawing>
                    <wp:inline distT="0" distB="0" distL="0" distR="0" wp14:anchorId="610350DE" wp14:editId="57424364">
                      <wp:extent cx="172720" cy="172720"/>
                      <wp:effectExtent l="0" t="0" r="5080" b="5080"/>
                      <wp:docPr id="243" name="Oval 2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720" cy="172720"/>
                              </a:xfrm>
                              <a:prstGeom prst="ellipse">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D45C7F3" id="Oval 243" o:spid="_x0000_s1026" style="width:13.6pt;height: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" fillcolor="#92d050" stroked="f" strokeweight="1pt">
                      <v:stroke joinstyle="miter"/>
                      <v:path arrowok="t"/>
                      <o:lock v:ext="edit" aspectratio="t"/>
                      <w10:anchorlock/>
                    </v:oval>
                  </w:pict>
                </mc:Fallback>
              </mc:AlternateContent>
            </w:r>
          </w:p>
        </w:tc>
      </w:tr>
      <w:tr w:rsidR="00243D06" w:rsidRPr="005F03B6" w14:paraId="362B9846" w14:textId="77777777" w:rsidTr="00243D06">
        <w:trPr>
          <w:trHeight w:hRule="exact" w:val="360"/>
        </w:trPr>
        <w:tc>
          <w:tcPr>
            <w:tcW w:w="450" w:type="dxa"/>
            <w:shd w:val="clear" w:color="auto" w:fill="auto"/>
            <w:vAlign w:val="center"/>
          </w:tcPr>
          <w:p w14:paraId="42BB9EC0" w14:textId="77777777" w:rsidR="000E4938" w:rsidRPr="005F4D6B" w:rsidRDefault="000E4938" w:rsidP="00255B74">
            <w:pPr>
              <w:pStyle w:val="ColorfulList-Accent11"/>
              <w:widowControl w:val="0"/>
              <w:tabs>
                <w:tab w:val="left" w:pos="450"/>
                <w:tab w:val="left" w:pos="571"/>
              </w:tabs>
              <w:spacing w:before="20" w:after="20" w:line="240" w:lineRule="auto"/>
              <w:ind w:left="-108" w:right="-108"/>
              <w:contextualSpacing w:val="0"/>
              <w:jc w:val="center"/>
              <w:rPr>
                <w:rFonts w:ascii="Times New Roman" w:hAnsi="Times New Roman"/>
                <w:sz w:val="18"/>
                <w:szCs w:val="18"/>
                <w:lang w:val="en-US"/>
              </w:rPr>
            </w:pPr>
            <w:r w:rsidRPr="005F4D6B">
              <w:rPr>
                <w:rFonts w:ascii="Times New Roman" w:hAnsi="Times New Roman"/>
                <w:bCs/>
                <w:color w:val="000000"/>
                <w:sz w:val="18"/>
                <w:szCs w:val="18"/>
                <w:lang w:val="en-US"/>
              </w:rPr>
              <w:t>5.5</w:t>
            </w:r>
          </w:p>
        </w:tc>
        <w:tc>
          <w:tcPr>
            <w:tcW w:w="6840" w:type="dxa"/>
            <w:tcBorders>
              <w:right w:val="single" w:sz="4" w:space="0" w:color="auto"/>
            </w:tcBorders>
            <w:shd w:val="clear" w:color="auto" w:fill="auto"/>
            <w:vAlign w:val="center"/>
          </w:tcPr>
          <w:p w14:paraId="32C6067D"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sz w:val="18"/>
                <w:szCs w:val="18"/>
                <w:lang w:val="en-US"/>
              </w:rPr>
              <w:t>Peaceful management of conflicts and tensions</w:t>
            </w:r>
          </w:p>
        </w:tc>
        <w:tc>
          <w:tcPr>
            <w:tcW w:w="1890" w:type="dxa"/>
            <w:gridSpan w:val="2"/>
            <w:vAlign w:val="center"/>
          </w:tcPr>
          <w:p w14:paraId="71F3C1F9"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70%</w:t>
            </w:r>
          </w:p>
        </w:tc>
        <w:tc>
          <w:tcPr>
            <w:tcW w:w="1710" w:type="dxa"/>
            <w:shd w:val="clear" w:color="auto" w:fill="DBE5F1" w:themeFill="accent1" w:themeFillTint="33"/>
            <w:vAlign w:val="center"/>
          </w:tcPr>
          <w:p w14:paraId="2F65621F"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5F03B6">
              <w:rPr>
                <w:rFonts w:ascii="Times New Roman" w:hAnsi="Times New Roman"/>
                <w:sz w:val="18"/>
                <w:szCs w:val="18"/>
                <w:lang w:val="en-US"/>
              </w:rPr>
              <w:t>149%</w:t>
            </w:r>
          </w:p>
        </w:tc>
        <w:tc>
          <w:tcPr>
            <w:tcW w:w="810" w:type="dxa"/>
            <w:shd w:val="clear" w:color="auto" w:fill="auto"/>
            <w:vAlign w:val="center"/>
          </w:tcPr>
          <w:p w14:paraId="5F72120E"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3D0398">
              <w:rPr>
                <w:rFonts w:ascii="Times New Roman" w:hAnsi="Times New Roman"/>
                <w:b/>
                <w:noProof/>
                <w:sz w:val="18"/>
                <w:szCs w:val="18"/>
                <w:lang w:val="en-US"/>
              </w:rPr>
              <mc:AlternateContent>
                <mc:Choice Requires="wps">
                  <w:drawing>
                    <wp:inline distT="0" distB="0" distL="0" distR="0" wp14:anchorId="24203F01" wp14:editId="041DBD84">
                      <wp:extent cx="172720" cy="172720"/>
                      <wp:effectExtent l="0" t="0" r="5080" b="5080"/>
                      <wp:docPr id="244" name="Oval 2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720" cy="172720"/>
                              </a:xfrm>
                              <a:prstGeom prst="ellipse">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375850D" id="Oval 244" o:spid="_x0000_s1026" style="width:13.6pt;height: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" fillcolor="#92d050" stroked="f" strokeweight="1pt">
                      <v:stroke joinstyle="miter"/>
                      <v:path arrowok="t"/>
                      <o:lock v:ext="edit" aspectratio="t"/>
                      <w10:anchorlock/>
                    </v:oval>
                  </w:pict>
                </mc:Fallback>
              </mc:AlternateContent>
            </w:r>
          </w:p>
        </w:tc>
      </w:tr>
      <w:tr w:rsidR="00243D06" w:rsidRPr="005F03B6" w14:paraId="0B49C3C5" w14:textId="77777777" w:rsidTr="00243D06">
        <w:trPr>
          <w:trHeight w:hRule="exact" w:val="360"/>
        </w:trPr>
        <w:tc>
          <w:tcPr>
            <w:tcW w:w="450" w:type="dxa"/>
            <w:shd w:val="clear" w:color="auto" w:fill="auto"/>
            <w:vAlign w:val="center"/>
          </w:tcPr>
          <w:p w14:paraId="417D9291" w14:textId="77777777" w:rsidR="000E4938" w:rsidRPr="005F4D6B" w:rsidRDefault="000E4938" w:rsidP="00255B74">
            <w:pPr>
              <w:pStyle w:val="ColorfulList-Accent11"/>
              <w:widowControl w:val="0"/>
              <w:tabs>
                <w:tab w:val="left" w:pos="450"/>
                <w:tab w:val="left" w:pos="571"/>
              </w:tabs>
              <w:spacing w:before="20" w:after="20" w:line="240" w:lineRule="auto"/>
              <w:ind w:left="-108" w:right="-108"/>
              <w:contextualSpacing w:val="0"/>
              <w:jc w:val="center"/>
              <w:rPr>
                <w:rFonts w:ascii="Times New Roman" w:hAnsi="Times New Roman"/>
                <w:sz w:val="18"/>
                <w:szCs w:val="18"/>
                <w:lang w:val="en-US"/>
              </w:rPr>
            </w:pPr>
            <w:r w:rsidRPr="005F4D6B">
              <w:rPr>
                <w:rFonts w:ascii="Times New Roman" w:hAnsi="Times New Roman"/>
                <w:bCs/>
                <w:color w:val="000000"/>
                <w:sz w:val="18"/>
                <w:szCs w:val="18"/>
                <w:lang w:val="en-US"/>
              </w:rPr>
              <w:t>5.6</w:t>
            </w:r>
          </w:p>
        </w:tc>
        <w:tc>
          <w:tcPr>
            <w:tcW w:w="6840" w:type="dxa"/>
            <w:tcBorders>
              <w:right w:val="single" w:sz="4" w:space="0" w:color="auto"/>
            </w:tcBorders>
            <w:shd w:val="clear" w:color="auto" w:fill="auto"/>
            <w:vAlign w:val="center"/>
          </w:tcPr>
          <w:p w14:paraId="096C960D"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color w:val="000000"/>
                <w:sz w:val="18"/>
                <w:szCs w:val="18"/>
                <w:lang w:val="en-US"/>
              </w:rPr>
              <w:t>Consensus-building around contested priorities</w:t>
            </w:r>
          </w:p>
        </w:tc>
        <w:tc>
          <w:tcPr>
            <w:tcW w:w="1890" w:type="dxa"/>
            <w:gridSpan w:val="2"/>
            <w:tcBorders>
              <w:bottom w:val="single" w:sz="4" w:space="0" w:color="000000"/>
            </w:tcBorders>
            <w:vAlign w:val="center"/>
          </w:tcPr>
          <w:p w14:paraId="25C52E3E"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81%</w:t>
            </w:r>
          </w:p>
        </w:tc>
        <w:tc>
          <w:tcPr>
            <w:tcW w:w="1710" w:type="dxa"/>
            <w:tcBorders>
              <w:bottom w:val="single" w:sz="4" w:space="0" w:color="000000"/>
            </w:tcBorders>
            <w:shd w:val="clear" w:color="auto" w:fill="DBE5F1" w:themeFill="accent1" w:themeFillTint="33"/>
            <w:vAlign w:val="center"/>
          </w:tcPr>
          <w:p w14:paraId="188BB8DF"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5F03B6">
              <w:rPr>
                <w:rFonts w:ascii="Times New Roman" w:hAnsi="Times New Roman"/>
                <w:sz w:val="18"/>
                <w:szCs w:val="18"/>
                <w:lang w:val="en-US"/>
              </w:rPr>
              <w:t>91%</w:t>
            </w:r>
          </w:p>
        </w:tc>
        <w:tc>
          <w:tcPr>
            <w:tcW w:w="810" w:type="dxa"/>
            <w:shd w:val="clear" w:color="auto" w:fill="auto"/>
            <w:vAlign w:val="center"/>
          </w:tcPr>
          <w:p w14:paraId="43400D44"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3D0398">
              <w:rPr>
                <w:rFonts w:ascii="Times New Roman" w:hAnsi="Times New Roman"/>
                <w:b/>
                <w:noProof/>
                <w:color w:val="FFFFFF" w:themeColor="background1"/>
                <w:sz w:val="18"/>
                <w:szCs w:val="18"/>
                <w:lang w:val="en-US"/>
              </w:rPr>
              <mc:AlternateContent>
                <mc:Choice Requires="wps">
                  <w:drawing>
                    <wp:inline distT="0" distB="0" distL="0" distR="0" wp14:anchorId="03FC349E" wp14:editId="7D7B45B2">
                      <wp:extent cx="172085" cy="172085"/>
                      <wp:effectExtent l="0" t="0" r="5715" b="5715"/>
                      <wp:docPr id="245" name="Oval 2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085" cy="172085"/>
                              </a:xfrm>
                              <a:prstGeom prst="ellipse">
                                <a:avLst/>
                              </a:prstGeom>
                              <a:solidFill>
                                <a:srgbClr val="F5D80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8968E17" id="Oval 245" o:spid="_x0000_s1026" style="width:13.55pt;height:1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" fillcolor="#f5d805" stroked="f" strokeweight="1pt">
                      <v:stroke joinstyle="miter"/>
                      <v:path arrowok="t"/>
                      <o:lock v:ext="edit" aspectratio="t"/>
                      <w10:anchorlock/>
                    </v:oval>
                  </w:pict>
                </mc:Fallback>
              </mc:AlternateContent>
            </w:r>
          </w:p>
        </w:tc>
      </w:tr>
      <w:tr w:rsidR="000E4938" w:rsidRPr="005F03B6" w14:paraId="57FC6649" w14:textId="77777777" w:rsidTr="00243D06">
        <w:trPr>
          <w:trHeight w:val="360"/>
        </w:trPr>
        <w:tc>
          <w:tcPr>
            <w:tcW w:w="450" w:type="dxa"/>
            <w:shd w:val="clear" w:color="auto" w:fill="95B3D7" w:themeFill="accent1" w:themeFillTint="99"/>
            <w:vAlign w:val="center"/>
          </w:tcPr>
          <w:p w14:paraId="27E81CC8" w14:textId="77777777" w:rsidR="000E4938" w:rsidRPr="007D083D" w:rsidRDefault="000E4938" w:rsidP="00255B74">
            <w:pPr>
              <w:pStyle w:val="ColorfulList-Accent11"/>
              <w:widowControl w:val="0"/>
              <w:tabs>
                <w:tab w:val="left" w:pos="450"/>
              </w:tabs>
              <w:spacing w:before="20" w:after="20" w:line="240" w:lineRule="auto"/>
              <w:ind w:left="-108" w:right="-108"/>
              <w:contextualSpacing w:val="0"/>
              <w:jc w:val="center"/>
              <w:rPr>
                <w:rFonts w:ascii="Times New Roman" w:hAnsi="Times New Roman"/>
                <w:b/>
                <w:sz w:val="18"/>
                <w:szCs w:val="18"/>
                <w:lang w:val="en-US"/>
              </w:rPr>
            </w:pPr>
            <w:r>
              <w:rPr>
                <w:rFonts w:ascii="Times New Roman" w:hAnsi="Times New Roman"/>
                <w:b/>
                <w:sz w:val="18"/>
                <w:szCs w:val="18"/>
                <w:lang w:val="en-US"/>
              </w:rPr>
              <w:t>6</w:t>
            </w:r>
          </w:p>
        </w:tc>
        <w:tc>
          <w:tcPr>
            <w:tcW w:w="7285" w:type="dxa"/>
            <w:gridSpan w:val="2"/>
            <w:tcBorders>
              <w:right w:val="single" w:sz="4" w:space="0" w:color="95B3D7" w:themeColor="accent1" w:themeTint="99"/>
            </w:tcBorders>
            <w:shd w:val="clear" w:color="auto" w:fill="95B3D7" w:themeFill="accent1" w:themeFillTint="99"/>
            <w:vAlign w:val="center"/>
          </w:tcPr>
          <w:p w14:paraId="0EA4F1B0"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b/>
                <w:sz w:val="18"/>
                <w:szCs w:val="18"/>
                <w:lang w:val="en-US"/>
              </w:rPr>
              <w:t>Early recovery in post-conflict and post-disaster settings</w:t>
            </w:r>
          </w:p>
        </w:tc>
        <w:tc>
          <w:tcPr>
            <w:tcW w:w="3965" w:type="dxa"/>
            <w:gridSpan w:val="3"/>
            <w:tcBorders>
              <w:left w:val="single" w:sz="4" w:space="0" w:color="95B3D7" w:themeColor="accent1" w:themeTint="99"/>
            </w:tcBorders>
            <w:shd w:val="clear" w:color="auto" w:fill="95B3D7" w:themeFill="accent1" w:themeFillTint="99"/>
            <w:vAlign w:val="center"/>
          </w:tcPr>
          <w:p w14:paraId="68D895EC" w14:textId="77777777" w:rsidR="000E4938" w:rsidRPr="00BB40C5" w:rsidRDefault="000E4938" w:rsidP="00255B74">
            <w:pPr>
              <w:spacing w:after="0" w:line="240" w:lineRule="auto"/>
              <w:ind w:right="-108"/>
              <w:jc w:val="right"/>
              <w:rPr>
                <w:rFonts w:ascii="Times New Roman" w:hAnsi="Times New Roman"/>
                <w:b/>
                <w:sz w:val="18"/>
                <w:szCs w:val="18"/>
              </w:rPr>
            </w:pPr>
          </w:p>
        </w:tc>
      </w:tr>
      <w:tr w:rsidR="00F40225" w:rsidRPr="005F03B6" w14:paraId="715E26F3" w14:textId="77777777" w:rsidTr="00243D06">
        <w:trPr>
          <w:trHeight w:hRule="exact" w:val="360"/>
        </w:trPr>
        <w:tc>
          <w:tcPr>
            <w:tcW w:w="450" w:type="dxa"/>
            <w:shd w:val="clear" w:color="auto" w:fill="auto"/>
            <w:vAlign w:val="center"/>
          </w:tcPr>
          <w:p w14:paraId="08ECD969" w14:textId="77777777" w:rsidR="000E4938" w:rsidRPr="005F4D6B" w:rsidRDefault="000E4938" w:rsidP="00255B74">
            <w:pPr>
              <w:pStyle w:val="ColorfulList-Accent11"/>
              <w:widowControl w:val="0"/>
              <w:tabs>
                <w:tab w:val="left" w:pos="450"/>
              </w:tabs>
              <w:spacing w:before="20" w:after="20" w:line="240" w:lineRule="auto"/>
              <w:ind w:left="-108" w:right="-108"/>
              <w:contextualSpacing w:val="0"/>
              <w:jc w:val="center"/>
              <w:rPr>
                <w:rFonts w:ascii="Times New Roman" w:hAnsi="Times New Roman"/>
                <w:sz w:val="18"/>
                <w:szCs w:val="18"/>
                <w:lang w:val="en-US"/>
              </w:rPr>
            </w:pPr>
            <w:r w:rsidRPr="005F4D6B">
              <w:rPr>
                <w:rFonts w:ascii="Times New Roman" w:hAnsi="Times New Roman"/>
                <w:sz w:val="18"/>
                <w:szCs w:val="18"/>
                <w:lang w:val="en-US"/>
              </w:rPr>
              <w:t>6.1</w:t>
            </w:r>
          </w:p>
        </w:tc>
        <w:tc>
          <w:tcPr>
            <w:tcW w:w="6840" w:type="dxa"/>
            <w:tcBorders>
              <w:right w:val="single" w:sz="4" w:space="0" w:color="auto"/>
            </w:tcBorders>
            <w:shd w:val="clear" w:color="auto" w:fill="auto"/>
            <w:vAlign w:val="center"/>
          </w:tcPr>
          <w:p w14:paraId="015D514A"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sz w:val="18"/>
                <w:szCs w:val="18"/>
                <w:lang w:val="en-US"/>
              </w:rPr>
              <w:t>Early economic revitalization</w:t>
            </w:r>
          </w:p>
        </w:tc>
        <w:tc>
          <w:tcPr>
            <w:tcW w:w="1890" w:type="dxa"/>
            <w:gridSpan w:val="2"/>
            <w:tcBorders>
              <w:right w:val="single" w:sz="4" w:space="0" w:color="auto"/>
            </w:tcBorders>
            <w:vAlign w:val="center"/>
          </w:tcPr>
          <w:p w14:paraId="74042393"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82%</w:t>
            </w:r>
          </w:p>
        </w:tc>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D5B83C"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5F03B6">
              <w:rPr>
                <w:rFonts w:ascii="Times New Roman" w:hAnsi="Times New Roman"/>
                <w:sz w:val="18"/>
                <w:szCs w:val="18"/>
                <w:lang w:val="en-US"/>
              </w:rPr>
              <w:t>129%</w:t>
            </w:r>
          </w:p>
        </w:tc>
        <w:tc>
          <w:tcPr>
            <w:tcW w:w="810" w:type="dxa"/>
            <w:tcBorders>
              <w:left w:val="single" w:sz="4" w:space="0" w:color="auto"/>
            </w:tcBorders>
            <w:shd w:val="clear" w:color="auto" w:fill="auto"/>
            <w:vAlign w:val="center"/>
          </w:tcPr>
          <w:p w14:paraId="6B09C883"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3D0398">
              <w:rPr>
                <w:rFonts w:ascii="Times New Roman" w:hAnsi="Times New Roman"/>
                <w:b/>
                <w:noProof/>
                <w:sz w:val="18"/>
                <w:szCs w:val="18"/>
                <w:lang w:val="en-US"/>
              </w:rPr>
              <mc:AlternateContent>
                <mc:Choice Requires="wps">
                  <w:drawing>
                    <wp:inline distT="0" distB="0" distL="0" distR="0" wp14:anchorId="7D2DB59F" wp14:editId="5D9D8D9F">
                      <wp:extent cx="172720" cy="172720"/>
                      <wp:effectExtent l="0" t="0" r="5080" b="5080"/>
                      <wp:docPr id="246" name="Oval 2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720" cy="172720"/>
                              </a:xfrm>
                              <a:prstGeom prst="ellipse">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501F871" id="Oval 246" o:spid="_x0000_s1026" style="width:13.6pt;height: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" fillcolor="#92d050" stroked="f" strokeweight="1pt">
                      <v:stroke joinstyle="miter"/>
                      <v:path arrowok="t"/>
                      <o:lock v:ext="edit" aspectratio="t"/>
                      <w10:anchorlock/>
                    </v:oval>
                  </w:pict>
                </mc:Fallback>
              </mc:AlternateContent>
            </w:r>
          </w:p>
        </w:tc>
      </w:tr>
      <w:tr w:rsidR="00243D06" w:rsidRPr="005F03B6" w14:paraId="7B33624C" w14:textId="77777777" w:rsidTr="00243D06">
        <w:trPr>
          <w:trHeight w:hRule="exact" w:val="360"/>
        </w:trPr>
        <w:tc>
          <w:tcPr>
            <w:tcW w:w="450" w:type="dxa"/>
            <w:tcBorders>
              <w:top w:val="single" w:sz="4" w:space="0" w:color="auto"/>
            </w:tcBorders>
            <w:shd w:val="clear" w:color="auto" w:fill="auto"/>
            <w:vAlign w:val="center"/>
          </w:tcPr>
          <w:p w14:paraId="44091EB4" w14:textId="77777777" w:rsidR="000E4938" w:rsidRPr="005F4D6B" w:rsidRDefault="000E4938" w:rsidP="00255B74">
            <w:pPr>
              <w:pStyle w:val="ColorfulList-Accent11"/>
              <w:widowControl w:val="0"/>
              <w:tabs>
                <w:tab w:val="left" w:pos="734"/>
              </w:tabs>
              <w:spacing w:before="20" w:after="20" w:line="240" w:lineRule="auto"/>
              <w:ind w:left="-108" w:right="-108"/>
              <w:contextualSpacing w:val="0"/>
              <w:jc w:val="center"/>
              <w:rPr>
                <w:rFonts w:ascii="Times New Roman" w:hAnsi="Times New Roman"/>
                <w:sz w:val="18"/>
                <w:szCs w:val="18"/>
                <w:lang w:val="en-US"/>
              </w:rPr>
            </w:pPr>
            <w:r w:rsidRPr="005F4D6B">
              <w:rPr>
                <w:rFonts w:ascii="Times New Roman" w:hAnsi="Times New Roman"/>
                <w:sz w:val="18"/>
                <w:szCs w:val="18"/>
                <w:lang w:val="en-US"/>
              </w:rPr>
              <w:t>6.2</w:t>
            </w:r>
          </w:p>
        </w:tc>
        <w:tc>
          <w:tcPr>
            <w:tcW w:w="6840" w:type="dxa"/>
            <w:tcBorders>
              <w:top w:val="single" w:sz="4" w:space="0" w:color="auto"/>
              <w:right w:val="single" w:sz="4" w:space="0" w:color="auto"/>
            </w:tcBorders>
            <w:shd w:val="clear" w:color="auto" w:fill="auto"/>
            <w:vAlign w:val="center"/>
          </w:tcPr>
          <w:p w14:paraId="2CEBC4EC"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sz w:val="18"/>
                <w:szCs w:val="18"/>
                <w:lang w:val="en-US"/>
              </w:rPr>
              <w:t>Capacities for early recovery efforts</w:t>
            </w:r>
          </w:p>
        </w:tc>
        <w:tc>
          <w:tcPr>
            <w:tcW w:w="1890" w:type="dxa"/>
            <w:gridSpan w:val="2"/>
            <w:tcBorders>
              <w:top w:val="single" w:sz="4" w:space="0" w:color="auto"/>
            </w:tcBorders>
            <w:vAlign w:val="center"/>
          </w:tcPr>
          <w:p w14:paraId="6BEE49EE"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71%</w:t>
            </w:r>
          </w:p>
        </w:tc>
        <w:tc>
          <w:tcPr>
            <w:tcW w:w="1710" w:type="dxa"/>
            <w:tcBorders>
              <w:top w:val="single" w:sz="4" w:space="0" w:color="auto"/>
            </w:tcBorders>
            <w:shd w:val="clear" w:color="auto" w:fill="DBE5F1" w:themeFill="accent1" w:themeFillTint="33"/>
            <w:vAlign w:val="center"/>
          </w:tcPr>
          <w:p w14:paraId="2F971225"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5F03B6">
              <w:rPr>
                <w:rFonts w:ascii="Times New Roman" w:hAnsi="Times New Roman"/>
                <w:sz w:val="18"/>
                <w:szCs w:val="18"/>
                <w:lang w:val="en-US"/>
              </w:rPr>
              <w:t>83%</w:t>
            </w:r>
          </w:p>
        </w:tc>
        <w:tc>
          <w:tcPr>
            <w:tcW w:w="810" w:type="dxa"/>
            <w:shd w:val="clear" w:color="auto" w:fill="auto"/>
            <w:vAlign w:val="center"/>
          </w:tcPr>
          <w:p w14:paraId="519FD175"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3D0398">
              <w:rPr>
                <w:rFonts w:ascii="Times New Roman" w:hAnsi="Times New Roman"/>
                <w:b/>
                <w:noProof/>
                <w:color w:val="FFFFFF" w:themeColor="background1"/>
                <w:sz w:val="18"/>
                <w:szCs w:val="18"/>
                <w:lang w:val="en-US"/>
              </w:rPr>
              <mc:AlternateContent>
                <mc:Choice Requires="wps">
                  <w:drawing>
                    <wp:inline distT="0" distB="0" distL="0" distR="0" wp14:anchorId="004EE628" wp14:editId="6DE03464">
                      <wp:extent cx="172085" cy="172085"/>
                      <wp:effectExtent l="0" t="0" r="5715" b="5715"/>
                      <wp:docPr id="247" name="Oval 2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085" cy="172085"/>
                              </a:xfrm>
                              <a:prstGeom prst="ellipse">
                                <a:avLst/>
                              </a:prstGeom>
                              <a:solidFill>
                                <a:srgbClr val="F5D80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13F2E8D" id="Oval 247" o:spid="_x0000_s1026" style="width:13.55pt;height:1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" fillcolor="#f5d805" stroked="f" strokeweight="1pt">
                      <v:stroke joinstyle="miter"/>
                      <v:path arrowok="t"/>
                      <o:lock v:ext="edit" aspectratio="t"/>
                      <w10:anchorlock/>
                    </v:oval>
                  </w:pict>
                </mc:Fallback>
              </mc:AlternateContent>
            </w:r>
          </w:p>
        </w:tc>
      </w:tr>
      <w:tr w:rsidR="00243D06" w:rsidRPr="005F03B6" w14:paraId="6A74567D" w14:textId="77777777" w:rsidTr="00243D06">
        <w:trPr>
          <w:trHeight w:hRule="exact" w:val="360"/>
        </w:trPr>
        <w:tc>
          <w:tcPr>
            <w:tcW w:w="450" w:type="dxa"/>
            <w:shd w:val="clear" w:color="auto" w:fill="auto"/>
            <w:vAlign w:val="center"/>
          </w:tcPr>
          <w:p w14:paraId="7D4EF3EB" w14:textId="77777777" w:rsidR="000E4938" w:rsidRPr="005F4D6B" w:rsidRDefault="000E4938" w:rsidP="00255B74">
            <w:pPr>
              <w:pStyle w:val="ColorfulList-Accent11"/>
              <w:widowControl w:val="0"/>
              <w:tabs>
                <w:tab w:val="left" w:pos="734"/>
              </w:tabs>
              <w:spacing w:before="20" w:after="20" w:line="240" w:lineRule="auto"/>
              <w:ind w:left="-108" w:right="-108"/>
              <w:contextualSpacing w:val="0"/>
              <w:jc w:val="center"/>
              <w:rPr>
                <w:rFonts w:ascii="Times New Roman" w:hAnsi="Times New Roman"/>
                <w:sz w:val="18"/>
                <w:szCs w:val="18"/>
                <w:lang w:val="en-US"/>
              </w:rPr>
            </w:pPr>
            <w:r w:rsidRPr="005F4D6B">
              <w:rPr>
                <w:rFonts w:ascii="Times New Roman" w:hAnsi="Times New Roman"/>
                <w:sz w:val="18"/>
                <w:szCs w:val="18"/>
                <w:lang w:val="en-US"/>
              </w:rPr>
              <w:t>6.3</w:t>
            </w:r>
          </w:p>
        </w:tc>
        <w:tc>
          <w:tcPr>
            <w:tcW w:w="6840" w:type="dxa"/>
            <w:tcBorders>
              <w:right w:val="single" w:sz="4" w:space="0" w:color="auto"/>
            </w:tcBorders>
            <w:shd w:val="clear" w:color="auto" w:fill="auto"/>
            <w:vAlign w:val="center"/>
          </w:tcPr>
          <w:p w14:paraId="58F07761"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sz w:val="18"/>
                <w:szCs w:val="18"/>
                <w:lang w:val="en-US"/>
              </w:rPr>
              <w:t>Innovative partnerships in early recovery</w:t>
            </w:r>
          </w:p>
        </w:tc>
        <w:tc>
          <w:tcPr>
            <w:tcW w:w="1890" w:type="dxa"/>
            <w:gridSpan w:val="2"/>
            <w:vAlign w:val="center"/>
          </w:tcPr>
          <w:p w14:paraId="1C20AB91"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91%</w:t>
            </w:r>
          </w:p>
        </w:tc>
        <w:tc>
          <w:tcPr>
            <w:tcW w:w="1710" w:type="dxa"/>
            <w:shd w:val="clear" w:color="auto" w:fill="DBE5F1" w:themeFill="accent1" w:themeFillTint="33"/>
            <w:vAlign w:val="center"/>
          </w:tcPr>
          <w:p w14:paraId="2C629FA9"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5F03B6">
              <w:rPr>
                <w:rFonts w:ascii="Times New Roman" w:hAnsi="Times New Roman"/>
                <w:sz w:val="18"/>
                <w:szCs w:val="18"/>
                <w:lang w:val="en-US"/>
              </w:rPr>
              <w:t>57%</w:t>
            </w:r>
          </w:p>
        </w:tc>
        <w:tc>
          <w:tcPr>
            <w:tcW w:w="810" w:type="dxa"/>
            <w:shd w:val="clear" w:color="auto" w:fill="auto"/>
            <w:vAlign w:val="center"/>
          </w:tcPr>
          <w:p w14:paraId="5E93E2E5"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3D0398">
              <w:rPr>
                <w:rFonts w:ascii="Times New Roman" w:hAnsi="Times New Roman"/>
                <w:b/>
                <w:noProof/>
                <w:color w:val="FFFFFF" w:themeColor="background1"/>
                <w:sz w:val="18"/>
                <w:szCs w:val="18"/>
                <w:lang w:val="en-US"/>
              </w:rPr>
              <mc:AlternateContent>
                <mc:Choice Requires="wps">
                  <w:drawing>
                    <wp:inline distT="0" distB="0" distL="0" distR="0" wp14:anchorId="4D46D272" wp14:editId="310439DB">
                      <wp:extent cx="172085" cy="172085"/>
                      <wp:effectExtent l="0" t="0" r="5715" b="5715"/>
                      <wp:docPr id="248" name="Oval 2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085" cy="172085"/>
                              </a:xfrm>
                              <a:prstGeom prst="ellipse">
                                <a:avLst/>
                              </a:prstGeom>
                              <a:solidFill>
                                <a:srgbClr val="F5D80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8BAB2AC" id="Oval 248" o:spid="_x0000_s1026" style="width:13.55pt;height:1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" fillcolor="#f5d805" stroked="f" strokeweight="1pt">
                      <v:stroke joinstyle="miter"/>
                      <v:path arrowok="t"/>
                      <o:lock v:ext="edit" aspectratio="t"/>
                      <w10:anchorlock/>
                    </v:oval>
                  </w:pict>
                </mc:Fallback>
              </mc:AlternateContent>
            </w:r>
          </w:p>
        </w:tc>
      </w:tr>
      <w:tr w:rsidR="00243D06" w:rsidRPr="005F03B6" w14:paraId="4C4F2A04" w14:textId="77777777" w:rsidTr="00243D06">
        <w:trPr>
          <w:trHeight w:hRule="exact" w:val="360"/>
        </w:trPr>
        <w:tc>
          <w:tcPr>
            <w:tcW w:w="450" w:type="dxa"/>
            <w:shd w:val="clear" w:color="auto" w:fill="auto"/>
            <w:vAlign w:val="center"/>
          </w:tcPr>
          <w:p w14:paraId="0C26D773" w14:textId="77777777" w:rsidR="000E4938" w:rsidRPr="005F4D6B" w:rsidRDefault="000E4938" w:rsidP="00255B74">
            <w:pPr>
              <w:pStyle w:val="ColorfulList-Accent11"/>
              <w:widowControl w:val="0"/>
              <w:tabs>
                <w:tab w:val="left" w:pos="734"/>
              </w:tabs>
              <w:spacing w:before="20" w:after="20" w:line="240" w:lineRule="auto"/>
              <w:ind w:left="-108" w:right="-108"/>
              <w:contextualSpacing w:val="0"/>
              <w:jc w:val="center"/>
              <w:rPr>
                <w:rFonts w:ascii="Times New Roman" w:hAnsi="Times New Roman"/>
                <w:sz w:val="18"/>
                <w:szCs w:val="18"/>
                <w:lang w:val="en-US"/>
              </w:rPr>
            </w:pPr>
            <w:r w:rsidRPr="005F4D6B">
              <w:rPr>
                <w:rFonts w:ascii="Times New Roman" w:hAnsi="Times New Roman"/>
                <w:sz w:val="18"/>
                <w:szCs w:val="18"/>
                <w:lang w:val="en-US"/>
              </w:rPr>
              <w:t>6.4</w:t>
            </w:r>
          </w:p>
        </w:tc>
        <w:tc>
          <w:tcPr>
            <w:tcW w:w="6840" w:type="dxa"/>
            <w:tcBorders>
              <w:right w:val="single" w:sz="4" w:space="0" w:color="auto"/>
            </w:tcBorders>
            <w:shd w:val="clear" w:color="auto" w:fill="auto"/>
            <w:vAlign w:val="center"/>
          </w:tcPr>
          <w:p w14:paraId="492408AE"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sz w:val="18"/>
                <w:szCs w:val="18"/>
                <w:lang w:val="en-US"/>
              </w:rPr>
              <w:t>Social cohesion and trust</w:t>
            </w:r>
          </w:p>
        </w:tc>
        <w:tc>
          <w:tcPr>
            <w:tcW w:w="1890" w:type="dxa"/>
            <w:gridSpan w:val="2"/>
            <w:tcBorders>
              <w:bottom w:val="single" w:sz="4" w:space="0" w:color="000000"/>
            </w:tcBorders>
            <w:vAlign w:val="center"/>
          </w:tcPr>
          <w:p w14:paraId="066DD401"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82%</w:t>
            </w:r>
          </w:p>
        </w:tc>
        <w:tc>
          <w:tcPr>
            <w:tcW w:w="1710" w:type="dxa"/>
            <w:tcBorders>
              <w:bottom w:val="single" w:sz="4" w:space="0" w:color="000000"/>
            </w:tcBorders>
            <w:shd w:val="clear" w:color="auto" w:fill="DBE5F1" w:themeFill="accent1" w:themeFillTint="33"/>
            <w:vAlign w:val="center"/>
          </w:tcPr>
          <w:p w14:paraId="3E6AE735"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5F03B6">
              <w:rPr>
                <w:rFonts w:ascii="Times New Roman" w:hAnsi="Times New Roman"/>
                <w:sz w:val="18"/>
                <w:szCs w:val="18"/>
                <w:lang w:val="en-US"/>
              </w:rPr>
              <w:t>133%</w:t>
            </w:r>
          </w:p>
        </w:tc>
        <w:tc>
          <w:tcPr>
            <w:tcW w:w="810" w:type="dxa"/>
            <w:shd w:val="clear" w:color="auto" w:fill="auto"/>
            <w:vAlign w:val="center"/>
          </w:tcPr>
          <w:p w14:paraId="2634A29D"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3D0398">
              <w:rPr>
                <w:rFonts w:ascii="Times New Roman" w:hAnsi="Times New Roman"/>
                <w:b/>
                <w:noProof/>
                <w:sz w:val="18"/>
                <w:szCs w:val="18"/>
                <w:lang w:val="en-US"/>
              </w:rPr>
              <mc:AlternateContent>
                <mc:Choice Requires="wps">
                  <w:drawing>
                    <wp:inline distT="0" distB="0" distL="0" distR="0" wp14:anchorId="0A2C4341" wp14:editId="5F1CCD08">
                      <wp:extent cx="172720" cy="172720"/>
                      <wp:effectExtent l="0" t="0" r="5080" b="5080"/>
                      <wp:docPr id="249" name="Oval 2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720" cy="172720"/>
                              </a:xfrm>
                              <a:prstGeom prst="ellipse">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C01C60" id="Oval 249" o:spid="_x0000_s1026" style="width:13.6pt;height: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" fillcolor="#92d050" stroked="f" strokeweight="1pt">
                      <v:stroke joinstyle="miter"/>
                      <v:path arrowok="t"/>
                      <o:lock v:ext="edit" aspectratio="t"/>
                      <w10:anchorlock/>
                    </v:oval>
                  </w:pict>
                </mc:Fallback>
              </mc:AlternateContent>
            </w:r>
          </w:p>
        </w:tc>
      </w:tr>
      <w:tr w:rsidR="000E4938" w:rsidRPr="005F03B6" w14:paraId="4656358C" w14:textId="77777777" w:rsidTr="00243D06">
        <w:trPr>
          <w:trHeight w:val="360"/>
        </w:trPr>
        <w:tc>
          <w:tcPr>
            <w:tcW w:w="450" w:type="dxa"/>
            <w:shd w:val="clear" w:color="auto" w:fill="95B3D7" w:themeFill="accent1" w:themeFillTint="99"/>
            <w:vAlign w:val="center"/>
          </w:tcPr>
          <w:p w14:paraId="140BB226" w14:textId="77777777" w:rsidR="000E4938" w:rsidRPr="007D083D" w:rsidRDefault="000E4938" w:rsidP="00255B74">
            <w:pPr>
              <w:pStyle w:val="ColorfulList-Accent11"/>
              <w:widowControl w:val="0"/>
              <w:tabs>
                <w:tab w:val="left" w:pos="450"/>
              </w:tabs>
              <w:spacing w:before="20" w:after="20" w:line="240" w:lineRule="auto"/>
              <w:ind w:left="-108" w:right="-108"/>
              <w:contextualSpacing w:val="0"/>
              <w:jc w:val="center"/>
              <w:rPr>
                <w:rFonts w:ascii="Times New Roman" w:hAnsi="Times New Roman"/>
                <w:b/>
                <w:sz w:val="18"/>
                <w:szCs w:val="18"/>
                <w:lang w:val="en-US"/>
              </w:rPr>
            </w:pPr>
            <w:r>
              <w:rPr>
                <w:rFonts w:ascii="Times New Roman" w:hAnsi="Times New Roman"/>
                <w:b/>
                <w:sz w:val="18"/>
                <w:szCs w:val="18"/>
                <w:lang w:val="en-US"/>
              </w:rPr>
              <w:t>7</w:t>
            </w:r>
          </w:p>
        </w:tc>
        <w:tc>
          <w:tcPr>
            <w:tcW w:w="10440" w:type="dxa"/>
            <w:gridSpan w:val="4"/>
            <w:tcBorders>
              <w:right w:val="single" w:sz="4" w:space="0" w:color="95B3D7" w:themeColor="accent1" w:themeTint="99"/>
            </w:tcBorders>
            <w:shd w:val="clear" w:color="auto" w:fill="95B3D7" w:themeFill="accent1" w:themeFillTint="99"/>
            <w:vAlign w:val="center"/>
          </w:tcPr>
          <w:p w14:paraId="1FBE155A"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b/>
                <w:sz w:val="18"/>
                <w:szCs w:val="18"/>
                <w:lang w:val="en-US"/>
              </w:rPr>
              <w:t>Thought leadership</w:t>
            </w:r>
          </w:p>
        </w:tc>
        <w:tc>
          <w:tcPr>
            <w:tcW w:w="810" w:type="dxa"/>
            <w:tcBorders>
              <w:left w:val="single" w:sz="4" w:space="0" w:color="95B3D7" w:themeColor="accent1" w:themeTint="99"/>
            </w:tcBorders>
            <w:shd w:val="clear" w:color="auto" w:fill="95B3D7" w:themeFill="accent1" w:themeFillTint="99"/>
            <w:vAlign w:val="center"/>
          </w:tcPr>
          <w:p w14:paraId="5A45E45A" w14:textId="77777777" w:rsidR="000E4938" w:rsidRPr="00BB40C5" w:rsidRDefault="000E4938" w:rsidP="00255B74">
            <w:pPr>
              <w:spacing w:after="0" w:line="240" w:lineRule="auto"/>
              <w:jc w:val="right"/>
              <w:rPr>
                <w:rFonts w:ascii="Times New Roman" w:hAnsi="Times New Roman"/>
                <w:b/>
                <w:sz w:val="18"/>
                <w:szCs w:val="18"/>
              </w:rPr>
            </w:pPr>
          </w:p>
        </w:tc>
      </w:tr>
      <w:tr w:rsidR="003058DD" w:rsidRPr="005F03B6" w14:paraId="7EE3D667" w14:textId="77777777" w:rsidTr="00243D06">
        <w:trPr>
          <w:trHeight w:hRule="exact" w:val="360"/>
        </w:trPr>
        <w:tc>
          <w:tcPr>
            <w:tcW w:w="450" w:type="dxa"/>
            <w:shd w:val="clear" w:color="auto" w:fill="auto"/>
            <w:vAlign w:val="center"/>
          </w:tcPr>
          <w:p w14:paraId="7451286D" w14:textId="77777777" w:rsidR="000E4938" w:rsidRPr="005F4D6B" w:rsidRDefault="000E4938" w:rsidP="00255B74">
            <w:pPr>
              <w:pStyle w:val="ColorfulList-Accent11"/>
              <w:widowControl w:val="0"/>
              <w:tabs>
                <w:tab w:val="left" w:pos="450"/>
              </w:tabs>
              <w:spacing w:before="20" w:after="20" w:line="240" w:lineRule="auto"/>
              <w:ind w:left="-108" w:right="-108"/>
              <w:contextualSpacing w:val="0"/>
              <w:jc w:val="center"/>
              <w:rPr>
                <w:rFonts w:ascii="Times New Roman" w:hAnsi="Times New Roman"/>
                <w:sz w:val="18"/>
                <w:szCs w:val="18"/>
                <w:lang w:val="en-US"/>
              </w:rPr>
            </w:pPr>
            <w:r w:rsidRPr="005F4D6B">
              <w:rPr>
                <w:rFonts w:ascii="Times New Roman" w:hAnsi="Times New Roman"/>
                <w:sz w:val="18"/>
                <w:szCs w:val="18"/>
                <w:lang w:val="en-US"/>
              </w:rPr>
              <w:t>7.1</w:t>
            </w:r>
          </w:p>
        </w:tc>
        <w:tc>
          <w:tcPr>
            <w:tcW w:w="6840" w:type="dxa"/>
            <w:tcBorders>
              <w:right w:val="single" w:sz="4" w:space="0" w:color="auto"/>
            </w:tcBorders>
            <w:shd w:val="clear" w:color="auto" w:fill="auto"/>
            <w:vAlign w:val="center"/>
          </w:tcPr>
          <w:p w14:paraId="6888E55E"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sz w:val="18"/>
                <w:szCs w:val="18"/>
                <w:lang w:val="en-US"/>
              </w:rPr>
              <w:t>Global consensus on MDGs and post-2015 agenda</w:t>
            </w:r>
          </w:p>
        </w:tc>
        <w:tc>
          <w:tcPr>
            <w:tcW w:w="1890" w:type="dxa"/>
            <w:gridSpan w:val="2"/>
            <w:tcBorders>
              <w:right w:val="single" w:sz="4" w:space="0" w:color="auto"/>
            </w:tcBorders>
            <w:vAlign w:val="center"/>
          </w:tcPr>
          <w:p w14:paraId="66D42615"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71%</w:t>
            </w:r>
          </w:p>
        </w:tc>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C5D2C9"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5F03B6">
              <w:rPr>
                <w:rFonts w:ascii="Times New Roman" w:hAnsi="Times New Roman"/>
                <w:sz w:val="18"/>
                <w:szCs w:val="18"/>
                <w:lang w:val="en-US"/>
              </w:rPr>
              <w:t>1</w:t>
            </w:r>
            <w:r>
              <w:rPr>
                <w:rFonts w:ascii="Times New Roman" w:hAnsi="Times New Roman"/>
                <w:sz w:val="18"/>
                <w:szCs w:val="18"/>
                <w:lang w:val="en-US"/>
              </w:rPr>
              <w:t>80</w:t>
            </w:r>
            <w:r w:rsidRPr="005F03B6">
              <w:rPr>
                <w:rFonts w:ascii="Times New Roman" w:hAnsi="Times New Roman"/>
                <w:sz w:val="18"/>
                <w:szCs w:val="18"/>
                <w:lang w:val="en-US"/>
              </w:rPr>
              <w:t>%</w:t>
            </w:r>
          </w:p>
        </w:tc>
        <w:tc>
          <w:tcPr>
            <w:tcW w:w="810" w:type="dxa"/>
            <w:tcBorders>
              <w:left w:val="single" w:sz="4" w:space="0" w:color="auto"/>
            </w:tcBorders>
            <w:shd w:val="clear" w:color="auto" w:fill="auto"/>
            <w:vAlign w:val="center"/>
          </w:tcPr>
          <w:p w14:paraId="07345D16"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3D0398">
              <w:rPr>
                <w:rFonts w:ascii="Times New Roman" w:hAnsi="Times New Roman"/>
                <w:b/>
                <w:noProof/>
                <w:sz w:val="18"/>
                <w:szCs w:val="18"/>
                <w:lang w:val="en-US"/>
              </w:rPr>
              <mc:AlternateContent>
                <mc:Choice Requires="wps">
                  <w:drawing>
                    <wp:inline distT="0" distB="0" distL="0" distR="0" wp14:anchorId="6EF2A37D" wp14:editId="6D76EEB7">
                      <wp:extent cx="172720" cy="172720"/>
                      <wp:effectExtent l="0" t="0" r="5080" b="5080"/>
                      <wp:docPr id="250" name="Oval 2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720" cy="172720"/>
                              </a:xfrm>
                              <a:prstGeom prst="ellipse">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D62348" id="Oval 250" o:spid="_x0000_s1026" style="width:13.6pt;height: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" fillcolor="#92d050" stroked="f" strokeweight="1pt">
                      <v:stroke joinstyle="miter"/>
                      <v:path arrowok="t"/>
                      <o:lock v:ext="edit" aspectratio="t"/>
                      <w10:anchorlock/>
                    </v:oval>
                  </w:pict>
                </mc:Fallback>
              </mc:AlternateContent>
            </w:r>
          </w:p>
        </w:tc>
      </w:tr>
      <w:tr w:rsidR="00243D06" w:rsidRPr="005F03B6" w14:paraId="565EB8B1" w14:textId="77777777" w:rsidTr="00243D06">
        <w:trPr>
          <w:trHeight w:hRule="exact" w:val="360"/>
        </w:trPr>
        <w:tc>
          <w:tcPr>
            <w:tcW w:w="450" w:type="dxa"/>
            <w:tcBorders>
              <w:top w:val="single" w:sz="4" w:space="0" w:color="auto"/>
            </w:tcBorders>
            <w:shd w:val="clear" w:color="auto" w:fill="auto"/>
            <w:vAlign w:val="center"/>
          </w:tcPr>
          <w:p w14:paraId="05A51D37" w14:textId="77777777" w:rsidR="000E4938" w:rsidRPr="005F4D6B" w:rsidRDefault="000E4938" w:rsidP="00255B74">
            <w:pPr>
              <w:pStyle w:val="ColorfulList-Accent11"/>
              <w:widowControl w:val="0"/>
              <w:tabs>
                <w:tab w:val="left" w:pos="450"/>
              </w:tabs>
              <w:spacing w:before="20" w:after="20" w:line="240" w:lineRule="auto"/>
              <w:ind w:left="-108" w:right="-108"/>
              <w:contextualSpacing w:val="0"/>
              <w:jc w:val="center"/>
              <w:rPr>
                <w:rFonts w:ascii="Times New Roman" w:hAnsi="Times New Roman"/>
                <w:sz w:val="18"/>
                <w:szCs w:val="18"/>
                <w:lang w:val="en-US"/>
              </w:rPr>
            </w:pPr>
            <w:r w:rsidRPr="005F4D6B">
              <w:rPr>
                <w:rFonts w:ascii="Times New Roman" w:hAnsi="Times New Roman"/>
                <w:sz w:val="18"/>
                <w:szCs w:val="18"/>
                <w:lang w:val="en-US"/>
              </w:rPr>
              <w:t>7.2</w:t>
            </w:r>
          </w:p>
        </w:tc>
        <w:tc>
          <w:tcPr>
            <w:tcW w:w="6840" w:type="dxa"/>
            <w:tcBorders>
              <w:top w:val="single" w:sz="4" w:space="0" w:color="auto"/>
              <w:right w:val="single" w:sz="4" w:space="0" w:color="auto"/>
            </w:tcBorders>
            <w:shd w:val="clear" w:color="auto" w:fill="auto"/>
            <w:vAlign w:val="center"/>
          </w:tcPr>
          <w:p w14:paraId="2A5E7AC2" w14:textId="77777777" w:rsidR="000E4938" w:rsidRPr="005F03B6" w:rsidRDefault="000E4938" w:rsidP="00255B74">
            <w:pPr>
              <w:pStyle w:val="ColorfulList-Accent11"/>
              <w:widowControl w:val="0"/>
              <w:tabs>
                <w:tab w:val="left" w:pos="450"/>
              </w:tabs>
              <w:spacing w:before="20" w:after="20" w:line="240" w:lineRule="auto"/>
              <w:ind w:left="0"/>
              <w:contextualSpacing w:val="0"/>
              <w:rPr>
                <w:rFonts w:ascii="Times New Roman" w:hAnsi="Times New Roman"/>
                <w:sz w:val="18"/>
                <w:szCs w:val="18"/>
                <w:lang w:val="en-US"/>
              </w:rPr>
            </w:pPr>
            <w:r w:rsidRPr="005F03B6">
              <w:rPr>
                <w:rFonts w:ascii="Times New Roman" w:hAnsi="Times New Roman"/>
                <w:sz w:val="18"/>
                <w:szCs w:val="18"/>
                <w:lang w:val="en-US"/>
              </w:rPr>
              <w:t>Monitor progress on MDGs and post-2015 agenda</w:t>
            </w:r>
          </w:p>
        </w:tc>
        <w:tc>
          <w:tcPr>
            <w:tcW w:w="1890" w:type="dxa"/>
            <w:gridSpan w:val="2"/>
            <w:tcBorders>
              <w:top w:val="single" w:sz="4" w:space="0" w:color="auto"/>
            </w:tcBorders>
            <w:vAlign w:val="center"/>
          </w:tcPr>
          <w:p w14:paraId="05982BAA" w14:textId="77777777" w:rsidR="000E4938"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76%</w:t>
            </w:r>
          </w:p>
        </w:tc>
        <w:tc>
          <w:tcPr>
            <w:tcW w:w="1710" w:type="dxa"/>
            <w:tcBorders>
              <w:top w:val="single" w:sz="4" w:space="0" w:color="auto"/>
            </w:tcBorders>
            <w:shd w:val="clear" w:color="auto" w:fill="DBE5F1" w:themeFill="accent1" w:themeFillTint="33"/>
            <w:vAlign w:val="center"/>
          </w:tcPr>
          <w:p w14:paraId="39CFBB4D"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100</w:t>
            </w:r>
            <w:r w:rsidRPr="005F03B6">
              <w:rPr>
                <w:rFonts w:ascii="Times New Roman" w:hAnsi="Times New Roman"/>
                <w:sz w:val="18"/>
                <w:szCs w:val="18"/>
                <w:lang w:val="en-US"/>
              </w:rPr>
              <w:t>%</w:t>
            </w:r>
          </w:p>
        </w:tc>
        <w:tc>
          <w:tcPr>
            <w:tcW w:w="810" w:type="dxa"/>
            <w:shd w:val="clear" w:color="auto" w:fill="auto"/>
            <w:vAlign w:val="center"/>
          </w:tcPr>
          <w:p w14:paraId="715148B2"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3D0398">
              <w:rPr>
                <w:rFonts w:ascii="Times New Roman" w:hAnsi="Times New Roman"/>
                <w:b/>
                <w:noProof/>
                <w:sz w:val="18"/>
                <w:szCs w:val="18"/>
                <w:lang w:val="en-US"/>
              </w:rPr>
              <mc:AlternateContent>
                <mc:Choice Requires="wps">
                  <w:drawing>
                    <wp:inline distT="0" distB="0" distL="0" distR="0" wp14:anchorId="06B0C983" wp14:editId="472F50C6">
                      <wp:extent cx="172720" cy="172720"/>
                      <wp:effectExtent l="0" t="0" r="5080" b="5080"/>
                      <wp:docPr id="251" name="Oval 2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720" cy="172720"/>
                              </a:xfrm>
                              <a:prstGeom prst="ellipse">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6CF3890" id="Oval 251" o:spid="_x0000_s1026" style="width:13.6pt;height: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" fillcolor="#92d050" stroked="f" strokeweight="1pt">
                      <v:stroke joinstyle="miter"/>
                      <v:path arrowok="t"/>
                      <o:lock v:ext="edit" aspectratio="t"/>
                      <w10:anchorlock/>
                    </v:oval>
                  </w:pict>
                </mc:Fallback>
              </mc:AlternateContent>
            </w:r>
          </w:p>
        </w:tc>
      </w:tr>
      <w:tr w:rsidR="00243D06" w:rsidRPr="005F03B6" w14:paraId="294C3AD5" w14:textId="77777777" w:rsidTr="00243D06">
        <w:trPr>
          <w:trHeight w:hRule="exact" w:val="360"/>
        </w:trPr>
        <w:tc>
          <w:tcPr>
            <w:tcW w:w="450" w:type="dxa"/>
            <w:shd w:val="clear" w:color="auto" w:fill="auto"/>
            <w:vAlign w:val="center"/>
          </w:tcPr>
          <w:p w14:paraId="0AE04B06" w14:textId="77777777" w:rsidR="000E4938" w:rsidRPr="005F03B6" w:rsidRDefault="000E4938" w:rsidP="00255B74">
            <w:pPr>
              <w:pStyle w:val="ColorfulList-Accent11"/>
              <w:widowControl w:val="0"/>
              <w:tabs>
                <w:tab w:val="left" w:pos="450"/>
              </w:tabs>
              <w:spacing w:after="0" w:line="240" w:lineRule="auto"/>
              <w:ind w:left="-108" w:right="-108"/>
              <w:contextualSpacing w:val="0"/>
              <w:jc w:val="center"/>
              <w:rPr>
                <w:rFonts w:ascii="Times New Roman" w:hAnsi="Times New Roman"/>
                <w:sz w:val="18"/>
                <w:szCs w:val="18"/>
                <w:lang w:val="en-US"/>
              </w:rPr>
            </w:pPr>
            <w:r w:rsidRPr="005F03B6">
              <w:rPr>
                <w:rFonts w:ascii="Times New Roman" w:hAnsi="Times New Roman"/>
                <w:sz w:val="18"/>
                <w:szCs w:val="18"/>
                <w:lang w:val="en-US"/>
              </w:rPr>
              <w:t>7.3</w:t>
            </w:r>
          </w:p>
        </w:tc>
        <w:tc>
          <w:tcPr>
            <w:tcW w:w="6840" w:type="dxa"/>
            <w:tcBorders>
              <w:right w:val="single" w:sz="4" w:space="0" w:color="auto"/>
            </w:tcBorders>
            <w:shd w:val="clear" w:color="auto" w:fill="auto"/>
            <w:vAlign w:val="center"/>
          </w:tcPr>
          <w:p w14:paraId="59AAEE29" w14:textId="77777777" w:rsidR="000E4938" w:rsidRPr="005F03B6" w:rsidRDefault="000E4938" w:rsidP="00255B74">
            <w:pPr>
              <w:pStyle w:val="ColorfulList-Accent11"/>
              <w:widowControl w:val="0"/>
              <w:tabs>
                <w:tab w:val="left" w:pos="450"/>
              </w:tabs>
              <w:spacing w:after="0" w:line="240" w:lineRule="auto"/>
              <w:ind w:left="0"/>
              <w:contextualSpacing w:val="0"/>
              <w:rPr>
                <w:rFonts w:ascii="Times New Roman" w:hAnsi="Times New Roman"/>
                <w:sz w:val="18"/>
                <w:szCs w:val="18"/>
                <w:lang w:val="en-US"/>
              </w:rPr>
            </w:pPr>
            <w:r w:rsidRPr="005F03B6">
              <w:rPr>
                <w:rFonts w:ascii="Times New Roman" w:hAnsi="Times New Roman"/>
                <w:sz w:val="18"/>
                <w:szCs w:val="18"/>
                <w:lang w:val="en-US"/>
              </w:rPr>
              <w:t>National development plans on poverty and inequality</w:t>
            </w:r>
          </w:p>
        </w:tc>
        <w:tc>
          <w:tcPr>
            <w:tcW w:w="1890" w:type="dxa"/>
            <w:gridSpan w:val="2"/>
            <w:vAlign w:val="center"/>
          </w:tcPr>
          <w:p w14:paraId="0D7F7197"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86%</w:t>
            </w:r>
          </w:p>
        </w:tc>
        <w:tc>
          <w:tcPr>
            <w:tcW w:w="1710" w:type="dxa"/>
            <w:shd w:val="clear" w:color="auto" w:fill="DBE5F1" w:themeFill="accent1" w:themeFillTint="33"/>
            <w:vAlign w:val="center"/>
          </w:tcPr>
          <w:p w14:paraId="6D356766"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5F03B6">
              <w:rPr>
                <w:rFonts w:ascii="Times New Roman" w:hAnsi="Times New Roman"/>
                <w:sz w:val="18"/>
                <w:szCs w:val="18"/>
                <w:lang w:val="en-US"/>
              </w:rPr>
              <w:t>145%</w:t>
            </w:r>
          </w:p>
        </w:tc>
        <w:tc>
          <w:tcPr>
            <w:tcW w:w="810" w:type="dxa"/>
            <w:shd w:val="clear" w:color="auto" w:fill="auto"/>
            <w:vAlign w:val="center"/>
          </w:tcPr>
          <w:p w14:paraId="34CCA114" w14:textId="77777777" w:rsidR="000E4938" w:rsidRPr="005F03B6" w:rsidRDefault="000E4938" w:rsidP="00255B74">
            <w:pPr>
              <w:pStyle w:val="ColorfulList-Accent11"/>
              <w:widowControl w:val="0"/>
              <w:tabs>
                <w:tab w:val="left" w:pos="450"/>
              </w:tabs>
              <w:spacing w:after="0" w:line="240" w:lineRule="auto"/>
              <w:ind w:left="0"/>
              <w:contextualSpacing w:val="0"/>
              <w:jc w:val="center"/>
              <w:rPr>
                <w:rFonts w:ascii="Times New Roman" w:hAnsi="Times New Roman"/>
                <w:sz w:val="18"/>
                <w:szCs w:val="18"/>
                <w:lang w:val="en-US"/>
              </w:rPr>
            </w:pPr>
            <w:r w:rsidRPr="003D0398">
              <w:rPr>
                <w:rFonts w:ascii="Times New Roman" w:hAnsi="Times New Roman"/>
                <w:b/>
                <w:noProof/>
                <w:sz w:val="18"/>
                <w:szCs w:val="18"/>
                <w:lang w:val="en-US"/>
              </w:rPr>
              <mc:AlternateContent>
                <mc:Choice Requires="wps">
                  <w:drawing>
                    <wp:inline distT="0" distB="0" distL="0" distR="0" wp14:anchorId="7D3A9FE1" wp14:editId="4D1486C7">
                      <wp:extent cx="172720" cy="172720"/>
                      <wp:effectExtent l="0" t="0" r="5080" b="5080"/>
                      <wp:docPr id="252" name="Oval 2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720" cy="172720"/>
                              </a:xfrm>
                              <a:prstGeom prst="ellipse">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54C8D65" id="Oval 252" o:spid="_x0000_s1026" style="width:13.6pt;height: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" fillcolor="#92d050" stroked="f" strokeweight="1pt">
                      <v:stroke joinstyle="miter"/>
                      <v:path arrowok="t"/>
                      <o:lock v:ext="edit" aspectratio="t"/>
                      <w10:anchorlock/>
                    </v:oval>
                  </w:pict>
                </mc:Fallback>
              </mc:AlternateContent>
            </w:r>
          </w:p>
        </w:tc>
      </w:tr>
      <w:tr w:rsidR="00243D06" w:rsidRPr="005F03B6" w14:paraId="7C0F78EF" w14:textId="77777777" w:rsidTr="00243D06">
        <w:trPr>
          <w:trHeight w:hRule="exact" w:val="360"/>
        </w:trPr>
        <w:tc>
          <w:tcPr>
            <w:tcW w:w="450" w:type="dxa"/>
            <w:shd w:val="clear" w:color="auto" w:fill="auto"/>
            <w:vAlign w:val="center"/>
          </w:tcPr>
          <w:p w14:paraId="6C79CA8D" w14:textId="77777777" w:rsidR="000E4938" w:rsidRPr="005F03B6" w:rsidRDefault="000E4938" w:rsidP="00255B74">
            <w:pPr>
              <w:pStyle w:val="ColorfulList-Accent11"/>
              <w:widowControl w:val="0"/>
              <w:tabs>
                <w:tab w:val="left" w:pos="450"/>
              </w:tabs>
              <w:spacing w:after="0" w:line="240" w:lineRule="auto"/>
              <w:ind w:left="-108" w:right="-108"/>
              <w:contextualSpacing w:val="0"/>
              <w:jc w:val="center"/>
              <w:rPr>
                <w:rFonts w:ascii="Times New Roman" w:hAnsi="Times New Roman"/>
                <w:sz w:val="18"/>
                <w:szCs w:val="18"/>
                <w:lang w:val="en-US"/>
              </w:rPr>
            </w:pPr>
            <w:r w:rsidRPr="005F03B6">
              <w:rPr>
                <w:rFonts w:ascii="Times New Roman" w:hAnsi="Times New Roman"/>
                <w:sz w:val="18"/>
                <w:szCs w:val="18"/>
                <w:lang w:val="en-US"/>
              </w:rPr>
              <w:t>7.4</w:t>
            </w:r>
          </w:p>
        </w:tc>
        <w:tc>
          <w:tcPr>
            <w:tcW w:w="6840" w:type="dxa"/>
            <w:tcBorders>
              <w:right w:val="single" w:sz="4" w:space="0" w:color="auto"/>
            </w:tcBorders>
            <w:shd w:val="clear" w:color="auto" w:fill="auto"/>
            <w:vAlign w:val="center"/>
          </w:tcPr>
          <w:p w14:paraId="175C86E0" w14:textId="77777777" w:rsidR="000E4938" w:rsidRPr="005F03B6" w:rsidRDefault="000E4938" w:rsidP="00255B74">
            <w:pPr>
              <w:pStyle w:val="ColorfulList-Accent11"/>
              <w:widowControl w:val="0"/>
              <w:tabs>
                <w:tab w:val="left" w:pos="450"/>
              </w:tabs>
              <w:spacing w:after="0" w:line="240" w:lineRule="auto"/>
              <w:ind w:left="0"/>
              <w:contextualSpacing w:val="0"/>
              <w:rPr>
                <w:rFonts w:ascii="Times New Roman" w:hAnsi="Times New Roman"/>
                <w:sz w:val="18"/>
                <w:szCs w:val="18"/>
                <w:lang w:val="en-US"/>
              </w:rPr>
            </w:pPr>
            <w:r w:rsidRPr="005F03B6">
              <w:rPr>
                <w:rFonts w:ascii="Times New Roman" w:hAnsi="Times New Roman"/>
                <w:sz w:val="18"/>
                <w:szCs w:val="18"/>
                <w:lang w:val="en-US"/>
              </w:rPr>
              <w:t>ODA and other global development financing</w:t>
            </w:r>
          </w:p>
        </w:tc>
        <w:tc>
          <w:tcPr>
            <w:tcW w:w="1890" w:type="dxa"/>
            <w:gridSpan w:val="2"/>
            <w:vAlign w:val="center"/>
          </w:tcPr>
          <w:p w14:paraId="53AEF865"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76%</w:t>
            </w:r>
          </w:p>
        </w:tc>
        <w:tc>
          <w:tcPr>
            <w:tcW w:w="1710" w:type="dxa"/>
            <w:shd w:val="clear" w:color="auto" w:fill="DBE5F1" w:themeFill="accent1" w:themeFillTint="33"/>
            <w:vAlign w:val="center"/>
          </w:tcPr>
          <w:p w14:paraId="7A7C1D4B"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5F03B6">
              <w:rPr>
                <w:rFonts w:ascii="Times New Roman" w:hAnsi="Times New Roman"/>
                <w:sz w:val="18"/>
                <w:szCs w:val="18"/>
                <w:lang w:val="en-US"/>
              </w:rPr>
              <w:t>86%</w:t>
            </w:r>
          </w:p>
        </w:tc>
        <w:tc>
          <w:tcPr>
            <w:tcW w:w="810" w:type="dxa"/>
            <w:shd w:val="clear" w:color="auto" w:fill="auto"/>
            <w:vAlign w:val="center"/>
          </w:tcPr>
          <w:p w14:paraId="067CC7F3" w14:textId="77777777" w:rsidR="000E4938" w:rsidRPr="005F03B6" w:rsidRDefault="000E4938" w:rsidP="00255B74">
            <w:pPr>
              <w:pStyle w:val="ColorfulList-Accent11"/>
              <w:widowControl w:val="0"/>
              <w:tabs>
                <w:tab w:val="left" w:pos="450"/>
              </w:tabs>
              <w:spacing w:after="0" w:line="240" w:lineRule="auto"/>
              <w:ind w:left="0"/>
              <w:contextualSpacing w:val="0"/>
              <w:jc w:val="center"/>
              <w:rPr>
                <w:rFonts w:ascii="Times New Roman" w:hAnsi="Times New Roman"/>
                <w:sz w:val="18"/>
                <w:szCs w:val="18"/>
                <w:lang w:val="en-US"/>
              </w:rPr>
            </w:pPr>
            <w:r w:rsidRPr="003D0398">
              <w:rPr>
                <w:rFonts w:ascii="Times New Roman" w:hAnsi="Times New Roman"/>
                <w:b/>
                <w:noProof/>
                <w:color w:val="FFFFFF" w:themeColor="background1"/>
                <w:sz w:val="18"/>
                <w:szCs w:val="18"/>
                <w:lang w:val="en-US"/>
              </w:rPr>
              <mc:AlternateContent>
                <mc:Choice Requires="wps">
                  <w:drawing>
                    <wp:inline distT="0" distB="0" distL="0" distR="0" wp14:anchorId="27836CDE" wp14:editId="77F43BB0">
                      <wp:extent cx="172085" cy="172085"/>
                      <wp:effectExtent l="0" t="0" r="5715" b="5715"/>
                      <wp:docPr id="253" name="Oval 2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085" cy="172085"/>
                              </a:xfrm>
                              <a:prstGeom prst="ellipse">
                                <a:avLst/>
                              </a:prstGeom>
                              <a:solidFill>
                                <a:srgbClr val="F5D80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3660DF3" id="Oval 253" o:spid="_x0000_s1026" style="width:13.55pt;height:1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" fillcolor="#f5d805" stroked="f" strokeweight="1pt">
                      <v:stroke joinstyle="miter"/>
                      <v:path arrowok="t"/>
                      <o:lock v:ext="edit" aspectratio="t"/>
                      <w10:anchorlock/>
                    </v:oval>
                  </w:pict>
                </mc:Fallback>
              </mc:AlternateContent>
            </w:r>
          </w:p>
        </w:tc>
      </w:tr>
      <w:tr w:rsidR="00243D06" w:rsidRPr="005F03B6" w14:paraId="70CBF323" w14:textId="77777777" w:rsidTr="00243D06">
        <w:trPr>
          <w:trHeight w:hRule="exact" w:val="360"/>
        </w:trPr>
        <w:tc>
          <w:tcPr>
            <w:tcW w:w="450" w:type="dxa"/>
            <w:shd w:val="clear" w:color="auto" w:fill="auto"/>
            <w:vAlign w:val="center"/>
          </w:tcPr>
          <w:p w14:paraId="789F69D9" w14:textId="77777777" w:rsidR="000E4938" w:rsidRPr="005F03B6" w:rsidRDefault="000E4938" w:rsidP="00255B74">
            <w:pPr>
              <w:pStyle w:val="ColorfulList-Accent11"/>
              <w:widowControl w:val="0"/>
              <w:tabs>
                <w:tab w:val="left" w:pos="450"/>
              </w:tabs>
              <w:spacing w:after="0" w:line="240" w:lineRule="auto"/>
              <w:ind w:left="-108" w:right="-108"/>
              <w:contextualSpacing w:val="0"/>
              <w:jc w:val="center"/>
              <w:rPr>
                <w:rFonts w:ascii="Times New Roman" w:hAnsi="Times New Roman"/>
                <w:sz w:val="18"/>
                <w:szCs w:val="18"/>
                <w:lang w:val="en-US"/>
              </w:rPr>
            </w:pPr>
            <w:r w:rsidRPr="005F03B6">
              <w:rPr>
                <w:rFonts w:ascii="Times New Roman" w:hAnsi="Times New Roman"/>
                <w:sz w:val="18"/>
                <w:szCs w:val="18"/>
                <w:lang w:val="en-US"/>
              </w:rPr>
              <w:lastRenderedPageBreak/>
              <w:t>7.5</w:t>
            </w:r>
          </w:p>
        </w:tc>
        <w:tc>
          <w:tcPr>
            <w:tcW w:w="6840" w:type="dxa"/>
            <w:tcBorders>
              <w:right w:val="single" w:sz="4" w:space="0" w:color="auto"/>
            </w:tcBorders>
            <w:shd w:val="clear" w:color="auto" w:fill="auto"/>
            <w:vAlign w:val="center"/>
          </w:tcPr>
          <w:p w14:paraId="16ACA1F2" w14:textId="77777777" w:rsidR="000E4938" w:rsidRPr="005F03B6" w:rsidRDefault="000E4938" w:rsidP="00255B74">
            <w:pPr>
              <w:pStyle w:val="ColorfulList-Accent11"/>
              <w:widowControl w:val="0"/>
              <w:tabs>
                <w:tab w:val="left" w:pos="450"/>
              </w:tabs>
              <w:spacing w:after="0" w:line="240" w:lineRule="auto"/>
              <w:ind w:left="0"/>
              <w:contextualSpacing w:val="0"/>
              <w:rPr>
                <w:rFonts w:ascii="Times New Roman" w:hAnsi="Times New Roman"/>
                <w:sz w:val="18"/>
                <w:szCs w:val="18"/>
                <w:lang w:val="en-US"/>
              </w:rPr>
            </w:pPr>
            <w:r>
              <w:rPr>
                <w:rFonts w:ascii="Times New Roman" w:hAnsi="Times New Roman"/>
                <w:sz w:val="18"/>
                <w:szCs w:val="18"/>
                <w:lang w:val="en-US"/>
              </w:rPr>
              <w:t>South-south</w:t>
            </w:r>
            <w:r w:rsidRPr="005F03B6">
              <w:rPr>
                <w:rFonts w:ascii="Times New Roman" w:hAnsi="Times New Roman"/>
                <w:sz w:val="18"/>
                <w:szCs w:val="18"/>
                <w:lang w:val="en-US"/>
              </w:rPr>
              <w:t xml:space="preserve"> and </w:t>
            </w:r>
            <w:r>
              <w:rPr>
                <w:rFonts w:ascii="Times New Roman" w:hAnsi="Times New Roman"/>
                <w:sz w:val="18"/>
                <w:szCs w:val="18"/>
                <w:lang w:val="en-US"/>
              </w:rPr>
              <w:t>t</w:t>
            </w:r>
            <w:r w:rsidRPr="005F03B6">
              <w:rPr>
                <w:rFonts w:ascii="Times New Roman" w:hAnsi="Times New Roman"/>
                <w:sz w:val="18"/>
                <w:szCs w:val="18"/>
                <w:lang w:val="en-US"/>
              </w:rPr>
              <w:t>riangular cooperation</w:t>
            </w:r>
          </w:p>
        </w:tc>
        <w:tc>
          <w:tcPr>
            <w:tcW w:w="1890" w:type="dxa"/>
            <w:gridSpan w:val="2"/>
            <w:vAlign w:val="center"/>
          </w:tcPr>
          <w:p w14:paraId="77CD7AFB"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81%</w:t>
            </w:r>
          </w:p>
        </w:tc>
        <w:tc>
          <w:tcPr>
            <w:tcW w:w="1710" w:type="dxa"/>
            <w:shd w:val="clear" w:color="auto" w:fill="DBE5F1" w:themeFill="accent1" w:themeFillTint="33"/>
            <w:vAlign w:val="center"/>
          </w:tcPr>
          <w:p w14:paraId="20F3E69F"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5F03B6">
              <w:rPr>
                <w:rFonts w:ascii="Times New Roman" w:hAnsi="Times New Roman"/>
                <w:sz w:val="18"/>
                <w:szCs w:val="18"/>
                <w:lang w:val="en-US"/>
              </w:rPr>
              <w:t>89%</w:t>
            </w:r>
          </w:p>
        </w:tc>
        <w:tc>
          <w:tcPr>
            <w:tcW w:w="810" w:type="dxa"/>
            <w:shd w:val="clear" w:color="auto" w:fill="auto"/>
            <w:vAlign w:val="center"/>
          </w:tcPr>
          <w:p w14:paraId="47E329EB" w14:textId="77777777" w:rsidR="000E4938" w:rsidRPr="005F03B6" w:rsidRDefault="000E4938" w:rsidP="00255B74">
            <w:pPr>
              <w:pStyle w:val="ColorfulList-Accent11"/>
              <w:widowControl w:val="0"/>
              <w:tabs>
                <w:tab w:val="left" w:pos="450"/>
              </w:tabs>
              <w:spacing w:after="0" w:line="240" w:lineRule="auto"/>
              <w:ind w:left="0"/>
              <w:contextualSpacing w:val="0"/>
              <w:jc w:val="center"/>
              <w:rPr>
                <w:rFonts w:ascii="Times New Roman" w:hAnsi="Times New Roman"/>
                <w:sz w:val="18"/>
                <w:szCs w:val="18"/>
                <w:lang w:val="en-US"/>
              </w:rPr>
            </w:pPr>
            <w:r w:rsidRPr="003D0398">
              <w:rPr>
                <w:rFonts w:ascii="Times New Roman" w:hAnsi="Times New Roman"/>
                <w:b/>
                <w:noProof/>
                <w:color w:val="FFFFFF" w:themeColor="background1"/>
                <w:sz w:val="18"/>
                <w:szCs w:val="18"/>
                <w:lang w:val="en-US"/>
              </w:rPr>
              <mc:AlternateContent>
                <mc:Choice Requires="wps">
                  <w:drawing>
                    <wp:inline distT="0" distB="0" distL="0" distR="0" wp14:anchorId="6FA2D43B" wp14:editId="54B4E108">
                      <wp:extent cx="172085" cy="172085"/>
                      <wp:effectExtent l="0" t="0" r="5715" b="5715"/>
                      <wp:docPr id="254" name="Oval 2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085" cy="172085"/>
                              </a:xfrm>
                              <a:prstGeom prst="ellipse">
                                <a:avLst/>
                              </a:prstGeom>
                              <a:solidFill>
                                <a:srgbClr val="F5D80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C4E0D44" id="Oval 254" o:spid="_x0000_s1026" style="width:13.55pt;height:1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" fillcolor="#f5d805" stroked="f" strokeweight="1pt">
                      <v:stroke joinstyle="miter"/>
                      <v:path arrowok="t"/>
                      <o:lock v:ext="edit" aspectratio="t"/>
                      <w10:anchorlock/>
                    </v:oval>
                  </w:pict>
                </mc:Fallback>
              </mc:AlternateContent>
            </w:r>
          </w:p>
        </w:tc>
      </w:tr>
      <w:tr w:rsidR="00243D06" w:rsidRPr="005F03B6" w14:paraId="2A26048F" w14:textId="77777777" w:rsidTr="00243D06">
        <w:trPr>
          <w:trHeight w:hRule="exact" w:val="360"/>
        </w:trPr>
        <w:tc>
          <w:tcPr>
            <w:tcW w:w="450" w:type="dxa"/>
            <w:shd w:val="clear" w:color="auto" w:fill="auto"/>
            <w:vAlign w:val="center"/>
          </w:tcPr>
          <w:p w14:paraId="5B3B6C97" w14:textId="77777777" w:rsidR="000E4938" w:rsidRPr="005F03B6" w:rsidRDefault="000E4938" w:rsidP="00255B74">
            <w:pPr>
              <w:pStyle w:val="ColorfulList-Accent11"/>
              <w:widowControl w:val="0"/>
              <w:tabs>
                <w:tab w:val="left" w:pos="450"/>
              </w:tabs>
              <w:spacing w:after="0" w:line="240" w:lineRule="auto"/>
              <w:ind w:left="-108" w:right="-108"/>
              <w:contextualSpacing w:val="0"/>
              <w:jc w:val="center"/>
              <w:rPr>
                <w:rFonts w:ascii="Times New Roman" w:hAnsi="Times New Roman"/>
                <w:sz w:val="18"/>
                <w:szCs w:val="18"/>
                <w:lang w:val="en-US"/>
              </w:rPr>
            </w:pPr>
            <w:r w:rsidRPr="005F03B6">
              <w:rPr>
                <w:rFonts w:ascii="Times New Roman" w:hAnsi="Times New Roman"/>
                <w:sz w:val="18"/>
                <w:szCs w:val="18"/>
                <w:lang w:val="en-US"/>
              </w:rPr>
              <w:t>7.6</w:t>
            </w:r>
          </w:p>
        </w:tc>
        <w:tc>
          <w:tcPr>
            <w:tcW w:w="6840" w:type="dxa"/>
            <w:tcBorders>
              <w:right w:val="single" w:sz="4" w:space="0" w:color="auto"/>
            </w:tcBorders>
            <w:shd w:val="clear" w:color="auto" w:fill="auto"/>
            <w:vAlign w:val="center"/>
          </w:tcPr>
          <w:p w14:paraId="11C1C5D5" w14:textId="77777777" w:rsidR="000E4938" w:rsidRPr="005F03B6" w:rsidRDefault="000E4938" w:rsidP="00255B74">
            <w:pPr>
              <w:pStyle w:val="ColorfulList-Accent11"/>
              <w:widowControl w:val="0"/>
              <w:tabs>
                <w:tab w:val="left" w:pos="450"/>
              </w:tabs>
              <w:spacing w:after="0" w:line="240" w:lineRule="auto"/>
              <w:ind w:left="0"/>
              <w:contextualSpacing w:val="0"/>
              <w:rPr>
                <w:rFonts w:ascii="Times New Roman" w:hAnsi="Times New Roman"/>
                <w:sz w:val="18"/>
                <w:szCs w:val="18"/>
                <w:lang w:val="en-US"/>
              </w:rPr>
            </w:pPr>
            <w:r w:rsidRPr="005F03B6">
              <w:rPr>
                <w:rFonts w:ascii="Times New Roman" w:hAnsi="Times New Roman"/>
                <w:sz w:val="18"/>
                <w:szCs w:val="18"/>
                <w:lang w:val="en-US"/>
              </w:rPr>
              <w:t>Innovations for development solutions</w:t>
            </w:r>
          </w:p>
        </w:tc>
        <w:tc>
          <w:tcPr>
            <w:tcW w:w="1890" w:type="dxa"/>
            <w:gridSpan w:val="2"/>
            <w:vAlign w:val="center"/>
          </w:tcPr>
          <w:p w14:paraId="51CF4236"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83%</w:t>
            </w:r>
          </w:p>
        </w:tc>
        <w:tc>
          <w:tcPr>
            <w:tcW w:w="1710" w:type="dxa"/>
            <w:shd w:val="clear" w:color="auto" w:fill="DBE5F1" w:themeFill="accent1" w:themeFillTint="33"/>
            <w:vAlign w:val="center"/>
          </w:tcPr>
          <w:p w14:paraId="172BF68C"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5F03B6">
              <w:rPr>
                <w:rFonts w:ascii="Times New Roman" w:hAnsi="Times New Roman"/>
                <w:sz w:val="18"/>
                <w:szCs w:val="18"/>
                <w:lang w:val="en-US"/>
              </w:rPr>
              <w:t>135%</w:t>
            </w:r>
          </w:p>
        </w:tc>
        <w:tc>
          <w:tcPr>
            <w:tcW w:w="810" w:type="dxa"/>
            <w:shd w:val="clear" w:color="auto" w:fill="auto"/>
            <w:vAlign w:val="center"/>
          </w:tcPr>
          <w:p w14:paraId="0C9E260A" w14:textId="77777777" w:rsidR="000E4938" w:rsidRPr="005F03B6" w:rsidRDefault="000E4938" w:rsidP="00255B74">
            <w:pPr>
              <w:pStyle w:val="ColorfulList-Accent11"/>
              <w:widowControl w:val="0"/>
              <w:tabs>
                <w:tab w:val="left" w:pos="450"/>
              </w:tabs>
              <w:spacing w:after="0" w:line="240" w:lineRule="auto"/>
              <w:ind w:left="0"/>
              <w:contextualSpacing w:val="0"/>
              <w:jc w:val="center"/>
              <w:rPr>
                <w:rFonts w:ascii="Times New Roman" w:hAnsi="Times New Roman"/>
                <w:sz w:val="18"/>
                <w:szCs w:val="18"/>
                <w:lang w:val="en-US"/>
              </w:rPr>
            </w:pPr>
            <w:r w:rsidRPr="003D0398">
              <w:rPr>
                <w:rFonts w:ascii="Times New Roman" w:hAnsi="Times New Roman"/>
                <w:b/>
                <w:noProof/>
                <w:sz w:val="18"/>
                <w:szCs w:val="18"/>
                <w:lang w:val="en-US"/>
              </w:rPr>
              <mc:AlternateContent>
                <mc:Choice Requires="wps">
                  <w:drawing>
                    <wp:inline distT="0" distB="0" distL="0" distR="0" wp14:anchorId="3A29C4A7" wp14:editId="6F69FEDA">
                      <wp:extent cx="172720" cy="172720"/>
                      <wp:effectExtent l="0" t="0" r="5080" b="5080"/>
                      <wp:docPr id="255" name="Oval 2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720" cy="172720"/>
                              </a:xfrm>
                              <a:prstGeom prst="ellipse">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67E84A6" id="Oval 255" o:spid="_x0000_s1026" style="width:13.6pt;height: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" fillcolor="#92d050" stroked="f" strokeweight="1pt">
                      <v:stroke joinstyle="miter"/>
                      <v:path arrowok="t"/>
                      <o:lock v:ext="edit" aspectratio="t"/>
                      <w10:anchorlock/>
                    </v:oval>
                  </w:pict>
                </mc:Fallback>
              </mc:AlternateContent>
            </w:r>
          </w:p>
        </w:tc>
      </w:tr>
      <w:tr w:rsidR="00243D06" w:rsidRPr="005F03B6" w14:paraId="2BB66B16" w14:textId="77777777" w:rsidTr="00243D06">
        <w:trPr>
          <w:trHeight w:hRule="exact" w:val="360"/>
        </w:trPr>
        <w:tc>
          <w:tcPr>
            <w:tcW w:w="450" w:type="dxa"/>
            <w:shd w:val="clear" w:color="auto" w:fill="auto"/>
            <w:vAlign w:val="center"/>
          </w:tcPr>
          <w:p w14:paraId="0F899AE6" w14:textId="77777777" w:rsidR="000E4938" w:rsidRPr="005F03B6" w:rsidRDefault="000E4938" w:rsidP="00255B74">
            <w:pPr>
              <w:pStyle w:val="ColorfulList-Accent11"/>
              <w:widowControl w:val="0"/>
              <w:tabs>
                <w:tab w:val="left" w:pos="450"/>
              </w:tabs>
              <w:spacing w:after="0" w:line="240" w:lineRule="auto"/>
              <w:ind w:left="-108" w:right="-108"/>
              <w:contextualSpacing w:val="0"/>
              <w:jc w:val="center"/>
              <w:rPr>
                <w:rFonts w:ascii="Times New Roman" w:hAnsi="Times New Roman"/>
                <w:sz w:val="18"/>
                <w:szCs w:val="18"/>
                <w:lang w:val="en-US"/>
              </w:rPr>
            </w:pPr>
            <w:r w:rsidRPr="005F03B6">
              <w:rPr>
                <w:rFonts w:ascii="Times New Roman" w:hAnsi="Times New Roman"/>
                <w:sz w:val="18"/>
                <w:szCs w:val="18"/>
                <w:lang w:val="en-US"/>
              </w:rPr>
              <w:t>7.7</w:t>
            </w:r>
          </w:p>
        </w:tc>
        <w:tc>
          <w:tcPr>
            <w:tcW w:w="6840" w:type="dxa"/>
            <w:tcBorders>
              <w:right w:val="single" w:sz="4" w:space="0" w:color="auto"/>
            </w:tcBorders>
            <w:shd w:val="clear" w:color="auto" w:fill="auto"/>
            <w:vAlign w:val="center"/>
          </w:tcPr>
          <w:p w14:paraId="2D081ED5" w14:textId="77777777" w:rsidR="000E4938" w:rsidRPr="005F03B6" w:rsidRDefault="000E4938" w:rsidP="00255B74">
            <w:pPr>
              <w:pStyle w:val="ColorfulList-Accent11"/>
              <w:widowControl w:val="0"/>
              <w:tabs>
                <w:tab w:val="left" w:pos="450"/>
              </w:tabs>
              <w:spacing w:after="0" w:line="240" w:lineRule="auto"/>
              <w:ind w:left="0"/>
              <w:contextualSpacing w:val="0"/>
              <w:rPr>
                <w:rFonts w:ascii="Times New Roman" w:hAnsi="Times New Roman"/>
                <w:sz w:val="18"/>
                <w:szCs w:val="18"/>
                <w:lang w:val="en-US"/>
              </w:rPr>
            </w:pPr>
            <w:r w:rsidRPr="005F03B6">
              <w:rPr>
                <w:rFonts w:ascii="Times New Roman" w:hAnsi="Times New Roman"/>
                <w:sz w:val="18"/>
                <w:szCs w:val="18"/>
                <w:lang w:val="en-US"/>
              </w:rPr>
              <w:t>Knowledge about development solutions</w:t>
            </w:r>
          </w:p>
        </w:tc>
        <w:tc>
          <w:tcPr>
            <w:tcW w:w="1890" w:type="dxa"/>
            <w:gridSpan w:val="2"/>
            <w:vAlign w:val="center"/>
          </w:tcPr>
          <w:p w14:paraId="2B938A7A"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82%</w:t>
            </w:r>
          </w:p>
        </w:tc>
        <w:tc>
          <w:tcPr>
            <w:tcW w:w="1710" w:type="dxa"/>
            <w:shd w:val="clear" w:color="auto" w:fill="DBE5F1" w:themeFill="accent1" w:themeFillTint="33"/>
            <w:vAlign w:val="center"/>
          </w:tcPr>
          <w:p w14:paraId="56342D88" w14:textId="1371D068" w:rsidR="000E4938" w:rsidRPr="005F03B6" w:rsidRDefault="00D054E8" w:rsidP="00D054E8">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101</w:t>
            </w:r>
            <w:r w:rsidR="000E4938" w:rsidRPr="005F03B6">
              <w:rPr>
                <w:rFonts w:ascii="Times New Roman" w:hAnsi="Times New Roman"/>
                <w:sz w:val="18"/>
                <w:szCs w:val="18"/>
                <w:lang w:val="en-US"/>
              </w:rPr>
              <w:t>%</w:t>
            </w:r>
          </w:p>
        </w:tc>
        <w:tc>
          <w:tcPr>
            <w:tcW w:w="810" w:type="dxa"/>
            <w:shd w:val="clear" w:color="auto" w:fill="auto"/>
            <w:vAlign w:val="center"/>
          </w:tcPr>
          <w:p w14:paraId="2AC391A0" w14:textId="4FA8B6DC" w:rsidR="000E4938" w:rsidRPr="005F03B6" w:rsidRDefault="00D054E8" w:rsidP="00255B74">
            <w:pPr>
              <w:pStyle w:val="ColorfulList-Accent11"/>
              <w:widowControl w:val="0"/>
              <w:tabs>
                <w:tab w:val="left" w:pos="450"/>
              </w:tabs>
              <w:spacing w:after="0" w:line="240" w:lineRule="auto"/>
              <w:ind w:left="0"/>
              <w:contextualSpacing w:val="0"/>
              <w:jc w:val="center"/>
              <w:rPr>
                <w:rFonts w:ascii="Times New Roman" w:hAnsi="Times New Roman"/>
                <w:sz w:val="18"/>
                <w:szCs w:val="18"/>
                <w:lang w:val="en-US"/>
              </w:rPr>
            </w:pPr>
            <w:r w:rsidRPr="003D0398">
              <w:rPr>
                <w:rFonts w:ascii="Times New Roman" w:hAnsi="Times New Roman"/>
                <w:b/>
                <w:noProof/>
                <w:sz w:val="18"/>
                <w:szCs w:val="18"/>
                <w:lang w:val="en-US"/>
              </w:rPr>
              <mc:AlternateContent>
                <mc:Choice Requires="wps">
                  <w:drawing>
                    <wp:inline distT="0" distB="0" distL="0" distR="0" wp14:anchorId="167C08A4" wp14:editId="2F643294">
                      <wp:extent cx="172720" cy="172720"/>
                      <wp:effectExtent l="0" t="0" r="5080" b="5080"/>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720" cy="172720"/>
                              </a:xfrm>
                              <a:prstGeom prst="ellipse">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17F14C1" id="Oval 2" o:spid="_x0000_s1026" style="width:13.6pt;height: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" fillcolor="#92d050" stroked="f" strokeweight="1pt">
                      <v:stroke joinstyle="miter"/>
                      <v:path arrowok="t"/>
                      <o:lock v:ext="edit" aspectratio="t"/>
                      <w10:anchorlock/>
                    </v:oval>
                  </w:pict>
                </mc:Fallback>
              </mc:AlternateContent>
            </w:r>
          </w:p>
        </w:tc>
      </w:tr>
      <w:tr w:rsidR="00243D06" w:rsidRPr="005F03B6" w14:paraId="2A16236B" w14:textId="77777777" w:rsidTr="00243D06">
        <w:trPr>
          <w:trHeight w:hRule="exact" w:val="360"/>
        </w:trPr>
        <w:tc>
          <w:tcPr>
            <w:tcW w:w="450" w:type="dxa"/>
            <w:shd w:val="clear" w:color="auto" w:fill="auto"/>
            <w:vAlign w:val="center"/>
          </w:tcPr>
          <w:p w14:paraId="1036FB2B" w14:textId="77777777" w:rsidR="000E4938" w:rsidRPr="005F03B6" w:rsidRDefault="000E4938" w:rsidP="00255B74">
            <w:pPr>
              <w:pStyle w:val="ColorfulList-Accent11"/>
              <w:widowControl w:val="0"/>
              <w:tabs>
                <w:tab w:val="left" w:pos="450"/>
              </w:tabs>
              <w:spacing w:after="0" w:line="240" w:lineRule="auto"/>
              <w:ind w:left="-108" w:right="-108"/>
              <w:contextualSpacing w:val="0"/>
              <w:jc w:val="center"/>
              <w:rPr>
                <w:rFonts w:ascii="Times New Roman" w:hAnsi="Times New Roman"/>
                <w:sz w:val="18"/>
                <w:szCs w:val="18"/>
                <w:lang w:val="en-US"/>
              </w:rPr>
            </w:pPr>
            <w:r w:rsidRPr="005F03B6">
              <w:rPr>
                <w:rFonts w:ascii="Times New Roman" w:hAnsi="Times New Roman"/>
                <w:sz w:val="18"/>
                <w:szCs w:val="18"/>
                <w:lang w:val="en-US"/>
              </w:rPr>
              <w:t>7.8</w:t>
            </w:r>
          </w:p>
        </w:tc>
        <w:tc>
          <w:tcPr>
            <w:tcW w:w="6840" w:type="dxa"/>
            <w:tcBorders>
              <w:right w:val="single" w:sz="4" w:space="0" w:color="auto"/>
            </w:tcBorders>
            <w:shd w:val="clear" w:color="auto" w:fill="auto"/>
            <w:vAlign w:val="center"/>
          </w:tcPr>
          <w:p w14:paraId="284E61BC" w14:textId="77777777" w:rsidR="000E4938" w:rsidRPr="005F03B6" w:rsidRDefault="000E4938" w:rsidP="00255B74">
            <w:pPr>
              <w:pStyle w:val="ColorfulList-Accent11"/>
              <w:widowControl w:val="0"/>
              <w:tabs>
                <w:tab w:val="left" w:pos="450"/>
              </w:tabs>
              <w:spacing w:after="0" w:line="240" w:lineRule="auto"/>
              <w:ind w:left="0"/>
              <w:contextualSpacing w:val="0"/>
              <w:rPr>
                <w:rFonts w:ascii="Times New Roman" w:hAnsi="Times New Roman"/>
                <w:sz w:val="18"/>
                <w:szCs w:val="18"/>
                <w:lang w:val="en-US"/>
              </w:rPr>
            </w:pPr>
            <w:r w:rsidRPr="005F03B6">
              <w:rPr>
                <w:rFonts w:ascii="Times New Roman" w:hAnsi="Times New Roman"/>
                <w:sz w:val="18"/>
                <w:szCs w:val="18"/>
                <w:lang w:val="en-US"/>
              </w:rPr>
              <w:t>MDGs and other internationally-agreed development goals</w:t>
            </w:r>
          </w:p>
        </w:tc>
        <w:tc>
          <w:tcPr>
            <w:tcW w:w="1890" w:type="dxa"/>
            <w:gridSpan w:val="2"/>
            <w:vAlign w:val="center"/>
          </w:tcPr>
          <w:p w14:paraId="62083D37"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Pr>
                <w:rFonts w:ascii="Times New Roman" w:hAnsi="Times New Roman"/>
                <w:sz w:val="18"/>
                <w:szCs w:val="18"/>
                <w:lang w:val="en-US"/>
              </w:rPr>
              <w:t>85%</w:t>
            </w:r>
          </w:p>
        </w:tc>
        <w:tc>
          <w:tcPr>
            <w:tcW w:w="1710" w:type="dxa"/>
            <w:shd w:val="clear" w:color="auto" w:fill="DBE5F1" w:themeFill="accent1" w:themeFillTint="33"/>
            <w:vAlign w:val="center"/>
          </w:tcPr>
          <w:p w14:paraId="7121519A" w14:textId="77777777" w:rsidR="000E4938" w:rsidRPr="005F03B6" w:rsidRDefault="000E4938" w:rsidP="00255B74">
            <w:pPr>
              <w:pStyle w:val="ColorfulList-Accent11"/>
              <w:widowControl w:val="0"/>
              <w:tabs>
                <w:tab w:val="left" w:pos="450"/>
              </w:tabs>
              <w:spacing w:before="20" w:after="20" w:line="240" w:lineRule="auto"/>
              <w:ind w:left="0"/>
              <w:contextualSpacing w:val="0"/>
              <w:jc w:val="center"/>
              <w:rPr>
                <w:rFonts w:ascii="Times New Roman" w:hAnsi="Times New Roman"/>
                <w:sz w:val="18"/>
                <w:szCs w:val="18"/>
                <w:lang w:val="en-US"/>
              </w:rPr>
            </w:pPr>
            <w:r w:rsidRPr="005F03B6">
              <w:rPr>
                <w:rFonts w:ascii="Times New Roman" w:hAnsi="Times New Roman"/>
                <w:sz w:val="18"/>
                <w:szCs w:val="18"/>
                <w:lang w:val="en-US"/>
              </w:rPr>
              <w:t>68%</w:t>
            </w:r>
          </w:p>
        </w:tc>
        <w:tc>
          <w:tcPr>
            <w:tcW w:w="810" w:type="dxa"/>
            <w:shd w:val="clear" w:color="auto" w:fill="auto"/>
            <w:vAlign w:val="center"/>
          </w:tcPr>
          <w:p w14:paraId="26446CFE" w14:textId="77777777" w:rsidR="000E4938" w:rsidRPr="005F03B6" w:rsidRDefault="000E4938" w:rsidP="00255B74">
            <w:pPr>
              <w:pStyle w:val="ColorfulList-Accent11"/>
              <w:widowControl w:val="0"/>
              <w:tabs>
                <w:tab w:val="left" w:pos="450"/>
              </w:tabs>
              <w:spacing w:after="0" w:line="240" w:lineRule="auto"/>
              <w:ind w:left="0"/>
              <w:contextualSpacing w:val="0"/>
              <w:jc w:val="center"/>
              <w:rPr>
                <w:rFonts w:ascii="Times New Roman" w:hAnsi="Times New Roman"/>
                <w:sz w:val="18"/>
                <w:szCs w:val="18"/>
                <w:lang w:val="en-US"/>
              </w:rPr>
            </w:pPr>
            <w:r w:rsidRPr="003D0398">
              <w:rPr>
                <w:rFonts w:ascii="Times New Roman" w:hAnsi="Times New Roman"/>
                <w:b/>
                <w:noProof/>
                <w:color w:val="FFFFFF" w:themeColor="background1"/>
                <w:sz w:val="18"/>
                <w:szCs w:val="18"/>
                <w:lang w:val="en-US"/>
              </w:rPr>
              <mc:AlternateContent>
                <mc:Choice Requires="wps">
                  <w:drawing>
                    <wp:inline distT="0" distB="0" distL="0" distR="0" wp14:anchorId="29478769" wp14:editId="3822A315">
                      <wp:extent cx="172085" cy="172085"/>
                      <wp:effectExtent l="0" t="0" r="5715" b="5715"/>
                      <wp:docPr id="35" name="Oval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2085" cy="172085"/>
                              </a:xfrm>
                              <a:prstGeom prst="ellipse">
                                <a:avLst/>
                              </a:prstGeom>
                              <a:solidFill>
                                <a:srgbClr val="F5D80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3D23FE8" id="Oval 11" o:spid="_x0000_s1026" style="width:13.55pt;height:1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" fillcolor="#f5d805" stroked="f" strokeweight="1pt">
                      <v:stroke joinstyle="miter"/>
                      <v:path arrowok="t"/>
                      <o:lock v:ext="edit" aspectratio="t"/>
                      <w10:anchorlock/>
                    </v:oval>
                  </w:pict>
                </mc:Fallback>
              </mc:AlternateContent>
            </w:r>
          </w:p>
        </w:tc>
      </w:tr>
    </w:tbl>
    <w:p w14:paraId="52D535A8" w14:textId="77777777" w:rsidR="00FD67A2" w:rsidRPr="00561746" w:rsidRDefault="00FD67A2" w:rsidP="00FD67A2">
      <w:pPr>
        <w:widowControl w:val="0"/>
        <w:autoSpaceDE w:val="0"/>
        <w:autoSpaceDN w:val="0"/>
        <w:adjustRightInd w:val="0"/>
        <w:jc w:val="both"/>
        <w:rPr>
          <w:rFonts w:ascii="Times New Roman" w:hAnsi="Times New Roman"/>
          <w:sz w:val="20"/>
          <w:szCs w:val="20"/>
        </w:rPr>
      </w:pPr>
    </w:p>
    <w:p w14:paraId="7EEDF1C6" w14:textId="77777777" w:rsidR="006E7D59" w:rsidRDefault="006E7D59">
      <w:pPr>
        <w:rPr>
          <w:rFonts w:eastAsia="SimSun" w:cs="Times New Roman"/>
          <w:b/>
          <w:sz w:val="28"/>
          <w:szCs w:val="20"/>
          <w:lang w:eastAsia="x-none"/>
        </w:rPr>
      </w:pPr>
      <w:r>
        <w:rPr>
          <w:rFonts w:eastAsia="SimSun"/>
          <w:sz w:val="28"/>
        </w:rPr>
        <w:br w:type="page"/>
      </w:r>
    </w:p>
    <w:p w14:paraId="26D6767A" w14:textId="7A6E9242" w:rsidR="00482A0E" w:rsidRPr="00372BC1" w:rsidRDefault="00482A0E" w:rsidP="00724F77">
      <w:pPr>
        <w:pStyle w:val="Heading2"/>
        <w:numPr>
          <w:ilvl w:val="0"/>
          <w:numId w:val="0"/>
        </w:numPr>
        <w:rPr>
          <w:rFonts w:asciiTheme="minorHAnsi" w:eastAsia="SimSun" w:hAnsiTheme="minorHAnsi"/>
          <w:sz w:val="28"/>
          <w:lang w:val="en-US"/>
        </w:rPr>
      </w:pPr>
      <w:r w:rsidRPr="00372BC1">
        <w:rPr>
          <w:rFonts w:asciiTheme="minorHAnsi" w:eastAsia="SimSun" w:hAnsiTheme="minorHAnsi"/>
          <w:sz w:val="28"/>
          <w:lang w:val="en-US"/>
        </w:rPr>
        <w:lastRenderedPageBreak/>
        <w:t>Annex II – Integrated Results and Resources Framework (IRRF)</w:t>
      </w:r>
      <w:r w:rsidR="008E51B5" w:rsidRPr="00372BC1">
        <w:rPr>
          <w:rFonts w:asciiTheme="minorHAnsi" w:eastAsia="SimSun" w:hAnsiTheme="minorHAnsi"/>
          <w:sz w:val="28"/>
          <w:lang w:val="en-US"/>
        </w:rPr>
        <w:t>: Methodology and 2014 results</w:t>
      </w:r>
    </w:p>
    <w:p w14:paraId="06EC0541" w14:textId="77777777" w:rsidR="00482A0E" w:rsidRPr="00AB1C22" w:rsidRDefault="00482A0E" w:rsidP="00AB1C22">
      <w:pPr>
        <w:spacing w:after="120" w:line="240" w:lineRule="auto"/>
        <w:rPr>
          <w:sz w:val="20"/>
          <w:szCs w:val="20"/>
          <w:lang w:eastAsia="x-none"/>
        </w:rPr>
      </w:pPr>
    </w:p>
    <w:p w14:paraId="7AC32D8B" w14:textId="5CA0FF29" w:rsidR="00AB1C22" w:rsidRPr="00F8739A" w:rsidRDefault="00405802" w:rsidP="006F161D">
      <w:pPr>
        <w:pStyle w:val="ListParagraph"/>
        <w:numPr>
          <w:ilvl w:val="0"/>
          <w:numId w:val="64"/>
        </w:numPr>
        <w:spacing w:after="120"/>
        <w:ind w:left="0" w:firstLine="0"/>
        <w:rPr>
          <w:rFonts w:eastAsia="Times New Roman"/>
          <w:sz w:val="20"/>
          <w:szCs w:val="20"/>
        </w:rPr>
      </w:pPr>
      <w:r>
        <w:rPr>
          <w:rFonts w:asciiTheme="minorHAnsi" w:eastAsia="Times New Roman" w:hAnsiTheme="minorHAnsi"/>
          <w:sz w:val="20"/>
          <w:szCs w:val="20"/>
        </w:rPr>
        <w:t>Annex II</w:t>
      </w:r>
      <w:r w:rsidR="00AB1C22" w:rsidRPr="00F8739A">
        <w:rPr>
          <w:rFonts w:asciiTheme="minorHAnsi" w:eastAsia="Times New Roman" w:hAnsiTheme="minorHAnsi"/>
          <w:sz w:val="20"/>
          <w:szCs w:val="20"/>
        </w:rPr>
        <w:t xml:space="preserve"> </w:t>
      </w:r>
      <w:r w:rsidR="003941CD" w:rsidRPr="00F8739A">
        <w:rPr>
          <w:rFonts w:eastAsia="Times New Roman"/>
          <w:sz w:val="20"/>
          <w:szCs w:val="20"/>
        </w:rPr>
        <w:t xml:space="preserve">responds to Executive Board decisions below, regarding the </w:t>
      </w:r>
      <w:r w:rsidR="00F8739A" w:rsidRPr="00F8739A">
        <w:rPr>
          <w:rFonts w:eastAsia="Times New Roman"/>
          <w:sz w:val="20"/>
          <w:szCs w:val="20"/>
        </w:rPr>
        <w:t xml:space="preserve">integrated results and resources framework presented as </w:t>
      </w:r>
      <w:r w:rsidR="00706FDB" w:rsidRPr="00F8739A">
        <w:rPr>
          <w:rFonts w:eastAsia="Times New Roman"/>
          <w:sz w:val="20"/>
          <w:szCs w:val="20"/>
        </w:rPr>
        <w:t xml:space="preserve">Annex II of the </w:t>
      </w:r>
      <w:r w:rsidR="00F8739A" w:rsidRPr="00F8739A">
        <w:rPr>
          <w:rFonts w:eastAsia="Times New Roman"/>
          <w:sz w:val="20"/>
          <w:szCs w:val="20"/>
        </w:rPr>
        <w:t>UNDP Strategic Plan (</w:t>
      </w:r>
      <w:r w:rsidR="00706FDB" w:rsidRPr="00F8739A">
        <w:rPr>
          <w:rFonts w:asciiTheme="minorHAnsi" w:eastAsiaTheme="minorHAnsi" w:hAnsiTheme="minorHAnsi"/>
          <w:sz w:val="20"/>
          <w:szCs w:val="20"/>
          <w:lang w:eastAsia="en-US"/>
        </w:rPr>
        <w:t>document DP/2013/40</w:t>
      </w:r>
      <w:r w:rsidR="00F8739A" w:rsidRPr="00F8739A">
        <w:rPr>
          <w:rFonts w:eastAsiaTheme="minorHAnsi"/>
          <w:sz w:val="20"/>
          <w:szCs w:val="20"/>
          <w:lang w:eastAsia="en-US"/>
        </w:rPr>
        <w:t>) approved in September 2013. It provides</w:t>
      </w:r>
      <w:r w:rsidR="00AB1C22" w:rsidRPr="00F8739A">
        <w:rPr>
          <w:rFonts w:asciiTheme="minorHAnsi" w:eastAsia="Times New Roman" w:hAnsiTheme="minorHAnsi"/>
          <w:sz w:val="20"/>
          <w:szCs w:val="20"/>
        </w:rPr>
        <w:t xml:space="preserve"> details on </w:t>
      </w:r>
      <w:r w:rsidR="00706FDB" w:rsidRPr="00F8739A">
        <w:rPr>
          <w:rFonts w:eastAsia="Times New Roman"/>
          <w:sz w:val="20"/>
          <w:szCs w:val="20"/>
        </w:rPr>
        <w:t xml:space="preserve">the </w:t>
      </w:r>
      <w:r w:rsidR="00F8739A" w:rsidRPr="00F8739A">
        <w:rPr>
          <w:rFonts w:eastAsia="Times New Roman"/>
          <w:sz w:val="20"/>
          <w:szCs w:val="20"/>
        </w:rPr>
        <w:t xml:space="preserve">process of </w:t>
      </w:r>
      <w:r w:rsidR="00706FDB" w:rsidRPr="00F8739A">
        <w:rPr>
          <w:rFonts w:eastAsia="Times New Roman"/>
          <w:sz w:val="20"/>
          <w:szCs w:val="20"/>
        </w:rPr>
        <w:t xml:space="preserve">IRRF </w:t>
      </w:r>
      <w:r w:rsidR="00AB1C22" w:rsidRPr="00F8739A">
        <w:rPr>
          <w:rFonts w:asciiTheme="minorHAnsi" w:eastAsia="Times New Roman" w:hAnsiTheme="minorHAnsi"/>
          <w:sz w:val="20"/>
          <w:szCs w:val="20"/>
        </w:rPr>
        <w:t>population for development and institu</w:t>
      </w:r>
      <w:r w:rsidR="00F8739A" w:rsidRPr="00F8739A">
        <w:rPr>
          <w:rFonts w:eastAsia="Times New Roman"/>
          <w:sz w:val="20"/>
          <w:szCs w:val="20"/>
        </w:rPr>
        <w:t xml:space="preserve">tional results presented in the </w:t>
      </w:r>
      <w:r w:rsidR="00AB1C22" w:rsidRPr="00F8739A">
        <w:rPr>
          <w:rFonts w:asciiTheme="minorHAnsi" w:eastAsia="Times New Roman" w:hAnsiTheme="minorHAnsi"/>
          <w:i/>
          <w:sz w:val="20"/>
          <w:szCs w:val="20"/>
        </w:rPr>
        <w:t xml:space="preserve">Annual Report </w:t>
      </w:r>
      <w:r w:rsidR="00F8739A" w:rsidRPr="00F8739A">
        <w:rPr>
          <w:rFonts w:eastAsia="Times New Roman"/>
          <w:i/>
          <w:sz w:val="20"/>
          <w:szCs w:val="20"/>
        </w:rPr>
        <w:t>of the Administrator on performance and results for 2014</w:t>
      </w:r>
      <w:r w:rsidR="00AB1C22" w:rsidRPr="00F8739A">
        <w:rPr>
          <w:rFonts w:asciiTheme="minorHAnsi" w:eastAsia="Times New Roman" w:hAnsiTheme="minorHAnsi"/>
          <w:sz w:val="20"/>
          <w:szCs w:val="20"/>
        </w:rPr>
        <w:t>. The full populated IRRF template is presented with 2013 baselines, 2014 milestones, 2014 achi</w:t>
      </w:r>
      <w:r w:rsidR="003941CD" w:rsidRPr="00F8739A">
        <w:rPr>
          <w:rFonts w:eastAsia="Times New Roman"/>
          <w:sz w:val="20"/>
          <w:szCs w:val="20"/>
        </w:rPr>
        <w:t>eved results, and 2017 targets.</w:t>
      </w:r>
    </w:p>
    <w:tbl>
      <w:tblPr>
        <w:tblStyle w:val="TableGrid"/>
        <w:tblW w:w="13225" w:type="dxa"/>
        <w:tblLook w:val="04A0" w:firstRow="1" w:lastRow="0" w:firstColumn="1" w:lastColumn="0" w:noHBand="0" w:noVBand="1"/>
      </w:tblPr>
      <w:tblGrid>
        <w:gridCol w:w="985"/>
        <w:gridCol w:w="12240"/>
      </w:tblGrid>
      <w:tr w:rsidR="003941CD" w:rsidRPr="00706FDB" w14:paraId="31F97EA7" w14:textId="77777777" w:rsidTr="00706FDB">
        <w:tc>
          <w:tcPr>
            <w:tcW w:w="985" w:type="dxa"/>
            <w:shd w:val="clear" w:color="auto" w:fill="DBE5F1" w:themeFill="accent1" w:themeFillTint="33"/>
          </w:tcPr>
          <w:p w14:paraId="1ED6C174" w14:textId="5CA50590" w:rsidR="003941CD" w:rsidRPr="00706FDB" w:rsidRDefault="003941CD" w:rsidP="00DC0202">
            <w:pPr>
              <w:spacing w:before="20" w:after="20"/>
              <w:rPr>
                <w:rFonts w:cstheme="minorHAnsi"/>
                <w:iCs/>
                <w:sz w:val="18"/>
                <w:szCs w:val="20"/>
              </w:rPr>
            </w:pPr>
            <w:r w:rsidRPr="00706FDB">
              <w:rPr>
                <w:rFonts w:cstheme="minorHAnsi"/>
                <w:b/>
                <w:sz w:val="18"/>
                <w:szCs w:val="20"/>
              </w:rPr>
              <w:t>Decision</w:t>
            </w:r>
            <w:r w:rsidR="0019557A" w:rsidRPr="00706FDB">
              <w:rPr>
                <w:rFonts w:cstheme="minorHAnsi"/>
                <w:b/>
                <w:sz w:val="18"/>
                <w:szCs w:val="20"/>
              </w:rPr>
              <w:t xml:space="preserve"> #</w:t>
            </w:r>
          </w:p>
        </w:tc>
        <w:tc>
          <w:tcPr>
            <w:tcW w:w="12240" w:type="dxa"/>
            <w:shd w:val="clear" w:color="auto" w:fill="DBE5F1" w:themeFill="accent1" w:themeFillTint="33"/>
          </w:tcPr>
          <w:p w14:paraId="2FC84B32" w14:textId="41819407" w:rsidR="003941CD" w:rsidRPr="00706FDB" w:rsidRDefault="00895161" w:rsidP="00DC0202">
            <w:pPr>
              <w:autoSpaceDE w:val="0"/>
              <w:autoSpaceDN w:val="0"/>
              <w:adjustRightInd w:val="0"/>
              <w:spacing w:before="20" w:after="20"/>
              <w:rPr>
                <w:rFonts w:eastAsiaTheme="minorHAnsi"/>
                <w:sz w:val="18"/>
                <w:szCs w:val="20"/>
                <w:lang w:eastAsia="en-US"/>
              </w:rPr>
            </w:pPr>
            <w:r>
              <w:rPr>
                <w:rFonts w:cstheme="minorHAnsi"/>
                <w:b/>
                <w:sz w:val="18"/>
                <w:szCs w:val="20"/>
              </w:rPr>
              <w:t>Relevant</w:t>
            </w:r>
            <w:r w:rsidR="003941CD" w:rsidRPr="00706FDB">
              <w:rPr>
                <w:rFonts w:cstheme="minorHAnsi"/>
                <w:b/>
                <w:sz w:val="18"/>
                <w:szCs w:val="20"/>
              </w:rPr>
              <w:t xml:space="preserve"> </w:t>
            </w:r>
            <w:r w:rsidR="00745F33" w:rsidRPr="00706FDB">
              <w:rPr>
                <w:rFonts w:cstheme="minorHAnsi"/>
                <w:b/>
                <w:sz w:val="18"/>
                <w:szCs w:val="20"/>
              </w:rPr>
              <w:t>paragraphs</w:t>
            </w:r>
          </w:p>
        </w:tc>
      </w:tr>
      <w:tr w:rsidR="003941CD" w:rsidRPr="00706FDB" w14:paraId="4B6BBBE8" w14:textId="77777777" w:rsidTr="00706FDB">
        <w:tc>
          <w:tcPr>
            <w:tcW w:w="985" w:type="dxa"/>
            <w:vMerge w:val="restart"/>
          </w:tcPr>
          <w:p w14:paraId="10E7CA3D" w14:textId="77777777" w:rsidR="003941CD" w:rsidRPr="00706FDB" w:rsidRDefault="003941CD" w:rsidP="00DC0202">
            <w:pPr>
              <w:spacing w:before="20" w:after="20"/>
              <w:rPr>
                <w:rFonts w:cstheme="minorHAnsi"/>
                <w:iCs/>
                <w:sz w:val="18"/>
                <w:szCs w:val="20"/>
              </w:rPr>
            </w:pPr>
            <w:r w:rsidRPr="00706FDB">
              <w:rPr>
                <w:rFonts w:cstheme="minorHAnsi"/>
                <w:iCs/>
                <w:sz w:val="18"/>
                <w:szCs w:val="20"/>
              </w:rPr>
              <w:t>2013/27</w:t>
            </w:r>
          </w:p>
        </w:tc>
        <w:tc>
          <w:tcPr>
            <w:tcW w:w="12240" w:type="dxa"/>
          </w:tcPr>
          <w:p w14:paraId="274634FE" w14:textId="77777777" w:rsidR="003941CD" w:rsidRPr="00706FDB" w:rsidRDefault="003941CD" w:rsidP="00DC0202">
            <w:pPr>
              <w:autoSpaceDE w:val="0"/>
              <w:autoSpaceDN w:val="0"/>
              <w:adjustRightInd w:val="0"/>
              <w:spacing w:before="20" w:after="20"/>
              <w:rPr>
                <w:rFonts w:eastAsiaTheme="minorHAnsi"/>
                <w:sz w:val="18"/>
                <w:szCs w:val="20"/>
                <w:lang w:eastAsia="en-US"/>
              </w:rPr>
            </w:pPr>
            <w:r w:rsidRPr="00706FDB">
              <w:rPr>
                <w:rFonts w:eastAsiaTheme="minorHAnsi"/>
                <w:sz w:val="18"/>
                <w:szCs w:val="20"/>
                <w:lang w:eastAsia="en-US"/>
              </w:rPr>
              <w:t xml:space="preserve">3. </w:t>
            </w:r>
            <w:r w:rsidRPr="000B5DED">
              <w:rPr>
                <w:rFonts w:eastAsiaTheme="minorHAnsi"/>
                <w:b/>
                <w:i/>
                <w:iCs/>
                <w:sz w:val="18"/>
                <w:szCs w:val="20"/>
                <w:lang w:eastAsia="en-US"/>
              </w:rPr>
              <w:t>Approves</w:t>
            </w:r>
            <w:r w:rsidRPr="00706FDB">
              <w:rPr>
                <w:rFonts w:eastAsiaTheme="minorHAnsi"/>
                <w:i/>
                <w:iCs/>
                <w:sz w:val="18"/>
                <w:szCs w:val="20"/>
                <w:lang w:eastAsia="en-US"/>
              </w:rPr>
              <w:t xml:space="preserve"> </w:t>
            </w:r>
            <w:r w:rsidRPr="00706FDB">
              <w:rPr>
                <w:rFonts w:eastAsiaTheme="minorHAnsi"/>
                <w:sz w:val="18"/>
                <w:szCs w:val="20"/>
                <w:lang w:eastAsia="en-US"/>
              </w:rPr>
              <w:t xml:space="preserve">the UNDP strategic plan, 2014-2017, as contained in </w:t>
            </w:r>
            <w:r w:rsidRPr="000B5DED">
              <w:rPr>
                <w:rFonts w:eastAsiaTheme="minorHAnsi"/>
                <w:b/>
                <w:sz w:val="18"/>
                <w:szCs w:val="20"/>
                <w:lang w:eastAsia="en-US"/>
              </w:rPr>
              <w:t>document DP/2013/40</w:t>
            </w:r>
            <w:r w:rsidRPr="00706FDB">
              <w:rPr>
                <w:rFonts w:eastAsiaTheme="minorHAnsi"/>
                <w:sz w:val="18"/>
                <w:szCs w:val="20"/>
                <w:lang w:eastAsia="en-US"/>
              </w:rPr>
              <w:t>;</w:t>
            </w:r>
          </w:p>
        </w:tc>
      </w:tr>
      <w:tr w:rsidR="003941CD" w:rsidRPr="00706FDB" w14:paraId="120FAFEA" w14:textId="77777777" w:rsidTr="00706FDB">
        <w:tc>
          <w:tcPr>
            <w:tcW w:w="985" w:type="dxa"/>
            <w:vMerge/>
          </w:tcPr>
          <w:p w14:paraId="4F439335" w14:textId="77777777" w:rsidR="003941CD" w:rsidRPr="00706FDB" w:rsidRDefault="003941CD" w:rsidP="00DC0202">
            <w:pPr>
              <w:spacing w:before="20" w:after="20"/>
              <w:rPr>
                <w:rFonts w:cstheme="minorHAnsi"/>
                <w:iCs/>
                <w:sz w:val="18"/>
                <w:szCs w:val="20"/>
              </w:rPr>
            </w:pPr>
          </w:p>
        </w:tc>
        <w:tc>
          <w:tcPr>
            <w:tcW w:w="12240" w:type="dxa"/>
          </w:tcPr>
          <w:p w14:paraId="1D1A392A" w14:textId="349737CF" w:rsidR="003941CD" w:rsidRPr="00706FDB" w:rsidRDefault="003941CD" w:rsidP="005C60D1">
            <w:pPr>
              <w:autoSpaceDE w:val="0"/>
              <w:autoSpaceDN w:val="0"/>
              <w:adjustRightInd w:val="0"/>
              <w:spacing w:before="20" w:after="20"/>
              <w:rPr>
                <w:rFonts w:eastAsiaTheme="minorHAnsi"/>
                <w:sz w:val="18"/>
                <w:szCs w:val="20"/>
                <w:lang w:eastAsia="en-US"/>
              </w:rPr>
            </w:pPr>
            <w:r w:rsidRPr="00706FDB">
              <w:rPr>
                <w:rFonts w:eastAsiaTheme="minorHAnsi"/>
                <w:sz w:val="18"/>
                <w:szCs w:val="20"/>
                <w:lang w:eastAsia="en-US"/>
              </w:rPr>
              <w:t xml:space="preserve">12. </w:t>
            </w:r>
            <w:r w:rsidRPr="00706FDB">
              <w:rPr>
                <w:rFonts w:eastAsiaTheme="minorHAnsi"/>
                <w:i/>
                <w:iCs/>
                <w:sz w:val="18"/>
                <w:szCs w:val="20"/>
                <w:lang w:eastAsia="en-US"/>
              </w:rPr>
              <w:t xml:space="preserve">Requests </w:t>
            </w:r>
            <w:r w:rsidRPr="00706FDB">
              <w:rPr>
                <w:rFonts w:eastAsiaTheme="minorHAnsi"/>
                <w:sz w:val="18"/>
                <w:szCs w:val="20"/>
                <w:lang w:eastAsia="en-US"/>
              </w:rPr>
              <w:t xml:space="preserve">UNDP to implement the strategic plan </w:t>
            </w:r>
            <w:r w:rsidRPr="00825095">
              <w:rPr>
                <w:rFonts w:eastAsiaTheme="minorHAnsi"/>
                <w:sz w:val="18"/>
                <w:szCs w:val="20"/>
                <w:lang w:eastAsia="en-US"/>
              </w:rPr>
              <w:t>while developing and refining complementary, publicly available documentation in consultation with Member States and other stakeholders</w:t>
            </w:r>
            <w:r w:rsidRPr="00706FDB">
              <w:rPr>
                <w:rFonts w:eastAsiaTheme="minorHAnsi"/>
                <w:sz w:val="18"/>
                <w:szCs w:val="20"/>
                <w:lang w:eastAsia="en-US"/>
              </w:rPr>
              <w:t>, including:</w:t>
            </w:r>
            <w:r w:rsidR="005C60D1">
              <w:rPr>
                <w:rFonts w:eastAsiaTheme="minorHAnsi"/>
                <w:sz w:val="18"/>
                <w:szCs w:val="20"/>
                <w:lang w:eastAsia="en-US"/>
              </w:rPr>
              <w:t xml:space="preserve"> </w:t>
            </w:r>
            <w:r w:rsidRPr="00706FDB">
              <w:rPr>
                <w:rFonts w:eastAsiaTheme="minorHAnsi"/>
                <w:sz w:val="18"/>
                <w:szCs w:val="20"/>
                <w:lang w:eastAsia="en-US"/>
              </w:rPr>
              <w:t xml:space="preserve">(a) </w:t>
            </w:r>
            <w:r w:rsidRPr="00706FDB">
              <w:rPr>
                <w:rFonts w:eastAsiaTheme="minorHAnsi"/>
                <w:b/>
                <w:sz w:val="18"/>
                <w:szCs w:val="20"/>
                <w:lang w:eastAsia="en-US"/>
              </w:rPr>
              <w:t>Refinement of indicators and development of baselines, targets and annual milestones as contained in annex II of DP/2013/40</w:t>
            </w:r>
            <w:r w:rsidRPr="004E2075">
              <w:rPr>
                <w:rFonts w:eastAsiaTheme="minorHAnsi"/>
                <w:b/>
                <w:sz w:val="18"/>
                <w:szCs w:val="20"/>
                <w:lang w:eastAsia="en-US"/>
              </w:rPr>
              <w:t>, appropriately disaggregated, including by sex and age, where relevant</w:t>
            </w:r>
            <w:r w:rsidRPr="00706FDB">
              <w:rPr>
                <w:rFonts w:eastAsiaTheme="minorHAnsi"/>
                <w:sz w:val="18"/>
                <w:szCs w:val="20"/>
                <w:lang w:eastAsia="en-US"/>
              </w:rPr>
              <w:t xml:space="preserve">, to be </w:t>
            </w:r>
            <w:r w:rsidRPr="00706FDB">
              <w:rPr>
                <w:rFonts w:eastAsiaTheme="minorHAnsi"/>
                <w:b/>
                <w:sz w:val="18"/>
                <w:szCs w:val="20"/>
                <w:lang w:eastAsia="en-US"/>
              </w:rPr>
              <w:t>finalized by the annual session 2014</w:t>
            </w:r>
            <w:r w:rsidRPr="00706FDB">
              <w:rPr>
                <w:rFonts w:eastAsiaTheme="minorHAnsi"/>
                <w:sz w:val="18"/>
                <w:szCs w:val="20"/>
                <w:lang w:eastAsia="en-US"/>
              </w:rPr>
              <w:t>, as well as developing capacity throughout UNDP for data collection and reporting on the indicators; and</w:t>
            </w:r>
            <w:r w:rsidR="005C60D1">
              <w:rPr>
                <w:rFonts w:eastAsiaTheme="minorHAnsi"/>
                <w:sz w:val="18"/>
                <w:szCs w:val="20"/>
                <w:lang w:eastAsia="en-US"/>
              </w:rPr>
              <w:t xml:space="preserve"> </w:t>
            </w:r>
            <w:r w:rsidRPr="00706FDB">
              <w:rPr>
                <w:rFonts w:eastAsiaTheme="minorHAnsi"/>
                <w:sz w:val="18"/>
                <w:szCs w:val="20"/>
                <w:lang w:eastAsia="en-US"/>
              </w:rPr>
              <w:t xml:space="preserve">(b) </w:t>
            </w:r>
            <w:r w:rsidRPr="004E2075">
              <w:rPr>
                <w:rFonts w:eastAsiaTheme="minorHAnsi"/>
                <w:sz w:val="18"/>
                <w:szCs w:val="20"/>
                <w:lang w:eastAsia="en-US"/>
              </w:rPr>
              <w:t xml:space="preserve">Refinement of the informal ‘theory of change’ documents </w:t>
            </w:r>
            <w:r w:rsidRPr="00706FDB">
              <w:rPr>
                <w:rFonts w:eastAsiaTheme="minorHAnsi"/>
                <w:sz w:val="18"/>
                <w:szCs w:val="20"/>
                <w:lang w:eastAsia="en-US"/>
              </w:rPr>
              <w:t>for the seven development outcomes by the annual session 2014;</w:t>
            </w:r>
          </w:p>
        </w:tc>
      </w:tr>
      <w:tr w:rsidR="004E2075" w:rsidRPr="00706FDB" w14:paraId="296B74B6" w14:textId="77777777" w:rsidTr="004E2075">
        <w:trPr>
          <w:trHeight w:val="656"/>
        </w:trPr>
        <w:tc>
          <w:tcPr>
            <w:tcW w:w="985" w:type="dxa"/>
            <w:vMerge w:val="restart"/>
          </w:tcPr>
          <w:p w14:paraId="1D022EB8" w14:textId="173139A8" w:rsidR="004E2075" w:rsidRPr="00706FDB" w:rsidRDefault="004E2075" w:rsidP="00DC0202">
            <w:pPr>
              <w:spacing w:before="20" w:after="20"/>
              <w:rPr>
                <w:rFonts w:cstheme="minorHAnsi"/>
                <w:iCs/>
                <w:sz w:val="18"/>
                <w:szCs w:val="20"/>
              </w:rPr>
            </w:pPr>
            <w:r w:rsidRPr="00706FDB">
              <w:rPr>
                <w:rFonts w:cstheme="minorHAnsi"/>
                <w:iCs/>
                <w:sz w:val="18"/>
                <w:szCs w:val="20"/>
              </w:rPr>
              <w:t>2014/11</w:t>
            </w:r>
          </w:p>
        </w:tc>
        <w:tc>
          <w:tcPr>
            <w:tcW w:w="12240" w:type="dxa"/>
          </w:tcPr>
          <w:p w14:paraId="77C7072E" w14:textId="5BEC0633" w:rsidR="004E2075" w:rsidRPr="00706FDB" w:rsidRDefault="004E2075" w:rsidP="00DC0202">
            <w:pPr>
              <w:pStyle w:val="Default"/>
              <w:spacing w:before="20" w:after="20"/>
              <w:rPr>
                <w:rFonts w:eastAsiaTheme="minorHAnsi"/>
                <w:sz w:val="18"/>
                <w:szCs w:val="20"/>
              </w:rPr>
            </w:pPr>
            <w:r w:rsidRPr="00706FDB">
              <w:rPr>
                <w:rFonts w:asciiTheme="minorHAnsi" w:hAnsiTheme="minorHAnsi"/>
                <w:sz w:val="18"/>
                <w:szCs w:val="20"/>
              </w:rPr>
              <w:t xml:space="preserve">3. </w:t>
            </w:r>
            <w:r w:rsidRPr="00706FDB">
              <w:rPr>
                <w:rFonts w:asciiTheme="minorHAnsi" w:hAnsiTheme="minorHAnsi"/>
                <w:i/>
                <w:iCs/>
                <w:sz w:val="18"/>
                <w:szCs w:val="20"/>
              </w:rPr>
              <w:t xml:space="preserve">Recognizes </w:t>
            </w:r>
            <w:r w:rsidRPr="00706FDB">
              <w:rPr>
                <w:rFonts w:asciiTheme="minorHAnsi" w:hAnsiTheme="minorHAnsi"/>
                <w:sz w:val="18"/>
                <w:szCs w:val="20"/>
              </w:rPr>
              <w:t xml:space="preserve">that the integrated results and resources framework should effectively demonstrate the linkages between results and resources, and in this regard </w:t>
            </w:r>
            <w:r w:rsidRPr="00706FDB">
              <w:rPr>
                <w:rFonts w:asciiTheme="minorHAnsi" w:hAnsiTheme="minorHAnsi"/>
                <w:b/>
                <w:i/>
                <w:iCs/>
                <w:sz w:val="18"/>
                <w:szCs w:val="20"/>
              </w:rPr>
              <w:t xml:space="preserve">encourages </w:t>
            </w:r>
            <w:r w:rsidRPr="00706FDB">
              <w:rPr>
                <w:rFonts w:asciiTheme="minorHAnsi" w:hAnsiTheme="minorHAnsi"/>
                <w:b/>
                <w:sz w:val="18"/>
                <w:szCs w:val="20"/>
              </w:rPr>
              <w:t>reporting of</w:t>
            </w:r>
            <w:r w:rsidRPr="00706FDB">
              <w:rPr>
                <w:rFonts w:asciiTheme="minorHAnsi" w:hAnsiTheme="minorHAnsi"/>
                <w:sz w:val="18"/>
                <w:szCs w:val="20"/>
              </w:rPr>
              <w:t xml:space="preserve"> </w:t>
            </w:r>
            <w:r w:rsidRPr="00706FDB">
              <w:rPr>
                <w:rFonts w:asciiTheme="minorHAnsi" w:hAnsiTheme="minorHAnsi"/>
                <w:b/>
                <w:sz w:val="18"/>
                <w:szCs w:val="20"/>
              </w:rPr>
              <w:t>resources allocated to different outcomes in the integrated results and resources framework, as well as reporting on resources utilized against respective outputs upon completion of the reporting cycle</w:t>
            </w:r>
            <w:r w:rsidRPr="00706FDB">
              <w:rPr>
                <w:rFonts w:asciiTheme="minorHAnsi" w:hAnsiTheme="minorHAnsi"/>
                <w:sz w:val="18"/>
                <w:szCs w:val="20"/>
              </w:rPr>
              <w:t>, in accordance with the priorities and areas of work of the strategic plan.</w:t>
            </w:r>
          </w:p>
        </w:tc>
      </w:tr>
      <w:tr w:rsidR="001C5B0D" w:rsidRPr="00706FDB" w14:paraId="5806CA21" w14:textId="77777777" w:rsidTr="00706FDB">
        <w:tc>
          <w:tcPr>
            <w:tcW w:w="985" w:type="dxa"/>
            <w:vMerge/>
          </w:tcPr>
          <w:p w14:paraId="58DE4F1D" w14:textId="77777777" w:rsidR="001C5B0D" w:rsidRPr="00706FDB" w:rsidRDefault="001C5B0D" w:rsidP="00DC0202">
            <w:pPr>
              <w:spacing w:before="20" w:after="20"/>
              <w:rPr>
                <w:rFonts w:cstheme="minorHAnsi"/>
                <w:iCs/>
                <w:sz w:val="18"/>
                <w:szCs w:val="20"/>
              </w:rPr>
            </w:pPr>
          </w:p>
        </w:tc>
        <w:tc>
          <w:tcPr>
            <w:tcW w:w="12240" w:type="dxa"/>
          </w:tcPr>
          <w:p w14:paraId="638DF542" w14:textId="77777777" w:rsidR="001C5B0D" w:rsidRPr="00706FDB" w:rsidRDefault="001C5B0D" w:rsidP="00DC0202">
            <w:pPr>
              <w:pStyle w:val="Default"/>
              <w:spacing w:before="20" w:after="20"/>
              <w:jc w:val="both"/>
              <w:rPr>
                <w:rFonts w:asciiTheme="minorHAnsi" w:hAnsiTheme="minorHAnsi"/>
                <w:sz w:val="18"/>
                <w:szCs w:val="20"/>
              </w:rPr>
            </w:pPr>
            <w:r w:rsidRPr="00706FDB">
              <w:rPr>
                <w:rFonts w:asciiTheme="minorHAnsi" w:hAnsiTheme="minorHAnsi"/>
                <w:sz w:val="18"/>
                <w:szCs w:val="20"/>
              </w:rPr>
              <w:t xml:space="preserve">4. </w:t>
            </w:r>
            <w:r w:rsidRPr="00706FDB">
              <w:rPr>
                <w:rFonts w:asciiTheme="minorHAnsi" w:hAnsiTheme="minorHAnsi"/>
                <w:i/>
                <w:iCs/>
                <w:sz w:val="18"/>
                <w:szCs w:val="20"/>
              </w:rPr>
              <w:t xml:space="preserve">Requests </w:t>
            </w:r>
            <w:r w:rsidRPr="00706FDB">
              <w:rPr>
                <w:rFonts w:asciiTheme="minorHAnsi" w:hAnsiTheme="minorHAnsi"/>
                <w:sz w:val="18"/>
                <w:szCs w:val="20"/>
              </w:rPr>
              <w:t xml:space="preserve">UNDP to </w:t>
            </w:r>
            <w:r w:rsidRPr="00706FDB">
              <w:rPr>
                <w:rFonts w:asciiTheme="minorHAnsi" w:hAnsiTheme="minorHAnsi"/>
                <w:b/>
                <w:sz w:val="18"/>
                <w:szCs w:val="20"/>
              </w:rPr>
              <w:t>make any necessary adjustments to the integrated results and resources framework before the end of 2014, incorporating the views of Member States, as appropriate</w:t>
            </w:r>
            <w:r w:rsidRPr="00706FDB">
              <w:rPr>
                <w:rFonts w:asciiTheme="minorHAnsi" w:hAnsiTheme="minorHAnsi"/>
                <w:sz w:val="18"/>
                <w:szCs w:val="20"/>
              </w:rPr>
              <w:t xml:space="preserve"> </w:t>
            </w:r>
          </w:p>
        </w:tc>
      </w:tr>
      <w:tr w:rsidR="001C5B0D" w:rsidRPr="00706FDB" w14:paraId="57A88C4C" w14:textId="77777777" w:rsidTr="00706FDB">
        <w:tc>
          <w:tcPr>
            <w:tcW w:w="985" w:type="dxa"/>
            <w:vMerge/>
          </w:tcPr>
          <w:p w14:paraId="17853612" w14:textId="77777777" w:rsidR="001C5B0D" w:rsidRPr="00706FDB" w:rsidRDefault="001C5B0D" w:rsidP="00DC0202">
            <w:pPr>
              <w:spacing w:before="20" w:after="20"/>
              <w:rPr>
                <w:rFonts w:cstheme="minorHAnsi"/>
                <w:iCs/>
                <w:sz w:val="18"/>
                <w:szCs w:val="20"/>
              </w:rPr>
            </w:pPr>
          </w:p>
        </w:tc>
        <w:tc>
          <w:tcPr>
            <w:tcW w:w="12240" w:type="dxa"/>
          </w:tcPr>
          <w:p w14:paraId="6C782176" w14:textId="77777777" w:rsidR="001C5B0D" w:rsidRPr="00706FDB" w:rsidRDefault="001C5B0D" w:rsidP="00DC0202">
            <w:pPr>
              <w:pStyle w:val="Default"/>
              <w:spacing w:before="20" w:after="20"/>
              <w:jc w:val="both"/>
              <w:rPr>
                <w:rFonts w:asciiTheme="minorHAnsi" w:hAnsiTheme="minorHAnsi"/>
                <w:sz w:val="18"/>
                <w:szCs w:val="20"/>
              </w:rPr>
            </w:pPr>
            <w:r w:rsidRPr="00706FDB">
              <w:rPr>
                <w:rFonts w:asciiTheme="minorHAnsi" w:hAnsiTheme="minorHAnsi"/>
                <w:sz w:val="18"/>
                <w:szCs w:val="20"/>
              </w:rPr>
              <w:t xml:space="preserve">5. </w:t>
            </w:r>
            <w:r w:rsidRPr="00706FDB">
              <w:rPr>
                <w:rFonts w:asciiTheme="minorHAnsi" w:hAnsiTheme="minorHAnsi"/>
                <w:i/>
                <w:iCs/>
                <w:sz w:val="18"/>
                <w:szCs w:val="20"/>
              </w:rPr>
              <w:t xml:space="preserve">Further requests </w:t>
            </w:r>
            <w:r w:rsidRPr="00706FDB">
              <w:rPr>
                <w:rFonts w:asciiTheme="minorHAnsi" w:hAnsiTheme="minorHAnsi"/>
                <w:sz w:val="18"/>
                <w:szCs w:val="20"/>
              </w:rPr>
              <w:t xml:space="preserve">UNDP to finalize the maximum number of first and second year milestones and 2017 targets for </w:t>
            </w:r>
            <w:r w:rsidRPr="00706FDB">
              <w:rPr>
                <w:rFonts w:asciiTheme="minorHAnsi" w:hAnsiTheme="minorHAnsi"/>
                <w:b/>
                <w:sz w:val="18"/>
                <w:szCs w:val="20"/>
              </w:rPr>
              <w:t>an update on the</w:t>
            </w:r>
            <w:r w:rsidRPr="00706FDB">
              <w:rPr>
                <w:rFonts w:asciiTheme="minorHAnsi" w:hAnsiTheme="minorHAnsi"/>
                <w:sz w:val="18"/>
                <w:szCs w:val="20"/>
              </w:rPr>
              <w:t xml:space="preserve"> </w:t>
            </w:r>
            <w:r w:rsidRPr="00706FDB">
              <w:rPr>
                <w:rFonts w:asciiTheme="minorHAnsi" w:hAnsiTheme="minorHAnsi"/>
                <w:b/>
                <w:sz w:val="18"/>
                <w:szCs w:val="20"/>
              </w:rPr>
              <w:t>final version of the integrated results and resources framework to the Executive Board at an informal session during its first regular session 2015</w:t>
            </w:r>
            <w:r w:rsidRPr="00706FDB">
              <w:rPr>
                <w:rFonts w:asciiTheme="minorHAnsi" w:hAnsiTheme="minorHAnsi"/>
                <w:sz w:val="18"/>
                <w:szCs w:val="20"/>
              </w:rPr>
              <w:t xml:space="preserve"> to support preparation of the annual report of the Administrator in 2015; </w:t>
            </w:r>
          </w:p>
        </w:tc>
      </w:tr>
      <w:tr w:rsidR="001C5B0D" w:rsidRPr="00706FDB" w14:paraId="789644B7" w14:textId="77777777" w:rsidTr="00706FDB">
        <w:tc>
          <w:tcPr>
            <w:tcW w:w="985" w:type="dxa"/>
            <w:vMerge/>
          </w:tcPr>
          <w:p w14:paraId="126C38B2" w14:textId="77777777" w:rsidR="001C5B0D" w:rsidRPr="00706FDB" w:rsidRDefault="001C5B0D" w:rsidP="00DC0202">
            <w:pPr>
              <w:spacing w:before="20" w:after="20"/>
              <w:rPr>
                <w:rFonts w:cstheme="minorHAnsi"/>
                <w:iCs/>
                <w:sz w:val="18"/>
                <w:szCs w:val="20"/>
              </w:rPr>
            </w:pPr>
          </w:p>
        </w:tc>
        <w:tc>
          <w:tcPr>
            <w:tcW w:w="12240" w:type="dxa"/>
          </w:tcPr>
          <w:p w14:paraId="5CC7D07D" w14:textId="77777777" w:rsidR="001C5B0D" w:rsidRPr="00706FDB" w:rsidRDefault="001C5B0D" w:rsidP="00DC0202">
            <w:pPr>
              <w:pStyle w:val="Default"/>
              <w:spacing w:before="20" w:after="20"/>
              <w:jc w:val="both"/>
              <w:rPr>
                <w:rFonts w:asciiTheme="minorHAnsi" w:hAnsiTheme="minorHAnsi"/>
                <w:sz w:val="18"/>
                <w:szCs w:val="20"/>
              </w:rPr>
            </w:pPr>
            <w:r w:rsidRPr="00706FDB">
              <w:rPr>
                <w:rFonts w:asciiTheme="minorHAnsi" w:hAnsiTheme="minorHAnsi"/>
                <w:sz w:val="18"/>
                <w:szCs w:val="20"/>
              </w:rPr>
              <w:t xml:space="preserve">10. </w:t>
            </w:r>
            <w:r w:rsidRPr="00706FDB">
              <w:rPr>
                <w:rFonts w:asciiTheme="minorHAnsi" w:hAnsiTheme="minorHAnsi"/>
                <w:i/>
                <w:iCs/>
                <w:sz w:val="18"/>
                <w:szCs w:val="20"/>
              </w:rPr>
              <w:t xml:space="preserve">Requests </w:t>
            </w:r>
            <w:r w:rsidRPr="00706FDB">
              <w:rPr>
                <w:rFonts w:asciiTheme="minorHAnsi" w:hAnsiTheme="minorHAnsi"/>
                <w:sz w:val="18"/>
                <w:szCs w:val="20"/>
              </w:rPr>
              <w:t xml:space="preserve">UNDP to ensure that any relevant </w:t>
            </w:r>
            <w:r w:rsidRPr="00706FDB">
              <w:rPr>
                <w:rFonts w:asciiTheme="minorHAnsi" w:hAnsiTheme="minorHAnsi"/>
                <w:b/>
                <w:sz w:val="18"/>
                <w:szCs w:val="20"/>
              </w:rPr>
              <w:t>indicators and targets of the integrated results and resources framework are made consistent with the sustainable development goals in the context of the post-2015 development agenda, when appropriate</w:t>
            </w:r>
            <w:r w:rsidRPr="00706FDB">
              <w:rPr>
                <w:rFonts w:asciiTheme="minorHAnsi" w:hAnsiTheme="minorHAnsi"/>
                <w:sz w:val="18"/>
                <w:szCs w:val="20"/>
              </w:rPr>
              <w:t xml:space="preserve">; </w:t>
            </w:r>
          </w:p>
        </w:tc>
      </w:tr>
      <w:tr w:rsidR="001C5B0D" w:rsidRPr="00706FDB" w14:paraId="1B2F4AC2" w14:textId="77777777" w:rsidTr="00706FDB">
        <w:tc>
          <w:tcPr>
            <w:tcW w:w="985" w:type="dxa"/>
            <w:vMerge/>
          </w:tcPr>
          <w:p w14:paraId="37D7239B" w14:textId="77777777" w:rsidR="001C5B0D" w:rsidRPr="00706FDB" w:rsidRDefault="001C5B0D" w:rsidP="00DC0202">
            <w:pPr>
              <w:spacing w:before="20" w:after="20"/>
              <w:rPr>
                <w:rFonts w:cstheme="minorHAnsi"/>
                <w:iCs/>
                <w:sz w:val="18"/>
                <w:szCs w:val="20"/>
              </w:rPr>
            </w:pPr>
          </w:p>
        </w:tc>
        <w:tc>
          <w:tcPr>
            <w:tcW w:w="12240" w:type="dxa"/>
          </w:tcPr>
          <w:p w14:paraId="537DC65A" w14:textId="77777777" w:rsidR="001C5B0D" w:rsidRPr="00706FDB" w:rsidRDefault="001C5B0D" w:rsidP="00DC0202">
            <w:pPr>
              <w:pStyle w:val="Default"/>
              <w:spacing w:before="20" w:after="20"/>
              <w:jc w:val="both"/>
              <w:rPr>
                <w:rFonts w:asciiTheme="minorHAnsi" w:hAnsiTheme="minorHAnsi"/>
                <w:sz w:val="18"/>
                <w:szCs w:val="20"/>
              </w:rPr>
            </w:pPr>
            <w:r w:rsidRPr="00706FDB">
              <w:rPr>
                <w:rFonts w:asciiTheme="minorHAnsi" w:hAnsiTheme="minorHAnsi"/>
                <w:sz w:val="18"/>
                <w:szCs w:val="20"/>
              </w:rPr>
              <w:t xml:space="preserve">11. </w:t>
            </w:r>
            <w:r w:rsidRPr="00706FDB">
              <w:rPr>
                <w:rFonts w:asciiTheme="minorHAnsi" w:hAnsiTheme="minorHAnsi"/>
                <w:i/>
                <w:iCs/>
                <w:sz w:val="18"/>
                <w:szCs w:val="20"/>
              </w:rPr>
              <w:t xml:space="preserve">Calls on </w:t>
            </w:r>
            <w:r w:rsidRPr="00706FDB">
              <w:rPr>
                <w:rFonts w:asciiTheme="minorHAnsi" w:hAnsiTheme="minorHAnsi"/>
                <w:sz w:val="18"/>
                <w:szCs w:val="20"/>
              </w:rPr>
              <w:t xml:space="preserve">UNDP to </w:t>
            </w:r>
            <w:r w:rsidRPr="00706FDB">
              <w:rPr>
                <w:rFonts w:asciiTheme="minorHAnsi" w:hAnsiTheme="minorHAnsi"/>
                <w:b/>
                <w:sz w:val="18"/>
                <w:szCs w:val="20"/>
              </w:rPr>
              <w:t>apply the integrated results and resources framework as soon as possible</w:t>
            </w:r>
            <w:r w:rsidRPr="00706FDB">
              <w:rPr>
                <w:rFonts w:asciiTheme="minorHAnsi" w:hAnsiTheme="minorHAnsi"/>
                <w:sz w:val="18"/>
                <w:szCs w:val="20"/>
              </w:rPr>
              <w:t xml:space="preserve"> and to keep the Executive Board informed on progress and challenges encountered in this process. </w:t>
            </w:r>
          </w:p>
        </w:tc>
      </w:tr>
    </w:tbl>
    <w:p w14:paraId="7E05AA6D" w14:textId="77777777" w:rsidR="003941CD" w:rsidRDefault="003941CD" w:rsidP="00AB1C22">
      <w:pPr>
        <w:spacing w:after="120" w:line="240" w:lineRule="auto"/>
        <w:rPr>
          <w:rFonts w:eastAsia="Times New Roman"/>
          <w:sz w:val="20"/>
          <w:szCs w:val="20"/>
        </w:rPr>
      </w:pPr>
    </w:p>
    <w:p w14:paraId="62D2D7A8" w14:textId="4BEB786B" w:rsidR="00166228" w:rsidRPr="001A4AC3" w:rsidRDefault="00166228" w:rsidP="001A4AC3">
      <w:pPr>
        <w:rPr>
          <w:rFonts w:eastAsia="Times New Roman"/>
          <w:sz w:val="20"/>
          <w:szCs w:val="20"/>
        </w:rPr>
      </w:pPr>
      <w:r w:rsidRPr="005315A9">
        <w:rPr>
          <w:rFonts w:eastAsia="Times New Roman"/>
          <w:b/>
          <w:sz w:val="20"/>
          <w:szCs w:val="20"/>
        </w:rPr>
        <w:t xml:space="preserve">Population of the IRRF with baselines, milestones </w:t>
      </w:r>
      <w:r w:rsidR="005C6F36" w:rsidRPr="005315A9">
        <w:rPr>
          <w:rFonts w:eastAsia="Times New Roman"/>
          <w:b/>
          <w:sz w:val="20"/>
          <w:szCs w:val="20"/>
        </w:rPr>
        <w:t>(where applicable)</w:t>
      </w:r>
      <w:r w:rsidR="007D456E" w:rsidRPr="005315A9">
        <w:rPr>
          <w:rFonts w:eastAsia="Times New Roman"/>
          <w:b/>
          <w:sz w:val="20"/>
          <w:szCs w:val="20"/>
        </w:rPr>
        <w:t>,</w:t>
      </w:r>
      <w:r w:rsidR="005C6F36" w:rsidRPr="005315A9">
        <w:rPr>
          <w:rFonts w:eastAsia="Times New Roman"/>
          <w:b/>
          <w:sz w:val="20"/>
          <w:szCs w:val="20"/>
        </w:rPr>
        <w:t xml:space="preserve"> targets </w:t>
      </w:r>
      <w:r w:rsidR="00D865AF">
        <w:rPr>
          <w:rFonts w:eastAsia="Times New Roman"/>
          <w:b/>
          <w:sz w:val="20"/>
          <w:szCs w:val="20"/>
        </w:rPr>
        <w:t>and 2014 “actual</w:t>
      </w:r>
      <w:r w:rsidR="007D456E" w:rsidRPr="005315A9">
        <w:rPr>
          <w:rFonts w:eastAsia="Times New Roman"/>
          <w:b/>
          <w:sz w:val="20"/>
          <w:szCs w:val="20"/>
        </w:rPr>
        <w:t>”</w:t>
      </w:r>
      <w:r w:rsidR="00D865AF">
        <w:rPr>
          <w:rFonts w:eastAsia="Times New Roman"/>
          <w:b/>
          <w:sz w:val="20"/>
          <w:szCs w:val="20"/>
        </w:rPr>
        <w:t xml:space="preserve"> results</w:t>
      </w:r>
    </w:p>
    <w:p w14:paraId="41F9C252" w14:textId="2498B401" w:rsidR="003C32A8" w:rsidRPr="003C32A8" w:rsidRDefault="005315A9" w:rsidP="006F161D">
      <w:pPr>
        <w:pStyle w:val="ListParagraph"/>
        <w:numPr>
          <w:ilvl w:val="0"/>
          <w:numId w:val="64"/>
        </w:numPr>
        <w:spacing w:after="120"/>
        <w:ind w:left="0" w:firstLine="0"/>
        <w:jc w:val="both"/>
        <w:rPr>
          <w:rFonts w:eastAsia="Times New Roman"/>
          <w:sz w:val="20"/>
          <w:szCs w:val="20"/>
        </w:rPr>
      </w:pPr>
      <w:r w:rsidRPr="0083026F">
        <w:rPr>
          <w:rFonts w:asciiTheme="minorHAnsi" w:eastAsia="Times New Roman" w:hAnsiTheme="minorHAnsi"/>
          <w:b/>
          <w:i/>
          <w:sz w:val="20"/>
          <w:szCs w:val="20"/>
        </w:rPr>
        <w:t>Data collection for impact indicators</w:t>
      </w:r>
      <w:r w:rsidRPr="005315A9">
        <w:rPr>
          <w:rFonts w:asciiTheme="minorHAnsi" w:eastAsia="Times New Roman" w:hAnsiTheme="minorHAnsi"/>
          <w:b/>
          <w:sz w:val="20"/>
          <w:szCs w:val="20"/>
        </w:rPr>
        <w:t>.</w:t>
      </w:r>
      <w:r>
        <w:rPr>
          <w:rFonts w:asciiTheme="minorHAnsi" w:eastAsia="Times New Roman" w:hAnsiTheme="minorHAnsi"/>
          <w:sz w:val="20"/>
          <w:szCs w:val="20"/>
        </w:rPr>
        <w:t xml:space="preserve"> </w:t>
      </w:r>
      <w:r w:rsidR="00A547B5" w:rsidRPr="00AB1C22">
        <w:rPr>
          <w:rFonts w:asciiTheme="minorHAnsi" w:eastAsia="Times New Roman" w:hAnsiTheme="minorHAnsi"/>
          <w:sz w:val="20"/>
          <w:szCs w:val="20"/>
        </w:rPr>
        <w:t xml:space="preserve">All </w:t>
      </w:r>
      <w:r w:rsidR="00A547B5" w:rsidRPr="00744DF3">
        <w:rPr>
          <w:rFonts w:asciiTheme="minorHAnsi" w:eastAsia="Times New Roman" w:hAnsiTheme="minorHAnsi"/>
          <w:sz w:val="20"/>
          <w:szCs w:val="20"/>
          <w:u w:val="single"/>
        </w:rPr>
        <w:t>impact indicators</w:t>
      </w:r>
      <w:r w:rsidR="00A547B5">
        <w:rPr>
          <w:rFonts w:asciiTheme="minorHAnsi" w:eastAsia="Times New Roman" w:hAnsiTheme="minorHAnsi"/>
          <w:sz w:val="20"/>
          <w:szCs w:val="20"/>
        </w:rPr>
        <w:t xml:space="preserve"> </w:t>
      </w:r>
      <w:r w:rsidR="00A547B5" w:rsidRPr="00AB1C22">
        <w:rPr>
          <w:rFonts w:asciiTheme="minorHAnsi" w:eastAsia="Times New Roman" w:hAnsiTheme="minorHAnsi"/>
          <w:sz w:val="20"/>
          <w:szCs w:val="20"/>
        </w:rPr>
        <w:t>rely on international published data sources</w:t>
      </w:r>
      <w:r w:rsidR="00A547B5">
        <w:rPr>
          <w:rFonts w:asciiTheme="minorHAnsi" w:eastAsia="Times New Roman" w:hAnsiTheme="minorHAnsi"/>
          <w:sz w:val="20"/>
          <w:szCs w:val="20"/>
        </w:rPr>
        <w:t>,</w:t>
      </w:r>
      <w:r w:rsidR="00A547B5" w:rsidRPr="00AB1C22">
        <w:rPr>
          <w:rFonts w:asciiTheme="minorHAnsi" w:eastAsia="Times New Roman" w:hAnsiTheme="minorHAnsi"/>
          <w:sz w:val="20"/>
          <w:szCs w:val="20"/>
        </w:rPr>
        <w:t xml:space="preserve"> as stated in the </w:t>
      </w:r>
      <w:r w:rsidR="00A547B5">
        <w:rPr>
          <w:rFonts w:asciiTheme="minorHAnsi" w:eastAsia="Times New Roman" w:hAnsiTheme="minorHAnsi"/>
          <w:sz w:val="20"/>
          <w:szCs w:val="20"/>
        </w:rPr>
        <w:t>populated IRRF template. For these indicato</w:t>
      </w:r>
      <w:r w:rsidR="00744DF3">
        <w:rPr>
          <w:rFonts w:asciiTheme="minorHAnsi" w:eastAsia="Times New Roman" w:hAnsiTheme="minorHAnsi"/>
          <w:sz w:val="20"/>
          <w:szCs w:val="20"/>
        </w:rPr>
        <w:t xml:space="preserve">rs, a baseline was provided but no targets were set given that UNDP cannot establish them outside the scope of intergovernmental processes. </w:t>
      </w:r>
      <w:r w:rsidR="003C32A8">
        <w:rPr>
          <w:rFonts w:asciiTheme="minorHAnsi" w:eastAsia="Times New Roman" w:hAnsiTheme="minorHAnsi"/>
          <w:sz w:val="20"/>
          <w:szCs w:val="20"/>
        </w:rPr>
        <w:t xml:space="preserve">Indicators can be reviewed once Sustainable Development Goals and respective indicators are agreed, </w:t>
      </w:r>
      <w:r>
        <w:rPr>
          <w:rFonts w:asciiTheme="minorHAnsi" w:eastAsia="Times New Roman" w:hAnsiTheme="minorHAnsi"/>
          <w:sz w:val="20"/>
          <w:szCs w:val="20"/>
        </w:rPr>
        <w:t xml:space="preserve">with respective targets adopted. </w:t>
      </w:r>
    </w:p>
    <w:p w14:paraId="761E95E1" w14:textId="588611AC" w:rsidR="00A547B5" w:rsidRPr="003C32A8" w:rsidRDefault="005315A9" w:rsidP="006F161D">
      <w:pPr>
        <w:pStyle w:val="ListParagraph"/>
        <w:numPr>
          <w:ilvl w:val="0"/>
          <w:numId w:val="64"/>
        </w:numPr>
        <w:spacing w:after="120"/>
        <w:ind w:left="0" w:firstLine="0"/>
        <w:jc w:val="both"/>
        <w:rPr>
          <w:rFonts w:eastAsia="Times New Roman"/>
          <w:sz w:val="20"/>
          <w:szCs w:val="20"/>
        </w:rPr>
      </w:pPr>
      <w:r w:rsidRPr="0083026F">
        <w:rPr>
          <w:rFonts w:asciiTheme="minorHAnsi" w:eastAsia="Times New Roman" w:hAnsiTheme="minorHAnsi"/>
          <w:b/>
          <w:i/>
          <w:sz w:val="20"/>
          <w:szCs w:val="20"/>
        </w:rPr>
        <w:t>Data collection for outcome indicators</w:t>
      </w:r>
      <w:r w:rsidR="0083026F" w:rsidRPr="0083026F">
        <w:rPr>
          <w:rFonts w:asciiTheme="minorHAnsi" w:eastAsia="Times New Roman" w:hAnsiTheme="minorHAnsi"/>
          <w:b/>
          <w:i/>
          <w:sz w:val="20"/>
          <w:szCs w:val="20"/>
        </w:rPr>
        <w:t xml:space="preserve"> derived from international data sources</w:t>
      </w:r>
      <w:r>
        <w:rPr>
          <w:rFonts w:asciiTheme="minorHAnsi" w:eastAsia="Times New Roman" w:hAnsiTheme="minorHAnsi"/>
          <w:sz w:val="20"/>
          <w:szCs w:val="20"/>
        </w:rPr>
        <w:t xml:space="preserve">. </w:t>
      </w:r>
      <w:r w:rsidR="00744DF3" w:rsidRPr="003C32A8">
        <w:rPr>
          <w:rFonts w:asciiTheme="minorHAnsi" w:eastAsia="Times New Roman" w:hAnsiTheme="minorHAnsi"/>
          <w:sz w:val="20"/>
          <w:szCs w:val="20"/>
        </w:rPr>
        <w:t xml:space="preserve">Similarly, most </w:t>
      </w:r>
      <w:r w:rsidR="00744DF3" w:rsidRPr="003C32A8">
        <w:rPr>
          <w:rFonts w:asciiTheme="minorHAnsi" w:eastAsia="Times New Roman" w:hAnsiTheme="minorHAnsi"/>
          <w:sz w:val="20"/>
          <w:szCs w:val="20"/>
          <w:u w:val="single"/>
        </w:rPr>
        <w:t>outcome indicators</w:t>
      </w:r>
      <w:r w:rsidR="00744DF3" w:rsidRPr="003C32A8">
        <w:rPr>
          <w:rFonts w:asciiTheme="minorHAnsi" w:eastAsia="Times New Roman" w:hAnsiTheme="minorHAnsi"/>
          <w:sz w:val="20"/>
          <w:szCs w:val="20"/>
        </w:rPr>
        <w:t xml:space="preserve"> except for indicators 4.4.c, 6.1, 6.2 and 6.4, rely on international published data sources</w:t>
      </w:r>
      <w:r w:rsidR="003C32A8" w:rsidRPr="003C32A8">
        <w:rPr>
          <w:rFonts w:asciiTheme="minorHAnsi" w:eastAsia="Times New Roman" w:hAnsiTheme="minorHAnsi"/>
          <w:sz w:val="20"/>
          <w:szCs w:val="20"/>
        </w:rPr>
        <w:t>, as stated in the populated IRRF template</w:t>
      </w:r>
      <w:r w:rsidR="00744DF3" w:rsidRPr="003C32A8">
        <w:rPr>
          <w:rFonts w:asciiTheme="minorHAnsi" w:eastAsia="Times New Roman" w:hAnsiTheme="minorHAnsi"/>
          <w:sz w:val="20"/>
          <w:szCs w:val="20"/>
        </w:rPr>
        <w:t>. For these indicators, UNDP has</w:t>
      </w:r>
      <w:r w:rsidR="003C32A8" w:rsidRPr="003C32A8">
        <w:rPr>
          <w:rFonts w:asciiTheme="minorHAnsi" w:eastAsia="Times New Roman" w:hAnsiTheme="minorHAnsi"/>
          <w:sz w:val="20"/>
          <w:szCs w:val="20"/>
        </w:rPr>
        <w:t xml:space="preserve"> collected and updated baselines, and </w:t>
      </w:r>
      <w:r w:rsidR="00744DF3" w:rsidRPr="003C32A8">
        <w:rPr>
          <w:rFonts w:asciiTheme="minorHAnsi" w:eastAsia="Times New Roman" w:hAnsiTheme="minorHAnsi"/>
          <w:sz w:val="20"/>
          <w:szCs w:val="20"/>
        </w:rPr>
        <w:t>included 2017 targets as “direction of travel” on the basis of trend analysis</w:t>
      </w:r>
      <w:r w:rsidR="003C32A8">
        <w:rPr>
          <w:rFonts w:asciiTheme="minorHAnsi" w:eastAsia="Times New Roman" w:hAnsiTheme="minorHAnsi"/>
          <w:sz w:val="20"/>
          <w:szCs w:val="20"/>
        </w:rPr>
        <w:t xml:space="preserve">, in both cases utilizing </w:t>
      </w:r>
      <w:r w:rsidR="003C32A8" w:rsidRPr="003C32A8">
        <w:rPr>
          <w:rFonts w:asciiTheme="minorHAnsi" w:eastAsia="Times New Roman" w:hAnsiTheme="minorHAnsi"/>
          <w:sz w:val="20"/>
          <w:szCs w:val="20"/>
        </w:rPr>
        <w:t xml:space="preserve">the most current data available as of </w:t>
      </w:r>
      <w:r w:rsidR="003C32A8">
        <w:rPr>
          <w:rFonts w:asciiTheme="minorHAnsi" w:eastAsia="Times New Roman" w:hAnsiTheme="minorHAnsi"/>
          <w:sz w:val="20"/>
          <w:szCs w:val="20"/>
        </w:rPr>
        <w:t>February</w:t>
      </w:r>
      <w:r w:rsidR="003C32A8" w:rsidRPr="003C32A8">
        <w:rPr>
          <w:rFonts w:asciiTheme="minorHAnsi" w:eastAsia="Times New Roman" w:hAnsiTheme="minorHAnsi"/>
          <w:sz w:val="20"/>
          <w:szCs w:val="20"/>
        </w:rPr>
        <w:t xml:space="preserve"> 2015</w:t>
      </w:r>
      <w:r w:rsidR="003C32A8">
        <w:rPr>
          <w:rFonts w:asciiTheme="minorHAnsi" w:eastAsia="Times New Roman" w:hAnsiTheme="minorHAnsi"/>
          <w:sz w:val="20"/>
          <w:szCs w:val="20"/>
        </w:rPr>
        <w:t>.</w:t>
      </w:r>
      <w:r w:rsidR="00964975">
        <w:rPr>
          <w:rFonts w:asciiTheme="minorHAnsi" w:eastAsia="Times New Roman" w:hAnsiTheme="minorHAnsi"/>
          <w:sz w:val="20"/>
          <w:szCs w:val="20"/>
        </w:rPr>
        <w:t xml:space="preserve"> Baselines for several indicators were updated, as stated in respective indicator notes.</w:t>
      </w:r>
      <w:r w:rsidR="007D456E" w:rsidRPr="007D456E">
        <w:rPr>
          <w:rFonts w:asciiTheme="minorHAnsi" w:eastAsia="Times New Roman" w:hAnsiTheme="minorHAnsi"/>
          <w:sz w:val="20"/>
          <w:szCs w:val="20"/>
        </w:rPr>
        <w:t xml:space="preserve"> </w:t>
      </w:r>
      <w:r w:rsidR="007D456E" w:rsidRPr="00AB1C22">
        <w:rPr>
          <w:rFonts w:asciiTheme="minorHAnsi" w:eastAsia="Times New Roman" w:hAnsiTheme="minorHAnsi"/>
          <w:sz w:val="20"/>
          <w:szCs w:val="20"/>
        </w:rPr>
        <w:t xml:space="preserve">Progress data for 2014 has been added where possible, but for the majority </w:t>
      </w:r>
      <w:r w:rsidR="007D456E" w:rsidRPr="00AB1C22">
        <w:rPr>
          <w:rFonts w:asciiTheme="minorHAnsi" w:eastAsia="Times New Roman" w:hAnsiTheme="minorHAnsi"/>
          <w:sz w:val="20"/>
          <w:szCs w:val="20"/>
        </w:rPr>
        <w:lastRenderedPageBreak/>
        <w:t>of these indicators it is not yet available</w:t>
      </w:r>
      <w:r w:rsidR="007D456E">
        <w:rPr>
          <w:rFonts w:asciiTheme="minorHAnsi" w:eastAsia="Times New Roman" w:hAnsiTheme="minorHAnsi"/>
          <w:sz w:val="20"/>
          <w:szCs w:val="20"/>
        </w:rPr>
        <w:t xml:space="preserve"> due to time lags in data collection and reporting at international level</w:t>
      </w:r>
      <w:r w:rsidR="007D456E" w:rsidRPr="00AB1C22">
        <w:rPr>
          <w:rFonts w:asciiTheme="minorHAnsi" w:eastAsia="Times New Roman" w:hAnsiTheme="minorHAnsi"/>
          <w:sz w:val="20"/>
          <w:szCs w:val="20"/>
        </w:rPr>
        <w:t>. Where data lags prevent reporting on 2014 progress against outcome indicators this year, it will be included in results reporting in future years</w:t>
      </w:r>
      <w:r w:rsidR="007D456E">
        <w:rPr>
          <w:rFonts w:asciiTheme="minorHAnsi" w:eastAsia="Times New Roman" w:hAnsiTheme="minorHAnsi"/>
          <w:sz w:val="20"/>
          <w:szCs w:val="20"/>
        </w:rPr>
        <w:t>.</w:t>
      </w:r>
    </w:p>
    <w:p w14:paraId="4928BF40" w14:textId="696D54B4" w:rsidR="009156D7" w:rsidRDefault="0083026F" w:rsidP="006F161D">
      <w:pPr>
        <w:pStyle w:val="ListParagraph"/>
        <w:numPr>
          <w:ilvl w:val="0"/>
          <w:numId w:val="64"/>
        </w:numPr>
        <w:spacing w:after="120"/>
        <w:ind w:left="0" w:firstLine="0"/>
        <w:jc w:val="both"/>
        <w:rPr>
          <w:rFonts w:eastAsia="Calibri"/>
          <w:sz w:val="20"/>
          <w:szCs w:val="20"/>
        </w:rPr>
      </w:pPr>
      <w:r w:rsidRPr="0083026F">
        <w:rPr>
          <w:rFonts w:asciiTheme="minorHAnsi" w:eastAsia="Times New Roman" w:hAnsiTheme="minorHAnsi"/>
          <w:b/>
          <w:i/>
          <w:sz w:val="20"/>
          <w:szCs w:val="20"/>
        </w:rPr>
        <w:t>Data collection for UNDP-reported outcome indicators and for all output indicators</w:t>
      </w:r>
      <w:r w:rsidRPr="0083026F">
        <w:rPr>
          <w:rFonts w:asciiTheme="minorHAnsi" w:eastAsia="Times New Roman" w:hAnsiTheme="minorHAnsi"/>
          <w:b/>
          <w:sz w:val="20"/>
          <w:szCs w:val="20"/>
        </w:rPr>
        <w:t>.</w:t>
      </w:r>
      <w:r w:rsidRPr="0083026F">
        <w:rPr>
          <w:rFonts w:asciiTheme="minorHAnsi" w:eastAsia="Times New Roman" w:hAnsiTheme="minorHAnsi"/>
          <w:sz w:val="20"/>
          <w:szCs w:val="20"/>
        </w:rPr>
        <w:t xml:space="preserve"> </w:t>
      </w:r>
      <w:r w:rsidR="000A21E3" w:rsidRPr="009156D7">
        <w:rPr>
          <w:rFonts w:asciiTheme="minorHAnsi" w:eastAsia="Times New Roman" w:hAnsiTheme="minorHAnsi"/>
          <w:sz w:val="20"/>
          <w:szCs w:val="20"/>
          <w:u w:val="single"/>
        </w:rPr>
        <w:t>Outcome indicators</w:t>
      </w:r>
      <w:r w:rsidR="000A21E3" w:rsidRPr="009156D7">
        <w:rPr>
          <w:rFonts w:asciiTheme="minorHAnsi" w:eastAsia="Times New Roman" w:hAnsiTheme="minorHAnsi"/>
          <w:sz w:val="20"/>
          <w:szCs w:val="20"/>
        </w:rPr>
        <w:t xml:space="preserve"> 4.4.c, 6.1, 6.2 and 6.4, and all </w:t>
      </w:r>
      <w:r w:rsidR="000A21E3" w:rsidRPr="009156D7">
        <w:rPr>
          <w:rFonts w:asciiTheme="minorHAnsi" w:eastAsia="Times New Roman" w:hAnsiTheme="minorHAnsi"/>
          <w:sz w:val="20"/>
          <w:szCs w:val="20"/>
          <w:u w:val="single"/>
        </w:rPr>
        <w:t>output indicators</w:t>
      </w:r>
      <w:r w:rsidR="000A21E3" w:rsidRPr="009156D7">
        <w:rPr>
          <w:rFonts w:asciiTheme="minorHAnsi" w:eastAsia="Times New Roman" w:hAnsiTheme="minorHAnsi"/>
          <w:sz w:val="20"/>
          <w:szCs w:val="20"/>
        </w:rPr>
        <w:t xml:space="preserve"> in the IRRF, rely on data reported by UNDP country offices through UNDP’s new online corporate planning and monitoring system. A reporting exercise was undertaken between mid-December 2014 and February 2015</w:t>
      </w:r>
      <w:r w:rsidR="00964975" w:rsidRPr="009156D7">
        <w:rPr>
          <w:rFonts w:asciiTheme="minorHAnsi" w:eastAsia="Times New Roman" w:hAnsiTheme="minorHAnsi"/>
          <w:sz w:val="20"/>
          <w:szCs w:val="20"/>
        </w:rPr>
        <w:t>, through which c</w:t>
      </w:r>
      <w:r w:rsidR="000A21E3" w:rsidRPr="009156D7">
        <w:rPr>
          <w:rFonts w:asciiTheme="minorHAnsi" w:eastAsia="Times New Roman" w:hAnsiTheme="minorHAnsi"/>
          <w:sz w:val="20"/>
          <w:szCs w:val="20"/>
        </w:rPr>
        <w:t xml:space="preserve">ountry offices were requested to report results </w:t>
      </w:r>
      <w:r w:rsidR="009156D7" w:rsidRPr="009156D7">
        <w:rPr>
          <w:rFonts w:asciiTheme="minorHAnsi" w:eastAsia="Times New Roman" w:hAnsiTheme="minorHAnsi"/>
          <w:sz w:val="20"/>
          <w:szCs w:val="20"/>
        </w:rPr>
        <w:t xml:space="preserve">achieved in 2014 </w:t>
      </w:r>
      <w:r w:rsidR="000A21E3" w:rsidRPr="009156D7">
        <w:rPr>
          <w:rFonts w:asciiTheme="minorHAnsi" w:eastAsia="Times New Roman" w:hAnsiTheme="minorHAnsi"/>
          <w:sz w:val="20"/>
          <w:szCs w:val="20"/>
        </w:rPr>
        <w:t>for all relevant IRRF indicators</w:t>
      </w:r>
      <w:r w:rsidR="009156D7" w:rsidRPr="009156D7">
        <w:rPr>
          <w:rFonts w:asciiTheme="minorHAnsi" w:eastAsia="Calibri" w:hAnsiTheme="minorHAnsi"/>
          <w:sz w:val="20"/>
          <w:szCs w:val="20"/>
        </w:rPr>
        <w:t xml:space="preserve"> to which their respective programmes were</w:t>
      </w:r>
      <w:r w:rsidR="000A21E3" w:rsidRPr="009156D7">
        <w:rPr>
          <w:rFonts w:asciiTheme="minorHAnsi" w:eastAsia="Calibri" w:hAnsiTheme="minorHAnsi"/>
          <w:sz w:val="20"/>
          <w:szCs w:val="20"/>
        </w:rPr>
        <w:t xml:space="preserve"> linked</w:t>
      </w:r>
      <w:r w:rsidR="009156D7" w:rsidRPr="009156D7">
        <w:rPr>
          <w:rFonts w:asciiTheme="minorHAnsi" w:eastAsia="Calibri" w:hAnsiTheme="minorHAnsi"/>
          <w:sz w:val="20"/>
          <w:szCs w:val="20"/>
        </w:rPr>
        <w:t xml:space="preserve">. </w:t>
      </w:r>
      <w:r w:rsidR="009156D7" w:rsidRPr="009156D7">
        <w:rPr>
          <w:rFonts w:eastAsia="Calibri"/>
          <w:sz w:val="20"/>
          <w:szCs w:val="20"/>
        </w:rPr>
        <w:t>Data provided by country offices was quality assured at regional and headquarters level. Incomplete or inconsistent data was verified directly with country offices where possible. The following assumptio</w:t>
      </w:r>
      <w:r w:rsidR="007D456E">
        <w:rPr>
          <w:rFonts w:eastAsia="Calibri"/>
          <w:sz w:val="20"/>
          <w:szCs w:val="20"/>
        </w:rPr>
        <w:t>ns were then applied to country-</w:t>
      </w:r>
      <w:r w:rsidR="009156D7" w:rsidRPr="009156D7">
        <w:rPr>
          <w:rFonts w:eastAsia="Calibri"/>
          <w:sz w:val="20"/>
          <w:szCs w:val="20"/>
        </w:rPr>
        <w:t xml:space="preserve">level data, to enable calculation of a consistent aggregated time series of results expected </w:t>
      </w:r>
      <w:r w:rsidR="009156D7">
        <w:rPr>
          <w:rFonts w:eastAsia="Calibri"/>
          <w:sz w:val="20"/>
          <w:szCs w:val="20"/>
        </w:rPr>
        <w:t>over the Strategic Plan period</w:t>
      </w:r>
      <w:r>
        <w:rPr>
          <w:rFonts w:eastAsia="Calibri"/>
          <w:sz w:val="20"/>
          <w:szCs w:val="20"/>
        </w:rPr>
        <w:t>, and ensuring conservative and therefore robust reporting on results</w:t>
      </w:r>
      <w:r w:rsidR="009156D7">
        <w:rPr>
          <w:rFonts w:eastAsia="Calibri"/>
          <w:sz w:val="20"/>
          <w:szCs w:val="20"/>
        </w:rPr>
        <w:t>:</w:t>
      </w:r>
    </w:p>
    <w:p w14:paraId="6EAAE6C1" w14:textId="77777777" w:rsidR="009156D7" w:rsidRPr="00AB1C22" w:rsidRDefault="009156D7" w:rsidP="006F161D">
      <w:pPr>
        <w:pStyle w:val="ListParagraph"/>
        <w:numPr>
          <w:ilvl w:val="0"/>
          <w:numId w:val="65"/>
        </w:numPr>
        <w:spacing w:after="120"/>
        <w:jc w:val="both"/>
        <w:rPr>
          <w:rFonts w:asciiTheme="minorHAnsi" w:eastAsia="Calibri" w:hAnsiTheme="minorHAnsi"/>
          <w:sz w:val="20"/>
          <w:szCs w:val="20"/>
        </w:rPr>
      </w:pPr>
      <w:r w:rsidRPr="00A929AB">
        <w:rPr>
          <w:rFonts w:asciiTheme="minorHAnsi" w:eastAsia="Calibri" w:hAnsiTheme="minorHAnsi"/>
          <w:i/>
          <w:sz w:val="20"/>
          <w:szCs w:val="20"/>
        </w:rPr>
        <w:t>Missing milestones or targets</w:t>
      </w:r>
      <w:r w:rsidRPr="00A929AB">
        <w:rPr>
          <w:rFonts w:asciiTheme="minorHAnsi" w:eastAsia="Calibri" w:hAnsiTheme="minorHAnsi"/>
          <w:sz w:val="20"/>
          <w:szCs w:val="20"/>
        </w:rPr>
        <w:t xml:space="preserve">: </w:t>
      </w:r>
      <w:r w:rsidRPr="00AB1C22">
        <w:rPr>
          <w:rFonts w:asciiTheme="minorHAnsi" w:eastAsia="Calibri" w:hAnsiTheme="minorHAnsi"/>
          <w:sz w:val="20"/>
          <w:szCs w:val="20"/>
        </w:rPr>
        <w:t xml:space="preserve">For countries reporting some expected results for an indicator, but with </w:t>
      </w:r>
      <w:r w:rsidRPr="00AB1C22">
        <w:rPr>
          <w:rFonts w:asciiTheme="minorHAnsi" w:eastAsia="Calibri" w:hAnsiTheme="minorHAnsi"/>
          <w:sz w:val="20"/>
          <w:szCs w:val="20"/>
          <w:u w:val="single"/>
        </w:rPr>
        <w:t>expected</w:t>
      </w:r>
      <w:r w:rsidRPr="00AB1C22">
        <w:rPr>
          <w:rFonts w:asciiTheme="minorHAnsi" w:eastAsia="Calibri" w:hAnsiTheme="minorHAnsi"/>
          <w:sz w:val="20"/>
          <w:szCs w:val="20"/>
        </w:rPr>
        <w:t xml:space="preserve"> values missing for one or more years, the previous value in the time series was rolled forward (e.g. if a country did not provide a 2015 milestone, the 2014 milestone value was also used for 2015); or if no earlier value was available, the next value in the time series was rolled backwards (e.g. if a country did not provide a 2014 milestone, the 2015 milestone value was used for 2014). This approach was designed to provide a comparable time series in </w:t>
      </w:r>
      <w:r w:rsidRPr="00AB1C22">
        <w:rPr>
          <w:rFonts w:asciiTheme="minorHAnsi" w:eastAsia="Calibri" w:hAnsiTheme="minorHAnsi"/>
          <w:sz w:val="20"/>
          <w:szCs w:val="20"/>
          <w:u w:val="single"/>
        </w:rPr>
        <w:t>expected</w:t>
      </w:r>
      <w:r w:rsidRPr="00AB1C22">
        <w:rPr>
          <w:rFonts w:asciiTheme="minorHAnsi" w:eastAsia="Calibri" w:hAnsiTheme="minorHAnsi"/>
          <w:sz w:val="20"/>
          <w:szCs w:val="20"/>
        </w:rPr>
        <w:t xml:space="preserve"> results across years, whilst making conservative assumptions that do not overestimate the scale of changes over the Strategic Plan period.</w:t>
      </w:r>
    </w:p>
    <w:p w14:paraId="77147355" w14:textId="3D4FD050" w:rsidR="0083026F" w:rsidRPr="00AB1C22" w:rsidRDefault="0083026F" w:rsidP="006F161D">
      <w:pPr>
        <w:pStyle w:val="ListParagraph"/>
        <w:numPr>
          <w:ilvl w:val="0"/>
          <w:numId w:val="65"/>
        </w:numPr>
        <w:spacing w:after="120"/>
        <w:jc w:val="both"/>
        <w:rPr>
          <w:rFonts w:asciiTheme="minorHAnsi" w:eastAsia="Calibri" w:hAnsiTheme="minorHAnsi"/>
          <w:sz w:val="20"/>
          <w:szCs w:val="20"/>
        </w:rPr>
      </w:pPr>
      <w:r w:rsidRPr="00A929AB">
        <w:rPr>
          <w:rFonts w:asciiTheme="minorHAnsi" w:eastAsia="Calibri" w:hAnsiTheme="minorHAnsi"/>
          <w:i/>
          <w:sz w:val="20"/>
          <w:szCs w:val="20"/>
        </w:rPr>
        <w:t>Missing baselines</w:t>
      </w:r>
      <w:r w:rsidRPr="00A929AB">
        <w:rPr>
          <w:rFonts w:asciiTheme="minorHAnsi" w:eastAsia="Calibri" w:hAnsiTheme="minorHAnsi"/>
          <w:sz w:val="20"/>
          <w:szCs w:val="20"/>
        </w:rPr>
        <w:t>: If</w:t>
      </w:r>
      <w:r w:rsidRPr="00AB1C22">
        <w:rPr>
          <w:rFonts w:asciiTheme="minorHAnsi" w:eastAsia="Calibri" w:hAnsiTheme="minorHAnsi"/>
          <w:sz w:val="20"/>
          <w:szCs w:val="20"/>
        </w:rPr>
        <w:t xml:space="preserve"> no baseline was reported, it was assumed to be equal to the 2014 milestone. If no 2014 milestone was provided, but a 2014 actual was reported, the baseline was assumed to be equal to the 2014 actual (</w:t>
      </w:r>
      <w:r w:rsidR="009C5083" w:rsidRPr="00AB1C22">
        <w:rPr>
          <w:rFonts w:asciiTheme="minorHAnsi" w:eastAsia="Calibri" w:hAnsiTheme="minorHAnsi"/>
          <w:sz w:val="20"/>
          <w:szCs w:val="20"/>
        </w:rPr>
        <w:t>i.e.</w:t>
      </w:r>
      <w:r w:rsidRPr="00AB1C22">
        <w:rPr>
          <w:rFonts w:asciiTheme="minorHAnsi" w:eastAsia="Calibri" w:hAnsiTheme="minorHAnsi"/>
          <w:sz w:val="20"/>
          <w:szCs w:val="20"/>
        </w:rPr>
        <w:t xml:space="preserve"> a conservative assumption of no new results delivered) </w:t>
      </w:r>
      <w:r w:rsidRPr="00AB1C22">
        <w:rPr>
          <w:rFonts w:asciiTheme="minorHAnsi" w:eastAsia="Calibri" w:hAnsiTheme="minorHAnsi"/>
          <w:i/>
          <w:sz w:val="20"/>
          <w:szCs w:val="20"/>
        </w:rPr>
        <w:t xml:space="preserve">unless </w:t>
      </w:r>
      <w:r w:rsidRPr="00AB1C22">
        <w:rPr>
          <w:rFonts w:asciiTheme="minorHAnsi" w:eastAsia="Calibri" w:hAnsiTheme="minorHAnsi"/>
          <w:sz w:val="20"/>
          <w:szCs w:val="20"/>
        </w:rPr>
        <w:t>there was an indication that these were new results (</w:t>
      </w:r>
      <w:r w:rsidR="009C5083" w:rsidRPr="00AB1C22">
        <w:rPr>
          <w:rFonts w:asciiTheme="minorHAnsi" w:eastAsia="Calibri" w:hAnsiTheme="minorHAnsi"/>
          <w:sz w:val="20"/>
          <w:szCs w:val="20"/>
        </w:rPr>
        <w:t>e.g.</w:t>
      </w:r>
      <w:r w:rsidRPr="00AB1C22">
        <w:rPr>
          <w:rFonts w:asciiTheme="minorHAnsi" w:eastAsia="Calibri" w:hAnsiTheme="minorHAnsi"/>
          <w:sz w:val="20"/>
          <w:szCs w:val="20"/>
        </w:rPr>
        <w:t xml:space="preserve"> later milestones were provided indicating further increases, or a comment was provided). </w:t>
      </w:r>
    </w:p>
    <w:p w14:paraId="2D6375BF" w14:textId="12523CDB" w:rsidR="009156D7" w:rsidRPr="00AB1C22" w:rsidRDefault="009156D7" w:rsidP="006F161D">
      <w:pPr>
        <w:pStyle w:val="ListParagraph"/>
        <w:numPr>
          <w:ilvl w:val="0"/>
          <w:numId w:val="65"/>
        </w:numPr>
        <w:spacing w:after="120"/>
        <w:jc w:val="both"/>
        <w:rPr>
          <w:rFonts w:asciiTheme="minorHAnsi" w:eastAsia="Calibri" w:hAnsiTheme="minorHAnsi"/>
          <w:sz w:val="20"/>
          <w:szCs w:val="20"/>
        </w:rPr>
      </w:pPr>
      <w:r w:rsidRPr="00A929AB">
        <w:rPr>
          <w:rFonts w:asciiTheme="minorHAnsi" w:eastAsia="Calibri" w:hAnsiTheme="minorHAnsi"/>
          <w:i/>
          <w:sz w:val="20"/>
          <w:szCs w:val="20"/>
        </w:rPr>
        <w:t>Missing 2014 actuals</w:t>
      </w:r>
      <w:r w:rsidRPr="00A929AB">
        <w:rPr>
          <w:rFonts w:asciiTheme="minorHAnsi" w:eastAsia="Calibri" w:hAnsiTheme="minorHAnsi"/>
          <w:sz w:val="20"/>
          <w:szCs w:val="20"/>
        </w:rPr>
        <w:t xml:space="preserve">: </w:t>
      </w:r>
      <w:r w:rsidRPr="00A929AB">
        <w:rPr>
          <w:rFonts w:asciiTheme="minorHAnsi" w:eastAsia="Times New Roman" w:hAnsiTheme="minorHAnsi"/>
          <w:sz w:val="20"/>
          <w:szCs w:val="20"/>
        </w:rPr>
        <w:t>No</w:t>
      </w:r>
      <w:r w:rsidRPr="00AB1C22">
        <w:rPr>
          <w:rFonts w:asciiTheme="minorHAnsi" w:eastAsia="Times New Roman" w:hAnsiTheme="minorHAnsi"/>
          <w:sz w:val="20"/>
          <w:szCs w:val="20"/>
        </w:rPr>
        <w:t xml:space="preserve"> assumptions were made about 2014 </w:t>
      </w:r>
      <w:r w:rsidRPr="00AB1C22">
        <w:rPr>
          <w:rFonts w:asciiTheme="minorHAnsi" w:eastAsia="Times New Roman" w:hAnsiTheme="minorHAnsi"/>
          <w:sz w:val="20"/>
          <w:szCs w:val="20"/>
          <w:u w:val="single"/>
        </w:rPr>
        <w:t>actual</w:t>
      </w:r>
      <w:r w:rsidRPr="00AB1C22">
        <w:rPr>
          <w:rFonts w:asciiTheme="minorHAnsi" w:eastAsia="Times New Roman" w:hAnsiTheme="minorHAnsi"/>
          <w:sz w:val="20"/>
          <w:szCs w:val="20"/>
        </w:rPr>
        <w:t xml:space="preserve"> results achieved where none were reported. The only adjustment made to 2014 actual results was to correct totals when they were missing or lower than reported 2014 actual results for component indicators, </w:t>
      </w:r>
      <w:r w:rsidR="009C5083" w:rsidRPr="00AB1C22">
        <w:rPr>
          <w:rFonts w:asciiTheme="minorHAnsi" w:eastAsia="Times New Roman" w:hAnsiTheme="minorHAnsi"/>
          <w:sz w:val="20"/>
          <w:szCs w:val="20"/>
        </w:rPr>
        <w:t>e.g.</w:t>
      </w:r>
      <w:r w:rsidRPr="00AB1C22">
        <w:rPr>
          <w:rFonts w:asciiTheme="minorHAnsi" w:eastAsia="Times New Roman" w:hAnsiTheme="minorHAnsi"/>
          <w:sz w:val="20"/>
          <w:szCs w:val="20"/>
        </w:rPr>
        <w:t xml:space="preserve"> male and female values (as noted below).  The actual results presented in the report represent only confirmed results from country programmes, and are incomplete in some cases. Indicators with incomplete reporting on 2014 actual results are flagged in the populated IRRF; full results for 2014 will be confirmed as part of future results reporting.</w:t>
      </w:r>
    </w:p>
    <w:p w14:paraId="7AEAE7E1" w14:textId="77777777" w:rsidR="009156D7" w:rsidRPr="00AB1C22" w:rsidRDefault="009156D7" w:rsidP="006F161D">
      <w:pPr>
        <w:pStyle w:val="ListParagraph"/>
        <w:numPr>
          <w:ilvl w:val="0"/>
          <w:numId w:val="65"/>
        </w:numPr>
        <w:tabs>
          <w:tab w:val="left" w:pos="1944"/>
        </w:tabs>
        <w:spacing w:after="120"/>
        <w:jc w:val="both"/>
        <w:rPr>
          <w:rFonts w:asciiTheme="minorHAnsi" w:hAnsiTheme="minorHAnsi"/>
          <w:sz w:val="20"/>
          <w:szCs w:val="20"/>
        </w:rPr>
      </w:pPr>
      <w:r w:rsidRPr="00A929AB">
        <w:rPr>
          <w:rFonts w:asciiTheme="minorHAnsi" w:eastAsia="Calibri" w:hAnsiTheme="minorHAnsi"/>
          <w:i/>
          <w:sz w:val="20"/>
          <w:szCs w:val="20"/>
        </w:rPr>
        <w:t>Adjustments to ensure a meaningful cumulative time series</w:t>
      </w:r>
      <w:r w:rsidRPr="00A929AB">
        <w:rPr>
          <w:rFonts w:asciiTheme="minorHAnsi" w:eastAsia="Calibri" w:hAnsiTheme="minorHAnsi"/>
          <w:sz w:val="20"/>
          <w:szCs w:val="20"/>
        </w:rPr>
        <w:t>: If</w:t>
      </w:r>
      <w:r w:rsidRPr="00AB1C22">
        <w:rPr>
          <w:rFonts w:asciiTheme="minorHAnsi" w:eastAsia="Calibri" w:hAnsiTheme="minorHAnsi"/>
          <w:sz w:val="20"/>
          <w:szCs w:val="20"/>
        </w:rPr>
        <w:t xml:space="preserve"> the reported baseline was higher than the first milestone or target in the time series, it was assumed the baseline was not included in the remaining time series, and the baseline was adjusted to zero. If any milestone or target was lower than a previous milestone, it was assumed that milestones showed annual increments, so milestones were summed to produce cumulative milestones. In such cases, if the target was equal to the sum of annual milestones, it was assumed to represent a cumulative target already and was not adjusted; otherwise the annual milestones and target values were summed to produce a cumulative target. If a reported 2014 actual result was lower than the baseline, but milestones and target were not lower than the baseline, it was assumed the baseline was included in the milestones and target but not the 2014 actual; in such cases, the baseline was adjusted to zero and the reported baseline value was subtracted from milestone and target values. </w:t>
      </w:r>
    </w:p>
    <w:p w14:paraId="20CE9E99" w14:textId="7550C93D" w:rsidR="009156D7" w:rsidRPr="00AB1C22" w:rsidRDefault="009156D7" w:rsidP="006F161D">
      <w:pPr>
        <w:pStyle w:val="ListParagraph"/>
        <w:numPr>
          <w:ilvl w:val="0"/>
          <w:numId w:val="65"/>
        </w:numPr>
        <w:tabs>
          <w:tab w:val="left" w:pos="1944"/>
        </w:tabs>
        <w:spacing w:after="120"/>
        <w:jc w:val="both"/>
        <w:rPr>
          <w:rFonts w:asciiTheme="minorHAnsi" w:hAnsiTheme="minorHAnsi"/>
          <w:sz w:val="20"/>
          <w:szCs w:val="20"/>
        </w:rPr>
      </w:pPr>
      <w:r w:rsidRPr="00A929AB">
        <w:rPr>
          <w:rFonts w:asciiTheme="minorHAnsi" w:eastAsia="Calibri" w:hAnsiTheme="minorHAnsi"/>
          <w:i/>
          <w:sz w:val="20"/>
          <w:szCs w:val="20"/>
        </w:rPr>
        <w:t>Adjustments to total results for disaggregated indicators</w:t>
      </w:r>
      <w:r w:rsidRPr="00A929AB">
        <w:rPr>
          <w:rFonts w:asciiTheme="minorHAnsi" w:eastAsia="Calibri" w:hAnsiTheme="minorHAnsi"/>
          <w:sz w:val="20"/>
          <w:szCs w:val="20"/>
        </w:rPr>
        <w:t>:</w:t>
      </w:r>
      <w:r w:rsidRPr="00AB1C22">
        <w:rPr>
          <w:rFonts w:asciiTheme="minorHAnsi" w:hAnsiTheme="minorHAnsi"/>
          <w:sz w:val="20"/>
          <w:szCs w:val="20"/>
        </w:rPr>
        <w:t xml:space="preserve"> Where countries reported sex disaggregated results but did not provide a total, or where the total was less than the sum of component male and female results, the total was corrected to match the sum of male and female values (for baseline, milestone, actual and target as needed). If the total exceeded the sum of male and female values, no adjustment was made, as this typically reflect</w:t>
      </w:r>
      <w:r w:rsidR="004640EA">
        <w:rPr>
          <w:rFonts w:asciiTheme="minorHAnsi" w:hAnsiTheme="minorHAnsi"/>
          <w:sz w:val="20"/>
          <w:szCs w:val="20"/>
        </w:rPr>
        <w:t>s</w:t>
      </w:r>
      <w:r w:rsidRPr="00AB1C22">
        <w:rPr>
          <w:rFonts w:asciiTheme="minorHAnsi" w:hAnsiTheme="minorHAnsi"/>
          <w:sz w:val="20"/>
          <w:szCs w:val="20"/>
        </w:rPr>
        <w:t xml:space="preserve"> a portion of results for which sex disaggregation is not currently available. Similarly for results with other disaggregation, if a valid total was not provided, it was assumed to be at least as high as t</w:t>
      </w:r>
      <w:r w:rsidR="00195547">
        <w:rPr>
          <w:rFonts w:asciiTheme="minorHAnsi" w:hAnsiTheme="minorHAnsi"/>
          <w:sz w:val="20"/>
          <w:szCs w:val="20"/>
        </w:rPr>
        <w:t>he sum of reported components.</w:t>
      </w:r>
    </w:p>
    <w:p w14:paraId="31A710CD" w14:textId="22576A40" w:rsidR="009156D7" w:rsidRPr="00AB1C22" w:rsidRDefault="009156D7" w:rsidP="006F161D">
      <w:pPr>
        <w:pStyle w:val="ListParagraph"/>
        <w:numPr>
          <w:ilvl w:val="0"/>
          <w:numId w:val="65"/>
        </w:numPr>
        <w:tabs>
          <w:tab w:val="left" w:pos="1944"/>
        </w:tabs>
        <w:spacing w:after="120"/>
        <w:jc w:val="both"/>
        <w:rPr>
          <w:rFonts w:asciiTheme="minorHAnsi" w:eastAsia="Calibri" w:hAnsiTheme="minorHAnsi"/>
          <w:sz w:val="20"/>
          <w:szCs w:val="20"/>
        </w:rPr>
      </w:pPr>
      <w:r w:rsidRPr="00A929AB">
        <w:rPr>
          <w:rFonts w:asciiTheme="minorHAnsi" w:eastAsia="Calibri" w:hAnsiTheme="minorHAnsi"/>
          <w:i/>
          <w:sz w:val="20"/>
          <w:szCs w:val="20"/>
        </w:rPr>
        <w:lastRenderedPageBreak/>
        <w:t>Adjustments to show additional results</w:t>
      </w:r>
      <w:r w:rsidRPr="00A929AB">
        <w:rPr>
          <w:rFonts w:asciiTheme="minorHAnsi" w:eastAsia="Calibri" w:hAnsiTheme="minorHAnsi"/>
          <w:sz w:val="20"/>
          <w:szCs w:val="20"/>
        </w:rPr>
        <w:t>:</w:t>
      </w:r>
      <w:r w:rsidRPr="00AB1C22">
        <w:rPr>
          <w:rFonts w:asciiTheme="minorHAnsi" w:eastAsia="Calibri" w:hAnsiTheme="minorHAnsi"/>
          <w:b/>
          <w:sz w:val="20"/>
          <w:szCs w:val="20"/>
        </w:rPr>
        <w:t xml:space="preserve"> </w:t>
      </w:r>
      <w:r w:rsidRPr="00AB1C22">
        <w:rPr>
          <w:rFonts w:asciiTheme="minorHAnsi" w:eastAsia="Calibri" w:hAnsiTheme="minorHAnsi"/>
          <w:sz w:val="20"/>
          <w:szCs w:val="20"/>
        </w:rPr>
        <w:t xml:space="preserve">For indicators designed to measure </w:t>
      </w:r>
      <w:r w:rsidRPr="00AB1C22">
        <w:rPr>
          <w:rFonts w:asciiTheme="minorHAnsi" w:eastAsia="Calibri" w:hAnsiTheme="minorHAnsi"/>
          <w:sz w:val="20"/>
          <w:szCs w:val="20"/>
          <w:u w:val="single"/>
        </w:rPr>
        <w:t>additional</w:t>
      </w:r>
      <w:r w:rsidRPr="00AB1C22">
        <w:rPr>
          <w:rFonts w:asciiTheme="minorHAnsi" w:eastAsia="Calibri" w:hAnsiTheme="minorHAnsi"/>
          <w:sz w:val="20"/>
          <w:szCs w:val="20"/>
        </w:rPr>
        <w:t xml:space="preserve"> results achieved over the Strategic Plan period, country level results w</w:t>
      </w:r>
      <w:r w:rsidR="00195547">
        <w:rPr>
          <w:rFonts w:asciiTheme="minorHAnsi" w:eastAsia="Calibri" w:hAnsiTheme="minorHAnsi"/>
          <w:sz w:val="20"/>
          <w:szCs w:val="20"/>
        </w:rPr>
        <w:t>ere adjusted as described above. T</w:t>
      </w:r>
      <w:r w:rsidRPr="00AB1C22">
        <w:rPr>
          <w:rFonts w:asciiTheme="minorHAnsi" w:eastAsia="Calibri" w:hAnsiTheme="minorHAnsi"/>
          <w:sz w:val="20"/>
          <w:szCs w:val="20"/>
        </w:rPr>
        <w:t xml:space="preserve">hen the baseline value was subtracted from each year in the time series to yield a baseline of zero, and ensure milestones, actuals and targets showed </w:t>
      </w:r>
      <w:r w:rsidR="00195547">
        <w:rPr>
          <w:rFonts w:asciiTheme="minorHAnsi" w:eastAsia="Calibri" w:hAnsiTheme="minorHAnsi"/>
          <w:sz w:val="20"/>
          <w:szCs w:val="20"/>
        </w:rPr>
        <w:t>only the “additionality” generated, i.e., the extra results beyond what existed in the baseline year</w:t>
      </w:r>
      <w:r w:rsidRPr="00AB1C22">
        <w:rPr>
          <w:rFonts w:asciiTheme="minorHAnsi" w:eastAsia="Calibri" w:hAnsiTheme="minorHAnsi"/>
          <w:sz w:val="20"/>
          <w:szCs w:val="20"/>
        </w:rPr>
        <w:t xml:space="preserve">, before summing country values to calculate </w:t>
      </w:r>
      <w:r w:rsidR="00195547">
        <w:rPr>
          <w:rFonts w:asciiTheme="minorHAnsi" w:eastAsia="Calibri" w:hAnsiTheme="minorHAnsi"/>
          <w:sz w:val="20"/>
          <w:szCs w:val="20"/>
        </w:rPr>
        <w:t xml:space="preserve">overall UNDP additional results. For some indicators, countries were missing </w:t>
      </w:r>
      <w:r w:rsidRPr="00AB1C22">
        <w:rPr>
          <w:rFonts w:asciiTheme="minorHAnsi" w:eastAsia="Calibri" w:hAnsiTheme="minorHAnsi"/>
          <w:sz w:val="20"/>
          <w:szCs w:val="20"/>
        </w:rPr>
        <w:t>2014 actual data</w:t>
      </w:r>
      <w:r w:rsidR="00195547">
        <w:rPr>
          <w:rFonts w:asciiTheme="minorHAnsi" w:eastAsia="Calibri" w:hAnsiTheme="minorHAnsi"/>
          <w:sz w:val="20"/>
          <w:szCs w:val="20"/>
        </w:rPr>
        <w:t xml:space="preserve">, as reporting cycles are not yet reconciled. These countries </w:t>
      </w:r>
      <w:r w:rsidRPr="00AB1C22">
        <w:rPr>
          <w:rFonts w:asciiTheme="minorHAnsi" w:eastAsia="Calibri" w:hAnsiTheme="minorHAnsi"/>
          <w:sz w:val="20"/>
          <w:szCs w:val="20"/>
        </w:rPr>
        <w:t xml:space="preserve">were excluded from the calculation of </w:t>
      </w:r>
      <w:r w:rsidR="00195547">
        <w:rPr>
          <w:rFonts w:asciiTheme="minorHAnsi" w:eastAsia="Calibri" w:hAnsiTheme="minorHAnsi"/>
          <w:sz w:val="20"/>
          <w:szCs w:val="20"/>
        </w:rPr>
        <w:t xml:space="preserve">2014 overall UNDP </w:t>
      </w:r>
      <w:r w:rsidRPr="00AB1C22">
        <w:rPr>
          <w:rFonts w:asciiTheme="minorHAnsi" w:eastAsia="Calibri" w:hAnsiTheme="minorHAnsi"/>
          <w:sz w:val="20"/>
          <w:szCs w:val="20"/>
        </w:rPr>
        <w:t>actual results</w:t>
      </w:r>
      <w:r w:rsidR="00195547">
        <w:rPr>
          <w:rFonts w:asciiTheme="minorHAnsi" w:eastAsia="Calibri" w:hAnsiTheme="minorHAnsi"/>
          <w:sz w:val="20"/>
          <w:szCs w:val="20"/>
        </w:rPr>
        <w:t>,</w:t>
      </w:r>
      <w:r w:rsidRPr="00AB1C22">
        <w:rPr>
          <w:rFonts w:asciiTheme="minorHAnsi" w:eastAsia="Calibri" w:hAnsiTheme="minorHAnsi"/>
          <w:sz w:val="20"/>
          <w:szCs w:val="20"/>
        </w:rPr>
        <w:t xml:space="preserve"> but </w:t>
      </w:r>
      <w:r w:rsidR="00846957">
        <w:rPr>
          <w:rFonts w:asciiTheme="minorHAnsi" w:eastAsia="Calibri" w:hAnsiTheme="minorHAnsi"/>
          <w:sz w:val="20"/>
          <w:szCs w:val="20"/>
        </w:rPr>
        <w:t>not</w:t>
      </w:r>
      <w:r w:rsidRPr="00AB1C22">
        <w:rPr>
          <w:rFonts w:asciiTheme="minorHAnsi" w:eastAsia="Calibri" w:hAnsiTheme="minorHAnsi"/>
          <w:sz w:val="20"/>
          <w:szCs w:val="20"/>
        </w:rPr>
        <w:t xml:space="preserve"> from the calculation of milestones.</w:t>
      </w:r>
      <w:r w:rsidR="00195547">
        <w:rPr>
          <w:rFonts w:asciiTheme="minorHAnsi" w:eastAsia="Calibri" w:hAnsiTheme="minorHAnsi"/>
          <w:sz w:val="20"/>
          <w:szCs w:val="20"/>
        </w:rPr>
        <w:t xml:space="preserve"> Missing data was flagged in respective indicator notes, and will be included in future reporting.</w:t>
      </w:r>
    </w:p>
    <w:p w14:paraId="57149FEB" w14:textId="2F839EDA" w:rsidR="005C6F36" w:rsidRDefault="005315A9" w:rsidP="006F161D">
      <w:pPr>
        <w:pStyle w:val="ListParagraph"/>
        <w:numPr>
          <w:ilvl w:val="0"/>
          <w:numId w:val="64"/>
        </w:numPr>
        <w:spacing w:after="120"/>
        <w:ind w:left="0" w:firstLine="0"/>
        <w:jc w:val="both"/>
        <w:rPr>
          <w:rFonts w:eastAsia="Times New Roman"/>
          <w:sz w:val="20"/>
          <w:szCs w:val="20"/>
        </w:rPr>
      </w:pPr>
      <w:r w:rsidRPr="00A929AB">
        <w:rPr>
          <w:rFonts w:eastAsia="Times New Roman"/>
          <w:b/>
          <w:i/>
          <w:sz w:val="20"/>
          <w:szCs w:val="20"/>
        </w:rPr>
        <w:t>Updated baselines, milestones, and targets</w:t>
      </w:r>
      <w:r w:rsidRPr="005315A9">
        <w:rPr>
          <w:rFonts w:eastAsia="Times New Roman"/>
          <w:b/>
          <w:sz w:val="20"/>
          <w:szCs w:val="20"/>
        </w:rPr>
        <w:t>.</w:t>
      </w:r>
      <w:r>
        <w:rPr>
          <w:rFonts w:eastAsia="Times New Roman"/>
          <w:sz w:val="20"/>
          <w:szCs w:val="20"/>
        </w:rPr>
        <w:t xml:space="preserve"> </w:t>
      </w:r>
      <w:r w:rsidR="005C6F36" w:rsidRPr="005315A9">
        <w:rPr>
          <w:rFonts w:eastAsia="Times New Roman"/>
          <w:sz w:val="20"/>
          <w:szCs w:val="20"/>
        </w:rPr>
        <w:t>For some indicators, baselines, milestones and/or targets have been updated since the January 2015 Technical Note</w:t>
      </w:r>
      <w:r w:rsidR="00977763">
        <w:rPr>
          <w:rFonts w:eastAsia="Times New Roman"/>
          <w:sz w:val="20"/>
          <w:szCs w:val="20"/>
        </w:rPr>
        <w:t>,</w:t>
      </w:r>
      <w:r w:rsidR="005C6F36" w:rsidRPr="005315A9">
        <w:rPr>
          <w:rFonts w:eastAsia="Times New Roman"/>
          <w:sz w:val="20"/>
          <w:szCs w:val="20"/>
        </w:rPr>
        <w:t xml:space="preserve"> based on </w:t>
      </w:r>
      <w:r w:rsidR="00977763">
        <w:rPr>
          <w:rFonts w:eastAsia="Times New Roman"/>
          <w:sz w:val="20"/>
          <w:szCs w:val="20"/>
        </w:rPr>
        <w:t xml:space="preserve">availability of </w:t>
      </w:r>
      <w:r w:rsidR="005C6F36" w:rsidRPr="005315A9">
        <w:rPr>
          <w:rFonts w:eastAsia="Times New Roman"/>
          <w:sz w:val="20"/>
          <w:szCs w:val="20"/>
        </w:rPr>
        <w:t xml:space="preserve">more complete or correct country information, </w:t>
      </w:r>
      <w:r w:rsidR="00977763">
        <w:rPr>
          <w:rFonts w:eastAsia="Times New Roman"/>
          <w:sz w:val="20"/>
          <w:szCs w:val="20"/>
        </w:rPr>
        <w:t>better</w:t>
      </w:r>
      <w:r w:rsidR="005C6F36" w:rsidRPr="005315A9">
        <w:rPr>
          <w:rFonts w:eastAsia="Times New Roman"/>
          <w:sz w:val="20"/>
          <w:szCs w:val="20"/>
        </w:rPr>
        <w:t xml:space="preserve"> understanding </w:t>
      </w:r>
      <w:r w:rsidR="00977763">
        <w:rPr>
          <w:rFonts w:eastAsia="Times New Roman"/>
          <w:sz w:val="20"/>
          <w:szCs w:val="20"/>
        </w:rPr>
        <w:t xml:space="preserve">by country offices </w:t>
      </w:r>
      <w:r w:rsidR="005C6F36" w:rsidRPr="005315A9">
        <w:rPr>
          <w:rFonts w:eastAsia="Times New Roman"/>
          <w:sz w:val="20"/>
          <w:szCs w:val="20"/>
        </w:rPr>
        <w:t xml:space="preserve">of indicator definitions and </w:t>
      </w:r>
      <w:r w:rsidR="00977763">
        <w:rPr>
          <w:rFonts w:eastAsia="Times New Roman"/>
          <w:sz w:val="20"/>
          <w:szCs w:val="20"/>
        </w:rPr>
        <w:t>sources</w:t>
      </w:r>
      <w:r w:rsidR="005C6F36" w:rsidRPr="005315A9">
        <w:rPr>
          <w:rFonts w:eastAsia="Times New Roman"/>
          <w:sz w:val="20"/>
          <w:szCs w:val="20"/>
        </w:rPr>
        <w:t>, and</w:t>
      </w:r>
      <w:r w:rsidR="00977763">
        <w:rPr>
          <w:rFonts w:eastAsia="Times New Roman"/>
          <w:sz w:val="20"/>
          <w:szCs w:val="20"/>
        </w:rPr>
        <w:t>/or</w:t>
      </w:r>
      <w:r w:rsidR="005C6F36" w:rsidRPr="005315A9">
        <w:rPr>
          <w:rFonts w:eastAsia="Times New Roman"/>
          <w:sz w:val="20"/>
          <w:szCs w:val="20"/>
        </w:rPr>
        <w:t xml:space="preserve"> update</w:t>
      </w:r>
      <w:r w:rsidR="00977763">
        <w:rPr>
          <w:rFonts w:eastAsia="Times New Roman"/>
          <w:sz w:val="20"/>
          <w:szCs w:val="20"/>
        </w:rPr>
        <w:t>d</w:t>
      </w:r>
      <w:r w:rsidR="005C6F36" w:rsidRPr="005315A9">
        <w:rPr>
          <w:rFonts w:eastAsia="Times New Roman"/>
          <w:sz w:val="20"/>
          <w:szCs w:val="20"/>
        </w:rPr>
        <w:t xml:space="preserve"> programme plans and priorities. For these indicators, the updated figures are used in this Annual Report, but previously published baselines, milestones or targets from the January 2015 Technical Note are shown for reference in the </w:t>
      </w:r>
      <w:r>
        <w:rPr>
          <w:rFonts w:eastAsia="Times New Roman"/>
          <w:sz w:val="20"/>
          <w:szCs w:val="20"/>
        </w:rPr>
        <w:t>IRRF template</w:t>
      </w:r>
      <w:r w:rsidR="00977763">
        <w:rPr>
          <w:rFonts w:eastAsia="Times New Roman"/>
          <w:sz w:val="20"/>
          <w:szCs w:val="20"/>
        </w:rPr>
        <w:t xml:space="preserve"> under the respective indicator note.</w:t>
      </w:r>
    </w:p>
    <w:p w14:paraId="7ADDA896" w14:textId="56A4F83B" w:rsidR="005315A9" w:rsidRDefault="005315A9" w:rsidP="006F161D">
      <w:pPr>
        <w:pStyle w:val="ListParagraph"/>
        <w:numPr>
          <w:ilvl w:val="0"/>
          <w:numId w:val="64"/>
        </w:numPr>
        <w:spacing w:after="120"/>
        <w:ind w:left="0" w:firstLine="0"/>
        <w:jc w:val="both"/>
        <w:rPr>
          <w:rFonts w:eastAsia="Times New Roman"/>
          <w:sz w:val="20"/>
          <w:szCs w:val="20"/>
        </w:rPr>
      </w:pPr>
      <w:r w:rsidRPr="00A929AB">
        <w:rPr>
          <w:rFonts w:eastAsia="Times New Roman"/>
          <w:b/>
          <w:i/>
          <w:sz w:val="20"/>
          <w:szCs w:val="20"/>
        </w:rPr>
        <w:t>Number of countries reporting on result</w:t>
      </w:r>
      <w:r>
        <w:rPr>
          <w:rFonts w:eastAsia="Times New Roman"/>
          <w:b/>
          <w:sz w:val="20"/>
          <w:szCs w:val="20"/>
        </w:rPr>
        <w:t>.</w:t>
      </w:r>
      <w:r w:rsidRPr="00AB1C22">
        <w:rPr>
          <w:rFonts w:eastAsia="Times New Roman"/>
          <w:b/>
          <w:sz w:val="20"/>
          <w:szCs w:val="20"/>
        </w:rPr>
        <w:t xml:space="preserve"> </w:t>
      </w:r>
      <w:r w:rsidRPr="00AB1C22">
        <w:rPr>
          <w:rFonts w:eastAsia="Times New Roman"/>
          <w:sz w:val="20"/>
          <w:szCs w:val="20"/>
        </w:rPr>
        <w:t xml:space="preserve">The populated IRRF shows the number of </w:t>
      </w:r>
      <w:r w:rsidR="005D5764">
        <w:rPr>
          <w:rFonts w:eastAsia="Times New Roman"/>
          <w:sz w:val="20"/>
          <w:szCs w:val="20"/>
        </w:rPr>
        <w:t xml:space="preserve">countries </w:t>
      </w:r>
      <w:r w:rsidRPr="00AB1C22">
        <w:rPr>
          <w:rFonts w:eastAsia="Times New Roman"/>
          <w:sz w:val="20"/>
          <w:szCs w:val="20"/>
        </w:rPr>
        <w:t xml:space="preserve">linked to each output, and in addition a more specific count of the number of countries expected to contribute to </w:t>
      </w:r>
      <w:r w:rsidR="00493253">
        <w:rPr>
          <w:rFonts w:eastAsia="Times New Roman"/>
          <w:sz w:val="20"/>
          <w:szCs w:val="20"/>
        </w:rPr>
        <w:t xml:space="preserve">results under </w:t>
      </w:r>
      <w:r w:rsidRPr="00AB1C22">
        <w:rPr>
          <w:rFonts w:eastAsia="Times New Roman"/>
          <w:sz w:val="20"/>
          <w:szCs w:val="20"/>
        </w:rPr>
        <w:t>each output indicator during the SP cycle 2014-2017</w:t>
      </w:r>
      <w:r w:rsidR="005D5764">
        <w:rPr>
          <w:rFonts w:eastAsia="Times New Roman"/>
          <w:sz w:val="20"/>
          <w:szCs w:val="20"/>
        </w:rPr>
        <w:t xml:space="preserve">. </w:t>
      </w:r>
      <w:r w:rsidR="005D5764" w:rsidRPr="00CF04F9">
        <w:rPr>
          <w:rFonts w:eastAsia="Times New Roman"/>
          <w:sz w:val="20"/>
          <w:szCs w:val="20"/>
        </w:rPr>
        <w:t xml:space="preserve">Note that “country” </w:t>
      </w:r>
      <w:r w:rsidR="00CF04F9">
        <w:rPr>
          <w:rFonts w:eastAsia="Times New Roman"/>
          <w:sz w:val="20"/>
          <w:szCs w:val="20"/>
        </w:rPr>
        <w:t>refers to both countries and</w:t>
      </w:r>
      <w:r w:rsidR="005D5764" w:rsidRPr="00CF04F9">
        <w:rPr>
          <w:rFonts w:eastAsia="Times New Roman"/>
          <w:sz w:val="20"/>
          <w:szCs w:val="20"/>
        </w:rPr>
        <w:t xml:space="preserve"> territories which receive UNDP programme resources.</w:t>
      </w:r>
    </w:p>
    <w:p w14:paraId="363C6142" w14:textId="0F99471D" w:rsidR="00852B9F" w:rsidRPr="00852B9F" w:rsidRDefault="00922DDB" w:rsidP="006F161D">
      <w:pPr>
        <w:pStyle w:val="ListParagraph"/>
        <w:numPr>
          <w:ilvl w:val="0"/>
          <w:numId w:val="64"/>
        </w:numPr>
        <w:spacing w:after="120"/>
        <w:ind w:left="0" w:firstLine="0"/>
        <w:jc w:val="both"/>
        <w:rPr>
          <w:rFonts w:eastAsia="Times New Roman"/>
          <w:sz w:val="20"/>
          <w:szCs w:val="20"/>
        </w:rPr>
      </w:pPr>
      <w:r w:rsidRPr="00A929AB">
        <w:rPr>
          <w:rFonts w:eastAsia="Times New Roman"/>
          <w:b/>
          <w:i/>
          <w:sz w:val="20"/>
          <w:szCs w:val="20"/>
        </w:rPr>
        <w:t xml:space="preserve">Data collection for Organizational Effectiveness and Efficiency </w:t>
      </w:r>
      <w:r w:rsidR="0064168D" w:rsidRPr="00A929AB">
        <w:rPr>
          <w:rFonts w:eastAsia="Times New Roman"/>
          <w:b/>
          <w:i/>
          <w:sz w:val="20"/>
          <w:szCs w:val="20"/>
        </w:rPr>
        <w:t xml:space="preserve">(OEE) </w:t>
      </w:r>
      <w:r w:rsidRPr="00A929AB">
        <w:rPr>
          <w:rFonts w:eastAsia="Times New Roman"/>
          <w:b/>
          <w:i/>
          <w:sz w:val="20"/>
          <w:szCs w:val="20"/>
        </w:rPr>
        <w:t>results</w:t>
      </w:r>
      <w:r w:rsidRPr="00852B9F">
        <w:rPr>
          <w:rFonts w:eastAsia="Times New Roman"/>
          <w:b/>
          <w:sz w:val="20"/>
          <w:szCs w:val="20"/>
        </w:rPr>
        <w:t>.</w:t>
      </w:r>
      <w:r w:rsidRPr="00852B9F">
        <w:rPr>
          <w:rFonts w:eastAsia="Times New Roman"/>
          <w:sz w:val="20"/>
          <w:szCs w:val="20"/>
        </w:rPr>
        <w:t xml:space="preserve"> </w:t>
      </w:r>
      <w:r w:rsidRPr="00852B9F">
        <w:rPr>
          <w:sz w:val="20"/>
          <w:szCs w:val="20"/>
          <w:lang w:val="en-GB"/>
        </w:rPr>
        <w:t xml:space="preserve">IRRF tier III indicators are populated with data from three types of sources: i) data on UNDP performance collected on an on-going basis through systems such as Atlas (indicators 13, 14, 15, 16, 17, 18, 19, 20, 21, 27, 29, 30, 31, 32, 33, 35, 38, 39, 40, 46, 47, 48); ii) data self-reported on </w:t>
      </w:r>
      <w:r w:rsidR="00E645BD">
        <w:rPr>
          <w:sz w:val="20"/>
          <w:szCs w:val="20"/>
          <w:lang w:val="en-GB"/>
        </w:rPr>
        <w:t xml:space="preserve">a </w:t>
      </w:r>
      <w:r w:rsidRPr="00852B9F">
        <w:rPr>
          <w:sz w:val="20"/>
          <w:szCs w:val="20"/>
          <w:lang w:val="en-GB"/>
        </w:rPr>
        <w:t>regular basis by country offices or other units, validated by evidence and quality assurance processes (indicators 1, 3, 4, 5, 6, 8, 9, 10, 11, 12, 22, 23, 41, 43, 44, 45); and iii) data from periodic surveys capturing perceptions on UNDP performance (indicators 2, 7, 24, 25, 26, 28, 34, 36, 37, 42).</w:t>
      </w:r>
      <w:r w:rsidR="0064168D" w:rsidRPr="00852B9F">
        <w:rPr>
          <w:sz w:val="20"/>
          <w:szCs w:val="20"/>
          <w:lang w:val="en-GB"/>
        </w:rPr>
        <w:t xml:space="preserve"> A small number of indicators cannot be reported in 2015 because: i) systems or </w:t>
      </w:r>
      <w:r w:rsidR="009C551D">
        <w:rPr>
          <w:sz w:val="20"/>
          <w:szCs w:val="20"/>
          <w:lang w:val="en-GB"/>
        </w:rPr>
        <w:t>methodologies</w:t>
      </w:r>
      <w:r w:rsidR="009C551D" w:rsidRPr="00852B9F">
        <w:rPr>
          <w:sz w:val="20"/>
          <w:szCs w:val="20"/>
          <w:lang w:val="en-GB"/>
        </w:rPr>
        <w:t xml:space="preserve"> </w:t>
      </w:r>
      <w:r w:rsidR="0064168D" w:rsidRPr="00852B9F">
        <w:rPr>
          <w:sz w:val="20"/>
          <w:szCs w:val="20"/>
          <w:lang w:val="en-GB"/>
        </w:rPr>
        <w:t xml:space="preserve">are still being developed (indicators 13, 43, 44, 46, 48); </w:t>
      </w:r>
      <w:r w:rsidR="00E645BD">
        <w:rPr>
          <w:sz w:val="20"/>
          <w:szCs w:val="20"/>
          <w:lang w:val="en-GB"/>
        </w:rPr>
        <w:t xml:space="preserve">or </w:t>
      </w:r>
      <w:r w:rsidR="0064168D" w:rsidRPr="00852B9F">
        <w:rPr>
          <w:sz w:val="20"/>
          <w:szCs w:val="20"/>
          <w:lang w:val="en-GB"/>
        </w:rPr>
        <w:t>ii) the relevant survey has not yet taken place (indicators 7, 28, 37).</w:t>
      </w:r>
      <w:r w:rsidR="00852B9F" w:rsidRPr="00852B9F">
        <w:rPr>
          <w:sz w:val="20"/>
          <w:szCs w:val="20"/>
          <w:lang w:val="en-GB"/>
        </w:rPr>
        <w:t xml:space="preserve"> </w:t>
      </w:r>
    </w:p>
    <w:p w14:paraId="54371F9D" w14:textId="54F9D5F6" w:rsidR="0064168D" w:rsidRPr="009A304D" w:rsidRDefault="0064168D" w:rsidP="006F161D">
      <w:pPr>
        <w:pStyle w:val="ListParagraph"/>
        <w:numPr>
          <w:ilvl w:val="0"/>
          <w:numId w:val="64"/>
        </w:numPr>
        <w:spacing w:after="120"/>
        <w:ind w:left="0" w:firstLine="0"/>
        <w:jc w:val="both"/>
        <w:rPr>
          <w:rFonts w:eastAsia="Times New Roman"/>
          <w:sz w:val="20"/>
          <w:szCs w:val="20"/>
        </w:rPr>
      </w:pPr>
      <w:r w:rsidRPr="00A929AB">
        <w:rPr>
          <w:b/>
          <w:bCs/>
          <w:i/>
          <w:sz w:val="20"/>
          <w:szCs w:val="20"/>
          <w:lang w:val="en-GB"/>
        </w:rPr>
        <w:t>Updated OEE milestones</w:t>
      </w:r>
      <w:r w:rsidRPr="00852B9F">
        <w:rPr>
          <w:b/>
          <w:bCs/>
          <w:sz w:val="20"/>
          <w:szCs w:val="20"/>
          <w:lang w:val="en-GB"/>
        </w:rPr>
        <w:t xml:space="preserve">. </w:t>
      </w:r>
      <w:r w:rsidRPr="00852B9F">
        <w:rPr>
          <w:sz w:val="20"/>
          <w:szCs w:val="20"/>
          <w:lang w:val="en-GB"/>
        </w:rPr>
        <w:t xml:space="preserve">A few indicators (e.g. 4 and 22) had milestones updated compared to the IRRF </w:t>
      </w:r>
      <w:r w:rsidR="00244A52">
        <w:rPr>
          <w:sz w:val="20"/>
          <w:szCs w:val="20"/>
          <w:lang w:val="en-GB"/>
        </w:rPr>
        <w:t>included in the Technical Note presented to</w:t>
      </w:r>
      <w:r w:rsidRPr="00852B9F">
        <w:rPr>
          <w:sz w:val="20"/>
          <w:szCs w:val="20"/>
          <w:lang w:val="en-GB"/>
        </w:rPr>
        <w:t xml:space="preserve"> the EB </w:t>
      </w:r>
      <w:r w:rsidR="00F22328">
        <w:rPr>
          <w:sz w:val="20"/>
          <w:szCs w:val="20"/>
          <w:lang w:val="en-GB"/>
        </w:rPr>
        <w:t xml:space="preserve">during an informal session in </w:t>
      </w:r>
      <w:r w:rsidRPr="00852B9F">
        <w:rPr>
          <w:sz w:val="20"/>
          <w:szCs w:val="20"/>
          <w:lang w:val="en-GB"/>
        </w:rPr>
        <w:t>January 2015. Notes included under relevant indicators explain the rationale behind changes in data and methodology</w:t>
      </w:r>
      <w:r w:rsidR="00F22328">
        <w:rPr>
          <w:sz w:val="20"/>
          <w:szCs w:val="20"/>
          <w:lang w:val="en-GB"/>
        </w:rPr>
        <w:t>.</w:t>
      </w:r>
    </w:p>
    <w:p w14:paraId="4A2CA136" w14:textId="038D6740" w:rsidR="00AB1C22" w:rsidRDefault="009A304D" w:rsidP="006F161D">
      <w:pPr>
        <w:pStyle w:val="ListParagraph"/>
        <w:numPr>
          <w:ilvl w:val="0"/>
          <w:numId w:val="64"/>
        </w:numPr>
        <w:spacing w:after="120"/>
        <w:ind w:left="0" w:firstLine="0"/>
        <w:jc w:val="both"/>
        <w:rPr>
          <w:rFonts w:eastAsia="Times New Roman"/>
          <w:sz w:val="20"/>
          <w:szCs w:val="20"/>
        </w:rPr>
      </w:pPr>
      <w:r w:rsidRPr="00A929AB">
        <w:rPr>
          <w:rFonts w:eastAsia="Times New Roman"/>
          <w:b/>
          <w:i/>
          <w:sz w:val="20"/>
          <w:szCs w:val="20"/>
        </w:rPr>
        <w:t>Use of IRRF data in the narrative sections of the Annual Report</w:t>
      </w:r>
      <w:r w:rsidR="005E5F03" w:rsidRPr="009A304D">
        <w:rPr>
          <w:rFonts w:eastAsia="Times New Roman"/>
          <w:b/>
          <w:sz w:val="20"/>
          <w:szCs w:val="20"/>
        </w:rPr>
        <w:t>.</w:t>
      </w:r>
      <w:r w:rsidR="00AB1C22" w:rsidRPr="009A304D">
        <w:rPr>
          <w:rFonts w:eastAsia="Times New Roman"/>
          <w:b/>
          <w:sz w:val="20"/>
          <w:szCs w:val="20"/>
        </w:rPr>
        <w:t xml:space="preserve"> </w:t>
      </w:r>
      <w:r w:rsidR="00AB1C22" w:rsidRPr="009A304D">
        <w:rPr>
          <w:rFonts w:eastAsia="Times New Roman"/>
          <w:sz w:val="20"/>
          <w:szCs w:val="20"/>
        </w:rPr>
        <w:t xml:space="preserve">Results presented in the 2014 Annual Report are based primarily on country office reporting of </w:t>
      </w:r>
      <w:r w:rsidR="00875A8E">
        <w:rPr>
          <w:rFonts w:eastAsia="Times New Roman"/>
          <w:sz w:val="20"/>
          <w:szCs w:val="20"/>
        </w:rPr>
        <w:t xml:space="preserve">actual 2014 </w:t>
      </w:r>
      <w:r w:rsidR="00AB1C22" w:rsidRPr="009A304D">
        <w:rPr>
          <w:rFonts w:eastAsia="Times New Roman"/>
          <w:sz w:val="20"/>
          <w:szCs w:val="20"/>
        </w:rPr>
        <w:t xml:space="preserve">results achieved against </w:t>
      </w:r>
      <w:r w:rsidR="00AB1C22" w:rsidRPr="009A304D">
        <w:rPr>
          <w:rFonts w:eastAsia="Calibri"/>
          <w:sz w:val="20"/>
          <w:szCs w:val="20"/>
        </w:rPr>
        <w:t xml:space="preserve">the streamlined set of </w:t>
      </w:r>
      <w:r>
        <w:rPr>
          <w:rFonts w:eastAsia="Times New Roman"/>
          <w:sz w:val="20"/>
          <w:szCs w:val="20"/>
        </w:rPr>
        <w:t>IRRF indicators</w:t>
      </w:r>
      <w:r w:rsidR="004A1CF7">
        <w:rPr>
          <w:rFonts w:eastAsia="Times New Roman"/>
          <w:sz w:val="20"/>
          <w:szCs w:val="20"/>
        </w:rPr>
        <w:t>, straightforwardly reporting on the pe</w:t>
      </w:r>
      <w:r w:rsidR="00875A8E">
        <w:rPr>
          <w:rFonts w:eastAsia="Times New Roman"/>
          <w:sz w:val="20"/>
          <w:szCs w:val="20"/>
        </w:rPr>
        <w:t>rformance under the relevant indicator, except for the figures related to total jobs and livelihoods, which show aggregate performance under 3 related indicators (see paragraph 16 below for description of methodology)</w:t>
      </w:r>
      <w:r>
        <w:rPr>
          <w:rFonts w:eastAsia="Times New Roman"/>
          <w:sz w:val="20"/>
          <w:szCs w:val="20"/>
        </w:rPr>
        <w:t xml:space="preserve">. </w:t>
      </w:r>
      <w:r w:rsidR="00875A8E">
        <w:rPr>
          <w:rFonts w:eastAsia="Times New Roman"/>
          <w:sz w:val="20"/>
          <w:szCs w:val="20"/>
        </w:rPr>
        <w:t>IRRF-derived results</w:t>
      </w:r>
      <w:r>
        <w:rPr>
          <w:rFonts w:eastAsia="Times New Roman"/>
          <w:sz w:val="20"/>
          <w:szCs w:val="20"/>
        </w:rPr>
        <w:t xml:space="preserve"> are complemented by reporting </w:t>
      </w:r>
      <w:r w:rsidR="00875A8E">
        <w:rPr>
          <w:rFonts w:eastAsia="Times New Roman"/>
          <w:sz w:val="20"/>
          <w:szCs w:val="20"/>
        </w:rPr>
        <w:t xml:space="preserve">done </w:t>
      </w:r>
      <w:r>
        <w:rPr>
          <w:rFonts w:eastAsia="Times New Roman"/>
          <w:sz w:val="20"/>
          <w:szCs w:val="20"/>
        </w:rPr>
        <w:t>by</w:t>
      </w:r>
      <w:r w:rsidR="00AB1C22" w:rsidRPr="009A304D">
        <w:rPr>
          <w:rFonts w:eastAsia="Times New Roman"/>
          <w:sz w:val="20"/>
          <w:szCs w:val="20"/>
        </w:rPr>
        <w:t xml:space="preserve"> country, regional and global </w:t>
      </w:r>
      <w:r>
        <w:rPr>
          <w:rFonts w:eastAsia="Times New Roman"/>
          <w:sz w:val="20"/>
          <w:szCs w:val="20"/>
        </w:rPr>
        <w:t xml:space="preserve">programming </w:t>
      </w:r>
      <w:r w:rsidR="00AB1C22" w:rsidRPr="009A304D">
        <w:rPr>
          <w:rFonts w:eastAsia="Times New Roman"/>
          <w:sz w:val="20"/>
          <w:szCs w:val="20"/>
        </w:rPr>
        <w:t>unit</w:t>
      </w:r>
      <w:r>
        <w:rPr>
          <w:rFonts w:eastAsia="Times New Roman"/>
          <w:sz w:val="20"/>
          <w:szCs w:val="20"/>
        </w:rPr>
        <w:t>s through 2014</w:t>
      </w:r>
      <w:r w:rsidR="00AB1C22" w:rsidRPr="009A304D">
        <w:rPr>
          <w:rFonts w:eastAsia="Times New Roman"/>
          <w:sz w:val="20"/>
          <w:szCs w:val="20"/>
        </w:rPr>
        <w:t xml:space="preserve"> Results Oriented Annual Reports (ROARs)</w:t>
      </w:r>
      <w:r>
        <w:rPr>
          <w:rFonts w:eastAsia="Times New Roman"/>
          <w:sz w:val="20"/>
          <w:szCs w:val="20"/>
        </w:rPr>
        <w:t xml:space="preserve">, an internal report drawing on </w:t>
      </w:r>
      <w:r w:rsidR="00AB1C22" w:rsidRPr="009A304D">
        <w:rPr>
          <w:rFonts w:eastAsia="Times New Roman"/>
          <w:sz w:val="20"/>
          <w:szCs w:val="20"/>
        </w:rPr>
        <w:t xml:space="preserve">project monitoring, national statistics, independent and decentralized evaluations, partner assessments and other qualitative and quantitative evidence. </w:t>
      </w:r>
    </w:p>
    <w:p w14:paraId="64F8B383" w14:textId="4B2B6C5F" w:rsidR="004A1CF7" w:rsidRPr="00055DB1" w:rsidRDefault="004A1CF7" w:rsidP="006F161D">
      <w:pPr>
        <w:pStyle w:val="ListParagraph"/>
        <w:numPr>
          <w:ilvl w:val="0"/>
          <w:numId w:val="64"/>
        </w:numPr>
        <w:spacing w:after="120"/>
        <w:ind w:left="0" w:firstLine="0"/>
        <w:jc w:val="both"/>
        <w:rPr>
          <w:rFonts w:eastAsia="Times New Roman"/>
          <w:sz w:val="20"/>
          <w:szCs w:val="20"/>
        </w:rPr>
      </w:pPr>
      <w:r w:rsidRPr="00A929AB">
        <w:rPr>
          <w:rFonts w:eastAsia="Times New Roman"/>
          <w:b/>
          <w:i/>
          <w:sz w:val="20"/>
          <w:szCs w:val="20"/>
        </w:rPr>
        <w:t>Calculation of total people benefitting from strengthened livelihoods and total jobs created</w:t>
      </w:r>
      <w:r w:rsidRPr="00055DB1">
        <w:rPr>
          <w:rFonts w:eastAsia="Times New Roman"/>
          <w:b/>
          <w:sz w:val="20"/>
          <w:szCs w:val="20"/>
        </w:rPr>
        <w:t xml:space="preserve">: </w:t>
      </w:r>
      <w:r w:rsidRPr="00055DB1">
        <w:rPr>
          <w:rFonts w:eastAsia="Times New Roman"/>
          <w:sz w:val="20"/>
          <w:szCs w:val="20"/>
        </w:rPr>
        <w:t xml:space="preserve">Box 1 of the Annual Report includes figures on the total number of new jobs created, and the total number of people benefitting from improved livelihoods, </w:t>
      </w:r>
      <w:r w:rsidR="00875A8E">
        <w:rPr>
          <w:rFonts w:eastAsia="Times New Roman"/>
          <w:sz w:val="20"/>
          <w:szCs w:val="20"/>
        </w:rPr>
        <w:t>through direct</w:t>
      </w:r>
      <w:r w:rsidRPr="00055DB1">
        <w:rPr>
          <w:rFonts w:eastAsia="Times New Roman"/>
          <w:sz w:val="20"/>
          <w:szCs w:val="20"/>
        </w:rPr>
        <w:t xml:space="preserve"> UNDP support in 2014. Unlike other IRRF figures cited in the report, these figures are calculated drawing on </w:t>
      </w:r>
      <w:r w:rsidRPr="00055DB1">
        <w:rPr>
          <w:rFonts w:eastAsia="Times New Roman"/>
          <w:i/>
          <w:sz w:val="20"/>
          <w:szCs w:val="20"/>
        </w:rPr>
        <w:t>more than one IRRF indicator.</w:t>
      </w:r>
      <w:r w:rsidRPr="00055DB1">
        <w:rPr>
          <w:rFonts w:eastAsia="Times New Roman"/>
          <w:sz w:val="20"/>
          <w:szCs w:val="20"/>
        </w:rPr>
        <w:t xml:space="preserve"> The methodology for</w:t>
      </w:r>
      <w:r w:rsidR="00875A8E">
        <w:rPr>
          <w:rFonts w:eastAsia="Times New Roman"/>
          <w:sz w:val="20"/>
          <w:szCs w:val="20"/>
        </w:rPr>
        <w:t xml:space="preserve"> the calculation is as follows:</w:t>
      </w:r>
    </w:p>
    <w:p w14:paraId="340B8487" w14:textId="00B31510" w:rsidR="004A1CF7" w:rsidRPr="00055DB1" w:rsidRDefault="004A1CF7" w:rsidP="006F161D">
      <w:pPr>
        <w:pStyle w:val="ListParagraph"/>
        <w:numPr>
          <w:ilvl w:val="0"/>
          <w:numId w:val="67"/>
        </w:numPr>
        <w:spacing w:after="120"/>
        <w:jc w:val="both"/>
        <w:rPr>
          <w:rFonts w:eastAsia="Times New Roman"/>
          <w:sz w:val="20"/>
          <w:szCs w:val="20"/>
        </w:rPr>
      </w:pPr>
      <w:r w:rsidRPr="00055DB1">
        <w:rPr>
          <w:rFonts w:eastAsia="Times New Roman"/>
          <w:sz w:val="20"/>
          <w:szCs w:val="20"/>
        </w:rPr>
        <w:t xml:space="preserve">The figure on total new jobs created is based on country office reporting on the three IRRF output indicators relating to jobs: 1.1.1.a-b (number of new jobs created), 1.3.2.a-b (number of people who acquired new jobs through a UNDP-supported project on management of natural resources, ecosystems services, chemicals and waste) and 6.1.1.a-b (number of new emergency jobs created through </w:t>
      </w:r>
      <w:r w:rsidR="00875A8E">
        <w:rPr>
          <w:rFonts w:eastAsia="Times New Roman"/>
          <w:sz w:val="20"/>
          <w:szCs w:val="20"/>
        </w:rPr>
        <w:t>UNDP projects in crisis or post-</w:t>
      </w:r>
      <w:r w:rsidRPr="00055DB1">
        <w:rPr>
          <w:rFonts w:eastAsia="Times New Roman"/>
          <w:sz w:val="20"/>
          <w:szCs w:val="20"/>
        </w:rPr>
        <w:t xml:space="preserve">crisis settings). </w:t>
      </w:r>
      <w:r w:rsidR="00880ABB" w:rsidRPr="009D6310">
        <w:rPr>
          <w:rFonts w:eastAsia="Times New Roman"/>
          <w:sz w:val="20"/>
          <w:szCs w:val="20"/>
        </w:rPr>
        <w:t xml:space="preserve">For each of these indicators, the </w:t>
      </w:r>
      <w:r w:rsidR="0006495F" w:rsidRPr="009D6310">
        <w:rPr>
          <w:rFonts w:eastAsia="Times New Roman"/>
          <w:sz w:val="20"/>
          <w:szCs w:val="20"/>
        </w:rPr>
        <w:t xml:space="preserve">calculation takes into account the reported </w:t>
      </w:r>
      <w:r w:rsidR="00880ABB" w:rsidRPr="009D6310">
        <w:rPr>
          <w:rFonts w:eastAsia="Times New Roman"/>
          <w:sz w:val="20"/>
          <w:szCs w:val="20"/>
        </w:rPr>
        <w:t xml:space="preserve">number of jobs created for males, jobs created for females, and jobs created where sex </w:t>
      </w:r>
      <w:r w:rsidR="00880ABB" w:rsidRPr="009D6310">
        <w:rPr>
          <w:rFonts w:eastAsia="Times New Roman"/>
          <w:sz w:val="20"/>
          <w:szCs w:val="20"/>
        </w:rPr>
        <w:lastRenderedPageBreak/>
        <w:t>disaggregation is not available</w:t>
      </w:r>
      <w:r w:rsidR="0017012E">
        <w:rPr>
          <w:rFonts w:eastAsia="Times New Roman"/>
          <w:sz w:val="20"/>
          <w:szCs w:val="20"/>
        </w:rPr>
        <w:t xml:space="preserve"> (</w:t>
      </w:r>
      <w:r w:rsidR="0006495F" w:rsidRPr="009D6310">
        <w:rPr>
          <w:rFonts w:eastAsia="Times New Roman"/>
          <w:sz w:val="20"/>
          <w:szCs w:val="20"/>
        </w:rPr>
        <w:t>as shown in the reporting notes below each indicator in the populated IRRF</w:t>
      </w:r>
      <w:r w:rsidR="0017012E">
        <w:rPr>
          <w:rFonts w:eastAsia="Times New Roman"/>
          <w:sz w:val="20"/>
          <w:szCs w:val="20"/>
        </w:rPr>
        <w:t>)</w:t>
      </w:r>
      <w:r w:rsidR="00880ABB" w:rsidRPr="009D6310">
        <w:rPr>
          <w:rFonts w:eastAsia="Times New Roman"/>
          <w:sz w:val="20"/>
          <w:szCs w:val="20"/>
        </w:rPr>
        <w:t xml:space="preserve">. </w:t>
      </w:r>
      <w:r w:rsidRPr="00055DB1">
        <w:rPr>
          <w:rFonts w:eastAsia="Times New Roman"/>
          <w:sz w:val="20"/>
          <w:szCs w:val="20"/>
        </w:rPr>
        <w:t xml:space="preserve">Whilst country offices usually report results of specific projects under only relevant one output indicator, the definition of indicator 1.1.1 is broad and does allow potential for overlap with results reported under the specific categories 1.3.2 and 6.1.1. Therefore a conservative approach has been taken to include, for each programme country, </w:t>
      </w:r>
      <w:r w:rsidRPr="00055DB1">
        <w:rPr>
          <w:rFonts w:eastAsia="Times New Roman"/>
          <w:i/>
          <w:sz w:val="20"/>
          <w:szCs w:val="20"/>
        </w:rPr>
        <w:t xml:space="preserve">either </w:t>
      </w:r>
      <w:r w:rsidRPr="00055DB1">
        <w:rPr>
          <w:rFonts w:eastAsia="Times New Roman"/>
          <w:sz w:val="20"/>
          <w:szCs w:val="20"/>
        </w:rPr>
        <w:t xml:space="preserve">results reported under 1.1.1 </w:t>
      </w:r>
      <w:r w:rsidRPr="00055DB1">
        <w:rPr>
          <w:rFonts w:eastAsia="Times New Roman"/>
          <w:i/>
          <w:sz w:val="20"/>
          <w:szCs w:val="20"/>
        </w:rPr>
        <w:t xml:space="preserve">or if higher, </w:t>
      </w:r>
      <w:r w:rsidRPr="00055DB1">
        <w:rPr>
          <w:rFonts w:eastAsia="Times New Roman"/>
          <w:sz w:val="20"/>
          <w:szCs w:val="20"/>
        </w:rPr>
        <w:t xml:space="preserve">the sum of results reported under 1.3.2 and 6.1.1 (as there would not usually be overlap between the results delivered through NRM projects and emergency projects). The resulting total figure is likely to be </w:t>
      </w:r>
      <w:r w:rsidRPr="00875A8E">
        <w:rPr>
          <w:rFonts w:eastAsia="Times New Roman"/>
          <w:sz w:val="20"/>
          <w:szCs w:val="20"/>
          <w:u w:val="single"/>
        </w:rPr>
        <w:t>an underestimate</w:t>
      </w:r>
      <w:r w:rsidRPr="00055DB1">
        <w:rPr>
          <w:rFonts w:eastAsia="Times New Roman"/>
          <w:sz w:val="20"/>
          <w:szCs w:val="20"/>
        </w:rPr>
        <w:t xml:space="preserve"> of the total number of jobs created by UNDP across all three areas. </w:t>
      </w:r>
    </w:p>
    <w:p w14:paraId="38E80403" w14:textId="47EB190B" w:rsidR="004A1CF7" w:rsidRDefault="004A1CF7" w:rsidP="006F161D">
      <w:pPr>
        <w:pStyle w:val="ListParagraph"/>
        <w:numPr>
          <w:ilvl w:val="0"/>
          <w:numId w:val="67"/>
        </w:numPr>
        <w:spacing w:after="120"/>
        <w:jc w:val="both"/>
        <w:rPr>
          <w:rFonts w:eastAsia="Times New Roman"/>
          <w:sz w:val="20"/>
          <w:szCs w:val="20"/>
        </w:rPr>
      </w:pPr>
      <w:r w:rsidRPr="00055DB1">
        <w:rPr>
          <w:rFonts w:eastAsia="Times New Roman"/>
          <w:sz w:val="20"/>
          <w:szCs w:val="20"/>
        </w:rPr>
        <w:t xml:space="preserve">Similarly the figure on total people benefitting from improved livelihoods is based on country office reporting on the three IRRF output indicators relating to livelihoods: 1.1.1.c-d (number of additional people benefitting from strengthened livelihoods), 1.3.2.c-d (number of additional people benefitting from livelihoods strengthened through solutions for management of natural resources, ecosystem services, chemicals and waste) and 6.1.1.B (number of additional people benefitting from diversified livelihoods opportunities through UNDP emergency projects). </w:t>
      </w:r>
      <w:r w:rsidR="009D6310" w:rsidRPr="009D6310">
        <w:rPr>
          <w:rFonts w:eastAsia="Times New Roman"/>
          <w:sz w:val="20"/>
          <w:szCs w:val="20"/>
        </w:rPr>
        <w:t>For each of these indicators, the calculation takes into account the reported number of</w:t>
      </w:r>
      <w:r w:rsidR="009D6310">
        <w:rPr>
          <w:rFonts w:eastAsia="Times New Roman"/>
          <w:sz w:val="20"/>
          <w:szCs w:val="20"/>
        </w:rPr>
        <w:t xml:space="preserve"> males benefitting</w:t>
      </w:r>
      <w:r w:rsidR="009D6310" w:rsidRPr="009D6310">
        <w:rPr>
          <w:rFonts w:eastAsia="Times New Roman"/>
          <w:sz w:val="20"/>
          <w:szCs w:val="20"/>
        </w:rPr>
        <w:t xml:space="preserve">, </w:t>
      </w:r>
      <w:r w:rsidR="009D6310">
        <w:rPr>
          <w:rFonts w:eastAsia="Times New Roman"/>
          <w:sz w:val="20"/>
          <w:szCs w:val="20"/>
        </w:rPr>
        <w:t>females benefitting</w:t>
      </w:r>
      <w:r w:rsidR="009D6310" w:rsidRPr="009D6310">
        <w:rPr>
          <w:rFonts w:eastAsia="Times New Roman"/>
          <w:sz w:val="20"/>
          <w:szCs w:val="20"/>
        </w:rPr>
        <w:t xml:space="preserve">, and </w:t>
      </w:r>
      <w:r w:rsidR="009D6310">
        <w:rPr>
          <w:rFonts w:eastAsia="Times New Roman"/>
          <w:sz w:val="20"/>
          <w:szCs w:val="20"/>
        </w:rPr>
        <w:t>people benefitting for whom</w:t>
      </w:r>
      <w:r w:rsidR="009D6310" w:rsidRPr="009D6310">
        <w:rPr>
          <w:rFonts w:eastAsia="Times New Roman"/>
          <w:sz w:val="20"/>
          <w:szCs w:val="20"/>
        </w:rPr>
        <w:t xml:space="preserve"> sex disaggregation is not available</w:t>
      </w:r>
      <w:r w:rsidR="0017012E">
        <w:rPr>
          <w:rFonts w:eastAsia="Times New Roman"/>
          <w:sz w:val="20"/>
          <w:szCs w:val="20"/>
        </w:rPr>
        <w:t xml:space="preserve"> (</w:t>
      </w:r>
      <w:r w:rsidR="009D6310" w:rsidRPr="009D6310">
        <w:rPr>
          <w:rFonts w:eastAsia="Times New Roman"/>
          <w:sz w:val="20"/>
          <w:szCs w:val="20"/>
        </w:rPr>
        <w:t>as shown in the reporting notes below each indicator in the populated IRRF</w:t>
      </w:r>
      <w:r w:rsidR="0017012E">
        <w:rPr>
          <w:rFonts w:eastAsia="Times New Roman"/>
          <w:sz w:val="20"/>
          <w:szCs w:val="20"/>
        </w:rPr>
        <w:t>)</w:t>
      </w:r>
      <w:r w:rsidR="009D6310" w:rsidRPr="009D6310">
        <w:rPr>
          <w:rFonts w:eastAsia="Times New Roman"/>
          <w:sz w:val="20"/>
          <w:szCs w:val="20"/>
        </w:rPr>
        <w:t xml:space="preserve">. </w:t>
      </w:r>
      <w:r w:rsidRPr="00055DB1">
        <w:rPr>
          <w:rFonts w:eastAsia="Times New Roman"/>
          <w:sz w:val="20"/>
          <w:szCs w:val="20"/>
        </w:rPr>
        <w:t xml:space="preserve">For each programme country, </w:t>
      </w:r>
      <w:r w:rsidRPr="00055DB1">
        <w:rPr>
          <w:rFonts w:eastAsia="Times New Roman"/>
          <w:i/>
          <w:sz w:val="20"/>
          <w:szCs w:val="20"/>
        </w:rPr>
        <w:t xml:space="preserve">either </w:t>
      </w:r>
      <w:r w:rsidRPr="00055DB1">
        <w:rPr>
          <w:rFonts w:eastAsia="Times New Roman"/>
          <w:sz w:val="20"/>
          <w:szCs w:val="20"/>
        </w:rPr>
        <w:t xml:space="preserve">results reported under 1.1.1 </w:t>
      </w:r>
      <w:r w:rsidRPr="00055DB1">
        <w:rPr>
          <w:rFonts w:eastAsia="Times New Roman"/>
          <w:i/>
          <w:sz w:val="20"/>
          <w:szCs w:val="20"/>
        </w:rPr>
        <w:t xml:space="preserve">or if higher, </w:t>
      </w:r>
      <w:r w:rsidRPr="00055DB1">
        <w:rPr>
          <w:rFonts w:eastAsia="Times New Roman"/>
          <w:sz w:val="20"/>
          <w:szCs w:val="20"/>
        </w:rPr>
        <w:t xml:space="preserve">the sum of results reported under 1.3.2 and 6.1.1, are included. The resulting total figure is again likely to be </w:t>
      </w:r>
      <w:r w:rsidRPr="00875A8E">
        <w:rPr>
          <w:rFonts w:eastAsia="Times New Roman"/>
          <w:sz w:val="20"/>
          <w:szCs w:val="20"/>
          <w:u w:val="single"/>
        </w:rPr>
        <w:t>an underestimate</w:t>
      </w:r>
      <w:r w:rsidRPr="00055DB1">
        <w:rPr>
          <w:rFonts w:eastAsia="Times New Roman"/>
          <w:sz w:val="20"/>
          <w:szCs w:val="20"/>
        </w:rPr>
        <w:t xml:space="preserve"> of the total number of people benefitting from improved livelihoods across all three areas.</w:t>
      </w:r>
    </w:p>
    <w:p w14:paraId="78EADBA1" w14:textId="77777777" w:rsidR="004A1CF7" w:rsidRPr="009A304D" w:rsidRDefault="004A1CF7" w:rsidP="004A1CF7">
      <w:pPr>
        <w:pStyle w:val="ListParagraph"/>
        <w:spacing w:after="120"/>
        <w:ind w:left="0"/>
        <w:jc w:val="both"/>
        <w:rPr>
          <w:rFonts w:eastAsia="Times New Roman"/>
          <w:sz w:val="20"/>
          <w:szCs w:val="20"/>
        </w:rPr>
      </w:pPr>
    </w:p>
    <w:p w14:paraId="5FBE14AA" w14:textId="5E8C4A05" w:rsidR="00482A0E" w:rsidRDefault="00482A0E">
      <w:pPr>
        <w:rPr>
          <w:sz w:val="20"/>
          <w:lang w:eastAsia="x-none"/>
        </w:rPr>
      </w:pPr>
      <w:r>
        <w:rPr>
          <w:sz w:val="20"/>
          <w:lang w:eastAsia="x-none"/>
        </w:rPr>
        <w:br w:type="page"/>
      </w:r>
    </w:p>
    <w:p w14:paraId="47008A1E" w14:textId="77777777" w:rsidR="00482A0E" w:rsidRPr="00482A0E" w:rsidRDefault="00482A0E" w:rsidP="00482A0E">
      <w:pPr>
        <w:spacing w:after="120" w:line="240" w:lineRule="auto"/>
        <w:rPr>
          <w:sz w:val="20"/>
          <w:lang w:eastAsia="x-none"/>
        </w:rPr>
      </w:pPr>
    </w:p>
    <w:p w14:paraId="535C46F6" w14:textId="77777777" w:rsidR="00724F77" w:rsidRPr="00E0248B" w:rsidRDefault="00724F77" w:rsidP="00724F77">
      <w:pPr>
        <w:pStyle w:val="Heading2"/>
        <w:numPr>
          <w:ilvl w:val="0"/>
          <w:numId w:val="0"/>
        </w:numPr>
        <w:rPr>
          <w:rFonts w:asciiTheme="minorHAnsi" w:eastAsia="SimSun" w:hAnsiTheme="minorHAnsi"/>
        </w:rPr>
      </w:pPr>
      <w:r w:rsidRPr="00E0248B">
        <w:rPr>
          <w:rFonts w:asciiTheme="minorHAnsi" w:eastAsia="SimSun" w:hAnsiTheme="minorHAnsi"/>
        </w:rPr>
        <w:t xml:space="preserve">Tier </w:t>
      </w:r>
      <w:r w:rsidRPr="00E0248B">
        <w:rPr>
          <w:rFonts w:asciiTheme="minorHAnsi" w:eastAsia="SimSun" w:hAnsiTheme="minorHAnsi"/>
          <w:lang w:val="en-US"/>
        </w:rPr>
        <w:t>One</w:t>
      </w:r>
      <w:r w:rsidRPr="00E0248B">
        <w:rPr>
          <w:rFonts w:asciiTheme="minorHAnsi" w:eastAsia="SimSun" w:hAnsiTheme="minorHAnsi"/>
        </w:rPr>
        <w:t>: Impact</w:t>
      </w:r>
    </w:p>
    <w:tbl>
      <w:tblPr>
        <w:tblW w:w="14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730"/>
        <w:gridCol w:w="5389"/>
      </w:tblGrid>
      <w:tr w:rsidR="00BC1D51" w:rsidRPr="00A4555B" w14:paraId="2B6668CE" w14:textId="77777777" w:rsidTr="00301E5B">
        <w:trPr>
          <w:trHeight w:val="422"/>
          <w:jc w:val="center"/>
        </w:trPr>
        <w:tc>
          <w:tcPr>
            <w:tcW w:w="14654" w:type="dxa"/>
            <w:gridSpan w:val="3"/>
            <w:shd w:val="clear" w:color="auto" w:fill="0070C0"/>
            <w:vAlign w:val="center"/>
          </w:tcPr>
          <w:p w14:paraId="161B2BA7" w14:textId="77777777" w:rsidR="00BC1D51" w:rsidRPr="00E124E4" w:rsidRDefault="00BC1D51" w:rsidP="00777E1A">
            <w:pPr>
              <w:rPr>
                <w:rFonts w:ascii="Calibri" w:eastAsia="Calibri" w:hAnsi="Calibri"/>
                <w:b/>
              </w:rPr>
            </w:pPr>
            <w:bookmarkStart w:id="1" w:name="_Toc388012075"/>
            <w:bookmarkStart w:id="2" w:name="_Toc388268267"/>
            <w:r w:rsidRPr="001C4B32">
              <w:rPr>
                <w:rFonts w:ascii="Calibri" w:eastAsia="Calibri" w:hAnsi="Calibri"/>
                <w:b/>
                <w:color w:val="FFFF00"/>
                <w:u w:val="single"/>
              </w:rPr>
              <w:t>Impact:</w:t>
            </w:r>
            <w:r w:rsidRPr="00E124E4">
              <w:rPr>
                <w:rFonts w:ascii="Calibri" w:eastAsia="Calibri" w:hAnsi="Calibri"/>
                <w:b/>
                <w:color w:val="FFFF00"/>
              </w:rPr>
              <w:t xml:space="preserve"> Eradication of poverty and a significant reduction of inequality and exclusion</w:t>
            </w:r>
          </w:p>
        </w:tc>
      </w:tr>
      <w:tr w:rsidR="00057BED" w:rsidRPr="00A4555B" w14:paraId="0B9E5BB4" w14:textId="77777777" w:rsidTr="00E923C6">
        <w:trPr>
          <w:trHeight w:val="368"/>
          <w:jc w:val="center"/>
        </w:trPr>
        <w:tc>
          <w:tcPr>
            <w:tcW w:w="9265" w:type="dxa"/>
            <w:gridSpan w:val="2"/>
            <w:shd w:val="clear" w:color="auto" w:fill="F2F2F2"/>
          </w:tcPr>
          <w:p w14:paraId="12CF7716" w14:textId="77777777" w:rsidR="00057BED" w:rsidRPr="00E923C6" w:rsidRDefault="00057BED" w:rsidP="00777E1A">
            <w:pPr>
              <w:rPr>
                <w:rFonts w:ascii="Calibri" w:eastAsia="Calibri" w:hAnsi="Calibri"/>
                <w:b/>
                <w:sz w:val="20"/>
                <w:szCs w:val="20"/>
              </w:rPr>
            </w:pPr>
            <w:r w:rsidRPr="00E923C6">
              <w:rPr>
                <w:rFonts w:ascii="Calibri" w:eastAsia="Calibri" w:hAnsi="Calibri"/>
                <w:b/>
                <w:sz w:val="20"/>
                <w:szCs w:val="20"/>
              </w:rPr>
              <w:t>Impact indicators</w:t>
            </w:r>
            <w:r w:rsidR="00E23B86" w:rsidRPr="00E923C6">
              <w:rPr>
                <w:rFonts w:ascii="Calibri" w:eastAsia="Calibri" w:hAnsi="Calibri"/>
                <w:b/>
                <w:sz w:val="20"/>
                <w:szCs w:val="20"/>
              </w:rPr>
              <w:t xml:space="preserve"> </w:t>
            </w:r>
            <w:r w:rsidR="00E23B86" w:rsidRPr="00E923C6">
              <w:rPr>
                <w:rFonts w:ascii="Calibri" w:eastAsia="Calibri" w:hAnsi="Calibri"/>
                <w:sz w:val="20"/>
                <w:szCs w:val="20"/>
              </w:rPr>
              <w:t>(</w:t>
            </w:r>
            <w:r w:rsidR="00E23B86" w:rsidRPr="00E923C6">
              <w:rPr>
                <w:rFonts w:ascii="Calibri" w:eastAsia="SimSun" w:hAnsi="Calibri"/>
                <w:b/>
                <w:sz w:val="20"/>
                <w:szCs w:val="20"/>
                <w:lang w:eastAsia="zh-CN"/>
              </w:rPr>
              <w:t xml:space="preserve">* </w:t>
            </w:r>
            <w:r w:rsidR="00E23B86" w:rsidRPr="00E923C6">
              <w:rPr>
                <w:rFonts w:ascii="Calibri" w:eastAsia="SimSun" w:hAnsi="Calibri"/>
                <w:sz w:val="20"/>
                <w:szCs w:val="20"/>
                <w:lang w:eastAsia="zh-CN"/>
              </w:rPr>
              <w:t>Using latest data up to the year specified)</w:t>
            </w:r>
          </w:p>
        </w:tc>
        <w:tc>
          <w:tcPr>
            <w:tcW w:w="5389" w:type="dxa"/>
            <w:shd w:val="clear" w:color="auto" w:fill="F2F2F2"/>
          </w:tcPr>
          <w:p w14:paraId="3C184F13" w14:textId="77777777" w:rsidR="00057BED" w:rsidRPr="00E923C6" w:rsidRDefault="00057BED" w:rsidP="00777E1A">
            <w:pPr>
              <w:rPr>
                <w:rFonts w:ascii="Calibri" w:eastAsia="Calibri" w:hAnsi="Calibri"/>
                <w:b/>
                <w:sz w:val="20"/>
                <w:szCs w:val="20"/>
              </w:rPr>
            </w:pPr>
            <w:r w:rsidRPr="00E923C6">
              <w:rPr>
                <w:rFonts w:ascii="Calibri" w:eastAsia="Calibri" w:hAnsi="Calibri"/>
                <w:b/>
                <w:sz w:val="20"/>
                <w:szCs w:val="20"/>
              </w:rPr>
              <w:t xml:space="preserve">Baseline </w:t>
            </w:r>
          </w:p>
        </w:tc>
      </w:tr>
      <w:tr w:rsidR="00057BED" w:rsidRPr="00E10F1D" w14:paraId="02F1A7E2" w14:textId="77777777" w:rsidTr="00585CB3">
        <w:trPr>
          <w:trHeight w:val="1043"/>
          <w:jc w:val="center"/>
        </w:trPr>
        <w:tc>
          <w:tcPr>
            <w:tcW w:w="535" w:type="dxa"/>
            <w:vMerge w:val="restart"/>
            <w:shd w:val="clear" w:color="auto" w:fill="auto"/>
            <w:vAlign w:val="center"/>
          </w:tcPr>
          <w:p w14:paraId="5530CD06" w14:textId="77777777" w:rsidR="00057BED" w:rsidRPr="00E923C6" w:rsidRDefault="00057BED" w:rsidP="00E23B86">
            <w:pPr>
              <w:contextualSpacing/>
              <w:rPr>
                <w:rFonts w:ascii="Calibri" w:eastAsia="SimSun" w:hAnsi="Calibri"/>
                <w:b/>
                <w:sz w:val="20"/>
                <w:szCs w:val="20"/>
                <w:lang w:eastAsia="zh-CN"/>
              </w:rPr>
            </w:pPr>
            <w:r w:rsidRPr="00E923C6">
              <w:rPr>
                <w:rFonts w:ascii="Calibri" w:eastAsia="SimSun" w:hAnsi="Calibri"/>
                <w:b/>
                <w:sz w:val="20"/>
                <w:szCs w:val="20"/>
                <w:lang w:eastAsia="zh-CN"/>
              </w:rPr>
              <w:t>1</w:t>
            </w:r>
          </w:p>
        </w:tc>
        <w:tc>
          <w:tcPr>
            <w:tcW w:w="8730" w:type="dxa"/>
            <w:shd w:val="clear" w:color="auto" w:fill="auto"/>
          </w:tcPr>
          <w:p w14:paraId="4C3647B4" w14:textId="77777777" w:rsidR="00057BED" w:rsidRPr="00E923C6" w:rsidRDefault="00057BED" w:rsidP="00ED0D88">
            <w:pPr>
              <w:spacing w:after="0" w:line="240" w:lineRule="auto"/>
              <w:rPr>
                <w:rFonts w:ascii="Calibri" w:eastAsia="SimSun" w:hAnsi="Calibri"/>
                <w:sz w:val="20"/>
                <w:szCs w:val="20"/>
                <w:lang w:eastAsia="zh-CN"/>
              </w:rPr>
            </w:pPr>
            <w:r w:rsidRPr="00E923C6">
              <w:rPr>
                <w:rFonts w:ascii="Calibri" w:eastAsia="SimSun" w:hAnsi="Calibri"/>
                <w:sz w:val="20"/>
                <w:szCs w:val="20"/>
                <w:lang w:eastAsia="zh-CN"/>
              </w:rPr>
              <w:t xml:space="preserve">Number and proportion of </w:t>
            </w:r>
            <w:r w:rsidRPr="00E923C6">
              <w:rPr>
                <w:rFonts w:ascii="Calibri" w:eastAsia="SimSun" w:hAnsi="Calibri"/>
                <w:b/>
                <w:sz w:val="20"/>
                <w:szCs w:val="20"/>
                <w:lang w:eastAsia="zh-CN"/>
              </w:rPr>
              <w:t>people living below</w:t>
            </w:r>
          </w:p>
          <w:p w14:paraId="5969AD24" w14:textId="77777777" w:rsidR="00057BED" w:rsidRPr="00E923C6" w:rsidRDefault="00057BED" w:rsidP="00ED0D88">
            <w:pPr>
              <w:ind w:left="360"/>
              <w:contextualSpacing/>
              <w:rPr>
                <w:rFonts w:ascii="Calibri" w:eastAsia="SimSun" w:hAnsi="Calibri"/>
                <w:sz w:val="20"/>
                <w:szCs w:val="20"/>
                <w:lang w:eastAsia="zh-CN"/>
              </w:rPr>
            </w:pPr>
            <w:r w:rsidRPr="00E923C6">
              <w:rPr>
                <w:rFonts w:ascii="Calibri" w:eastAsia="SimSun" w:hAnsi="Calibri"/>
                <w:sz w:val="20"/>
                <w:szCs w:val="20"/>
                <w:lang w:eastAsia="zh-CN"/>
              </w:rPr>
              <w:t xml:space="preserve">a) </w:t>
            </w:r>
            <w:r w:rsidRPr="00E923C6">
              <w:rPr>
                <w:rFonts w:ascii="Calibri" w:eastAsia="SimSun" w:hAnsi="Calibri"/>
                <w:b/>
                <w:sz w:val="20"/>
                <w:szCs w:val="20"/>
                <w:lang w:eastAsia="zh-CN"/>
              </w:rPr>
              <w:t>1.25 US Dollars</w:t>
            </w:r>
            <w:r w:rsidR="00E23B86" w:rsidRPr="00E923C6">
              <w:rPr>
                <w:rFonts w:ascii="Calibri" w:eastAsia="SimSun" w:hAnsi="Calibri"/>
                <w:sz w:val="20"/>
                <w:szCs w:val="20"/>
                <w:lang w:eastAsia="zh-CN"/>
              </w:rPr>
              <w:t xml:space="preserve"> a day (PPP)</w:t>
            </w:r>
          </w:p>
          <w:p w14:paraId="4624155F" w14:textId="77777777" w:rsidR="00057BED" w:rsidRPr="00E923C6" w:rsidRDefault="00057BED" w:rsidP="00ED0D88">
            <w:pPr>
              <w:ind w:left="360"/>
              <w:contextualSpacing/>
              <w:rPr>
                <w:rFonts w:ascii="Calibri" w:eastAsia="SimSun" w:hAnsi="Calibri"/>
                <w:sz w:val="20"/>
                <w:szCs w:val="20"/>
                <w:lang w:eastAsia="zh-CN"/>
              </w:rPr>
            </w:pPr>
            <w:r w:rsidRPr="00E923C6">
              <w:rPr>
                <w:rFonts w:ascii="Calibri" w:eastAsia="SimSun" w:hAnsi="Calibri"/>
                <w:sz w:val="20"/>
                <w:szCs w:val="20"/>
                <w:lang w:eastAsia="zh-CN"/>
              </w:rPr>
              <w:t xml:space="preserve">b) </w:t>
            </w:r>
            <w:r w:rsidRPr="00E923C6">
              <w:rPr>
                <w:rFonts w:ascii="Calibri" w:eastAsia="SimSun" w:hAnsi="Calibri"/>
                <w:b/>
                <w:sz w:val="20"/>
                <w:szCs w:val="20"/>
                <w:lang w:eastAsia="zh-CN"/>
              </w:rPr>
              <w:t>2.50 US Dollars</w:t>
            </w:r>
            <w:r w:rsidRPr="00E923C6">
              <w:rPr>
                <w:rFonts w:ascii="Calibri" w:eastAsia="SimSun" w:hAnsi="Calibri"/>
                <w:sz w:val="20"/>
                <w:szCs w:val="20"/>
                <w:lang w:eastAsia="zh-CN"/>
              </w:rPr>
              <w:t xml:space="preserve"> a day (PPP)</w:t>
            </w:r>
          </w:p>
        </w:tc>
        <w:tc>
          <w:tcPr>
            <w:tcW w:w="5389" w:type="dxa"/>
            <w:shd w:val="clear" w:color="auto" w:fill="auto"/>
          </w:tcPr>
          <w:p w14:paraId="7154A870" w14:textId="77777777" w:rsidR="00ED0D88" w:rsidRDefault="00ED0D88" w:rsidP="00ED0D88">
            <w:pPr>
              <w:spacing w:after="0" w:line="240" w:lineRule="auto"/>
              <w:rPr>
                <w:rFonts w:ascii="Calibri" w:eastAsia="Calibri" w:hAnsi="Calibri"/>
                <w:sz w:val="20"/>
                <w:szCs w:val="20"/>
              </w:rPr>
            </w:pPr>
          </w:p>
          <w:p w14:paraId="57CEC31A" w14:textId="16FA2B1A" w:rsidR="00057BED" w:rsidRPr="005D13C6" w:rsidRDefault="00B773F6" w:rsidP="00ED0D88">
            <w:pPr>
              <w:spacing w:after="0" w:line="240" w:lineRule="auto"/>
              <w:rPr>
                <w:rFonts w:ascii="Calibri" w:eastAsia="Calibri" w:hAnsi="Calibri"/>
                <w:sz w:val="20"/>
                <w:szCs w:val="20"/>
              </w:rPr>
            </w:pPr>
            <w:r w:rsidRPr="005D13C6">
              <w:rPr>
                <w:rFonts w:ascii="Calibri" w:eastAsia="Calibri" w:hAnsi="Calibri"/>
                <w:sz w:val="20"/>
                <w:szCs w:val="20"/>
              </w:rPr>
              <w:t>a) 1</w:t>
            </w:r>
            <w:r w:rsidR="00057BED" w:rsidRPr="005D13C6">
              <w:rPr>
                <w:rFonts w:ascii="Calibri" w:eastAsia="Calibri" w:hAnsi="Calibri"/>
                <w:sz w:val="20"/>
                <w:szCs w:val="20"/>
              </w:rPr>
              <w:t xml:space="preserve"> billion,</w:t>
            </w:r>
            <w:r w:rsidRPr="005D13C6">
              <w:rPr>
                <w:rFonts w:ascii="Calibri" w:eastAsia="Calibri" w:hAnsi="Calibri"/>
                <w:sz w:val="20"/>
                <w:szCs w:val="20"/>
              </w:rPr>
              <w:t xml:space="preserve"> 17.6% of total population (2013</w:t>
            </w:r>
            <w:r w:rsidR="00057BED" w:rsidRPr="005D13C6">
              <w:rPr>
                <w:rFonts w:ascii="Calibri" w:eastAsia="Calibri" w:hAnsi="Calibri"/>
                <w:sz w:val="20"/>
                <w:szCs w:val="20"/>
              </w:rPr>
              <w:t>*)</w:t>
            </w:r>
          </w:p>
          <w:p w14:paraId="321FA45F" w14:textId="30C10E36" w:rsidR="00057BED" w:rsidRPr="00E923C6" w:rsidRDefault="00B773F6" w:rsidP="00ED0D88">
            <w:pPr>
              <w:rPr>
                <w:rFonts w:ascii="Calibri" w:eastAsia="Calibri" w:hAnsi="Calibri"/>
                <w:b/>
                <w:sz w:val="20"/>
                <w:szCs w:val="20"/>
              </w:rPr>
            </w:pPr>
            <w:r w:rsidRPr="005D13C6">
              <w:rPr>
                <w:rFonts w:ascii="Calibri" w:eastAsia="Calibri" w:hAnsi="Calibri"/>
                <w:sz w:val="20"/>
                <w:szCs w:val="20"/>
              </w:rPr>
              <w:t>b) 2.7</w:t>
            </w:r>
            <w:r w:rsidR="00057BED" w:rsidRPr="005D13C6">
              <w:rPr>
                <w:rFonts w:ascii="Calibri" w:eastAsia="Calibri" w:hAnsi="Calibri"/>
                <w:sz w:val="20"/>
                <w:szCs w:val="20"/>
              </w:rPr>
              <w:t xml:space="preserve"> billion,</w:t>
            </w:r>
            <w:r w:rsidRPr="005D13C6">
              <w:rPr>
                <w:rFonts w:ascii="Calibri" w:eastAsia="Calibri" w:hAnsi="Calibri"/>
                <w:sz w:val="20"/>
                <w:szCs w:val="20"/>
              </w:rPr>
              <w:t xml:space="preserve"> 47% of total population (2013</w:t>
            </w:r>
            <w:r w:rsidR="00057BED" w:rsidRPr="005D13C6">
              <w:rPr>
                <w:rFonts w:ascii="Calibri" w:eastAsia="Calibri" w:hAnsi="Calibri"/>
                <w:sz w:val="20"/>
                <w:szCs w:val="20"/>
              </w:rPr>
              <w:t>*)</w:t>
            </w:r>
            <w:r w:rsidR="00057BED" w:rsidRPr="005D13C6">
              <w:rPr>
                <w:rFonts w:ascii="Calibri" w:eastAsia="Calibri" w:hAnsi="Calibri"/>
                <w:b/>
                <w:sz w:val="20"/>
                <w:szCs w:val="20"/>
              </w:rPr>
              <w:t xml:space="preserve"> </w:t>
            </w:r>
          </w:p>
        </w:tc>
      </w:tr>
      <w:tr w:rsidR="00057BED" w:rsidRPr="00E10F1D" w14:paraId="65539FA9" w14:textId="77777777" w:rsidTr="00C00D6E">
        <w:trPr>
          <w:trHeight w:val="431"/>
          <w:jc w:val="center"/>
        </w:trPr>
        <w:tc>
          <w:tcPr>
            <w:tcW w:w="535" w:type="dxa"/>
            <w:vMerge/>
            <w:shd w:val="clear" w:color="auto" w:fill="auto"/>
            <w:vAlign w:val="center"/>
          </w:tcPr>
          <w:p w14:paraId="0BC234A3" w14:textId="77777777" w:rsidR="00057BED" w:rsidRPr="00E923C6" w:rsidRDefault="00057BED" w:rsidP="00057BED">
            <w:pPr>
              <w:spacing w:line="240" w:lineRule="auto"/>
              <w:contextualSpacing/>
              <w:rPr>
                <w:rFonts w:ascii="Calibri" w:eastAsia="SimSun" w:hAnsi="Calibri"/>
                <w:b/>
                <w:sz w:val="20"/>
                <w:szCs w:val="20"/>
                <w:lang w:eastAsia="zh-CN"/>
              </w:rPr>
            </w:pPr>
          </w:p>
        </w:tc>
        <w:tc>
          <w:tcPr>
            <w:tcW w:w="14119" w:type="dxa"/>
            <w:gridSpan w:val="2"/>
            <w:shd w:val="clear" w:color="auto" w:fill="D9D9D9" w:themeFill="background1" w:themeFillShade="D9"/>
            <w:vAlign w:val="center"/>
          </w:tcPr>
          <w:p w14:paraId="61DAE575" w14:textId="464BC304" w:rsidR="00057BED" w:rsidRPr="00036073" w:rsidRDefault="00057BED" w:rsidP="00630C30">
            <w:pPr>
              <w:spacing w:after="0" w:line="240" w:lineRule="auto"/>
              <w:rPr>
                <w:rFonts w:ascii="Calibri" w:eastAsia="SimSun" w:hAnsi="Calibri"/>
                <w:sz w:val="18"/>
                <w:szCs w:val="18"/>
                <w:lang w:eastAsia="zh-CN"/>
              </w:rPr>
            </w:pPr>
            <w:r w:rsidRPr="00036073">
              <w:rPr>
                <w:rFonts w:ascii="Calibri" w:eastAsia="SimSun" w:hAnsi="Calibri"/>
                <w:b/>
                <w:sz w:val="18"/>
                <w:szCs w:val="18"/>
                <w:lang w:eastAsia="zh-CN"/>
              </w:rPr>
              <w:t>Source</w:t>
            </w:r>
            <w:r w:rsidRPr="00036073">
              <w:rPr>
                <w:rFonts w:ascii="Calibri" w:eastAsia="SimSun" w:hAnsi="Calibri"/>
                <w:sz w:val="18"/>
                <w:szCs w:val="18"/>
                <w:lang w:eastAsia="zh-CN"/>
              </w:rPr>
              <w:t xml:space="preserve">: UNDP calculations based on The World Bank (World Development Indicators and Poverty and Inequality Database) and the United Nations Department </w:t>
            </w:r>
            <w:r w:rsidR="00630C30" w:rsidRPr="00036073">
              <w:rPr>
                <w:rFonts w:ascii="Calibri" w:eastAsia="SimSun" w:hAnsi="Calibri"/>
                <w:sz w:val="18"/>
                <w:szCs w:val="18"/>
                <w:lang w:eastAsia="zh-CN"/>
              </w:rPr>
              <w:t>of Economic and Social Affairs - UN</w:t>
            </w:r>
            <w:r w:rsidRPr="00036073">
              <w:rPr>
                <w:rFonts w:ascii="Calibri" w:eastAsia="SimSun" w:hAnsi="Calibri"/>
                <w:sz w:val="18"/>
                <w:szCs w:val="18"/>
                <w:lang w:eastAsia="zh-CN"/>
              </w:rPr>
              <w:t>DESA (2012 Revision of the World Population Prospects). Measures the number of people below poverty line as a percentage of population in count</w:t>
            </w:r>
            <w:r w:rsidR="00B773F6" w:rsidRPr="00036073">
              <w:rPr>
                <w:rFonts w:ascii="Calibri" w:eastAsia="SimSun" w:hAnsi="Calibri"/>
                <w:sz w:val="18"/>
                <w:szCs w:val="18"/>
                <w:lang w:eastAsia="zh-CN"/>
              </w:rPr>
              <w:t>ries with data. (a) Based on 104</w:t>
            </w:r>
            <w:r w:rsidRPr="00036073">
              <w:rPr>
                <w:rFonts w:ascii="Calibri" w:eastAsia="SimSun" w:hAnsi="Calibri"/>
                <w:sz w:val="18"/>
                <w:szCs w:val="18"/>
                <w:lang w:eastAsia="zh-CN"/>
              </w:rPr>
              <w:t xml:space="preserve"> programme countries, using late</w:t>
            </w:r>
            <w:r w:rsidR="00B773F6" w:rsidRPr="00036073">
              <w:rPr>
                <w:rFonts w:ascii="Calibri" w:eastAsia="SimSun" w:hAnsi="Calibri"/>
                <w:sz w:val="18"/>
                <w:szCs w:val="18"/>
                <w:lang w:eastAsia="zh-CN"/>
              </w:rPr>
              <w:t>st data on poverty rate and 2013</w:t>
            </w:r>
            <w:r w:rsidRPr="00036073">
              <w:rPr>
                <w:rFonts w:ascii="Calibri" w:eastAsia="SimSun" w:hAnsi="Calibri"/>
                <w:sz w:val="18"/>
                <w:szCs w:val="18"/>
                <w:lang w:eastAsia="zh-CN"/>
              </w:rPr>
              <w:t xml:space="preserve"> population. (b) Based on 104 programme countries, using late</w:t>
            </w:r>
            <w:r w:rsidR="00B773F6" w:rsidRPr="00036073">
              <w:rPr>
                <w:rFonts w:ascii="Calibri" w:eastAsia="SimSun" w:hAnsi="Calibri"/>
                <w:sz w:val="18"/>
                <w:szCs w:val="18"/>
                <w:lang w:eastAsia="zh-CN"/>
              </w:rPr>
              <w:t>st data on poverty rate and 2013</w:t>
            </w:r>
            <w:r w:rsidRPr="00036073">
              <w:rPr>
                <w:rFonts w:ascii="Calibri" w:eastAsia="SimSun" w:hAnsi="Calibri"/>
                <w:sz w:val="18"/>
                <w:szCs w:val="18"/>
                <w:lang w:eastAsia="zh-CN"/>
              </w:rPr>
              <w:t xml:space="preserve"> population</w:t>
            </w:r>
            <w:r w:rsidR="00B773F6" w:rsidRPr="00036073">
              <w:rPr>
                <w:rFonts w:ascii="Calibri" w:eastAsia="SimSun" w:hAnsi="Calibri"/>
                <w:sz w:val="18"/>
                <w:szCs w:val="18"/>
                <w:lang w:eastAsia="zh-CN"/>
              </w:rPr>
              <w:t>.</w:t>
            </w:r>
          </w:p>
          <w:p w14:paraId="346A1926" w14:textId="0690447D" w:rsidR="00B773F6" w:rsidRPr="00036073" w:rsidRDefault="00B773F6" w:rsidP="00B773F6">
            <w:pPr>
              <w:spacing w:after="0" w:line="240" w:lineRule="auto"/>
              <w:rPr>
                <w:rFonts w:ascii="Calibri" w:eastAsia="Calibri" w:hAnsi="Calibri"/>
                <w:sz w:val="18"/>
                <w:szCs w:val="18"/>
              </w:rPr>
            </w:pPr>
            <w:r w:rsidRPr="00036073">
              <w:rPr>
                <w:rFonts w:eastAsia="Calibri"/>
                <w:b/>
                <w:sz w:val="18"/>
                <w:szCs w:val="18"/>
              </w:rPr>
              <w:t xml:space="preserve">2014 Reporting Note: </w:t>
            </w:r>
            <w:r w:rsidRPr="00036073">
              <w:rPr>
                <w:rFonts w:eastAsia="Calibri"/>
                <w:sz w:val="18"/>
                <w:szCs w:val="18"/>
              </w:rPr>
              <w:t>Baselines updated with new data up to 2013. Previous values (for 2012) were a) 1.2 billion and b) 2.9 billion. Significant changes drive</w:t>
            </w:r>
            <w:r w:rsidR="00931274" w:rsidRPr="00036073">
              <w:rPr>
                <w:rFonts w:eastAsia="Calibri"/>
                <w:sz w:val="18"/>
                <w:szCs w:val="18"/>
              </w:rPr>
              <w:t>n by new measurements in large Asian countries.</w:t>
            </w:r>
          </w:p>
        </w:tc>
      </w:tr>
      <w:tr w:rsidR="00057BED" w:rsidRPr="00E10F1D" w14:paraId="6EC8845F" w14:textId="77777777" w:rsidTr="00585CB3">
        <w:trPr>
          <w:trHeight w:val="431"/>
          <w:jc w:val="center"/>
        </w:trPr>
        <w:tc>
          <w:tcPr>
            <w:tcW w:w="535" w:type="dxa"/>
            <w:vMerge w:val="restart"/>
            <w:shd w:val="clear" w:color="auto" w:fill="auto"/>
            <w:vAlign w:val="center"/>
          </w:tcPr>
          <w:p w14:paraId="5420F152" w14:textId="25A1A195" w:rsidR="00057BED" w:rsidRPr="00E923C6" w:rsidRDefault="00057BED" w:rsidP="00E23B86">
            <w:pPr>
              <w:contextualSpacing/>
              <w:rPr>
                <w:rFonts w:ascii="Calibri" w:eastAsia="SimSun" w:hAnsi="Calibri"/>
                <w:b/>
                <w:sz w:val="20"/>
                <w:szCs w:val="20"/>
                <w:lang w:eastAsia="zh-CN"/>
              </w:rPr>
            </w:pPr>
            <w:r w:rsidRPr="00E923C6">
              <w:rPr>
                <w:rFonts w:ascii="Calibri" w:eastAsia="SimSun" w:hAnsi="Calibri"/>
                <w:b/>
                <w:sz w:val="20"/>
                <w:szCs w:val="20"/>
                <w:lang w:eastAsia="zh-CN"/>
              </w:rPr>
              <w:t>2</w:t>
            </w:r>
          </w:p>
        </w:tc>
        <w:tc>
          <w:tcPr>
            <w:tcW w:w="8730" w:type="dxa"/>
            <w:shd w:val="clear" w:color="auto" w:fill="auto"/>
          </w:tcPr>
          <w:p w14:paraId="0ED6AD8F" w14:textId="77777777" w:rsidR="00057BED" w:rsidRPr="00E923C6" w:rsidRDefault="00057BED" w:rsidP="00ED0D88">
            <w:pPr>
              <w:spacing w:after="0" w:line="240" w:lineRule="auto"/>
              <w:rPr>
                <w:rFonts w:ascii="Calibri" w:eastAsia="SimSun" w:hAnsi="Calibri"/>
                <w:sz w:val="20"/>
                <w:szCs w:val="20"/>
                <w:lang w:eastAsia="zh-CN"/>
              </w:rPr>
            </w:pPr>
            <w:r w:rsidRPr="00E923C6">
              <w:rPr>
                <w:rFonts w:ascii="Calibri" w:eastAsia="SimSun" w:hAnsi="Calibri"/>
                <w:b/>
                <w:sz w:val="20"/>
                <w:szCs w:val="20"/>
                <w:lang w:eastAsia="zh-CN"/>
              </w:rPr>
              <w:t>Poverty gap</w:t>
            </w:r>
            <w:r w:rsidRPr="00E923C6">
              <w:rPr>
                <w:rFonts w:ascii="Calibri" w:eastAsia="SimSun" w:hAnsi="Calibri"/>
                <w:sz w:val="20"/>
                <w:szCs w:val="20"/>
                <w:lang w:eastAsia="zh-CN"/>
              </w:rPr>
              <w:t xml:space="preserve"> (%)</w:t>
            </w:r>
          </w:p>
          <w:p w14:paraId="5CCD0776" w14:textId="77777777" w:rsidR="00ED0D88" w:rsidRDefault="00057BED" w:rsidP="00ED0D88">
            <w:pPr>
              <w:spacing w:after="0"/>
              <w:ind w:left="360"/>
              <w:rPr>
                <w:rFonts w:ascii="Calibri" w:eastAsia="SimSun" w:hAnsi="Calibri"/>
                <w:sz w:val="20"/>
                <w:szCs w:val="20"/>
                <w:lang w:eastAsia="zh-CN"/>
              </w:rPr>
            </w:pPr>
            <w:r w:rsidRPr="00E923C6">
              <w:rPr>
                <w:rFonts w:ascii="Calibri" w:eastAsia="SimSun" w:hAnsi="Calibri"/>
                <w:sz w:val="20"/>
                <w:szCs w:val="20"/>
                <w:lang w:eastAsia="zh-CN"/>
              </w:rPr>
              <w:t xml:space="preserve">a) at </w:t>
            </w:r>
            <w:r w:rsidRPr="00E923C6">
              <w:rPr>
                <w:rFonts w:ascii="Calibri" w:eastAsia="SimSun" w:hAnsi="Calibri"/>
                <w:b/>
                <w:sz w:val="20"/>
                <w:szCs w:val="20"/>
                <w:lang w:eastAsia="zh-CN"/>
              </w:rPr>
              <w:t>1.25 US Dollars</w:t>
            </w:r>
            <w:r w:rsidRPr="00E923C6">
              <w:rPr>
                <w:rFonts w:ascii="Calibri" w:eastAsia="SimSun" w:hAnsi="Calibri"/>
                <w:sz w:val="20"/>
                <w:szCs w:val="20"/>
                <w:lang w:eastAsia="zh-CN"/>
              </w:rPr>
              <w:t xml:space="preserve"> a day (PPP)</w:t>
            </w:r>
          </w:p>
          <w:p w14:paraId="40A422C4" w14:textId="77777777" w:rsidR="00057BED" w:rsidRPr="00E923C6" w:rsidRDefault="00057BED" w:rsidP="00ED0D88">
            <w:pPr>
              <w:spacing w:after="0"/>
              <w:ind w:left="360"/>
              <w:rPr>
                <w:rFonts w:ascii="Calibri" w:eastAsia="SimSun" w:hAnsi="Calibri"/>
                <w:sz w:val="20"/>
                <w:szCs w:val="20"/>
                <w:lang w:eastAsia="zh-CN"/>
              </w:rPr>
            </w:pPr>
            <w:r w:rsidRPr="00E923C6">
              <w:rPr>
                <w:rFonts w:ascii="Calibri" w:eastAsia="SimSun" w:hAnsi="Calibri"/>
                <w:sz w:val="20"/>
                <w:szCs w:val="20"/>
                <w:lang w:eastAsia="zh-CN"/>
              </w:rPr>
              <w:t xml:space="preserve">b) at </w:t>
            </w:r>
            <w:r w:rsidRPr="00E923C6">
              <w:rPr>
                <w:rFonts w:ascii="Calibri" w:eastAsia="SimSun" w:hAnsi="Calibri"/>
                <w:b/>
                <w:sz w:val="20"/>
                <w:szCs w:val="20"/>
                <w:lang w:eastAsia="zh-CN"/>
              </w:rPr>
              <w:t>2.50 US Dollars</w:t>
            </w:r>
            <w:r w:rsidRPr="00E923C6">
              <w:rPr>
                <w:rFonts w:ascii="Calibri" w:eastAsia="SimSun" w:hAnsi="Calibri"/>
                <w:sz w:val="20"/>
                <w:szCs w:val="20"/>
                <w:lang w:eastAsia="zh-CN"/>
              </w:rPr>
              <w:t xml:space="preserve"> a day (PPP)</w:t>
            </w:r>
          </w:p>
          <w:p w14:paraId="73D69E6E" w14:textId="77777777" w:rsidR="00057BED" w:rsidRPr="00E923C6" w:rsidRDefault="00057BED" w:rsidP="00ED0D88">
            <w:pPr>
              <w:spacing w:after="0"/>
              <w:ind w:left="360"/>
              <w:rPr>
                <w:rFonts w:ascii="Calibri" w:eastAsia="SimSun" w:hAnsi="Calibri"/>
                <w:sz w:val="20"/>
                <w:szCs w:val="20"/>
                <w:lang w:eastAsia="zh-CN"/>
              </w:rPr>
            </w:pPr>
            <w:r w:rsidRPr="00E923C6">
              <w:rPr>
                <w:rFonts w:ascii="Calibri" w:eastAsia="SimSun" w:hAnsi="Calibri"/>
                <w:sz w:val="20"/>
                <w:szCs w:val="20"/>
                <w:lang w:eastAsia="zh-CN"/>
              </w:rPr>
              <w:t xml:space="preserve">c) at </w:t>
            </w:r>
            <w:r w:rsidRPr="00E923C6">
              <w:rPr>
                <w:rFonts w:ascii="Calibri" w:eastAsia="SimSun" w:hAnsi="Calibri"/>
                <w:b/>
                <w:sz w:val="20"/>
                <w:szCs w:val="20"/>
                <w:lang w:eastAsia="zh-CN"/>
              </w:rPr>
              <w:t>National Poverty Lines</w:t>
            </w:r>
          </w:p>
        </w:tc>
        <w:tc>
          <w:tcPr>
            <w:tcW w:w="5389" w:type="dxa"/>
            <w:shd w:val="clear" w:color="auto" w:fill="auto"/>
          </w:tcPr>
          <w:p w14:paraId="0B88CB04" w14:textId="77777777" w:rsidR="00ED0D88" w:rsidRDefault="00ED0D88" w:rsidP="00ED0D88">
            <w:pPr>
              <w:spacing w:after="0"/>
              <w:rPr>
                <w:rFonts w:ascii="Calibri" w:eastAsia="Calibri" w:hAnsi="Calibri"/>
                <w:sz w:val="20"/>
                <w:szCs w:val="20"/>
              </w:rPr>
            </w:pPr>
          </w:p>
          <w:p w14:paraId="19E0FF0B" w14:textId="3A8AA018" w:rsidR="00057BED" w:rsidRPr="005D13C6" w:rsidRDefault="00B773F6" w:rsidP="00ED0D88">
            <w:pPr>
              <w:spacing w:after="0"/>
              <w:rPr>
                <w:rFonts w:ascii="Calibri" w:eastAsia="Calibri" w:hAnsi="Calibri"/>
                <w:sz w:val="20"/>
                <w:szCs w:val="20"/>
              </w:rPr>
            </w:pPr>
            <w:r w:rsidRPr="005D13C6">
              <w:rPr>
                <w:rFonts w:ascii="Calibri" w:eastAsia="Calibri" w:hAnsi="Calibri"/>
                <w:sz w:val="20"/>
                <w:szCs w:val="20"/>
              </w:rPr>
              <w:t>a)   7.9</w:t>
            </w:r>
            <w:r w:rsidR="00057BED" w:rsidRPr="005D13C6">
              <w:rPr>
                <w:rFonts w:ascii="Calibri" w:eastAsia="Calibri" w:hAnsi="Calibri"/>
                <w:sz w:val="20"/>
                <w:szCs w:val="20"/>
              </w:rPr>
              <w:t>% (201</w:t>
            </w:r>
            <w:r w:rsidR="00263E7D" w:rsidRPr="005D13C6">
              <w:rPr>
                <w:rFonts w:ascii="Calibri" w:eastAsia="Calibri" w:hAnsi="Calibri"/>
                <w:sz w:val="20"/>
                <w:szCs w:val="20"/>
              </w:rPr>
              <w:t>3</w:t>
            </w:r>
            <w:r w:rsidR="00057BED" w:rsidRPr="005D13C6">
              <w:rPr>
                <w:rFonts w:ascii="Calibri" w:eastAsia="Calibri" w:hAnsi="Calibri"/>
                <w:sz w:val="20"/>
                <w:szCs w:val="20"/>
              </w:rPr>
              <w:t>*)</w:t>
            </w:r>
          </w:p>
          <w:p w14:paraId="67A51160" w14:textId="5A1DA37A" w:rsidR="00057BED" w:rsidRPr="005D13C6" w:rsidRDefault="00B773F6" w:rsidP="00ED0D88">
            <w:pPr>
              <w:spacing w:after="0"/>
              <w:rPr>
                <w:rFonts w:ascii="Calibri" w:eastAsia="Calibri" w:hAnsi="Calibri"/>
                <w:sz w:val="20"/>
                <w:szCs w:val="20"/>
              </w:rPr>
            </w:pPr>
            <w:r w:rsidRPr="005D13C6">
              <w:rPr>
                <w:rFonts w:ascii="Calibri" w:eastAsia="Calibri" w:hAnsi="Calibri"/>
                <w:sz w:val="20"/>
                <w:szCs w:val="20"/>
              </w:rPr>
              <w:t>b) 20.2% (2013</w:t>
            </w:r>
            <w:r w:rsidR="00057BED" w:rsidRPr="005D13C6">
              <w:rPr>
                <w:rFonts w:ascii="Calibri" w:eastAsia="Calibri" w:hAnsi="Calibri"/>
                <w:sz w:val="20"/>
                <w:szCs w:val="20"/>
              </w:rPr>
              <w:t>*)</w:t>
            </w:r>
          </w:p>
          <w:p w14:paraId="42987B8C" w14:textId="3CFBDBE0" w:rsidR="00057BED" w:rsidRPr="00E923C6" w:rsidRDefault="00B773F6" w:rsidP="00ED0D88">
            <w:pPr>
              <w:spacing w:after="0"/>
              <w:rPr>
                <w:rFonts w:ascii="Calibri" w:eastAsia="Calibri" w:hAnsi="Calibri"/>
                <w:b/>
                <w:sz w:val="20"/>
                <w:szCs w:val="20"/>
              </w:rPr>
            </w:pPr>
            <w:r w:rsidRPr="005D13C6">
              <w:rPr>
                <w:rFonts w:ascii="Calibri" w:eastAsia="Calibri" w:hAnsi="Calibri"/>
                <w:sz w:val="20"/>
                <w:szCs w:val="20"/>
              </w:rPr>
              <w:t>c) 13.2% (2013</w:t>
            </w:r>
            <w:r w:rsidR="00057BED" w:rsidRPr="005D13C6">
              <w:rPr>
                <w:rFonts w:ascii="Calibri" w:eastAsia="Calibri" w:hAnsi="Calibri"/>
                <w:sz w:val="20"/>
                <w:szCs w:val="20"/>
              </w:rPr>
              <w:t>*)</w:t>
            </w:r>
          </w:p>
        </w:tc>
      </w:tr>
      <w:tr w:rsidR="00057BED" w:rsidRPr="00E10F1D" w14:paraId="353657CB" w14:textId="77777777" w:rsidTr="00C00D6E">
        <w:trPr>
          <w:trHeight w:val="449"/>
          <w:jc w:val="center"/>
        </w:trPr>
        <w:tc>
          <w:tcPr>
            <w:tcW w:w="535" w:type="dxa"/>
            <w:vMerge/>
            <w:shd w:val="clear" w:color="auto" w:fill="auto"/>
            <w:vAlign w:val="center"/>
          </w:tcPr>
          <w:p w14:paraId="1D8B1A8A" w14:textId="77777777" w:rsidR="00057BED" w:rsidRPr="00E923C6" w:rsidRDefault="00057BED" w:rsidP="00057BED">
            <w:pPr>
              <w:spacing w:line="240" w:lineRule="auto"/>
              <w:contextualSpacing/>
              <w:rPr>
                <w:rFonts w:ascii="Calibri" w:eastAsia="SimSun" w:hAnsi="Calibri"/>
                <w:b/>
                <w:sz w:val="20"/>
                <w:szCs w:val="20"/>
                <w:lang w:eastAsia="zh-CN"/>
              </w:rPr>
            </w:pPr>
          </w:p>
        </w:tc>
        <w:tc>
          <w:tcPr>
            <w:tcW w:w="14119" w:type="dxa"/>
            <w:gridSpan w:val="2"/>
            <w:shd w:val="clear" w:color="auto" w:fill="D9D9D9" w:themeFill="background1" w:themeFillShade="D9"/>
            <w:vAlign w:val="center"/>
          </w:tcPr>
          <w:p w14:paraId="48597FDB" w14:textId="48F11267" w:rsidR="00057BED" w:rsidRPr="00036073" w:rsidRDefault="00E23B86" w:rsidP="00921F58">
            <w:pPr>
              <w:spacing w:after="0" w:line="240" w:lineRule="auto"/>
              <w:rPr>
                <w:rFonts w:ascii="Calibri" w:eastAsia="SimSun" w:hAnsi="Calibri"/>
                <w:sz w:val="18"/>
                <w:szCs w:val="18"/>
                <w:lang w:eastAsia="zh-CN"/>
              </w:rPr>
            </w:pPr>
            <w:r w:rsidRPr="00036073">
              <w:rPr>
                <w:rFonts w:ascii="Calibri" w:eastAsia="SimSun" w:hAnsi="Calibri"/>
                <w:b/>
                <w:sz w:val="18"/>
                <w:szCs w:val="18"/>
                <w:lang w:eastAsia="zh-CN"/>
              </w:rPr>
              <w:t>Source</w:t>
            </w:r>
            <w:r w:rsidRPr="00036073">
              <w:rPr>
                <w:rFonts w:ascii="Calibri" w:eastAsia="SimSun" w:hAnsi="Calibri"/>
                <w:sz w:val="18"/>
                <w:szCs w:val="18"/>
                <w:lang w:eastAsia="zh-CN"/>
              </w:rPr>
              <w:t>: UNDP calculations based on The World Bank (World Development Indicators and P</w:t>
            </w:r>
            <w:r w:rsidR="00B773F6" w:rsidRPr="00036073">
              <w:rPr>
                <w:rFonts w:ascii="Calibri" w:eastAsia="SimSun" w:hAnsi="Calibri"/>
                <w:sz w:val="18"/>
                <w:szCs w:val="18"/>
                <w:lang w:eastAsia="zh-CN"/>
              </w:rPr>
              <w:t xml:space="preserve">overty and Inequality Database). </w:t>
            </w:r>
            <w:r w:rsidRPr="00036073">
              <w:rPr>
                <w:rFonts w:ascii="Calibri" w:eastAsia="SimSun" w:hAnsi="Calibri"/>
                <w:sz w:val="18"/>
                <w:szCs w:val="18"/>
                <w:lang w:eastAsia="zh-CN"/>
              </w:rPr>
              <w:t>Simple average, based on</w:t>
            </w:r>
            <w:r w:rsidR="00B773F6" w:rsidRPr="00036073">
              <w:rPr>
                <w:rFonts w:ascii="Calibri" w:eastAsia="SimSun" w:hAnsi="Calibri"/>
                <w:sz w:val="18"/>
                <w:szCs w:val="18"/>
                <w:lang w:eastAsia="zh-CN"/>
              </w:rPr>
              <w:t>: (a) 104</w:t>
            </w:r>
            <w:r w:rsidRPr="00036073">
              <w:rPr>
                <w:rFonts w:ascii="Calibri" w:eastAsia="SimSun" w:hAnsi="Calibri"/>
                <w:sz w:val="18"/>
                <w:szCs w:val="18"/>
                <w:lang w:eastAsia="zh-CN"/>
              </w:rPr>
              <w:t xml:space="preserve"> programme countries, (b) 104</w:t>
            </w:r>
            <w:r w:rsidR="00B773F6" w:rsidRPr="00036073">
              <w:rPr>
                <w:rFonts w:ascii="Calibri" w:eastAsia="SimSun" w:hAnsi="Calibri"/>
                <w:sz w:val="18"/>
                <w:szCs w:val="18"/>
                <w:lang w:eastAsia="zh-CN"/>
              </w:rPr>
              <w:t xml:space="preserve"> programme countries, and (c) 78</w:t>
            </w:r>
            <w:r w:rsidR="00036073">
              <w:rPr>
                <w:rFonts w:ascii="Calibri" w:eastAsia="SimSun" w:hAnsi="Calibri"/>
                <w:sz w:val="18"/>
                <w:szCs w:val="18"/>
                <w:lang w:eastAsia="zh-CN"/>
              </w:rPr>
              <w:t xml:space="preserve"> programme countries. </w:t>
            </w:r>
          </w:p>
          <w:p w14:paraId="7C85D481" w14:textId="635BD521" w:rsidR="00B773F6" w:rsidRPr="00036073" w:rsidRDefault="00B773F6" w:rsidP="00036073">
            <w:pPr>
              <w:spacing w:after="0"/>
              <w:rPr>
                <w:rFonts w:eastAsia="Calibri"/>
                <w:sz w:val="18"/>
                <w:szCs w:val="18"/>
              </w:rPr>
            </w:pPr>
            <w:r w:rsidRPr="00036073">
              <w:rPr>
                <w:rFonts w:eastAsia="Calibri"/>
                <w:b/>
                <w:sz w:val="18"/>
                <w:szCs w:val="18"/>
              </w:rPr>
              <w:t xml:space="preserve">2014 Reporting Note: </w:t>
            </w:r>
            <w:r w:rsidRPr="00036073">
              <w:rPr>
                <w:rFonts w:eastAsia="Calibri"/>
                <w:sz w:val="18"/>
                <w:szCs w:val="18"/>
              </w:rPr>
              <w:t xml:space="preserve">Baselines updated with new data up to 2013. Previous values (for 2012) a) 8.1%, b) 20.2%, c) 12.5%. </w:t>
            </w:r>
          </w:p>
        </w:tc>
      </w:tr>
      <w:tr w:rsidR="00E23B86" w:rsidRPr="00E10F1D" w14:paraId="48133B36" w14:textId="77777777" w:rsidTr="00585CB3">
        <w:trPr>
          <w:trHeight w:val="332"/>
          <w:jc w:val="center"/>
        </w:trPr>
        <w:tc>
          <w:tcPr>
            <w:tcW w:w="535" w:type="dxa"/>
            <w:vMerge w:val="restart"/>
            <w:shd w:val="clear" w:color="auto" w:fill="auto"/>
            <w:vAlign w:val="center"/>
          </w:tcPr>
          <w:p w14:paraId="00D2D533" w14:textId="77777777" w:rsidR="00E23B86" w:rsidRPr="00E923C6" w:rsidRDefault="00E23B86" w:rsidP="00E23B86">
            <w:pPr>
              <w:spacing w:line="240" w:lineRule="auto"/>
              <w:contextualSpacing/>
              <w:rPr>
                <w:rFonts w:ascii="Calibri" w:eastAsia="SimSun" w:hAnsi="Calibri"/>
                <w:b/>
                <w:sz w:val="20"/>
                <w:szCs w:val="20"/>
                <w:lang w:eastAsia="zh-CN"/>
              </w:rPr>
            </w:pPr>
            <w:r w:rsidRPr="00E923C6">
              <w:rPr>
                <w:rFonts w:ascii="Calibri" w:eastAsia="SimSun" w:hAnsi="Calibri"/>
                <w:b/>
                <w:sz w:val="20"/>
                <w:szCs w:val="20"/>
                <w:lang w:eastAsia="zh-CN"/>
              </w:rPr>
              <w:t>3</w:t>
            </w:r>
          </w:p>
        </w:tc>
        <w:tc>
          <w:tcPr>
            <w:tcW w:w="8730" w:type="dxa"/>
            <w:shd w:val="clear" w:color="auto" w:fill="auto"/>
          </w:tcPr>
          <w:p w14:paraId="3349BFD3" w14:textId="77777777" w:rsidR="00E23B86" w:rsidRPr="00E923C6" w:rsidRDefault="00E23B86" w:rsidP="00921F58">
            <w:pPr>
              <w:spacing w:line="240" w:lineRule="auto"/>
              <w:contextualSpacing/>
              <w:rPr>
                <w:rFonts w:ascii="Calibri" w:eastAsia="SimSun" w:hAnsi="Calibri"/>
                <w:sz w:val="20"/>
                <w:szCs w:val="20"/>
                <w:lang w:eastAsia="zh-CN"/>
              </w:rPr>
            </w:pPr>
            <w:r w:rsidRPr="00E923C6">
              <w:rPr>
                <w:rFonts w:ascii="Calibri" w:eastAsia="SimSun" w:hAnsi="Calibri"/>
                <w:b/>
                <w:sz w:val="20"/>
                <w:szCs w:val="20"/>
                <w:lang w:eastAsia="zh-CN"/>
              </w:rPr>
              <w:t>Multi-dimensional poverty index</w:t>
            </w:r>
            <w:r w:rsidRPr="00E923C6">
              <w:rPr>
                <w:rFonts w:ascii="Calibri" w:eastAsia="SimSun" w:hAnsi="Calibri"/>
                <w:sz w:val="20"/>
                <w:szCs w:val="20"/>
                <w:lang w:eastAsia="zh-CN"/>
              </w:rPr>
              <w:t xml:space="preserve"> (MPI), adjusted to reflect national data, standards and definitions</w:t>
            </w:r>
          </w:p>
        </w:tc>
        <w:tc>
          <w:tcPr>
            <w:tcW w:w="5389" w:type="dxa"/>
            <w:shd w:val="clear" w:color="auto" w:fill="auto"/>
          </w:tcPr>
          <w:p w14:paraId="2F50C145" w14:textId="452F528E" w:rsidR="00E23B86" w:rsidRPr="00E923C6" w:rsidRDefault="00E23B86" w:rsidP="00921F58">
            <w:pPr>
              <w:rPr>
                <w:rFonts w:ascii="Calibri" w:eastAsia="Calibri" w:hAnsi="Calibri"/>
                <w:b/>
                <w:sz w:val="20"/>
                <w:szCs w:val="20"/>
              </w:rPr>
            </w:pPr>
            <w:r w:rsidRPr="005D13C6">
              <w:rPr>
                <w:rFonts w:ascii="Calibri" w:eastAsia="Calibri" w:hAnsi="Calibri"/>
                <w:sz w:val="20"/>
                <w:szCs w:val="20"/>
              </w:rPr>
              <w:t>0.</w:t>
            </w:r>
            <w:r w:rsidR="00B773F6" w:rsidRPr="005D13C6">
              <w:rPr>
                <w:rFonts w:ascii="Calibri" w:eastAsia="Calibri" w:hAnsi="Calibri"/>
                <w:sz w:val="20"/>
                <w:szCs w:val="20"/>
              </w:rPr>
              <w:t>175  (2013</w:t>
            </w:r>
            <w:r w:rsidRPr="005D13C6">
              <w:rPr>
                <w:rFonts w:ascii="Calibri" w:eastAsia="Calibri" w:hAnsi="Calibri"/>
                <w:sz w:val="20"/>
                <w:szCs w:val="20"/>
              </w:rPr>
              <w:t>*)</w:t>
            </w:r>
          </w:p>
        </w:tc>
      </w:tr>
      <w:tr w:rsidR="00E23B86" w:rsidRPr="00E10F1D" w14:paraId="72C44679" w14:textId="77777777" w:rsidTr="00C00D6E">
        <w:trPr>
          <w:trHeight w:val="530"/>
          <w:jc w:val="center"/>
        </w:trPr>
        <w:tc>
          <w:tcPr>
            <w:tcW w:w="535" w:type="dxa"/>
            <w:vMerge/>
            <w:shd w:val="clear" w:color="auto" w:fill="auto"/>
            <w:vAlign w:val="center"/>
          </w:tcPr>
          <w:p w14:paraId="24D35F39" w14:textId="77777777" w:rsidR="00E23B86" w:rsidRPr="00E923C6" w:rsidRDefault="00E23B86" w:rsidP="00E23B86">
            <w:pPr>
              <w:spacing w:line="240" w:lineRule="auto"/>
              <w:contextualSpacing/>
              <w:rPr>
                <w:rFonts w:ascii="Calibri" w:eastAsia="SimSun" w:hAnsi="Calibri"/>
                <w:b/>
                <w:sz w:val="20"/>
                <w:szCs w:val="20"/>
                <w:lang w:eastAsia="zh-CN"/>
              </w:rPr>
            </w:pPr>
          </w:p>
        </w:tc>
        <w:tc>
          <w:tcPr>
            <w:tcW w:w="14119" w:type="dxa"/>
            <w:gridSpan w:val="2"/>
            <w:shd w:val="clear" w:color="auto" w:fill="D9D9D9" w:themeFill="background1" w:themeFillShade="D9"/>
            <w:vAlign w:val="center"/>
          </w:tcPr>
          <w:p w14:paraId="0F5AA966" w14:textId="30C152F9" w:rsidR="00E23B86" w:rsidRPr="00036073" w:rsidRDefault="00E23B86" w:rsidP="005F2934">
            <w:pPr>
              <w:spacing w:after="0" w:line="240" w:lineRule="auto"/>
              <w:rPr>
                <w:rFonts w:ascii="Calibri" w:eastAsia="SimSun" w:hAnsi="Calibri"/>
                <w:sz w:val="18"/>
                <w:szCs w:val="18"/>
                <w:lang w:eastAsia="zh-CN"/>
              </w:rPr>
            </w:pPr>
            <w:r w:rsidRPr="00036073">
              <w:rPr>
                <w:rFonts w:ascii="Calibri" w:eastAsia="SimSun" w:hAnsi="Calibri"/>
                <w:b/>
                <w:sz w:val="18"/>
                <w:szCs w:val="18"/>
                <w:lang w:eastAsia="zh-CN"/>
              </w:rPr>
              <w:t>Source</w:t>
            </w:r>
            <w:r w:rsidRPr="00036073">
              <w:rPr>
                <w:rFonts w:ascii="Calibri" w:eastAsia="SimSun" w:hAnsi="Calibri"/>
                <w:sz w:val="18"/>
                <w:szCs w:val="18"/>
                <w:lang w:eastAsia="zh-CN"/>
              </w:rPr>
              <w:t>: UND</w:t>
            </w:r>
            <w:r w:rsidR="00B773F6" w:rsidRPr="00036073">
              <w:rPr>
                <w:rFonts w:ascii="Calibri" w:eastAsia="SimSun" w:hAnsi="Calibri"/>
                <w:sz w:val="18"/>
                <w:szCs w:val="18"/>
                <w:lang w:eastAsia="zh-CN"/>
              </w:rPr>
              <w:t>P Human Development Report 2014. Simple average, based on 88</w:t>
            </w:r>
            <w:r w:rsidRPr="00036073">
              <w:rPr>
                <w:rFonts w:ascii="Calibri" w:eastAsia="SimSun" w:hAnsi="Calibri"/>
                <w:sz w:val="18"/>
                <w:szCs w:val="18"/>
                <w:lang w:eastAsia="zh-CN"/>
              </w:rPr>
              <w:t xml:space="preserve"> programme countri</w:t>
            </w:r>
            <w:r w:rsidR="00B773F6" w:rsidRPr="00036073">
              <w:rPr>
                <w:rFonts w:ascii="Calibri" w:eastAsia="SimSun" w:hAnsi="Calibri"/>
                <w:sz w:val="18"/>
                <w:szCs w:val="18"/>
                <w:lang w:eastAsia="zh-CN"/>
              </w:rPr>
              <w:t xml:space="preserve">es, using latest data up to 2013 (only Bangladesh with </w:t>
            </w:r>
            <w:r w:rsidR="00036073">
              <w:rPr>
                <w:rFonts w:ascii="Calibri" w:eastAsia="SimSun" w:hAnsi="Calibri"/>
                <w:sz w:val="18"/>
                <w:szCs w:val="18"/>
                <w:lang w:eastAsia="zh-CN"/>
              </w:rPr>
              <w:t xml:space="preserve">MPI </w:t>
            </w:r>
            <w:r w:rsidR="00B773F6" w:rsidRPr="00036073">
              <w:rPr>
                <w:rFonts w:ascii="Calibri" w:eastAsia="SimSun" w:hAnsi="Calibri"/>
                <w:sz w:val="18"/>
                <w:szCs w:val="18"/>
                <w:lang w:eastAsia="zh-CN"/>
              </w:rPr>
              <w:t>data for that year)</w:t>
            </w:r>
            <w:r w:rsidRPr="00036073">
              <w:rPr>
                <w:rFonts w:ascii="Calibri" w:eastAsia="SimSun" w:hAnsi="Calibri"/>
                <w:sz w:val="18"/>
                <w:szCs w:val="18"/>
                <w:lang w:eastAsia="zh-CN"/>
              </w:rPr>
              <w:t>. The baseline is cons</w:t>
            </w:r>
            <w:r w:rsidR="00B773F6" w:rsidRPr="00036073">
              <w:rPr>
                <w:rFonts w:ascii="Calibri" w:eastAsia="SimSun" w:hAnsi="Calibri"/>
                <w:sz w:val="18"/>
                <w:szCs w:val="18"/>
                <w:lang w:eastAsia="zh-CN"/>
              </w:rPr>
              <w:t>istent with a poverty rate of 30</w:t>
            </w:r>
            <w:r w:rsidRPr="00036073">
              <w:rPr>
                <w:rFonts w:ascii="Calibri" w:eastAsia="SimSun" w:hAnsi="Calibri"/>
                <w:sz w:val="18"/>
                <w:szCs w:val="18"/>
                <w:lang w:eastAsia="zh-CN"/>
              </w:rPr>
              <w:t>% of population.</w:t>
            </w:r>
          </w:p>
          <w:p w14:paraId="5BF8CC59" w14:textId="5249EC63" w:rsidR="00B773F6" w:rsidRPr="00036073" w:rsidRDefault="00B773F6" w:rsidP="00036073">
            <w:pPr>
              <w:spacing w:after="0" w:line="240" w:lineRule="auto"/>
              <w:rPr>
                <w:rFonts w:ascii="Calibri" w:eastAsia="Calibri" w:hAnsi="Calibri"/>
                <w:sz w:val="18"/>
                <w:szCs w:val="18"/>
              </w:rPr>
            </w:pPr>
            <w:r w:rsidRPr="00036073">
              <w:rPr>
                <w:rFonts w:eastAsia="Calibri"/>
                <w:b/>
                <w:sz w:val="18"/>
                <w:szCs w:val="18"/>
              </w:rPr>
              <w:t xml:space="preserve">2014 Reporting Note: </w:t>
            </w:r>
            <w:r w:rsidRPr="00036073">
              <w:rPr>
                <w:rFonts w:eastAsia="Calibri"/>
                <w:sz w:val="18"/>
                <w:szCs w:val="18"/>
              </w:rPr>
              <w:t>Baseline updated with new data up to 2013. Previo</w:t>
            </w:r>
            <w:r w:rsidR="00036073">
              <w:rPr>
                <w:rFonts w:eastAsia="Calibri"/>
                <w:sz w:val="18"/>
                <w:szCs w:val="18"/>
              </w:rPr>
              <w:t>us values (for 2011) was 0.168. New values reflect a c</w:t>
            </w:r>
            <w:r w:rsidRPr="00036073">
              <w:rPr>
                <w:rFonts w:eastAsia="Calibri"/>
                <w:sz w:val="18"/>
                <w:szCs w:val="18"/>
              </w:rPr>
              <w:t xml:space="preserve">hange in methodology and </w:t>
            </w:r>
            <w:r w:rsidR="00036073">
              <w:rPr>
                <w:rFonts w:eastAsia="Calibri"/>
                <w:sz w:val="18"/>
                <w:szCs w:val="18"/>
              </w:rPr>
              <w:t>country data availability</w:t>
            </w:r>
            <w:r w:rsidRPr="00036073">
              <w:rPr>
                <w:rFonts w:eastAsia="Calibri"/>
                <w:sz w:val="18"/>
                <w:szCs w:val="18"/>
              </w:rPr>
              <w:t>.</w:t>
            </w:r>
          </w:p>
        </w:tc>
      </w:tr>
      <w:tr w:rsidR="00E23B86" w:rsidRPr="00E10F1D" w14:paraId="08232BD3" w14:textId="77777777" w:rsidTr="00585CB3">
        <w:trPr>
          <w:trHeight w:val="530"/>
          <w:jc w:val="center"/>
        </w:trPr>
        <w:tc>
          <w:tcPr>
            <w:tcW w:w="535" w:type="dxa"/>
            <w:vMerge w:val="restart"/>
            <w:shd w:val="clear" w:color="auto" w:fill="auto"/>
            <w:vAlign w:val="center"/>
          </w:tcPr>
          <w:p w14:paraId="6ED08F7C" w14:textId="77777777" w:rsidR="00E23B86" w:rsidRPr="00E923C6" w:rsidRDefault="00E23B86" w:rsidP="00E23B86">
            <w:pPr>
              <w:spacing w:line="240" w:lineRule="auto"/>
              <w:contextualSpacing/>
              <w:rPr>
                <w:rFonts w:ascii="Calibri" w:eastAsia="SimSun" w:hAnsi="Calibri"/>
                <w:b/>
                <w:sz w:val="20"/>
                <w:szCs w:val="20"/>
                <w:lang w:eastAsia="zh-CN"/>
              </w:rPr>
            </w:pPr>
            <w:r w:rsidRPr="00E923C6">
              <w:rPr>
                <w:rFonts w:ascii="Calibri" w:eastAsia="SimSun" w:hAnsi="Calibri"/>
                <w:b/>
                <w:sz w:val="20"/>
                <w:szCs w:val="20"/>
                <w:lang w:eastAsia="zh-CN"/>
              </w:rPr>
              <w:t>4</w:t>
            </w:r>
          </w:p>
        </w:tc>
        <w:tc>
          <w:tcPr>
            <w:tcW w:w="8730" w:type="dxa"/>
            <w:shd w:val="clear" w:color="auto" w:fill="auto"/>
          </w:tcPr>
          <w:p w14:paraId="521D67E1" w14:textId="77777777" w:rsidR="00E23B86" w:rsidRPr="00E923C6" w:rsidRDefault="00E23B86" w:rsidP="00B773F6">
            <w:pPr>
              <w:contextualSpacing/>
              <w:rPr>
                <w:rFonts w:ascii="Calibri" w:eastAsia="SimSun" w:hAnsi="Calibri"/>
                <w:sz w:val="20"/>
                <w:szCs w:val="20"/>
                <w:lang w:eastAsia="zh-CN"/>
              </w:rPr>
            </w:pPr>
            <w:r w:rsidRPr="00E923C6">
              <w:rPr>
                <w:rFonts w:ascii="Calibri" w:eastAsia="SimSun" w:hAnsi="Calibri"/>
                <w:b/>
                <w:sz w:val="20"/>
                <w:szCs w:val="20"/>
                <w:lang w:eastAsia="zh-CN"/>
              </w:rPr>
              <w:t>Human Development Index</w:t>
            </w:r>
            <w:r w:rsidRPr="00E923C6">
              <w:rPr>
                <w:rFonts w:ascii="Calibri" w:eastAsia="SimSun" w:hAnsi="Calibri"/>
                <w:sz w:val="20"/>
                <w:szCs w:val="20"/>
                <w:lang w:eastAsia="zh-CN"/>
              </w:rPr>
              <w:t xml:space="preserve"> (HDI)</w:t>
            </w:r>
          </w:p>
          <w:p w14:paraId="4D2708DD" w14:textId="77777777" w:rsidR="00E23B86" w:rsidRPr="00E923C6" w:rsidRDefault="00E23B86" w:rsidP="00B773F6">
            <w:pPr>
              <w:contextualSpacing/>
              <w:rPr>
                <w:rFonts w:ascii="Calibri" w:eastAsia="SimSun" w:hAnsi="Calibri"/>
                <w:sz w:val="20"/>
                <w:szCs w:val="20"/>
                <w:lang w:eastAsia="zh-CN"/>
              </w:rPr>
            </w:pPr>
            <w:r w:rsidRPr="00E923C6">
              <w:rPr>
                <w:rFonts w:ascii="Calibri" w:eastAsia="SimSun" w:hAnsi="Calibri"/>
                <w:b/>
                <w:sz w:val="20"/>
                <w:szCs w:val="20"/>
                <w:lang w:eastAsia="zh-CN"/>
              </w:rPr>
              <w:t>Inequality</w:t>
            </w:r>
            <w:r w:rsidRPr="00E923C6">
              <w:rPr>
                <w:rFonts w:ascii="Calibri" w:eastAsia="SimSun" w:hAnsi="Calibri"/>
                <w:sz w:val="20"/>
                <w:szCs w:val="20"/>
                <w:lang w:eastAsia="zh-CN"/>
              </w:rPr>
              <w:t>-adjusted HDI (IHDI)</w:t>
            </w:r>
          </w:p>
        </w:tc>
        <w:tc>
          <w:tcPr>
            <w:tcW w:w="5389" w:type="dxa"/>
            <w:shd w:val="clear" w:color="auto" w:fill="auto"/>
          </w:tcPr>
          <w:p w14:paraId="6D8BF63A" w14:textId="7EFEF25F" w:rsidR="00E23B86" w:rsidRPr="005D13C6" w:rsidRDefault="00E23B86" w:rsidP="00921F58">
            <w:pPr>
              <w:spacing w:after="0" w:line="240" w:lineRule="auto"/>
              <w:rPr>
                <w:rFonts w:ascii="Calibri" w:eastAsia="Calibri" w:hAnsi="Calibri"/>
                <w:sz w:val="20"/>
                <w:szCs w:val="20"/>
              </w:rPr>
            </w:pPr>
            <w:r w:rsidRPr="005D13C6">
              <w:rPr>
                <w:rFonts w:ascii="Calibri" w:eastAsia="Calibri" w:hAnsi="Calibri"/>
                <w:sz w:val="20"/>
                <w:szCs w:val="20"/>
              </w:rPr>
              <w:t>0.6</w:t>
            </w:r>
            <w:r w:rsidR="00B773F6" w:rsidRPr="005D13C6">
              <w:rPr>
                <w:rFonts w:ascii="Calibri" w:eastAsia="Calibri" w:hAnsi="Calibri"/>
                <w:sz w:val="20"/>
                <w:szCs w:val="20"/>
              </w:rPr>
              <w:t>3</w:t>
            </w:r>
            <w:r w:rsidRPr="005D13C6">
              <w:rPr>
                <w:rFonts w:ascii="Calibri" w:eastAsia="Calibri" w:hAnsi="Calibri"/>
                <w:sz w:val="20"/>
                <w:szCs w:val="20"/>
              </w:rPr>
              <w:t xml:space="preserve">  </w:t>
            </w:r>
            <w:r w:rsidR="00C12392" w:rsidRPr="005D13C6">
              <w:rPr>
                <w:rFonts w:ascii="Calibri" w:eastAsia="Calibri" w:hAnsi="Calibri"/>
                <w:sz w:val="20"/>
                <w:szCs w:val="20"/>
              </w:rPr>
              <w:t>(2013</w:t>
            </w:r>
            <w:r w:rsidRPr="005D13C6">
              <w:rPr>
                <w:rFonts w:ascii="Calibri" w:eastAsia="Calibri" w:hAnsi="Calibri"/>
                <w:sz w:val="20"/>
                <w:szCs w:val="20"/>
              </w:rPr>
              <w:t>)</w:t>
            </w:r>
          </w:p>
          <w:p w14:paraId="2D71F726" w14:textId="7BED8AAC" w:rsidR="00E23B86" w:rsidRPr="00E923C6" w:rsidRDefault="00E23B86" w:rsidP="002C0C49">
            <w:pPr>
              <w:rPr>
                <w:rFonts w:ascii="Calibri" w:eastAsia="Calibri" w:hAnsi="Calibri"/>
                <w:b/>
                <w:sz w:val="20"/>
                <w:szCs w:val="20"/>
              </w:rPr>
            </w:pPr>
            <w:r w:rsidRPr="005D13C6">
              <w:rPr>
                <w:rFonts w:ascii="Calibri" w:eastAsia="Calibri" w:hAnsi="Calibri"/>
                <w:sz w:val="20"/>
                <w:szCs w:val="20"/>
              </w:rPr>
              <w:t>0.4</w:t>
            </w:r>
            <w:r w:rsidR="00B773F6" w:rsidRPr="005D13C6">
              <w:rPr>
                <w:rFonts w:ascii="Calibri" w:eastAsia="Calibri" w:hAnsi="Calibri"/>
                <w:sz w:val="20"/>
                <w:szCs w:val="20"/>
              </w:rPr>
              <w:t>7</w:t>
            </w:r>
            <w:r w:rsidRPr="005D13C6">
              <w:rPr>
                <w:rFonts w:ascii="Calibri" w:eastAsia="Calibri" w:hAnsi="Calibri"/>
                <w:sz w:val="20"/>
                <w:szCs w:val="20"/>
              </w:rPr>
              <w:t xml:space="preserve">  (201</w:t>
            </w:r>
            <w:r w:rsidR="002C0C49" w:rsidRPr="005D13C6">
              <w:rPr>
                <w:rFonts w:ascii="Calibri" w:eastAsia="Calibri" w:hAnsi="Calibri"/>
                <w:sz w:val="20"/>
                <w:szCs w:val="20"/>
              </w:rPr>
              <w:t>3</w:t>
            </w:r>
            <w:r w:rsidRPr="005D13C6">
              <w:rPr>
                <w:rFonts w:ascii="Calibri" w:eastAsia="Calibri" w:hAnsi="Calibri"/>
                <w:sz w:val="20"/>
                <w:szCs w:val="20"/>
              </w:rPr>
              <w:t>)</w:t>
            </w:r>
          </w:p>
        </w:tc>
      </w:tr>
      <w:tr w:rsidR="00E23B86" w:rsidRPr="00E10F1D" w14:paraId="67555C3B" w14:textId="77777777" w:rsidTr="00C00D6E">
        <w:trPr>
          <w:trHeight w:val="530"/>
          <w:jc w:val="center"/>
        </w:trPr>
        <w:tc>
          <w:tcPr>
            <w:tcW w:w="535" w:type="dxa"/>
            <w:vMerge/>
            <w:shd w:val="clear" w:color="auto" w:fill="auto"/>
            <w:vAlign w:val="center"/>
          </w:tcPr>
          <w:p w14:paraId="4854E7E9" w14:textId="77777777" w:rsidR="00E23B86" w:rsidRPr="00E923C6" w:rsidRDefault="00E23B86" w:rsidP="00E23B86">
            <w:pPr>
              <w:spacing w:line="240" w:lineRule="auto"/>
              <w:contextualSpacing/>
              <w:rPr>
                <w:rFonts w:ascii="Calibri" w:eastAsia="SimSun" w:hAnsi="Calibri"/>
                <w:sz w:val="20"/>
                <w:szCs w:val="20"/>
                <w:lang w:eastAsia="zh-CN"/>
              </w:rPr>
            </w:pPr>
          </w:p>
        </w:tc>
        <w:tc>
          <w:tcPr>
            <w:tcW w:w="14119" w:type="dxa"/>
            <w:gridSpan w:val="2"/>
            <w:shd w:val="clear" w:color="auto" w:fill="D9D9D9" w:themeFill="background1" w:themeFillShade="D9"/>
            <w:vAlign w:val="center"/>
          </w:tcPr>
          <w:p w14:paraId="6BF8B378" w14:textId="59966291" w:rsidR="00E23B86" w:rsidRPr="00036073" w:rsidRDefault="00E23B86" w:rsidP="00BD5EAD">
            <w:pPr>
              <w:spacing w:after="0" w:line="240" w:lineRule="auto"/>
              <w:rPr>
                <w:rFonts w:ascii="Calibri" w:eastAsia="SimSun" w:hAnsi="Calibri"/>
                <w:sz w:val="18"/>
                <w:szCs w:val="18"/>
                <w:lang w:eastAsia="zh-CN"/>
              </w:rPr>
            </w:pPr>
            <w:r w:rsidRPr="00036073">
              <w:rPr>
                <w:rFonts w:ascii="Calibri" w:eastAsia="SimSun" w:hAnsi="Calibri"/>
                <w:b/>
                <w:sz w:val="18"/>
                <w:szCs w:val="18"/>
                <w:lang w:eastAsia="zh-CN"/>
              </w:rPr>
              <w:t>Source</w:t>
            </w:r>
            <w:r w:rsidRPr="00036073">
              <w:rPr>
                <w:rFonts w:ascii="Calibri" w:eastAsia="SimSun" w:hAnsi="Calibri"/>
                <w:sz w:val="18"/>
                <w:szCs w:val="18"/>
                <w:lang w:eastAsia="zh-CN"/>
              </w:rPr>
              <w:t>: UNDP Human Development Report 201</w:t>
            </w:r>
            <w:r w:rsidR="00C12392" w:rsidRPr="00036073">
              <w:rPr>
                <w:rFonts w:ascii="Calibri" w:eastAsia="SimSun" w:hAnsi="Calibri"/>
                <w:sz w:val="18"/>
                <w:szCs w:val="18"/>
                <w:lang w:eastAsia="zh-CN"/>
              </w:rPr>
              <w:t>4</w:t>
            </w:r>
            <w:r w:rsidRPr="00036073">
              <w:rPr>
                <w:rFonts w:ascii="Calibri" w:eastAsia="SimSun" w:hAnsi="Calibri"/>
                <w:sz w:val="18"/>
                <w:szCs w:val="18"/>
                <w:lang w:eastAsia="zh-CN"/>
              </w:rPr>
              <w:t>. Simple average based on 1</w:t>
            </w:r>
            <w:r w:rsidR="00B773F6" w:rsidRPr="00036073">
              <w:rPr>
                <w:rFonts w:ascii="Calibri" w:eastAsia="SimSun" w:hAnsi="Calibri"/>
                <w:sz w:val="18"/>
                <w:szCs w:val="18"/>
                <w:lang w:eastAsia="zh-CN"/>
              </w:rPr>
              <w:t>44</w:t>
            </w:r>
            <w:r w:rsidRPr="00036073">
              <w:rPr>
                <w:rFonts w:ascii="Calibri" w:eastAsia="SimSun" w:hAnsi="Calibri"/>
                <w:sz w:val="18"/>
                <w:szCs w:val="18"/>
                <w:lang w:eastAsia="zh-CN"/>
              </w:rPr>
              <w:t xml:space="preserve"> </w:t>
            </w:r>
            <w:r w:rsidR="00630C30" w:rsidRPr="00036073">
              <w:rPr>
                <w:rFonts w:ascii="Calibri" w:eastAsia="SimSun" w:hAnsi="Calibri"/>
                <w:sz w:val="18"/>
                <w:szCs w:val="18"/>
                <w:lang w:eastAsia="zh-CN"/>
              </w:rPr>
              <w:t xml:space="preserve">UNDP </w:t>
            </w:r>
            <w:r w:rsidRPr="00036073">
              <w:rPr>
                <w:rFonts w:ascii="Calibri" w:eastAsia="SimSun" w:hAnsi="Calibri"/>
                <w:sz w:val="18"/>
                <w:szCs w:val="18"/>
                <w:lang w:eastAsia="zh-CN"/>
              </w:rPr>
              <w:t>programme countries for HDI and 1</w:t>
            </w:r>
            <w:r w:rsidR="002C0C49" w:rsidRPr="00036073">
              <w:rPr>
                <w:rFonts w:ascii="Calibri" w:eastAsia="SimSun" w:hAnsi="Calibri"/>
                <w:sz w:val="18"/>
                <w:szCs w:val="18"/>
                <w:lang w:eastAsia="zh-CN"/>
              </w:rPr>
              <w:t>1</w:t>
            </w:r>
            <w:r w:rsidR="00B773F6" w:rsidRPr="00036073">
              <w:rPr>
                <w:rFonts w:ascii="Calibri" w:eastAsia="SimSun" w:hAnsi="Calibri"/>
                <w:sz w:val="18"/>
                <w:szCs w:val="18"/>
                <w:lang w:eastAsia="zh-CN"/>
              </w:rPr>
              <w:t>1</w:t>
            </w:r>
            <w:r w:rsidRPr="00036073">
              <w:rPr>
                <w:rFonts w:ascii="Calibri" w:eastAsia="SimSun" w:hAnsi="Calibri"/>
                <w:sz w:val="18"/>
                <w:szCs w:val="18"/>
                <w:lang w:eastAsia="zh-CN"/>
              </w:rPr>
              <w:t xml:space="preserve"> </w:t>
            </w:r>
            <w:r w:rsidR="00630C30" w:rsidRPr="00036073">
              <w:rPr>
                <w:rFonts w:ascii="Calibri" w:eastAsia="SimSun" w:hAnsi="Calibri"/>
                <w:sz w:val="18"/>
                <w:szCs w:val="18"/>
                <w:lang w:eastAsia="zh-CN"/>
              </w:rPr>
              <w:t xml:space="preserve">UNDP </w:t>
            </w:r>
            <w:r w:rsidRPr="00036073">
              <w:rPr>
                <w:rFonts w:ascii="Calibri" w:eastAsia="SimSun" w:hAnsi="Calibri"/>
                <w:sz w:val="18"/>
                <w:szCs w:val="18"/>
                <w:lang w:eastAsia="zh-CN"/>
              </w:rPr>
              <w:t xml:space="preserve">programme countries for IHDI. The global </w:t>
            </w:r>
            <w:r w:rsidR="004756F1" w:rsidRPr="00036073">
              <w:rPr>
                <w:rFonts w:ascii="Calibri" w:eastAsia="SimSun" w:hAnsi="Calibri"/>
                <w:sz w:val="18"/>
                <w:szCs w:val="18"/>
                <w:lang w:eastAsia="zh-CN"/>
              </w:rPr>
              <w:t>index</w:t>
            </w:r>
            <w:r w:rsidRPr="00036073">
              <w:rPr>
                <w:rFonts w:ascii="Calibri" w:eastAsia="SimSun" w:hAnsi="Calibri"/>
                <w:sz w:val="18"/>
                <w:szCs w:val="18"/>
                <w:lang w:eastAsia="zh-CN"/>
              </w:rPr>
              <w:t xml:space="preserve"> (</w:t>
            </w:r>
            <w:r w:rsidR="004756F1" w:rsidRPr="00036073">
              <w:rPr>
                <w:rFonts w:ascii="Calibri" w:eastAsia="SimSun" w:hAnsi="Calibri"/>
                <w:sz w:val="18"/>
                <w:szCs w:val="18"/>
                <w:lang w:eastAsia="zh-CN"/>
              </w:rPr>
              <w:t>computed by UNDP HDR Office</w:t>
            </w:r>
            <w:r w:rsidR="00A354DF" w:rsidRPr="00036073">
              <w:rPr>
                <w:rFonts w:ascii="Calibri" w:eastAsia="SimSun" w:hAnsi="Calibri"/>
                <w:sz w:val="18"/>
                <w:szCs w:val="18"/>
                <w:lang w:eastAsia="zh-CN"/>
              </w:rPr>
              <w:t xml:space="preserve"> for all countries</w:t>
            </w:r>
            <w:r w:rsidR="00BD5EAD" w:rsidRPr="00036073">
              <w:rPr>
                <w:rFonts w:ascii="Calibri" w:eastAsia="SimSun" w:hAnsi="Calibri"/>
                <w:sz w:val="18"/>
                <w:szCs w:val="18"/>
                <w:lang w:eastAsia="zh-CN"/>
              </w:rPr>
              <w:t>, including programme and other countries</w:t>
            </w:r>
            <w:r w:rsidRPr="00036073">
              <w:rPr>
                <w:rFonts w:ascii="Calibri" w:eastAsia="SimSun" w:hAnsi="Calibri"/>
                <w:sz w:val="18"/>
                <w:szCs w:val="18"/>
                <w:lang w:eastAsia="zh-CN"/>
              </w:rPr>
              <w:t>) is 0.</w:t>
            </w:r>
            <w:r w:rsidR="00BD5EAD" w:rsidRPr="00036073">
              <w:rPr>
                <w:rFonts w:ascii="Calibri" w:eastAsia="SimSun" w:hAnsi="Calibri"/>
                <w:sz w:val="18"/>
                <w:szCs w:val="18"/>
                <w:lang w:eastAsia="zh-CN"/>
              </w:rPr>
              <w:t>702</w:t>
            </w:r>
            <w:r w:rsidRPr="00036073">
              <w:rPr>
                <w:rFonts w:ascii="Calibri" w:eastAsia="SimSun" w:hAnsi="Calibri"/>
                <w:sz w:val="18"/>
                <w:szCs w:val="18"/>
                <w:lang w:eastAsia="zh-CN"/>
              </w:rPr>
              <w:t xml:space="preserve"> for the HDI and 0.5</w:t>
            </w:r>
            <w:r w:rsidR="00A354DF" w:rsidRPr="00036073">
              <w:rPr>
                <w:rFonts w:ascii="Calibri" w:eastAsia="SimSun" w:hAnsi="Calibri"/>
                <w:sz w:val="18"/>
                <w:szCs w:val="18"/>
                <w:lang w:eastAsia="zh-CN"/>
              </w:rPr>
              <w:t>41</w:t>
            </w:r>
            <w:r w:rsidRPr="00036073">
              <w:rPr>
                <w:rFonts w:ascii="Calibri" w:eastAsia="SimSun" w:hAnsi="Calibri"/>
                <w:sz w:val="18"/>
                <w:szCs w:val="18"/>
                <w:lang w:eastAsia="zh-CN"/>
              </w:rPr>
              <w:t xml:space="preserve"> for IHDI.</w:t>
            </w:r>
          </w:p>
          <w:p w14:paraId="7C51C090" w14:textId="79502DC3" w:rsidR="00B773F6" w:rsidRPr="00036073" w:rsidRDefault="00B773F6" w:rsidP="00BD5EAD">
            <w:pPr>
              <w:spacing w:after="0" w:line="240" w:lineRule="auto"/>
              <w:rPr>
                <w:rFonts w:ascii="Calibri" w:eastAsia="Calibri" w:hAnsi="Calibri"/>
                <w:sz w:val="18"/>
                <w:szCs w:val="18"/>
              </w:rPr>
            </w:pPr>
            <w:r w:rsidRPr="00036073">
              <w:rPr>
                <w:rFonts w:eastAsia="Calibri"/>
                <w:b/>
                <w:sz w:val="18"/>
                <w:szCs w:val="18"/>
              </w:rPr>
              <w:t xml:space="preserve">2014 Reporting Note: </w:t>
            </w:r>
            <w:r w:rsidRPr="00036073">
              <w:rPr>
                <w:rFonts w:eastAsia="Calibri"/>
                <w:sz w:val="18"/>
                <w:szCs w:val="18"/>
              </w:rPr>
              <w:t>Baseline updated with new data up to 2013. Previous values (for 2012) HDI 0.62, IHDI 0.47</w:t>
            </w:r>
            <w:r w:rsidR="00036073">
              <w:rPr>
                <w:rFonts w:eastAsia="Calibri"/>
                <w:sz w:val="18"/>
                <w:szCs w:val="18"/>
              </w:rPr>
              <w:t>.</w:t>
            </w:r>
          </w:p>
        </w:tc>
      </w:tr>
    </w:tbl>
    <w:p w14:paraId="50C03074" w14:textId="77777777" w:rsidR="00BC1D51" w:rsidRDefault="00BC1D51" w:rsidP="00BC1D51">
      <w:pPr>
        <w:ind w:hanging="990"/>
        <w:contextualSpacing/>
        <w:rPr>
          <w:rFonts w:ascii="Calibri" w:eastAsia="SimSun" w:hAnsi="Calibri"/>
          <w:b/>
          <w:sz w:val="24"/>
          <w:szCs w:val="24"/>
          <w:u w:val="single"/>
          <w:lang w:eastAsia="zh-CN"/>
        </w:rPr>
      </w:pPr>
    </w:p>
    <w:p w14:paraId="0DEC1AD9" w14:textId="77777777" w:rsidR="00BC1D51" w:rsidRPr="00B77A3D" w:rsidRDefault="00BC1D51" w:rsidP="00F128D7">
      <w:pPr>
        <w:rPr>
          <w:lang w:val="en-GB"/>
        </w:rPr>
      </w:pPr>
    </w:p>
    <w:p w14:paraId="35CEB1F4" w14:textId="77777777" w:rsidR="00724F77" w:rsidRPr="00E0248B" w:rsidRDefault="00724F77" w:rsidP="001C4B32">
      <w:pPr>
        <w:pStyle w:val="Heading2"/>
        <w:numPr>
          <w:ilvl w:val="0"/>
          <w:numId w:val="0"/>
        </w:numPr>
        <w:ind w:left="360" w:hanging="360"/>
        <w:rPr>
          <w:rFonts w:asciiTheme="minorHAnsi" w:eastAsia="SimSun" w:hAnsiTheme="minorHAnsi"/>
        </w:rPr>
      </w:pPr>
      <w:r w:rsidRPr="00E0248B">
        <w:rPr>
          <w:rFonts w:asciiTheme="minorHAnsi" w:eastAsia="SimSun" w:hAnsiTheme="minorHAnsi"/>
        </w:rPr>
        <w:t>Tier Two: Development Outcomes and Outputs</w:t>
      </w:r>
      <w:bookmarkEnd w:id="1"/>
      <w:bookmarkEnd w:id="2"/>
    </w:p>
    <w:tbl>
      <w:tblPr>
        <w:tblW w:w="14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8547"/>
        <w:gridCol w:w="1983"/>
        <w:gridCol w:w="1890"/>
        <w:gridCol w:w="1983"/>
      </w:tblGrid>
      <w:tr w:rsidR="007B0371" w:rsidRPr="00283732" w14:paraId="34D3C8C0" w14:textId="77777777" w:rsidTr="00427306">
        <w:trPr>
          <w:trHeight w:val="263"/>
          <w:jc w:val="center"/>
        </w:trPr>
        <w:tc>
          <w:tcPr>
            <w:tcW w:w="14848" w:type="dxa"/>
            <w:gridSpan w:val="5"/>
            <w:tcBorders>
              <w:top w:val="single" w:sz="4" w:space="0" w:color="auto"/>
              <w:left w:val="single" w:sz="4" w:space="0" w:color="auto"/>
              <w:bottom w:val="single" w:sz="4" w:space="0" w:color="auto"/>
              <w:right w:val="single" w:sz="4" w:space="0" w:color="auto"/>
            </w:tcBorders>
            <w:shd w:val="clear" w:color="auto" w:fill="0070C0"/>
          </w:tcPr>
          <w:p w14:paraId="558D9D2E" w14:textId="5EB24A80" w:rsidR="007B0371" w:rsidRPr="00015A57" w:rsidRDefault="007B0371" w:rsidP="003377AB">
            <w:pPr>
              <w:spacing w:after="0" w:line="240" w:lineRule="auto"/>
              <w:rPr>
                <w:rFonts w:eastAsia="Calibri"/>
                <w:b/>
                <w:color w:val="FFFF00"/>
                <w:lang w:eastAsia="x-none"/>
              </w:rPr>
            </w:pPr>
            <w:r w:rsidRPr="00301E5B">
              <w:rPr>
                <w:rStyle w:val="Heading3Char"/>
                <w:rFonts w:asciiTheme="minorHAnsi" w:eastAsia="Calibri" w:hAnsiTheme="minorHAnsi"/>
                <w:color w:val="FFFF00"/>
                <w:u w:val="single"/>
              </w:rPr>
              <w:t>Outcome 1:</w:t>
            </w:r>
            <w:r w:rsidRPr="002C1199">
              <w:rPr>
                <w:rFonts w:eastAsia="Calibri"/>
                <w:b/>
                <w:color w:val="FFFF00"/>
                <w:lang w:val="x-none" w:eastAsia="x-none"/>
              </w:rPr>
              <w:t xml:space="preserve">  Growth and development are inclusive and sustainable, incorporating productive capacities that create employment and livelihoods for the poor and excluded</w:t>
            </w:r>
          </w:p>
        </w:tc>
      </w:tr>
      <w:tr w:rsidR="009B2487" w:rsidRPr="00283732" w14:paraId="50B169B7" w14:textId="77777777" w:rsidTr="00BC2597">
        <w:trPr>
          <w:trHeight w:val="260"/>
          <w:jc w:val="center"/>
        </w:trPr>
        <w:tc>
          <w:tcPr>
            <w:tcW w:w="8992"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BC93BD3" w14:textId="77777777" w:rsidR="009B2487" w:rsidRPr="00A512C1" w:rsidRDefault="009B2487" w:rsidP="003377AB">
            <w:pPr>
              <w:spacing w:after="0" w:line="240" w:lineRule="auto"/>
              <w:ind w:left="90" w:hanging="90"/>
              <w:jc w:val="both"/>
              <w:rPr>
                <w:rFonts w:eastAsia="Calibri"/>
                <w:sz w:val="20"/>
              </w:rPr>
            </w:pPr>
            <w:r w:rsidRPr="00A512C1">
              <w:rPr>
                <w:rFonts w:eastAsia="Calibri"/>
                <w:b/>
                <w:sz w:val="20"/>
              </w:rPr>
              <w:t>Outcome Indicators</w:t>
            </w:r>
            <w:r w:rsidRPr="00A512C1">
              <w:rPr>
                <w:rFonts w:eastAsia="Calibri"/>
                <w:sz w:val="20"/>
              </w:rPr>
              <w:t xml:space="preserve"> </w:t>
            </w:r>
            <w:r>
              <w:rPr>
                <w:rFonts w:eastAsia="Calibri"/>
                <w:sz w:val="20"/>
              </w:rPr>
              <w:t>(</w:t>
            </w:r>
            <w:r w:rsidRPr="009B5098">
              <w:rPr>
                <w:rFonts w:ascii="Calibri" w:eastAsia="SimSun" w:hAnsi="Calibri"/>
                <w:b/>
                <w:sz w:val="18"/>
                <w:szCs w:val="18"/>
                <w:lang w:eastAsia="zh-CN"/>
              </w:rPr>
              <w:t xml:space="preserve">* </w:t>
            </w:r>
            <w:r w:rsidRPr="009B5098">
              <w:rPr>
                <w:rFonts w:ascii="Calibri" w:eastAsia="SimSun" w:hAnsi="Calibri"/>
                <w:sz w:val="18"/>
                <w:szCs w:val="18"/>
                <w:lang w:eastAsia="zh-CN"/>
              </w:rPr>
              <w:t>Using lates</w:t>
            </w:r>
            <w:r>
              <w:rPr>
                <w:rFonts w:ascii="Calibri" w:eastAsia="SimSun" w:hAnsi="Calibri"/>
                <w:sz w:val="18"/>
                <w:szCs w:val="18"/>
                <w:lang w:eastAsia="zh-CN"/>
              </w:rPr>
              <w:t>t data up to the year specified)</w:t>
            </w:r>
          </w:p>
        </w:tc>
        <w:tc>
          <w:tcPr>
            <w:tcW w:w="1983" w:type="dxa"/>
            <w:tcBorders>
              <w:top w:val="single" w:sz="4" w:space="0" w:color="auto"/>
              <w:left w:val="single" w:sz="4" w:space="0" w:color="auto"/>
              <w:bottom w:val="single" w:sz="4" w:space="0" w:color="auto"/>
              <w:right w:val="single" w:sz="4" w:space="0" w:color="auto"/>
            </w:tcBorders>
            <w:shd w:val="clear" w:color="auto" w:fill="F2F2F2"/>
          </w:tcPr>
          <w:p w14:paraId="3208F1D5" w14:textId="77777777" w:rsidR="009B2487" w:rsidRPr="00A512C1" w:rsidRDefault="009B2487" w:rsidP="003377AB">
            <w:pPr>
              <w:spacing w:after="0" w:line="240" w:lineRule="auto"/>
              <w:rPr>
                <w:rFonts w:eastAsia="Calibri"/>
                <w:b/>
                <w:sz w:val="20"/>
                <w:szCs w:val="16"/>
              </w:rPr>
            </w:pPr>
            <w:r w:rsidRPr="00A512C1">
              <w:rPr>
                <w:rFonts w:eastAsia="Calibri"/>
                <w:b/>
                <w:sz w:val="20"/>
                <w:szCs w:val="16"/>
              </w:rPr>
              <w:t>2013 baseline</w:t>
            </w:r>
          </w:p>
        </w:tc>
        <w:tc>
          <w:tcPr>
            <w:tcW w:w="1890" w:type="dxa"/>
            <w:tcBorders>
              <w:top w:val="single" w:sz="4" w:space="0" w:color="auto"/>
              <w:left w:val="single" w:sz="4" w:space="0" w:color="auto"/>
              <w:bottom w:val="single" w:sz="4" w:space="0" w:color="auto"/>
              <w:right w:val="single" w:sz="4" w:space="0" w:color="auto"/>
            </w:tcBorders>
            <w:shd w:val="clear" w:color="auto" w:fill="F2F2F2"/>
          </w:tcPr>
          <w:p w14:paraId="1DC7AB71" w14:textId="1F3C42B7" w:rsidR="009B2487" w:rsidRPr="00A512C1" w:rsidRDefault="009B2487" w:rsidP="003377AB">
            <w:pPr>
              <w:spacing w:after="0" w:line="240" w:lineRule="auto"/>
              <w:rPr>
                <w:rFonts w:eastAsia="Calibri"/>
                <w:b/>
                <w:sz w:val="20"/>
                <w:szCs w:val="16"/>
              </w:rPr>
            </w:pPr>
            <w:r>
              <w:rPr>
                <w:rFonts w:eastAsia="Calibri"/>
                <w:b/>
                <w:sz w:val="20"/>
                <w:szCs w:val="16"/>
              </w:rPr>
              <w:t>2014 Actual</w:t>
            </w:r>
          </w:p>
        </w:tc>
        <w:tc>
          <w:tcPr>
            <w:tcW w:w="1983" w:type="dxa"/>
            <w:tcBorders>
              <w:top w:val="single" w:sz="4" w:space="0" w:color="auto"/>
              <w:left w:val="single" w:sz="4" w:space="0" w:color="auto"/>
              <w:bottom w:val="single" w:sz="4" w:space="0" w:color="auto"/>
              <w:right w:val="single" w:sz="4" w:space="0" w:color="auto"/>
            </w:tcBorders>
            <w:shd w:val="clear" w:color="auto" w:fill="F2F2F2"/>
          </w:tcPr>
          <w:p w14:paraId="1C324C9A" w14:textId="6A175FEB" w:rsidR="009B2487" w:rsidRPr="00A512C1" w:rsidRDefault="009B2487" w:rsidP="003377AB">
            <w:pPr>
              <w:spacing w:after="0" w:line="240" w:lineRule="auto"/>
              <w:rPr>
                <w:rFonts w:eastAsia="Calibri"/>
                <w:b/>
                <w:sz w:val="20"/>
                <w:szCs w:val="16"/>
              </w:rPr>
            </w:pPr>
            <w:r w:rsidRPr="00A512C1">
              <w:rPr>
                <w:rFonts w:eastAsia="Calibri"/>
                <w:b/>
                <w:sz w:val="20"/>
                <w:szCs w:val="16"/>
              </w:rPr>
              <w:t xml:space="preserve">2017 target </w:t>
            </w:r>
          </w:p>
        </w:tc>
      </w:tr>
      <w:tr w:rsidR="009B2487" w:rsidRPr="00283732" w14:paraId="41B414B7" w14:textId="77777777" w:rsidTr="007B0371">
        <w:trPr>
          <w:trHeight w:val="260"/>
          <w:jc w:val="center"/>
        </w:trPr>
        <w:tc>
          <w:tcPr>
            <w:tcW w:w="445" w:type="dxa"/>
            <w:vMerge w:val="restart"/>
            <w:tcBorders>
              <w:top w:val="single" w:sz="4" w:space="0" w:color="auto"/>
              <w:left w:val="single" w:sz="4" w:space="0" w:color="auto"/>
              <w:right w:val="single" w:sz="4" w:space="0" w:color="auto"/>
            </w:tcBorders>
            <w:shd w:val="clear" w:color="auto" w:fill="auto"/>
            <w:hideMark/>
          </w:tcPr>
          <w:p w14:paraId="41316D0B" w14:textId="77777777" w:rsidR="009B2487" w:rsidRPr="009B6BA8" w:rsidRDefault="009B2487" w:rsidP="00E02958">
            <w:pPr>
              <w:spacing w:after="0" w:line="240" w:lineRule="auto"/>
              <w:ind w:right="-119"/>
              <w:rPr>
                <w:rFonts w:ascii="Calibri" w:eastAsia="SimSun" w:hAnsi="Calibri"/>
                <w:b/>
                <w:sz w:val="20"/>
                <w:szCs w:val="20"/>
                <w:lang w:eastAsia="zh-CN"/>
              </w:rPr>
            </w:pPr>
            <w:r w:rsidRPr="009B6BA8">
              <w:rPr>
                <w:rFonts w:ascii="Calibri" w:eastAsia="SimSun" w:hAnsi="Calibri"/>
                <w:b/>
                <w:sz w:val="20"/>
                <w:szCs w:val="20"/>
                <w:lang w:eastAsia="zh-CN"/>
              </w:rPr>
              <w:t>1.1</w:t>
            </w:r>
          </w:p>
        </w:tc>
        <w:tc>
          <w:tcPr>
            <w:tcW w:w="8547" w:type="dxa"/>
            <w:tcBorders>
              <w:top w:val="single" w:sz="4" w:space="0" w:color="auto"/>
              <w:left w:val="single" w:sz="4" w:space="0" w:color="auto"/>
              <w:bottom w:val="single" w:sz="4" w:space="0" w:color="auto"/>
              <w:right w:val="single" w:sz="4" w:space="0" w:color="auto"/>
            </w:tcBorders>
            <w:shd w:val="clear" w:color="auto" w:fill="auto"/>
          </w:tcPr>
          <w:p w14:paraId="2031177D" w14:textId="77777777" w:rsidR="009B2487" w:rsidRPr="009B6BA8" w:rsidRDefault="009B2487" w:rsidP="00252F99">
            <w:pPr>
              <w:spacing w:after="0" w:line="240" w:lineRule="auto"/>
              <w:ind w:right="-119"/>
              <w:rPr>
                <w:rFonts w:ascii="Calibri" w:eastAsia="SimSun" w:hAnsi="Calibri"/>
                <w:sz w:val="20"/>
                <w:szCs w:val="20"/>
                <w:lang w:eastAsia="zh-CN"/>
              </w:rPr>
            </w:pPr>
            <w:r w:rsidRPr="009B6BA8">
              <w:rPr>
                <w:rFonts w:ascii="Calibri" w:eastAsia="SimSun" w:hAnsi="Calibri"/>
                <w:b/>
                <w:sz w:val="20"/>
                <w:szCs w:val="20"/>
                <w:lang w:eastAsia="zh-CN"/>
              </w:rPr>
              <w:t xml:space="preserve">Employment rate, </w:t>
            </w:r>
            <w:r w:rsidRPr="009B6BA8">
              <w:rPr>
                <w:rFonts w:ascii="Calibri" w:eastAsia="SimSun" w:hAnsi="Calibri"/>
                <w:sz w:val="20"/>
                <w:szCs w:val="20"/>
                <w:lang w:eastAsia="zh-CN"/>
              </w:rPr>
              <w:t xml:space="preserve">disaggregated by </w:t>
            </w:r>
            <w:r w:rsidRPr="009B6BA8">
              <w:rPr>
                <w:rFonts w:ascii="Calibri" w:eastAsia="SimSun" w:hAnsi="Calibri"/>
                <w:b/>
                <w:sz w:val="20"/>
                <w:szCs w:val="20"/>
                <w:lang w:eastAsia="zh-CN"/>
              </w:rPr>
              <w:t>sex</w:t>
            </w:r>
          </w:p>
          <w:p w14:paraId="165EDDBF" w14:textId="77777777" w:rsidR="009B2487" w:rsidRPr="009B6BA8" w:rsidRDefault="009B2487" w:rsidP="00252F99">
            <w:pPr>
              <w:spacing w:after="0" w:line="240" w:lineRule="auto"/>
              <w:ind w:right="-119"/>
              <w:rPr>
                <w:rFonts w:ascii="Calibri" w:eastAsia="SimSun" w:hAnsi="Calibri"/>
                <w:sz w:val="20"/>
                <w:szCs w:val="20"/>
                <w:lang w:eastAsia="zh-CN"/>
              </w:rPr>
            </w:pPr>
            <w:r w:rsidRPr="009B6BA8">
              <w:rPr>
                <w:rFonts w:ascii="Calibri" w:eastAsia="SimSun" w:hAnsi="Calibri"/>
                <w:sz w:val="20"/>
                <w:szCs w:val="20"/>
                <w:lang w:eastAsia="zh-CN"/>
              </w:rPr>
              <w:t xml:space="preserve">a.1) Female </w:t>
            </w:r>
            <w:r>
              <w:rPr>
                <w:rFonts w:ascii="Calibri" w:eastAsia="SimSun" w:hAnsi="Calibri"/>
                <w:sz w:val="20"/>
                <w:szCs w:val="20"/>
                <w:lang w:eastAsia="zh-CN"/>
              </w:rPr>
              <w:t>e</w:t>
            </w:r>
            <w:r w:rsidRPr="009B6BA8">
              <w:rPr>
                <w:rFonts w:ascii="Calibri" w:eastAsia="SimSun" w:hAnsi="Calibri"/>
                <w:sz w:val="20"/>
                <w:szCs w:val="20"/>
                <w:lang w:eastAsia="zh-CN"/>
              </w:rPr>
              <w:t>mployment rate (employment as a share of labor force)</w:t>
            </w:r>
          </w:p>
          <w:p w14:paraId="506D98DD" w14:textId="77777777" w:rsidR="009B2487" w:rsidRDefault="009B2487" w:rsidP="00252F99">
            <w:pPr>
              <w:spacing w:after="0" w:line="240" w:lineRule="auto"/>
              <w:ind w:right="-119"/>
              <w:rPr>
                <w:rFonts w:ascii="Calibri" w:eastAsia="SimSun" w:hAnsi="Calibri"/>
                <w:sz w:val="20"/>
                <w:szCs w:val="20"/>
                <w:lang w:eastAsia="zh-CN"/>
              </w:rPr>
            </w:pPr>
            <w:r w:rsidRPr="009B6BA8">
              <w:rPr>
                <w:rFonts w:ascii="Calibri" w:eastAsia="SimSun" w:hAnsi="Calibri"/>
                <w:sz w:val="20"/>
                <w:szCs w:val="20"/>
                <w:lang w:eastAsia="zh-CN"/>
              </w:rPr>
              <w:t xml:space="preserve">a.2) </w:t>
            </w:r>
            <w:r>
              <w:rPr>
                <w:rFonts w:ascii="Calibri" w:eastAsia="SimSun" w:hAnsi="Calibri"/>
                <w:sz w:val="20"/>
                <w:szCs w:val="20"/>
                <w:lang w:eastAsia="zh-CN"/>
              </w:rPr>
              <w:t>Male e</w:t>
            </w:r>
            <w:r w:rsidRPr="009B6BA8">
              <w:rPr>
                <w:rFonts w:ascii="Calibri" w:eastAsia="SimSun" w:hAnsi="Calibri"/>
                <w:sz w:val="20"/>
                <w:szCs w:val="20"/>
                <w:lang w:eastAsia="zh-CN"/>
              </w:rPr>
              <w:t>mployment rate (employment as a share of labor force)</w:t>
            </w:r>
          </w:p>
          <w:p w14:paraId="178E4422" w14:textId="77777777" w:rsidR="009B2487" w:rsidRPr="009B6BA8" w:rsidRDefault="009B2487" w:rsidP="00252F99">
            <w:pPr>
              <w:spacing w:after="0" w:line="240" w:lineRule="auto"/>
              <w:ind w:right="-119"/>
              <w:rPr>
                <w:rFonts w:ascii="Calibri" w:eastAsia="SimSun" w:hAnsi="Calibri"/>
                <w:sz w:val="20"/>
                <w:szCs w:val="20"/>
                <w:lang w:eastAsia="zh-CN"/>
              </w:rPr>
            </w:pPr>
            <w:r w:rsidRPr="009B6BA8">
              <w:rPr>
                <w:rFonts w:ascii="Calibri" w:eastAsia="SimSun" w:hAnsi="Calibri"/>
                <w:sz w:val="20"/>
                <w:szCs w:val="20"/>
                <w:lang w:eastAsia="zh-CN"/>
              </w:rPr>
              <w:t xml:space="preserve">b.1) Female </w:t>
            </w:r>
            <w:r>
              <w:rPr>
                <w:rFonts w:ascii="Calibri" w:eastAsia="SimSun" w:hAnsi="Calibri"/>
                <w:sz w:val="20"/>
                <w:szCs w:val="20"/>
                <w:lang w:eastAsia="zh-CN"/>
              </w:rPr>
              <w:t>employment-</w:t>
            </w:r>
            <w:r w:rsidRPr="009B6BA8">
              <w:rPr>
                <w:rFonts w:ascii="Calibri" w:eastAsia="SimSun" w:hAnsi="Calibri"/>
                <w:sz w:val="20"/>
                <w:szCs w:val="20"/>
                <w:lang w:eastAsia="zh-CN"/>
              </w:rPr>
              <w:t>to</w:t>
            </w:r>
            <w:r>
              <w:rPr>
                <w:rFonts w:ascii="Calibri" w:eastAsia="SimSun" w:hAnsi="Calibri"/>
                <w:sz w:val="20"/>
                <w:szCs w:val="20"/>
                <w:lang w:eastAsia="zh-CN"/>
              </w:rPr>
              <w:t>-</w:t>
            </w:r>
            <w:r w:rsidRPr="009B6BA8">
              <w:rPr>
                <w:rFonts w:ascii="Calibri" w:eastAsia="SimSun" w:hAnsi="Calibri"/>
                <w:sz w:val="20"/>
                <w:szCs w:val="20"/>
                <w:lang w:eastAsia="zh-CN"/>
              </w:rPr>
              <w:t>population ratio (employment as a share of working-age population)</w:t>
            </w:r>
          </w:p>
          <w:p w14:paraId="27479C18" w14:textId="77777777" w:rsidR="009B2487" w:rsidRDefault="009B2487" w:rsidP="00BE5627">
            <w:pPr>
              <w:spacing w:after="0" w:line="240" w:lineRule="auto"/>
              <w:ind w:right="-119"/>
              <w:rPr>
                <w:rFonts w:ascii="Calibri" w:eastAsia="SimSun" w:hAnsi="Calibri"/>
                <w:sz w:val="20"/>
                <w:szCs w:val="20"/>
                <w:lang w:eastAsia="zh-CN"/>
              </w:rPr>
            </w:pPr>
            <w:r w:rsidRPr="009B6BA8">
              <w:rPr>
                <w:rFonts w:ascii="Calibri" w:eastAsia="SimSun" w:hAnsi="Calibri"/>
                <w:sz w:val="20"/>
                <w:szCs w:val="20"/>
                <w:lang w:eastAsia="zh-CN"/>
              </w:rPr>
              <w:t>b.2</w:t>
            </w:r>
            <w:r>
              <w:rPr>
                <w:rFonts w:ascii="Calibri" w:eastAsia="SimSun" w:hAnsi="Calibri"/>
                <w:sz w:val="20"/>
                <w:szCs w:val="20"/>
                <w:lang w:eastAsia="zh-CN"/>
              </w:rPr>
              <w:t>) Male employment-to-</w:t>
            </w:r>
            <w:r w:rsidRPr="009B6BA8">
              <w:rPr>
                <w:rFonts w:ascii="Calibri" w:eastAsia="SimSun" w:hAnsi="Calibri"/>
                <w:sz w:val="20"/>
                <w:szCs w:val="20"/>
                <w:lang w:eastAsia="zh-CN"/>
              </w:rPr>
              <w:t>population ratio (employment as a share of working-age population)</w:t>
            </w:r>
          </w:p>
          <w:p w14:paraId="47D88AC4" w14:textId="77777777" w:rsidR="00A00B28" w:rsidRPr="009B6BA8" w:rsidRDefault="00A00B28" w:rsidP="00BE5627">
            <w:pPr>
              <w:spacing w:after="0" w:line="240" w:lineRule="auto"/>
              <w:ind w:right="-119"/>
              <w:rPr>
                <w:rFonts w:ascii="Calibri" w:eastAsia="SimSun" w:hAnsi="Calibri"/>
                <w:sz w:val="20"/>
                <w:szCs w:val="20"/>
                <w:lang w:eastAsia="zh-CN"/>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595066CE" w14:textId="77777777" w:rsidR="009B2487" w:rsidRPr="009B6BA8" w:rsidRDefault="009B2487" w:rsidP="00E02958">
            <w:pPr>
              <w:spacing w:after="0" w:line="240" w:lineRule="auto"/>
              <w:rPr>
                <w:rFonts w:ascii="Calibri" w:eastAsia="Calibri" w:hAnsi="Calibri"/>
                <w:sz w:val="20"/>
                <w:szCs w:val="20"/>
              </w:rPr>
            </w:pPr>
          </w:p>
          <w:p w14:paraId="7C84D25C" w14:textId="68417047" w:rsidR="009B2487" w:rsidRPr="005D13C6" w:rsidRDefault="009B2487" w:rsidP="00E02958">
            <w:pPr>
              <w:spacing w:after="0" w:line="240" w:lineRule="auto"/>
              <w:rPr>
                <w:rFonts w:ascii="Calibri" w:eastAsia="Calibri" w:hAnsi="Calibri"/>
                <w:sz w:val="20"/>
                <w:szCs w:val="20"/>
              </w:rPr>
            </w:pPr>
            <w:r w:rsidRPr="005D13C6">
              <w:rPr>
                <w:rFonts w:ascii="Calibri" w:eastAsia="Calibri" w:hAnsi="Calibri"/>
                <w:sz w:val="20"/>
                <w:szCs w:val="20"/>
              </w:rPr>
              <w:t xml:space="preserve">a.1) </w:t>
            </w:r>
            <w:r w:rsidR="00837A9F" w:rsidRPr="005D13C6">
              <w:rPr>
                <w:rFonts w:ascii="Calibri" w:eastAsia="Calibri" w:hAnsi="Calibri"/>
                <w:sz w:val="20"/>
                <w:szCs w:val="20"/>
              </w:rPr>
              <w:t>89.3% (2013</w:t>
            </w:r>
            <w:r w:rsidRPr="005D13C6">
              <w:rPr>
                <w:rFonts w:ascii="Calibri" w:eastAsia="Calibri" w:hAnsi="Calibri"/>
                <w:sz w:val="20"/>
                <w:szCs w:val="20"/>
              </w:rPr>
              <w:t>)</w:t>
            </w:r>
          </w:p>
          <w:p w14:paraId="0E871859" w14:textId="2CB0B5FA" w:rsidR="009B2487" w:rsidRPr="005D13C6" w:rsidRDefault="009B2487" w:rsidP="00E02958">
            <w:pPr>
              <w:spacing w:after="0" w:line="240" w:lineRule="auto"/>
              <w:rPr>
                <w:rFonts w:ascii="Calibri" w:eastAsia="Calibri" w:hAnsi="Calibri"/>
                <w:sz w:val="20"/>
                <w:szCs w:val="20"/>
              </w:rPr>
            </w:pPr>
            <w:r w:rsidRPr="005D13C6">
              <w:rPr>
                <w:rFonts w:ascii="Calibri" w:eastAsia="Calibri" w:hAnsi="Calibri"/>
                <w:sz w:val="20"/>
                <w:szCs w:val="20"/>
              </w:rPr>
              <w:t>a.2)</w:t>
            </w:r>
            <w:r w:rsidR="00837A9F" w:rsidRPr="005D13C6">
              <w:rPr>
                <w:rFonts w:ascii="Calibri" w:eastAsia="Calibri" w:hAnsi="Calibri"/>
                <w:sz w:val="20"/>
                <w:szCs w:val="20"/>
              </w:rPr>
              <w:t xml:space="preserve"> 92.1% (2013</w:t>
            </w:r>
            <w:r w:rsidRPr="005D13C6">
              <w:rPr>
                <w:rFonts w:ascii="Calibri" w:eastAsia="Calibri" w:hAnsi="Calibri"/>
                <w:sz w:val="20"/>
                <w:szCs w:val="20"/>
              </w:rPr>
              <w:t>)</w:t>
            </w:r>
          </w:p>
          <w:p w14:paraId="6FBDCACC" w14:textId="0C4A6AF5" w:rsidR="009B2487" w:rsidRPr="005D13C6" w:rsidRDefault="009B2487" w:rsidP="00E02958">
            <w:pPr>
              <w:spacing w:after="0" w:line="240" w:lineRule="auto"/>
              <w:rPr>
                <w:rFonts w:ascii="Calibri" w:eastAsia="Calibri" w:hAnsi="Calibri"/>
                <w:sz w:val="20"/>
                <w:szCs w:val="20"/>
              </w:rPr>
            </w:pPr>
            <w:r w:rsidRPr="005D13C6">
              <w:rPr>
                <w:rFonts w:ascii="Calibri" w:eastAsia="Calibri" w:hAnsi="Calibri"/>
                <w:sz w:val="20"/>
                <w:szCs w:val="20"/>
              </w:rPr>
              <w:t>b.1)</w:t>
            </w:r>
            <w:r w:rsidR="00837A9F" w:rsidRPr="005D13C6">
              <w:rPr>
                <w:rFonts w:ascii="Calibri" w:eastAsia="Calibri" w:hAnsi="Calibri"/>
                <w:sz w:val="20"/>
                <w:szCs w:val="20"/>
              </w:rPr>
              <w:t xml:space="preserve"> 48.0% (2013</w:t>
            </w:r>
            <w:r w:rsidRPr="005D13C6">
              <w:rPr>
                <w:rFonts w:ascii="Calibri" w:eastAsia="Calibri" w:hAnsi="Calibri"/>
                <w:sz w:val="20"/>
                <w:szCs w:val="20"/>
              </w:rPr>
              <w:t>)</w:t>
            </w:r>
          </w:p>
          <w:p w14:paraId="5F19E45A" w14:textId="7EF3D70D" w:rsidR="009B2487" w:rsidRPr="009B6BA8" w:rsidRDefault="00837A9F" w:rsidP="00BE5627">
            <w:pPr>
              <w:spacing w:after="0" w:line="240" w:lineRule="auto"/>
              <w:rPr>
                <w:rFonts w:ascii="Calibri" w:eastAsia="Calibri" w:hAnsi="Calibri"/>
                <w:sz w:val="20"/>
                <w:szCs w:val="20"/>
              </w:rPr>
            </w:pPr>
            <w:r w:rsidRPr="005D13C6">
              <w:rPr>
                <w:rFonts w:ascii="Calibri" w:eastAsia="Calibri" w:hAnsi="Calibri"/>
                <w:sz w:val="20"/>
                <w:szCs w:val="20"/>
              </w:rPr>
              <w:t>b.2) 70.6% (2013</w:t>
            </w:r>
            <w:r w:rsidR="009B2487" w:rsidRPr="005D13C6">
              <w:rPr>
                <w:rFonts w:ascii="Calibri" w:eastAsia="Calibri" w:hAnsi="Calibri"/>
                <w:sz w:val="20"/>
                <w:szCs w:val="20"/>
              </w:rPr>
              <w:t>)</w:t>
            </w:r>
          </w:p>
        </w:tc>
        <w:tc>
          <w:tcPr>
            <w:tcW w:w="1890" w:type="dxa"/>
            <w:tcBorders>
              <w:top w:val="single" w:sz="4" w:space="0" w:color="auto"/>
              <w:left w:val="single" w:sz="4" w:space="0" w:color="auto"/>
              <w:bottom w:val="single" w:sz="4" w:space="0" w:color="auto"/>
              <w:right w:val="single" w:sz="4" w:space="0" w:color="auto"/>
            </w:tcBorders>
          </w:tcPr>
          <w:p w14:paraId="03E9FA25" w14:textId="77777777" w:rsidR="009B2487" w:rsidRDefault="009B2487" w:rsidP="00E02958">
            <w:pPr>
              <w:spacing w:after="0" w:line="240" w:lineRule="auto"/>
              <w:rPr>
                <w:sz w:val="20"/>
                <w:szCs w:val="20"/>
              </w:rPr>
            </w:pPr>
          </w:p>
          <w:p w14:paraId="3B820361" w14:textId="422E042E" w:rsidR="00BE75CD" w:rsidRPr="009B6BA8" w:rsidRDefault="00BE75CD" w:rsidP="00E02958">
            <w:pPr>
              <w:spacing w:after="0" w:line="240" w:lineRule="auto"/>
              <w:rPr>
                <w:sz w:val="20"/>
                <w:szCs w:val="20"/>
              </w:rPr>
            </w:pPr>
            <w:r w:rsidRPr="005D13C6">
              <w:rPr>
                <w:sz w:val="20"/>
                <w:szCs w:val="20"/>
              </w:rPr>
              <w:t>Not yet available</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6FBD5216" w14:textId="77777777" w:rsidR="00D815E3" w:rsidRDefault="00D815E3" w:rsidP="00E02958">
            <w:pPr>
              <w:spacing w:after="0" w:line="240" w:lineRule="auto"/>
              <w:rPr>
                <w:sz w:val="20"/>
                <w:szCs w:val="20"/>
              </w:rPr>
            </w:pPr>
          </w:p>
          <w:p w14:paraId="7F5A2E6D" w14:textId="1008C534" w:rsidR="009B2487" w:rsidRPr="009B6BA8" w:rsidRDefault="009B2487" w:rsidP="00E02958">
            <w:pPr>
              <w:spacing w:after="0" w:line="240" w:lineRule="auto"/>
              <w:rPr>
                <w:rFonts w:ascii="Calibri" w:eastAsia="Calibri" w:hAnsi="Calibri"/>
                <w:sz w:val="20"/>
                <w:szCs w:val="20"/>
              </w:rPr>
            </w:pPr>
            <w:r w:rsidRPr="009B6BA8">
              <w:rPr>
                <w:sz w:val="20"/>
                <w:szCs w:val="20"/>
              </w:rPr>
              <w:t>Direction of travel:</w:t>
            </w:r>
            <w:r>
              <w:rPr>
                <w:sz w:val="20"/>
                <w:szCs w:val="20"/>
              </w:rPr>
              <w:t xml:space="preserve"> </w:t>
            </w:r>
            <w:r w:rsidRPr="009B6BA8">
              <w:rPr>
                <w:rFonts w:ascii="Calibri" w:eastAsia="Calibri" w:hAnsi="Calibri"/>
                <w:b/>
                <w:sz w:val="20"/>
                <w:szCs w:val="20"/>
              </w:rPr>
              <w:t>Increase</w:t>
            </w:r>
            <w:r w:rsidRPr="009B6BA8">
              <w:rPr>
                <w:rFonts w:ascii="Calibri" w:eastAsia="Calibri" w:hAnsi="Calibri"/>
                <w:sz w:val="20"/>
                <w:szCs w:val="20"/>
              </w:rPr>
              <w:t xml:space="preserve"> by 0.5% (2012-2017)</w:t>
            </w:r>
          </w:p>
        </w:tc>
      </w:tr>
      <w:tr w:rsidR="00F77C68" w:rsidRPr="008F476A" w14:paraId="02E6BA85" w14:textId="77777777" w:rsidTr="0053534C">
        <w:trPr>
          <w:trHeight w:val="260"/>
          <w:jc w:val="center"/>
        </w:trPr>
        <w:tc>
          <w:tcPr>
            <w:tcW w:w="445" w:type="dxa"/>
            <w:vMerge/>
            <w:tcBorders>
              <w:left w:val="single" w:sz="4" w:space="0" w:color="auto"/>
              <w:right w:val="single" w:sz="4" w:space="0" w:color="auto"/>
            </w:tcBorders>
            <w:shd w:val="clear" w:color="auto" w:fill="auto"/>
          </w:tcPr>
          <w:p w14:paraId="348B99E8" w14:textId="77777777" w:rsidR="00F77C68" w:rsidRPr="009B6BA8" w:rsidRDefault="00F77C68" w:rsidP="003377AB">
            <w:pPr>
              <w:spacing w:after="0" w:line="240" w:lineRule="auto"/>
              <w:ind w:right="-1080"/>
              <w:rPr>
                <w:b/>
                <w:sz w:val="20"/>
                <w:szCs w:val="20"/>
              </w:rPr>
            </w:pPr>
          </w:p>
        </w:tc>
        <w:tc>
          <w:tcPr>
            <w:tcW w:w="14403" w:type="dxa"/>
            <w:gridSpan w:val="4"/>
            <w:tcBorders>
              <w:left w:val="single" w:sz="4" w:space="0" w:color="auto"/>
              <w:right w:val="single" w:sz="4" w:space="0" w:color="auto"/>
            </w:tcBorders>
            <w:shd w:val="clear" w:color="auto" w:fill="D9D9D9" w:themeFill="background1" w:themeFillShade="D9"/>
          </w:tcPr>
          <w:p w14:paraId="67E07EA2" w14:textId="62A812C6" w:rsidR="00F77C68" w:rsidRPr="00036073" w:rsidRDefault="00F77C68" w:rsidP="009B6BA8">
            <w:pPr>
              <w:spacing w:after="0" w:line="240" w:lineRule="auto"/>
              <w:rPr>
                <w:rFonts w:eastAsia="SimSun"/>
                <w:b/>
                <w:sz w:val="18"/>
                <w:szCs w:val="18"/>
                <w:lang w:eastAsia="zh-CN"/>
              </w:rPr>
            </w:pPr>
            <w:r w:rsidRPr="00036073">
              <w:rPr>
                <w:rFonts w:eastAsia="SimSun"/>
                <w:b/>
                <w:sz w:val="18"/>
                <w:szCs w:val="18"/>
                <w:lang w:eastAsia="zh-CN"/>
              </w:rPr>
              <w:t xml:space="preserve">Source: </w:t>
            </w:r>
            <w:r w:rsidRPr="00036073">
              <w:rPr>
                <w:rFonts w:eastAsia="SimSun"/>
                <w:sz w:val="18"/>
                <w:szCs w:val="18"/>
                <w:lang w:eastAsia="zh-CN"/>
              </w:rPr>
              <w:t>UNDP estimate based on data from the International Labour Organization. Baselin</w:t>
            </w:r>
            <w:r w:rsidR="00837A9F" w:rsidRPr="00036073">
              <w:rPr>
                <w:rFonts w:eastAsia="SimSun"/>
                <w:sz w:val="18"/>
                <w:szCs w:val="18"/>
                <w:lang w:eastAsia="zh-CN"/>
              </w:rPr>
              <w:t>e is the simple average from 132</w:t>
            </w:r>
            <w:r w:rsidRPr="00036073">
              <w:rPr>
                <w:rFonts w:eastAsia="SimSun"/>
                <w:sz w:val="18"/>
                <w:szCs w:val="18"/>
                <w:lang w:eastAsia="zh-CN"/>
              </w:rPr>
              <w:t xml:space="preserve"> programme countries that have data available. There is no numeric internationa</w:t>
            </w:r>
            <w:r w:rsidR="00036073">
              <w:rPr>
                <w:rFonts w:eastAsia="SimSun"/>
                <w:sz w:val="18"/>
                <w:szCs w:val="18"/>
                <w:lang w:eastAsia="zh-CN"/>
              </w:rPr>
              <w:t>lly-agreed</w:t>
            </w:r>
            <w:r w:rsidRPr="00036073">
              <w:rPr>
                <w:rFonts w:eastAsia="SimSun"/>
                <w:sz w:val="18"/>
                <w:szCs w:val="18"/>
                <w:lang w:eastAsia="zh-CN"/>
              </w:rPr>
              <w:t xml:space="preserve"> target for employment rate. For monitoring purposes, UNDP uses the direction of travel (increase), </w:t>
            </w:r>
            <w:r w:rsidR="00036073">
              <w:rPr>
                <w:rFonts w:eastAsia="SimSun"/>
                <w:sz w:val="18"/>
                <w:szCs w:val="18"/>
                <w:lang w:eastAsia="zh-CN"/>
              </w:rPr>
              <w:t xml:space="preserve">utilizing country projections by </w:t>
            </w:r>
            <w:r w:rsidR="00036073" w:rsidRPr="00036073">
              <w:rPr>
                <w:rFonts w:eastAsia="SimSun"/>
                <w:sz w:val="18"/>
                <w:szCs w:val="18"/>
                <w:lang w:eastAsia="zh-CN"/>
              </w:rPr>
              <w:t xml:space="preserve">the IMF (World Economic Outlook October 2013) </w:t>
            </w:r>
            <w:r w:rsidR="00036073">
              <w:rPr>
                <w:rFonts w:eastAsia="SimSun"/>
                <w:sz w:val="18"/>
                <w:szCs w:val="18"/>
                <w:lang w:eastAsia="zh-CN"/>
              </w:rPr>
              <w:t xml:space="preserve">to generate an overall programme countries’ </w:t>
            </w:r>
            <w:r w:rsidR="00036073" w:rsidRPr="00036073">
              <w:rPr>
                <w:rFonts w:eastAsia="SimSun"/>
                <w:sz w:val="18"/>
                <w:szCs w:val="18"/>
                <w:lang w:eastAsia="zh-CN"/>
              </w:rPr>
              <w:t xml:space="preserve">employment rate </w:t>
            </w:r>
            <w:r w:rsidR="00036073">
              <w:rPr>
                <w:rFonts w:eastAsia="SimSun"/>
                <w:sz w:val="18"/>
                <w:szCs w:val="18"/>
                <w:lang w:eastAsia="zh-CN"/>
              </w:rPr>
              <w:t>estimate</w:t>
            </w:r>
            <w:r w:rsidR="00036073" w:rsidRPr="00036073">
              <w:rPr>
                <w:rFonts w:eastAsia="SimSun"/>
                <w:sz w:val="18"/>
                <w:szCs w:val="18"/>
                <w:lang w:eastAsia="zh-CN"/>
              </w:rPr>
              <w:t xml:space="preserve"> </w:t>
            </w:r>
            <w:r w:rsidR="00036073">
              <w:rPr>
                <w:rFonts w:eastAsia="SimSun"/>
                <w:sz w:val="18"/>
                <w:szCs w:val="18"/>
                <w:lang w:eastAsia="zh-CN"/>
              </w:rPr>
              <w:t xml:space="preserve">of a 0.5 point </w:t>
            </w:r>
            <w:r w:rsidR="00036073" w:rsidRPr="00036073">
              <w:rPr>
                <w:rFonts w:eastAsia="SimSun"/>
                <w:sz w:val="18"/>
                <w:szCs w:val="18"/>
                <w:lang w:eastAsia="zh-CN"/>
              </w:rPr>
              <w:t xml:space="preserve">(total) </w:t>
            </w:r>
            <w:r w:rsidRPr="00036073">
              <w:rPr>
                <w:rFonts w:eastAsia="SimSun"/>
                <w:sz w:val="18"/>
                <w:szCs w:val="18"/>
                <w:lang w:eastAsia="zh-CN"/>
              </w:rPr>
              <w:t>increase between 2012 and 2017</w:t>
            </w:r>
            <w:r w:rsidR="00036073">
              <w:rPr>
                <w:rFonts w:eastAsia="SimSun"/>
                <w:sz w:val="18"/>
                <w:szCs w:val="18"/>
                <w:lang w:eastAsia="zh-CN"/>
              </w:rPr>
              <w:t>. Estimate is</w:t>
            </w:r>
            <w:r w:rsidRPr="00036073">
              <w:rPr>
                <w:rFonts w:eastAsia="SimSun"/>
                <w:sz w:val="18"/>
                <w:szCs w:val="18"/>
                <w:lang w:eastAsia="zh-CN"/>
              </w:rPr>
              <w:t xml:space="preserve"> based on the simple average of 70 </w:t>
            </w:r>
            <w:r w:rsidR="00036073">
              <w:rPr>
                <w:rFonts w:eastAsia="SimSun"/>
                <w:sz w:val="18"/>
                <w:szCs w:val="18"/>
                <w:lang w:eastAsia="zh-CN"/>
              </w:rPr>
              <w:t>p</w:t>
            </w:r>
            <w:r w:rsidRPr="00036073">
              <w:rPr>
                <w:rFonts w:eastAsia="SimSun"/>
                <w:sz w:val="18"/>
                <w:szCs w:val="18"/>
                <w:lang w:eastAsia="zh-CN"/>
              </w:rPr>
              <w:t>rogramme countries with data available.</w:t>
            </w:r>
            <w:r w:rsidRPr="00036073">
              <w:rPr>
                <w:rFonts w:eastAsia="SimSun"/>
                <w:b/>
                <w:sz w:val="18"/>
                <w:szCs w:val="18"/>
                <w:lang w:eastAsia="zh-CN"/>
              </w:rPr>
              <w:t xml:space="preserve"> </w:t>
            </w:r>
          </w:p>
          <w:p w14:paraId="6A9C228F" w14:textId="60696C4F" w:rsidR="00426C64" w:rsidRPr="00036073" w:rsidRDefault="00B773F6" w:rsidP="0053534C">
            <w:pPr>
              <w:spacing w:after="0" w:line="240" w:lineRule="auto"/>
              <w:rPr>
                <w:rFonts w:eastAsia="Calibri"/>
                <w:sz w:val="18"/>
                <w:szCs w:val="18"/>
              </w:rPr>
            </w:pPr>
            <w:r w:rsidRPr="00036073">
              <w:rPr>
                <w:rFonts w:eastAsia="Calibri"/>
                <w:b/>
                <w:sz w:val="18"/>
                <w:szCs w:val="18"/>
              </w:rPr>
              <w:t xml:space="preserve">2014 Reporting Note: </w:t>
            </w:r>
            <w:r w:rsidRPr="00036073">
              <w:rPr>
                <w:rFonts w:eastAsia="Calibri"/>
                <w:sz w:val="18"/>
                <w:szCs w:val="18"/>
              </w:rPr>
              <w:t>Baseline updated with new data up to 2013. Previous value</w:t>
            </w:r>
            <w:r w:rsidR="00837A9F" w:rsidRPr="00036073">
              <w:rPr>
                <w:rFonts w:eastAsia="Calibri"/>
                <w:sz w:val="18"/>
                <w:szCs w:val="18"/>
              </w:rPr>
              <w:t>s (for 2012)</w:t>
            </w:r>
            <w:r w:rsidR="0053534C">
              <w:rPr>
                <w:rFonts w:eastAsia="Calibri"/>
                <w:sz w:val="18"/>
                <w:szCs w:val="18"/>
              </w:rPr>
              <w:t xml:space="preserve"> were:</w:t>
            </w:r>
            <w:r w:rsidR="00837A9F" w:rsidRPr="00036073">
              <w:rPr>
                <w:rFonts w:eastAsia="Calibri"/>
                <w:sz w:val="18"/>
                <w:szCs w:val="18"/>
              </w:rPr>
              <w:t xml:space="preserve"> a.1) 89.5%, a.2) 91.9%, b.1) 47.9%, b.2) 70.2%</w:t>
            </w:r>
          </w:p>
        </w:tc>
      </w:tr>
      <w:tr w:rsidR="009B2487" w:rsidRPr="008F476A" w14:paraId="5B748208" w14:textId="77777777" w:rsidTr="007B0371">
        <w:trPr>
          <w:trHeight w:val="260"/>
          <w:jc w:val="center"/>
        </w:trPr>
        <w:tc>
          <w:tcPr>
            <w:tcW w:w="445" w:type="dxa"/>
            <w:vMerge w:val="restart"/>
            <w:tcBorders>
              <w:top w:val="single" w:sz="4" w:space="0" w:color="auto"/>
              <w:left w:val="single" w:sz="4" w:space="0" w:color="auto"/>
              <w:right w:val="single" w:sz="4" w:space="0" w:color="auto"/>
            </w:tcBorders>
            <w:shd w:val="clear" w:color="auto" w:fill="auto"/>
            <w:hideMark/>
          </w:tcPr>
          <w:p w14:paraId="688E2960" w14:textId="77777777" w:rsidR="009B2487" w:rsidRPr="009B6BA8" w:rsidRDefault="009B2487" w:rsidP="003377AB">
            <w:pPr>
              <w:spacing w:after="0" w:line="240" w:lineRule="auto"/>
              <w:ind w:right="-1080"/>
              <w:rPr>
                <w:b/>
                <w:sz w:val="20"/>
                <w:szCs w:val="20"/>
              </w:rPr>
            </w:pPr>
            <w:r w:rsidRPr="009B6BA8">
              <w:rPr>
                <w:b/>
                <w:sz w:val="20"/>
                <w:szCs w:val="20"/>
              </w:rPr>
              <w:t>1.2</w:t>
            </w:r>
          </w:p>
        </w:tc>
        <w:tc>
          <w:tcPr>
            <w:tcW w:w="8547" w:type="dxa"/>
            <w:tcBorders>
              <w:top w:val="single" w:sz="4" w:space="0" w:color="auto"/>
              <w:left w:val="single" w:sz="4" w:space="0" w:color="auto"/>
              <w:right w:val="single" w:sz="4" w:space="0" w:color="auto"/>
            </w:tcBorders>
            <w:shd w:val="clear" w:color="auto" w:fill="auto"/>
          </w:tcPr>
          <w:p w14:paraId="30D63666" w14:textId="77777777" w:rsidR="009B2487" w:rsidRPr="005F69A1" w:rsidRDefault="009B2487" w:rsidP="003377AB">
            <w:pPr>
              <w:spacing w:after="0" w:line="240" w:lineRule="auto"/>
              <w:ind w:right="-1080"/>
              <w:rPr>
                <w:sz w:val="20"/>
                <w:szCs w:val="20"/>
              </w:rPr>
            </w:pPr>
            <w:r w:rsidRPr="005F69A1">
              <w:rPr>
                <w:sz w:val="20"/>
                <w:szCs w:val="20"/>
              </w:rPr>
              <w:t xml:space="preserve">Coverage of </w:t>
            </w:r>
            <w:r w:rsidRPr="005F69A1">
              <w:rPr>
                <w:b/>
                <w:sz w:val="20"/>
                <w:szCs w:val="20"/>
              </w:rPr>
              <w:t>social protection systems</w:t>
            </w:r>
            <w:r w:rsidRPr="005F69A1">
              <w:rPr>
                <w:sz w:val="20"/>
                <w:szCs w:val="20"/>
              </w:rPr>
              <w:t>, disaggregated by at-risk groups</w:t>
            </w:r>
          </w:p>
          <w:p w14:paraId="24F1AE77" w14:textId="77777777" w:rsidR="009B2487" w:rsidRPr="005F69A1" w:rsidRDefault="009B2487" w:rsidP="006F161D">
            <w:pPr>
              <w:pStyle w:val="ListParagraph"/>
              <w:numPr>
                <w:ilvl w:val="0"/>
                <w:numId w:val="14"/>
              </w:numPr>
              <w:ind w:right="-1080"/>
              <w:rPr>
                <w:b/>
                <w:sz w:val="20"/>
              </w:rPr>
            </w:pPr>
            <w:r w:rsidRPr="005F69A1">
              <w:rPr>
                <w:sz w:val="20"/>
              </w:rPr>
              <w:t xml:space="preserve">Percentage of population above legal retirement age in </w:t>
            </w:r>
            <w:r w:rsidRPr="005F69A1">
              <w:rPr>
                <w:b/>
                <w:sz w:val="20"/>
              </w:rPr>
              <w:t>receipt of a pension</w:t>
            </w:r>
          </w:p>
          <w:p w14:paraId="66BEC2AD" w14:textId="77777777" w:rsidR="009B2487" w:rsidRPr="005F69A1" w:rsidRDefault="009B2487" w:rsidP="006F161D">
            <w:pPr>
              <w:pStyle w:val="ListParagraph"/>
              <w:numPr>
                <w:ilvl w:val="0"/>
                <w:numId w:val="14"/>
              </w:numPr>
              <w:ind w:right="-1080"/>
              <w:rPr>
                <w:b/>
                <w:sz w:val="18"/>
                <w:szCs w:val="20"/>
              </w:rPr>
            </w:pPr>
            <w:r w:rsidRPr="005F69A1">
              <w:rPr>
                <w:rFonts w:asciiTheme="minorHAnsi" w:hAnsiTheme="minorHAnsi"/>
                <w:sz w:val="20"/>
              </w:rPr>
              <w:t xml:space="preserve">Percentage of working-age population actively </w:t>
            </w:r>
            <w:r w:rsidRPr="005F69A1">
              <w:rPr>
                <w:rFonts w:asciiTheme="minorHAnsi" w:hAnsiTheme="minorHAnsi"/>
                <w:b/>
                <w:sz w:val="20"/>
              </w:rPr>
              <w:t>contributing to a</w:t>
            </w:r>
            <w:r w:rsidRPr="005F69A1">
              <w:rPr>
                <w:rFonts w:asciiTheme="minorHAnsi" w:hAnsiTheme="minorHAnsi"/>
                <w:sz w:val="20"/>
              </w:rPr>
              <w:t xml:space="preserve"> </w:t>
            </w:r>
            <w:r w:rsidRPr="005F69A1">
              <w:rPr>
                <w:rFonts w:asciiTheme="minorHAnsi" w:hAnsiTheme="minorHAnsi"/>
                <w:b/>
                <w:sz w:val="20"/>
              </w:rPr>
              <w:t>pension scheme</w:t>
            </w:r>
          </w:p>
          <w:p w14:paraId="3F3F5092" w14:textId="77777777" w:rsidR="009B2487" w:rsidRPr="005F69A1" w:rsidRDefault="009B2487" w:rsidP="006F161D">
            <w:pPr>
              <w:pStyle w:val="ListParagraph"/>
              <w:numPr>
                <w:ilvl w:val="0"/>
                <w:numId w:val="14"/>
              </w:numPr>
              <w:ind w:right="-1080"/>
              <w:rPr>
                <w:b/>
                <w:sz w:val="18"/>
                <w:szCs w:val="20"/>
              </w:rPr>
            </w:pPr>
            <w:r w:rsidRPr="005F69A1">
              <w:rPr>
                <w:rFonts w:asciiTheme="minorHAnsi" w:hAnsiTheme="minorHAnsi"/>
                <w:sz w:val="20"/>
              </w:rPr>
              <w:t xml:space="preserve">Percentage of unemployed not receiving </w:t>
            </w:r>
            <w:r w:rsidRPr="005F69A1">
              <w:rPr>
                <w:rFonts w:asciiTheme="minorHAnsi" w:hAnsiTheme="minorHAnsi"/>
                <w:b/>
                <w:sz w:val="20"/>
              </w:rPr>
              <w:t>unemployment benefits</w:t>
            </w:r>
          </w:p>
          <w:p w14:paraId="7B02D630" w14:textId="6745E995" w:rsidR="009B2487" w:rsidRPr="005F69A1" w:rsidRDefault="009B2487" w:rsidP="006F161D">
            <w:pPr>
              <w:pStyle w:val="ListParagraph"/>
              <w:numPr>
                <w:ilvl w:val="0"/>
                <w:numId w:val="14"/>
              </w:numPr>
              <w:ind w:right="-1080"/>
              <w:rPr>
                <w:b/>
                <w:sz w:val="18"/>
                <w:szCs w:val="20"/>
              </w:rPr>
            </w:pPr>
            <w:r w:rsidRPr="005F69A1">
              <w:rPr>
                <w:rFonts w:asciiTheme="minorHAnsi" w:hAnsiTheme="minorHAnsi"/>
                <w:sz w:val="20"/>
              </w:rPr>
              <w:t xml:space="preserve">Contributors to employment </w:t>
            </w:r>
            <w:r w:rsidRPr="005F69A1">
              <w:rPr>
                <w:rFonts w:asciiTheme="minorHAnsi" w:hAnsiTheme="minorHAnsi"/>
                <w:b/>
                <w:sz w:val="20"/>
              </w:rPr>
              <w:t>injury benefits</w:t>
            </w:r>
            <w:r w:rsidRPr="005F69A1">
              <w:rPr>
                <w:rFonts w:asciiTheme="minorHAnsi" w:hAnsiTheme="minorHAnsi"/>
                <w:sz w:val="20"/>
              </w:rPr>
              <w:t xml:space="preserve"> (as percentage of total </w:t>
            </w:r>
            <w:r w:rsidR="00F4280F">
              <w:rPr>
                <w:rFonts w:asciiTheme="minorHAnsi" w:hAnsiTheme="minorHAnsi"/>
                <w:sz w:val="20"/>
              </w:rPr>
              <w:t>labor force</w:t>
            </w:r>
            <w:r w:rsidRPr="005F69A1">
              <w:rPr>
                <w:rFonts w:asciiTheme="minorHAnsi" w:hAnsiTheme="minorHAnsi"/>
                <w:sz w:val="20"/>
              </w:rPr>
              <w:t>)</w:t>
            </w:r>
          </w:p>
          <w:p w14:paraId="36DFF7E2" w14:textId="77777777" w:rsidR="009B2487" w:rsidRPr="005F69A1" w:rsidRDefault="009B2487" w:rsidP="006F161D">
            <w:pPr>
              <w:pStyle w:val="ListParagraph"/>
              <w:numPr>
                <w:ilvl w:val="0"/>
                <w:numId w:val="14"/>
              </w:numPr>
              <w:rPr>
                <w:sz w:val="20"/>
              </w:rPr>
            </w:pPr>
            <w:r w:rsidRPr="005F69A1">
              <w:rPr>
                <w:b/>
                <w:sz w:val="20"/>
              </w:rPr>
              <w:t>Maternity benefits</w:t>
            </w:r>
            <w:r w:rsidRPr="005F69A1">
              <w:rPr>
                <w:sz w:val="20"/>
              </w:rPr>
              <w:t xml:space="preserve"> by type:</w:t>
            </w:r>
          </w:p>
          <w:p w14:paraId="49356A19" w14:textId="77777777" w:rsidR="009B2487" w:rsidRPr="005F69A1" w:rsidRDefault="009B2487" w:rsidP="006F161D">
            <w:pPr>
              <w:pStyle w:val="ListParagraph"/>
              <w:numPr>
                <w:ilvl w:val="0"/>
                <w:numId w:val="16"/>
              </w:numPr>
              <w:contextualSpacing/>
              <w:rPr>
                <w:rFonts w:asciiTheme="minorHAnsi" w:hAnsiTheme="minorHAnsi"/>
                <w:sz w:val="20"/>
              </w:rPr>
            </w:pPr>
            <w:r w:rsidRPr="005F69A1">
              <w:rPr>
                <w:rFonts w:asciiTheme="minorHAnsi" w:hAnsiTheme="minorHAnsi"/>
                <w:sz w:val="20"/>
              </w:rPr>
              <w:t xml:space="preserve">Number of countries that have both statutory and employer-granted maternity benefits </w:t>
            </w:r>
          </w:p>
          <w:p w14:paraId="2134287C" w14:textId="77777777" w:rsidR="009B2487" w:rsidRPr="005F69A1" w:rsidRDefault="009B2487" w:rsidP="006F161D">
            <w:pPr>
              <w:pStyle w:val="ListParagraph"/>
              <w:numPr>
                <w:ilvl w:val="0"/>
                <w:numId w:val="16"/>
              </w:numPr>
              <w:contextualSpacing/>
              <w:rPr>
                <w:rFonts w:asciiTheme="minorHAnsi" w:hAnsiTheme="minorHAnsi"/>
                <w:sz w:val="20"/>
              </w:rPr>
            </w:pPr>
            <w:r w:rsidRPr="005F69A1">
              <w:rPr>
                <w:rFonts w:asciiTheme="minorHAnsi" w:hAnsiTheme="minorHAnsi"/>
                <w:sz w:val="20"/>
              </w:rPr>
              <w:t xml:space="preserve">Number of countries that have statutory maternity benefits only </w:t>
            </w:r>
          </w:p>
          <w:p w14:paraId="6901E9FF" w14:textId="77777777" w:rsidR="009B2487" w:rsidRPr="005F69A1" w:rsidRDefault="009B2487" w:rsidP="006F161D">
            <w:pPr>
              <w:pStyle w:val="ListParagraph"/>
              <w:numPr>
                <w:ilvl w:val="0"/>
                <w:numId w:val="16"/>
              </w:numPr>
              <w:contextualSpacing/>
              <w:rPr>
                <w:rFonts w:asciiTheme="minorHAnsi" w:hAnsiTheme="minorHAnsi"/>
                <w:sz w:val="20"/>
              </w:rPr>
            </w:pPr>
            <w:r w:rsidRPr="005F69A1">
              <w:rPr>
                <w:rFonts w:asciiTheme="minorHAnsi" w:hAnsiTheme="minorHAnsi"/>
                <w:sz w:val="20"/>
              </w:rPr>
              <w:t xml:space="preserve">Number of countries that have employer-granted maternity benefits only </w:t>
            </w:r>
          </w:p>
          <w:p w14:paraId="097ACA62" w14:textId="77777777" w:rsidR="009B2487" w:rsidRPr="005F69A1" w:rsidRDefault="009B2487" w:rsidP="006F161D">
            <w:pPr>
              <w:pStyle w:val="ListParagraph"/>
              <w:numPr>
                <w:ilvl w:val="0"/>
                <w:numId w:val="16"/>
              </w:numPr>
              <w:rPr>
                <w:b/>
                <w:sz w:val="20"/>
                <w:szCs w:val="20"/>
              </w:rPr>
            </w:pPr>
            <w:r w:rsidRPr="005F69A1">
              <w:rPr>
                <w:rFonts w:asciiTheme="minorHAnsi" w:hAnsiTheme="minorHAnsi"/>
                <w:sz w:val="20"/>
              </w:rPr>
              <w:t>Number of countries that have neither statutory nor employer-granted maternity benefits</w:t>
            </w:r>
          </w:p>
        </w:tc>
        <w:tc>
          <w:tcPr>
            <w:tcW w:w="1983" w:type="dxa"/>
            <w:tcBorders>
              <w:top w:val="single" w:sz="4" w:space="0" w:color="auto"/>
              <w:left w:val="single" w:sz="4" w:space="0" w:color="auto"/>
              <w:right w:val="single" w:sz="4" w:space="0" w:color="auto"/>
            </w:tcBorders>
            <w:shd w:val="clear" w:color="auto" w:fill="auto"/>
          </w:tcPr>
          <w:p w14:paraId="46B2D6E9" w14:textId="77777777" w:rsidR="009B2487" w:rsidRPr="005F69A1" w:rsidRDefault="009B2487" w:rsidP="00BC2597">
            <w:pPr>
              <w:spacing w:after="0" w:line="240" w:lineRule="auto"/>
              <w:rPr>
                <w:sz w:val="20"/>
                <w:szCs w:val="20"/>
              </w:rPr>
            </w:pPr>
          </w:p>
          <w:p w14:paraId="55EB8328" w14:textId="24F2BCCB" w:rsidR="009B2487" w:rsidRPr="005F69A1" w:rsidRDefault="009B2487" w:rsidP="006F161D">
            <w:pPr>
              <w:pStyle w:val="ListParagraph"/>
              <w:numPr>
                <w:ilvl w:val="0"/>
                <w:numId w:val="17"/>
              </w:numPr>
              <w:rPr>
                <w:sz w:val="20"/>
              </w:rPr>
            </w:pPr>
            <w:r w:rsidRPr="005F69A1">
              <w:rPr>
                <w:sz w:val="20"/>
              </w:rPr>
              <w:t>4</w:t>
            </w:r>
            <w:r w:rsidR="00C94AA6">
              <w:rPr>
                <w:sz w:val="20"/>
              </w:rPr>
              <w:t>2.5</w:t>
            </w:r>
            <w:r w:rsidRPr="005F69A1">
              <w:rPr>
                <w:sz w:val="20"/>
              </w:rPr>
              <w:t>%</w:t>
            </w:r>
            <w:r w:rsidRPr="005F69A1">
              <w:rPr>
                <w:rStyle w:val="FootnoteReference"/>
                <w:rFonts w:eastAsia="Calibri"/>
                <w:color w:val="FFFFFF" w:themeColor="background1"/>
                <w:sz w:val="20"/>
              </w:rPr>
              <w:footnoteReference w:id="2"/>
            </w:r>
            <w:r w:rsidR="00C94AA6">
              <w:rPr>
                <w:sz w:val="20"/>
              </w:rPr>
              <w:t xml:space="preserve"> </w:t>
            </w:r>
            <w:r w:rsidRPr="005F69A1">
              <w:rPr>
                <w:sz w:val="20"/>
              </w:rPr>
              <w:t>(2012)</w:t>
            </w:r>
          </w:p>
          <w:p w14:paraId="47137F8E" w14:textId="1B9B03F0" w:rsidR="009B2487" w:rsidRPr="005D13C6" w:rsidRDefault="00C94AA6" w:rsidP="006F161D">
            <w:pPr>
              <w:pStyle w:val="ListParagraph"/>
              <w:numPr>
                <w:ilvl w:val="0"/>
                <w:numId w:val="17"/>
              </w:numPr>
              <w:rPr>
                <w:sz w:val="20"/>
                <w:szCs w:val="20"/>
              </w:rPr>
            </w:pPr>
            <w:r>
              <w:rPr>
                <w:rFonts w:asciiTheme="minorHAnsi" w:hAnsiTheme="minorHAnsi"/>
                <w:sz w:val="20"/>
              </w:rPr>
              <w:t>21.7</w:t>
            </w:r>
            <w:r w:rsidR="009B2487" w:rsidRPr="005F69A1">
              <w:rPr>
                <w:rFonts w:asciiTheme="minorHAnsi" w:hAnsiTheme="minorHAnsi"/>
                <w:sz w:val="20"/>
              </w:rPr>
              <w:t>% (</w:t>
            </w:r>
            <w:r w:rsidR="009B2487" w:rsidRPr="005D13C6">
              <w:rPr>
                <w:rFonts w:asciiTheme="minorHAnsi" w:hAnsiTheme="minorHAnsi"/>
                <w:sz w:val="20"/>
              </w:rPr>
              <w:t>2012)</w:t>
            </w:r>
          </w:p>
          <w:p w14:paraId="52114540" w14:textId="14B26A0C" w:rsidR="009B2487" w:rsidRPr="005D13C6" w:rsidRDefault="00C94AA6" w:rsidP="006F161D">
            <w:pPr>
              <w:pStyle w:val="ListParagraph"/>
              <w:numPr>
                <w:ilvl w:val="0"/>
                <w:numId w:val="17"/>
              </w:numPr>
              <w:rPr>
                <w:sz w:val="20"/>
                <w:szCs w:val="20"/>
              </w:rPr>
            </w:pPr>
            <w:r w:rsidRPr="005D13C6">
              <w:rPr>
                <w:rFonts w:asciiTheme="minorHAnsi" w:hAnsiTheme="minorHAnsi"/>
                <w:sz w:val="20"/>
              </w:rPr>
              <w:t>9</w:t>
            </w:r>
            <w:r w:rsidR="00F46081" w:rsidRPr="005D13C6">
              <w:rPr>
                <w:rFonts w:asciiTheme="minorHAnsi" w:hAnsiTheme="minorHAnsi"/>
                <w:sz w:val="20"/>
              </w:rPr>
              <w:t>5.5</w:t>
            </w:r>
            <w:r w:rsidR="009B2487" w:rsidRPr="005D13C6">
              <w:rPr>
                <w:rFonts w:asciiTheme="minorHAnsi" w:hAnsiTheme="minorHAnsi"/>
                <w:sz w:val="20"/>
              </w:rPr>
              <w:t>% (2013)</w:t>
            </w:r>
          </w:p>
          <w:p w14:paraId="7B9A79D8" w14:textId="59F5078C" w:rsidR="009B2487" w:rsidRPr="00F46081" w:rsidRDefault="00F46081" w:rsidP="006F161D">
            <w:pPr>
              <w:pStyle w:val="ListParagraph"/>
              <w:numPr>
                <w:ilvl w:val="0"/>
                <w:numId w:val="17"/>
              </w:numPr>
              <w:rPr>
                <w:sz w:val="20"/>
                <w:szCs w:val="20"/>
              </w:rPr>
            </w:pPr>
            <w:r w:rsidRPr="00F46081">
              <w:rPr>
                <w:rFonts w:asciiTheme="minorHAnsi" w:hAnsiTheme="minorHAnsi"/>
                <w:sz w:val="20"/>
              </w:rPr>
              <w:t>28.7</w:t>
            </w:r>
            <w:r w:rsidR="00095E63" w:rsidRPr="00F46081">
              <w:rPr>
                <w:rFonts w:asciiTheme="minorHAnsi" w:hAnsiTheme="minorHAnsi"/>
                <w:sz w:val="20"/>
              </w:rPr>
              <w:t>% (2013</w:t>
            </w:r>
            <w:r w:rsidR="009B2487" w:rsidRPr="00F46081">
              <w:rPr>
                <w:rFonts w:asciiTheme="minorHAnsi" w:hAnsiTheme="minorHAnsi"/>
                <w:sz w:val="20"/>
              </w:rPr>
              <w:t>)</w:t>
            </w:r>
          </w:p>
          <w:p w14:paraId="70414C40" w14:textId="77777777" w:rsidR="009B2487" w:rsidRPr="005F69A1" w:rsidRDefault="009B2487" w:rsidP="006F161D">
            <w:pPr>
              <w:pStyle w:val="ListParagraph"/>
              <w:numPr>
                <w:ilvl w:val="0"/>
                <w:numId w:val="17"/>
              </w:numPr>
              <w:rPr>
                <w:sz w:val="20"/>
                <w:szCs w:val="20"/>
              </w:rPr>
            </w:pPr>
            <w:r w:rsidRPr="005F69A1">
              <w:rPr>
                <w:sz w:val="20"/>
                <w:szCs w:val="20"/>
              </w:rPr>
              <w:t xml:space="preserve"> </w:t>
            </w:r>
          </w:p>
          <w:p w14:paraId="14172BF6" w14:textId="3884ECA1" w:rsidR="009B2487" w:rsidRPr="005F69A1" w:rsidRDefault="009B2487" w:rsidP="006F161D">
            <w:pPr>
              <w:pStyle w:val="ListParagraph"/>
              <w:numPr>
                <w:ilvl w:val="0"/>
                <w:numId w:val="19"/>
              </w:numPr>
              <w:contextualSpacing/>
              <w:rPr>
                <w:rFonts w:asciiTheme="minorHAnsi" w:hAnsiTheme="minorHAnsi"/>
                <w:sz w:val="20"/>
              </w:rPr>
            </w:pPr>
            <w:r w:rsidRPr="005F69A1">
              <w:rPr>
                <w:rFonts w:asciiTheme="minorHAnsi" w:hAnsiTheme="minorHAnsi"/>
                <w:sz w:val="20"/>
              </w:rPr>
              <w:t>15 (2013)</w:t>
            </w:r>
          </w:p>
          <w:p w14:paraId="57FE47D2" w14:textId="69EB6F3F" w:rsidR="009B2487" w:rsidRPr="005F69A1" w:rsidRDefault="00F46081" w:rsidP="006F161D">
            <w:pPr>
              <w:pStyle w:val="ListParagraph"/>
              <w:numPr>
                <w:ilvl w:val="0"/>
                <w:numId w:val="19"/>
              </w:numPr>
              <w:contextualSpacing/>
              <w:rPr>
                <w:rFonts w:asciiTheme="minorHAnsi" w:hAnsiTheme="minorHAnsi"/>
                <w:sz w:val="20"/>
              </w:rPr>
            </w:pPr>
            <w:r>
              <w:rPr>
                <w:rFonts w:asciiTheme="minorHAnsi" w:hAnsiTheme="minorHAnsi"/>
                <w:sz w:val="20"/>
              </w:rPr>
              <w:t xml:space="preserve">83 </w:t>
            </w:r>
            <w:r w:rsidR="009B2487" w:rsidRPr="005F69A1">
              <w:rPr>
                <w:rFonts w:asciiTheme="minorHAnsi" w:hAnsiTheme="minorHAnsi"/>
                <w:sz w:val="20"/>
              </w:rPr>
              <w:t>(2013)</w:t>
            </w:r>
          </w:p>
          <w:p w14:paraId="511619C1" w14:textId="0F803DEC" w:rsidR="009B2487" w:rsidRPr="005F69A1" w:rsidRDefault="00F46081" w:rsidP="006F161D">
            <w:pPr>
              <w:pStyle w:val="ListParagraph"/>
              <w:numPr>
                <w:ilvl w:val="0"/>
                <w:numId w:val="19"/>
              </w:numPr>
              <w:contextualSpacing/>
              <w:rPr>
                <w:rFonts w:asciiTheme="minorHAnsi" w:hAnsiTheme="minorHAnsi"/>
                <w:sz w:val="20"/>
              </w:rPr>
            </w:pPr>
            <w:r>
              <w:rPr>
                <w:rFonts w:asciiTheme="minorHAnsi" w:hAnsiTheme="minorHAnsi"/>
                <w:sz w:val="20"/>
              </w:rPr>
              <w:t>40</w:t>
            </w:r>
            <w:r w:rsidR="009B2487" w:rsidRPr="005F69A1">
              <w:rPr>
                <w:rFonts w:asciiTheme="minorHAnsi" w:hAnsiTheme="minorHAnsi"/>
                <w:sz w:val="20"/>
              </w:rPr>
              <w:t xml:space="preserve"> (2013</w:t>
            </w:r>
          </w:p>
          <w:p w14:paraId="57E6F27B" w14:textId="45D44BF8" w:rsidR="009B2487" w:rsidRPr="005F69A1" w:rsidRDefault="009B2487" w:rsidP="006F161D">
            <w:pPr>
              <w:pStyle w:val="ListParagraph"/>
              <w:numPr>
                <w:ilvl w:val="0"/>
                <w:numId w:val="19"/>
              </w:numPr>
              <w:rPr>
                <w:sz w:val="20"/>
                <w:szCs w:val="20"/>
              </w:rPr>
            </w:pPr>
            <w:r w:rsidRPr="005F69A1">
              <w:rPr>
                <w:rFonts w:asciiTheme="minorHAnsi" w:hAnsiTheme="minorHAnsi"/>
                <w:sz w:val="20"/>
              </w:rPr>
              <w:t xml:space="preserve"> 2 (2013)</w:t>
            </w:r>
          </w:p>
        </w:tc>
        <w:tc>
          <w:tcPr>
            <w:tcW w:w="1890" w:type="dxa"/>
            <w:tcBorders>
              <w:top w:val="single" w:sz="4" w:space="0" w:color="auto"/>
              <w:left w:val="single" w:sz="4" w:space="0" w:color="auto"/>
              <w:right w:val="single" w:sz="4" w:space="0" w:color="auto"/>
            </w:tcBorders>
          </w:tcPr>
          <w:p w14:paraId="4A1002F9" w14:textId="77777777" w:rsidR="009B2487" w:rsidRDefault="009B2487" w:rsidP="000F0EFC">
            <w:pPr>
              <w:spacing w:after="0" w:line="240" w:lineRule="auto"/>
              <w:rPr>
                <w:sz w:val="20"/>
              </w:rPr>
            </w:pPr>
          </w:p>
          <w:p w14:paraId="4FEB1166" w14:textId="634EE5CB" w:rsidR="00BE75CD" w:rsidRPr="005F69A1" w:rsidRDefault="00BE75CD" w:rsidP="000F0EFC">
            <w:pPr>
              <w:spacing w:after="0" w:line="240" w:lineRule="auto"/>
              <w:rPr>
                <w:sz w:val="20"/>
              </w:rPr>
            </w:pPr>
            <w:r w:rsidRPr="005D13C6">
              <w:rPr>
                <w:sz w:val="20"/>
                <w:szCs w:val="20"/>
              </w:rPr>
              <w:t>Not yet available</w:t>
            </w:r>
          </w:p>
        </w:tc>
        <w:tc>
          <w:tcPr>
            <w:tcW w:w="1983" w:type="dxa"/>
            <w:tcBorders>
              <w:top w:val="single" w:sz="4" w:space="0" w:color="auto"/>
              <w:left w:val="single" w:sz="4" w:space="0" w:color="auto"/>
              <w:right w:val="single" w:sz="4" w:space="0" w:color="auto"/>
            </w:tcBorders>
            <w:shd w:val="clear" w:color="auto" w:fill="auto"/>
          </w:tcPr>
          <w:p w14:paraId="51F12BB4" w14:textId="1E80D7FF" w:rsidR="009B2487" w:rsidRPr="005F69A1" w:rsidRDefault="009B2487" w:rsidP="000F0EFC">
            <w:pPr>
              <w:spacing w:after="0" w:line="240" w:lineRule="auto"/>
              <w:rPr>
                <w:sz w:val="20"/>
              </w:rPr>
            </w:pPr>
          </w:p>
          <w:p w14:paraId="2C267C1F" w14:textId="77777777" w:rsidR="009B2487" w:rsidRPr="005F69A1" w:rsidRDefault="009B2487" w:rsidP="000F0EFC">
            <w:pPr>
              <w:spacing w:after="0" w:line="240" w:lineRule="auto"/>
              <w:rPr>
                <w:sz w:val="20"/>
                <w:szCs w:val="20"/>
              </w:rPr>
            </w:pPr>
            <w:r w:rsidRPr="005F69A1">
              <w:rPr>
                <w:sz w:val="20"/>
              </w:rPr>
              <w:t xml:space="preserve">Direction of travel: </w:t>
            </w:r>
            <w:r w:rsidRPr="005F69A1">
              <w:rPr>
                <w:b/>
                <w:sz w:val="20"/>
              </w:rPr>
              <w:t>Increase</w:t>
            </w:r>
          </w:p>
        </w:tc>
      </w:tr>
      <w:tr w:rsidR="00F77C68" w:rsidRPr="002C5BFD" w14:paraId="7B7C5A92" w14:textId="77777777" w:rsidTr="0053534C">
        <w:trPr>
          <w:trHeight w:val="170"/>
          <w:jc w:val="center"/>
        </w:trPr>
        <w:tc>
          <w:tcPr>
            <w:tcW w:w="445" w:type="dxa"/>
            <w:vMerge/>
            <w:tcBorders>
              <w:left w:val="single" w:sz="4" w:space="0" w:color="auto"/>
              <w:bottom w:val="single" w:sz="4" w:space="0" w:color="auto"/>
              <w:right w:val="single" w:sz="4" w:space="0" w:color="auto"/>
            </w:tcBorders>
            <w:shd w:val="clear" w:color="auto" w:fill="auto"/>
          </w:tcPr>
          <w:p w14:paraId="1FAD65C5" w14:textId="77777777" w:rsidR="00F77C68" w:rsidRPr="009B6BA8" w:rsidRDefault="00F77C68" w:rsidP="003377AB">
            <w:pPr>
              <w:spacing w:after="0" w:line="240" w:lineRule="auto"/>
              <w:ind w:right="-1080"/>
              <w:rPr>
                <w:b/>
                <w:sz w:val="20"/>
                <w:szCs w:val="20"/>
              </w:rPr>
            </w:pPr>
          </w:p>
        </w:tc>
        <w:tc>
          <w:tcPr>
            <w:tcW w:w="14403" w:type="dxa"/>
            <w:gridSpan w:val="4"/>
            <w:tcBorders>
              <w:left w:val="single" w:sz="4" w:space="0" w:color="auto"/>
              <w:bottom w:val="single" w:sz="4" w:space="0" w:color="auto"/>
              <w:right w:val="single" w:sz="4" w:space="0" w:color="auto"/>
            </w:tcBorders>
            <w:shd w:val="clear" w:color="auto" w:fill="D9D9D9" w:themeFill="background1" w:themeFillShade="D9"/>
          </w:tcPr>
          <w:p w14:paraId="25D9269D" w14:textId="52D67632" w:rsidR="00F77C68" w:rsidRPr="00036073" w:rsidRDefault="00F77C68" w:rsidP="00F4280F">
            <w:pPr>
              <w:spacing w:after="0" w:line="240" w:lineRule="auto"/>
              <w:rPr>
                <w:rFonts w:eastAsia="Calibri" w:cs="Arial"/>
                <w:sz w:val="18"/>
                <w:szCs w:val="20"/>
              </w:rPr>
            </w:pPr>
            <w:r w:rsidRPr="00036073">
              <w:rPr>
                <w:rFonts w:eastAsia="Calibri" w:cs="Arial"/>
                <w:b/>
                <w:sz w:val="18"/>
                <w:szCs w:val="20"/>
              </w:rPr>
              <w:t>Source</w:t>
            </w:r>
            <w:r w:rsidRPr="00036073">
              <w:rPr>
                <w:rFonts w:eastAsia="Calibri" w:cs="Arial"/>
                <w:sz w:val="18"/>
                <w:szCs w:val="20"/>
              </w:rPr>
              <w:t xml:space="preserve">: UNDP estimate based on data from International Labor Organization </w:t>
            </w:r>
            <w:r w:rsidR="00E44806">
              <w:rPr>
                <w:rFonts w:eastAsia="Calibri" w:cs="Arial"/>
                <w:sz w:val="18"/>
                <w:szCs w:val="20"/>
              </w:rPr>
              <w:t>from</w:t>
            </w:r>
            <w:r w:rsidRPr="00036073">
              <w:rPr>
                <w:rFonts w:eastAsia="Calibri" w:cs="Arial"/>
                <w:sz w:val="18"/>
                <w:szCs w:val="20"/>
              </w:rPr>
              <w:t xml:space="preserve"> 13</w:t>
            </w:r>
            <w:r w:rsidR="00427306" w:rsidRPr="00036073">
              <w:rPr>
                <w:rFonts w:eastAsia="Calibri" w:cs="Arial"/>
                <w:sz w:val="18"/>
                <w:szCs w:val="20"/>
              </w:rPr>
              <w:t>4</w:t>
            </w:r>
            <w:r w:rsidRPr="00036073">
              <w:rPr>
                <w:rFonts w:eastAsia="Calibri" w:cs="Arial"/>
                <w:sz w:val="18"/>
                <w:szCs w:val="20"/>
              </w:rPr>
              <w:t xml:space="preserve"> (a), 1</w:t>
            </w:r>
            <w:r w:rsidR="00427306" w:rsidRPr="00036073">
              <w:rPr>
                <w:rFonts w:eastAsia="Calibri" w:cs="Arial"/>
                <w:sz w:val="18"/>
                <w:szCs w:val="20"/>
              </w:rPr>
              <w:t>28</w:t>
            </w:r>
            <w:r w:rsidRPr="00036073">
              <w:rPr>
                <w:rFonts w:eastAsia="Calibri" w:cs="Arial"/>
                <w:sz w:val="18"/>
                <w:szCs w:val="20"/>
              </w:rPr>
              <w:t xml:space="preserve"> (b), 1</w:t>
            </w:r>
            <w:r w:rsidR="00F4280F" w:rsidRPr="00036073">
              <w:rPr>
                <w:rFonts w:eastAsia="Calibri" w:cs="Arial"/>
                <w:sz w:val="18"/>
                <w:szCs w:val="20"/>
              </w:rPr>
              <w:t>46</w:t>
            </w:r>
            <w:r w:rsidRPr="00036073">
              <w:rPr>
                <w:rFonts w:eastAsia="Calibri" w:cs="Arial"/>
                <w:sz w:val="18"/>
                <w:szCs w:val="20"/>
              </w:rPr>
              <w:t xml:space="preserve"> (c) and </w:t>
            </w:r>
            <w:r w:rsidR="00F4280F" w:rsidRPr="00036073">
              <w:rPr>
                <w:rFonts w:eastAsia="Calibri" w:cs="Arial"/>
                <w:sz w:val="18"/>
                <w:szCs w:val="20"/>
              </w:rPr>
              <w:t>107</w:t>
            </w:r>
            <w:r w:rsidRPr="00036073">
              <w:rPr>
                <w:rFonts w:eastAsia="Calibri" w:cs="Arial"/>
                <w:sz w:val="18"/>
                <w:szCs w:val="20"/>
              </w:rPr>
              <w:t xml:space="preserve"> (d), and </w:t>
            </w:r>
            <w:r w:rsidR="00F4280F" w:rsidRPr="00036073">
              <w:rPr>
                <w:rFonts w:eastAsia="Calibri" w:cs="Arial"/>
                <w:sz w:val="18"/>
                <w:szCs w:val="20"/>
              </w:rPr>
              <w:t>140</w:t>
            </w:r>
            <w:r w:rsidRPr="00036073">
              <w:rPr>
                <w:rFonts w:eastAsia="Calibri" w:cs="Arial"/>
                <w:sz w:val="18"/>
                <w:szCs w:val="20"/>
              </w:rPr>
              <w:t xml:space="preserve"> UNDP programme countries, respectively. There is no numeric international</w:t>
            </w:r>
            <w:r w:rsidR="00E44806">
              <w:rPr>
                <w:rFonts w:eastAsia="Calibri" w:cs="Arial"/>
                <w:sz w:val="18"/>
                <w:szCs w:val="20"/>
              </w:rPr>
              <w:t>ly-agreed</w:t>
            </w:r>
            <w:r w:rsidRPr="00036073">
              <w:rPr>
                <w:rFonts w:eastAsia="Calibri" w:cs="Arial"/>
                <w:sz w:val="18"/>
                <w:szCs w:val="20"/>
              </w:rPr>
              <w:t xml:space="preserve"> target for social protection. For monitoring purposes, UNDP uses the direction of travel (increase in social protection coverage).</w:t>
            </w:r>
            <w:r w:rsidR="000905B2" w:rsidRPr="00036073">
              <w:rPr>
                <w:rFonts w:eastAsia="Calibri" w:cs="Arial"/>
                <w:sz w:val="18"/>
                <w:szCs w:val="20"/>
              </w:rPr>
              <w:t xml:space="preserve"> </w:t>
            </w:r>
          </w:p>
          <w:p w14:paraId="5A25E984" w14:textId="597EE8B6" w:rsidR="00426C64" w:rsidRPr="00036073" w:rsidRDefault="000905B2" w:rsidP="000C16ED">
            <w:pPr>
              <w:spacing w:after="0" w:line="240" w:lineRule="auto"/>
              <w:rPr>
                <w:rFonts w:eastAsia="Calibri"/>
                <w:sz w:val="18"/>
                <w:szCs w:val="18"/>
              </w:rPr>
            </w:pPr>
            <w:r w:rsidRPr="00036073">
              <w:rPr>
                <w:rFonts w:eastAsia="Calibri"/>
                <w:b/>
                <w:sz w:val="18"/>
                <w:szCs w:val="18"/>
              </w:rPr>
              <w:t xml:space="preserve">2014 Reporting Note: </w:t>
            </w:r>
            <w:r w:rsidRPr="00036073">
              <w:rPr>
                <w:rFonts w:eastAsia="Calibri"/>
                <w:sz w:val="18"/>
                <w:szCs w:val="18"/>
              </w:rPr>
              <w:t xml:space="preserve">Baselines updated with </w:t>
            </w:r>
            <w:r w:rsidR="00E27A7E" w:rsidRPr="00036073">
              <w:rPr>
                <w:rFonts w:eastAsia="Calibri"/>
                <w:sz w:val="18"/>
                <w:szCs w:val="18"/>
              </w:rPr>
              <w:t xml:space="preserve">latest </w:t>
            </w:r>
            <w:r w:rsidRPr="00036073">
              <w:rPr>
                <w:rFonts w:eastAsia="Calibri"/>
                <w:sz w:val="18"/>
                <w:szCs w:val="18"/>
              </w:rPr>
              <w:t>data</w:t>
            </w:r>
            <w:r w:rsidR="00E27A7E" w:rsidRPr="00036073">
              <w:rPr>
                <w:rFonts w:eastAsia="Calibri"/>
                <w:sz w:val="18"/>
                <w:szCs w:val="18"/>
              </w:rPr>
              <w:t>. P</w:t>
            </w:r>
            <w:r w:rsidRPr="00036073">
              <w:rPr>
                <w:rFonts w:eastAsia="Calibri"/>
                <w:sz w:val="18"/>
                <w:szCs w:val="18"/>
              </w:rPr>
              <w:t xml:space="preserve">revious values were a) 44.2% (2012), b) 23.1% (2012), c) 98.4% (2013), d) </w:t>
            </w:r>
            <w:r w:rsidR="00C94AA6" w:rsidRPr="00036073">
              <w:rPr>
                <w:rFonts w:eastAsia="Calibri"/>
                <w:sz w:val="18"/>
                <w:szCs w:val="18"/>
              </w:rPr>
              <w:t>36.9% (20</w:t>
            </w:r>
            <w:r w:rsidR="000C16ED" w:rsidRPr="00036073">
              <w:rPr>
                <w:rFonts w:eastAsia="Calibri"/>
                <w:sz w:val="18"/>
                <w:szCs w:val="18"/>
              </w:rPr>
              <w:t>08</w:t>
            </w:r>
            <w:r w:rsidR="00C94AA6" w:rsidRPr="00036073">
              <w:rPr>
                <w:rFonts w:eastAsia="Calibri"/>
                <w:sz w:val="18"/>
                <w:szCs w:val="18"/>
              </w:rPr>
              <w:t>), e.i) 15 (2013), e.ii) 89 (2013), e.iii) 40 (2013), e.iv) 2 (2013)</w:t>
            </w:r>
            <w:r w:rsidRPr="00036073">
              <w:rPr>
                <w:rFonts w:eastAsia="Calibri"/>
                <w:sz w:val="18"/>
                <w:szCs w:val="18"/>
              </w:rPr>
              <w:t xml:space="preserve">. </w:t>
            </w:r>
          </w:p>
        </w:tc>
      </w:tr>
      <w:tr w:rsidR="009B2487" w:rsidRPr="002C5BFD" w14:paraId="3AB49C89" w14:textId="77777777" w:rsidTr="007B0371">
        <w:trPr>
          <w:trHeight w:val="170"/>
          <w:jc w:val="center"/>
        </w:trPr>
        <w:tc>
          <w:tcPr>
            <w:tcW w:w="445" w:type="dxa"/>
            <w:vMerge w:val="restart"/>
            <w:tcBorders>
              <w:top w:val="single" w:sz="4" w:space="0" w:color="auto"/>
              <w:left w:val="single" w:sz="4" w:space="0" w:color="auto"/>
              <w:right w:val="single" w:sz="4" w:space="0" w:color="auto"/>
            </w:tcBorders>
            <w:shd w:val="clear" w:color="auto" w:fill="auto"/>
          </w:tcPr>
          <w:p w14:paraId="6CAB8946" w14:textId="16AB2E6D" w:rsidR="009B2487" w:rsidRPr="009B6BA8" w:rsidRDefault="009B2487" w:rsidP="005E0294">
            <w:pPr>
              <w:spacing w:after="0" w:line="240" w:lineRule="auto"/>
              <w:ind w:right="-1080"/>
              <w:rPr>
                <w:b/>
                <w:sz w:val="20"/>
                <w:szCs w:val="20"/>
              </w:rPr>
            </w:pPr>
            <w:r w:rsidRPr="009B6BA8">
              <w:rPr>
                <w:b/>
                <w:sz w:val="20"/>
                <w:szCs w:val="20"/>
              </w:rPr>
              <w:t>1.3</w:t>
            </w:r>
          </w:p>
        </w:tc>
        <w:tc>
          <w:tcPr>
            <w:tcW w:w="8547" w:type="dxa"/>
            <w:tcBorders>
              <w:top w:val="single" w:sz="4" w:space="0" w:color="auto"/>
              <w:left w:val="single" w:sz="4" w:space="0" w:color="auto"/>
              <w:bottom w:val="single" w:sz="4" w:space="0" w:color="auto"/>
              <w:right w:val="single" w:sz="4" w:space="0" w:color="auto"/>
            </w:tcBorders>
            <w:shd w:val="clear" w:color="auto" w:fill="auto"/>
          </w:tcPr>
          <w:p w14:paraId="0BBE348D" w14:textId="77777777" w:rsidR="009B2487" w:rsidRPr="009B6BA8" w:rsidRDefault="009B2487" w:rsidP="005E0294">
            <w:pPr>
              <w:spacing w:after="0" w:line="240" w:lineRule="auto"/>
              <w:ind w:right="-1080"/>
              <w:rPr>
                <w:b/>
                <w:sz w:val="20"/>
                <w:szCs w:val="20"/>
              </w:rPr>
            </w:pPr>
            <w:r w:rsidRPr="009B6BA8">
              <w:rPr>
                <w:sz w:val="20"/>
                <w:szCs w:val="20"/>
              </w:rPr>
              <w:t xml:space="preserve">Annual </w:t>
            </w:r>
            <w:r w:rsidRPr="009B6BA8">
              <w:rPr>
                <w:b/>
                <w:sz w:val="20"/>
                <w:szCs w:val="20"/>
              </w:rPr>
              <w:t xml:space="preserve">emissions of carbon dioxide </w:t>
            </w:r>
            <w:r w:rsidRPr="009B6BA8">
              <w:rPr>
                <w:sz w:val="20"/>
                <w:szCs w:val="20"/>
              </w:rPr>
              <w:t>(million tons CO</w:t>
            </w:r>
            <w:r w:rsidRPr="009B6BA8">
              <w:rPr>
                <w:sz w:val="20"/>
                <w:szCs w:val="20"/>
                <w:vertAlign w:val="subscript"/>
              </w:rPr>
              <w:t>2</w:t>
            </w:r>
            <w:r w:rsidRPr="009B6BA8">
              <w:rPr>
                <w:sz w:val="20"/>
                <w:szCs w:val="20"/>
              </w:rPr>
              <w:t xml:space="preserve"> equivalent</w:t>
            </w:r>
            <w:r w:rsidRPr="00F15ACB">
              <w:rPr>
                <w:sz w:val="20"/>
                <w:szCs w:val="20"/>
              </w:rPr>
              <w:t>)</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299F25EE" w14:textId="77777777" w:rsidR="009B2487" w:rsidRDefault="00837A9F" w:rsidP="005E0294">
            <w:pPr>
              <w:spacing w:after="0" w:line="240" w:lineRule="auto"/>
              <w:rPr>
                <w:sz w:val="20"/>
              </w:rPr>
            </w:pPr>
            <w:r w:rsidRPr="005D13C6">
              <w:rPr>
                <w:sz w:val="20"/>
              </w:rPr>
              <w:t>31,480</w:t>
            </w:r>
            <w:r w:rsidR="009B2487" w:rsidRPr="005D13C6">
              <w:rPr>
                <w:sz w:val="20"/>
              </w:rPr>
              <w:t xml:space="preserve"> </w:t>
            </w:r>
            <w:r w:rsidR="009B2487" w:rsidRPr="005D13C6">
              <w:rPr>
                <w:rFonts w:cs="Calibri"/>
                <w:bCs/>
                <w:sz w:val="20"/>
                <w:lang w:eastAsia="es-ES_tradnl"/>
              </w:rPr>
              <w:t>Million tons CO</w:t>
            </w:r>
            <w:r w:rsidR="009B2487" w:rsidRPr="005D13C6">
              <w:rPr>
                <w:rFonts w:cs="Calibri"/>
                <w:bCs/>
                <w:sz w:val="20"/>
                <w:vertAlign w:val="subscript"/>
                <w:lang w:eastAsia="es-ES_tradnl"/>
              </w:rPr>
              <w:t xml:space="preserve">2 </w:t>
            </w:r>
            <w:r w:rsidR="009B2487" w:rsidRPr="005D13C6">
              <w:rPr>
                <w:rFonts w:cs="Calibri"/>
                <w:bCs/>
                <w:sz w:val="20"/>
                <w:lang w:eastAsia="es-ES_tradnl"/>
              </w:rPr>
              <w:t>equivalent</w:t>
            </w:r>
            <w:r w:rsidRPr="005D13C6">
              <w:rPr>
                <w:sz w:val="20"/>
              </w:rPr>
              <w:t xml:space="preserve"> (2011</w:t>
            </w:r>
            <w:r w:rsidR="009B2487" w:rsidRPr="005D13C6">
              <w:rPr>
                <w:sz w:val="20"/>
              </w:rPr>
              <w:t>)</w:t>
            </w:r>
          </w:p>
          <w:p w14:paraId="1AF2AAEA" w14:textId="1ED0E978" w:rsidR="00426C64" w:rsidRPr="005D13C6" w:rsidRDefault="00426C64" w:rsidP="005E0294">
            <w:pPr>
              <w:spacing w:after="0" w:line="240" w:lineRule="auto"/>
              <w:rPr>
                <w:sz w:val="20"/>
              </w:rPr>
            </w:pPr>
          </w:p>
        </w:tc>
        <w:tc>
          <w:tcPr>
            <w:tcW w:w="1890" w:type="dxa"/>
            <w:tcBorders>
              <w:top w:val="single" w:sz="4" w:space="0" w:color="auto"/>
              <w:left w:val="single" w:sz="4" w:space="0" w:color="auto"/>
              <w:bottom w:val="single" w:sz="4" w:space="0" w:color="auto"/>
              <w:right w:val="single" w:sz="4" w:space="0" w:color="auto"/>
            </w:tcBorders>
          </w:tcPr>
          <w:p w14:paraId="176C1EE4" w14:textId="65AD5523" w:rsidR="009B2487" w:rsidRPr="005D13C6" w:rsidRDefault="00BE75CD" w:rsidP="005E0294">
            <w:pPr>
              <w:spacing w:after="0" w:line="240" w:lineRule="auto"/>
              <w:rPr>
                <w:sz w:val="20"/>
              </w:rPr>
            </w:pPr>
            <w:r w:rsidRPr="005D13C6">
              <w:rPr>
                <w:sz w:val="20"/>
                <w:szCs w:val="20"/>
              </w:rPr>
              <w:t>Not yet available</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6A93947E" w14:textId="318D5E6C" w:rsidR="009B2487" w:rsidRPr="005E0294" w:rsidRDefault="009B2487" w:rsidP="005E0294">
            <w:pPr>
              <w:spacing w:after="0" w:line="240" w:lineRule="auto"/>
              <w:rPr>
                <w:sz w:val="20"/>
              </w:rPr>
            </w:pPr>
            <w:r w:rsidRPr="005E0294">
              <w:rPr>
                <w:sz w:val="20"/>
              </w:rPr>
              <w:t>To be determined (Paris 2015)</w:t>
            </w:r>
          </w:p>
        </w:tc>
      </w:tr>
      <w:tr w:rsidR="00F77C68" w:rsidRPr="002C5BFD" w14:paraId="02DE4FF0" w14:textId="77777777" w:rsidTr="0053534C">
        <w:trPr>
          <w:trHeight w:val="278"/>
          <w:jc w:val="center"/>
        </w:trPr>
        <w:tc>
          <w:tcPr>
            <w:tcW w:w="445" w:type="dxa"/>
            <w:vMerge/>
            <w:tcBorders>
              <w:left w:val="single" w:sz="4" w:space="0" w:color="auto"/>
              <w:right w:val="single" w:sz="4" w:space="0" w:color="auto"/>
            </w:tcBorders>
            <w:shd w:val="clear" w:color="auto" w:fill="auto"/>
          </w:tcPr>
          <w:p w14:paraId="3DE609CA" w14:textId="77777777" w:rsidR="00F77C68" w:rsidRPr="009B6BA8" w:rsidRDefault="00F77C68" w:rsidP="005E0294">
            <w:pPr>
              <w:spacing w:after="0" w:line="240" w:lineRule="auto"/>
              <w:ind w:right="-29"/>
              <w:rPr>
                <w:b/>
                <w:sz w:val="20"/>
                <w:szCs w:val="20"/>
              </w:rPr>
            </w:pPr>
          </w:p>
        </w:tc>
        <w:tc>
          <w:tcPr>
            <w:tcW w:w="14403" w:type="dxa"/>
            <w:gridSpan w:val="4"/>
            <w:tcBorders>
              <w:left w:val="single" w:sz="4" w:space="0" w:color="auto"/>
              <w:right w:val="single" w:sz="4" w:space="0" w:color="auto"/>
            </w:tcBorders>
            <w:shd w:val="clear" w:color="auto" w:fill="D9D9D9" w:themeFill="background1" w:themeFillShade="D9"/>
          </w:tcPr>
          <w:p w14:paraId="2097E80E" w14:textId="7B0284EF" w:rsidR="00F77C68" w:rsidRPr="00E44806" w:rsidRDefault="00F77C68" w:rsidP="0053534C">
            <w:pPr>
              <w:shd w:val="clear" w:color="auto" w:fill="D9D9D9" w:themeFill="background1" w:themeFillShade="D9"/>
              <w:spacing w:after="0" w:line="240" w:lineRule="auto"/>
              <w:rPr>
                <w:rFonts w:eastAsia="Calibri" w:cs="Arial"/>
                <w:sz w:val="18"/>
                <w:szCs w:val="20"/>
              </w:rPr>
            </w:pPr>
            <w:r w:rsidRPr="00E44806">
              <w:rPr>
                <w:rFonts w:eastAsia="Calibri" w:cs="Arial"/>
                <w:b/>
                <w:sz w:val="18"/>
                <w:szCs w:val="20"/>
              </w:rPr>
              <w:t>Source</w:t>
            </w:r>
            <w:r w:rsidRPr="00E44806">
              <w:rPr>
                <w:rFonts w:eastAsia="Calibri" w:cs="Arial"/>
                <w:sz w:val="18"/>
                <w:szCs w:val="20"/>
              </w:rPr>
              <w:t>: UNDP estimate based on data from</w:t>
            </w:r>
            <w:r w:rsidR="00837A9F" w:rsidRPr="00E44806">
              <w:rPr>
                <w:rFonts w:eastAsia="Calibri" w:cs="Arial"/>
                <w:sz w:val="18"/>
                <w:szCs w:val="20"/>
              </w:rPr>
              <w:t xml:space="preserve"> World Resource Institute </w:t>
            </w:r>
            <w:r w:rsidR="00E507B1">
              <w:rPr>
                <w:rFonts w:eastAsia="Calibri" w:cs="Arial"/>
                <w:sz w:val="18"/>
                <w:szCs w:val="20"/>
              </w:rPr>
              <w:t>for</w:t>
            </w:r>
            <w:r w:rsidR="00837A9F" w:rsidRPr="00E44806">
              <w:rPr>
                <w:rFonts w:eastAsia="Calibri" w:cs="Arial"/>
                <w:sz w:val="18"/>
                <w:szCs w:val="20"/>
              </w:rPr>
              <w:t xml:space="preserve"> 145</w:t>
            </w:r>
            <w:r w:rsidRPr="00E44806">
              <w:rPr>
                <w:rFonts w:eastAsia="Calibri" w:cs="Arial"/>
                <w:sz w:val="18"/>
                <w:szCs w:val="20"/>
              </w:rPr>
              <w:t xml:space="preserve"> UNDP programme countries. Targets are to be determined: Countries are currently preparing for a new international treaty which is expected to be signed at the </w:t>
            </w:r>
            <w:r w:rsidRPr="00E507B1">
              <w:rPr>
                <w:rFonts w:eastAsia="Calibri" w:cs="Arial"/>
                <w:i/>
                <w:sz w:val="18"/>
                <w:szCs w:val="20"/>
              </w:rPr>
              <w:t>21st Conference of the Parties</w:t>
            </w:r>
            <w:r w:rsidRPr="00E44806">
              <w:rPr>
                <w:rFonts w:eastAsia="Calibri" w:cs="Arial"/>
                <w:sz w:val="18"/>
                <w:szCs w:val="20"/>
              </w:rPr>
              <w:t xml:space="preserve"> in Paris in December 2015.</w:t>
            </w:r>
          </w:p>
          <w:p w14:paraId="3D1251F1" w14:textId="0494B4B4" w:rsidR="00837A9F" w:rsidRPr="00E44806" w:rsidRDefault="00837A9F" w:rsidP="00837A9F">
            <w:pPr>
              <w:spacing w:after="0" w:line="240" w:lineRule="auto"/>
              <w:rPr>
                <w:sz w:val="18"/>
                <w:szCs w:val="20"/>
              </w:rPr>
            </w:pPr>
            <w:r w:rsidRPr="00E44806">
              <w:rPr>
                <w:rFonts w:eastAsia="Calibri"/>
                <w:b/>
                <w:sz w:val="18"/>
                <w:szCs w:val="18"/>
              </w:rPr>
              <w:t xml:space="preserve">2014 Reporting Note: </w:t>
            </w:r>
            <w:r w:rsidRPr="00E44806">
              <w:rPr>
                <w:rFonts w:eastAsia="Calibri"/>
                <w:sz w:val="18"/>
                <w:szCs w:val="18"/>
              </w:rPr>
              <w:t xml:space="preserve">Baseline </w:t>
            </w:r>
            <w:r w:rsidR="00F63CBD" w:rsidRPr="00E44806">
              <w:rPr>
                <w:rFonts w:eastAsia="Calibri"/>
                <w:sz w:val="18"/>
                <w:szCs w:val="18"/>
              </w:rPr>
              <w:t>updated with new data up to 2011</w:t>
            </w:r>
            <w:r w:rsidRPr="00E44806">
              <w:rPr>
                <w:rFonts w:eastAsia="Calibri"/>
                <w:sz w:val="18"/>
                <w:szCs w:val="18"/>
              </w:rPr>
              <w:t>. Previous value 28,879 Million tons CO2 equivalent (2010).</w:t>
            </w:r>
          </w:p>
        </w:tc>
      </w:tr>
      <w:tr w:rsidR="009B2487" w:rsidRPr="002C5BFD" w14:paraId="263DCA6D" w14:textId="77777777" w:rsidTr="007B0371">
        <w:trPr>
          <w:trHeight w:val="278"/>
          <w:jc w:val="center"/>
        </w:trPr>
        <w:tc>
          <w:tcPr>
            <w:tcW w:w="445" w:type="dxa"/>
            <w:vMerge w:val="restart"/>
            <w:tcBorders>
              <w:top w:val="single" w:sz="4" w:space="0" w:color="auto"/>
              <w:left w:val="single" w:sz="4" w:space="0" w:color="auto"/>
              <w:right w:val="single" w:sz="4" w:space="0" w:color="auto"/>
            </w:tcBorders>
            <w:shd w:val="clear" w:color="auto" w:fill="auto"/>
          </w:tcPr>
          <w:p w14:paraId="25AD654F" w14:textId="77777777" w:rsidR="009B2487" w:rsidRPr="009B6BA8" w:rsidRDefault="009B2487" w:rsidP="005E0294">
            <w:pPr>
              <w:spacing w:after="0" w:line="240" w:lineRule="auto"/>
              <w:ind w:right="-29"/>
              <w:rPr>
                <w:b/>
                <w:sz w:val="20"/>
                <w:szCs w:val="20"/>
              </w:rPr>
            </w:pPr>
            <w:r w:rsidRPr="009B6BA8">
              <w:rPr>
                <w:b/>
                <w:sz w:val="20"/>
                <w:szCs w:val="20"/>
              </w:rPr>
              <w:t>1.4</w:t>
            </w:r>
          </w:p>
        </w:tc>
        <w:tc>
          <w:tcPr>
            <w:tcW w:w="8547" w:type="dxa"/>
            <w:tcBorders>
              <w:top w:val="single" w:sz="4" w:space="0" w:color="auto"/>
              <w:left w:val="single" w:sz="4" w:space="0" w:color="auto"/>
              <w:right w:val="single" w:sz="4" w:space="0" w:color="auto"/>
            </w:tcBorders>
            <w:shd w:val="clear" w:color="auto" w:fill="auto"/>
          </w:tcPr>
          <w:p w14:paraId="0814473F" w14:textId="5BD0AE58" w:rsidR="009B2487" w:rsidRPr="0028544A" w:rsidRDefault="009B2487" w:rsidP="0028544A">
            <w:pPr>
              <w:spacing w:after="0" w:line="240" w:lineRule="auto"/>
              <w:ind w:right="-29"/>
              <w:rPr>
                <w:sz w:val="20"/>
                <w:szCs w:val="20"/>
              </w:rPr>
            </w:pPr>
            <w:r w:rsidRPr="0028544A">
              <w:rPr>
                <w:sz w:val="20"/>
                <w:szCs w:val="20"/>
              </w:rPr>
              <w:t xml:space="preserve">Coverage of </w:t>
            </w:r>
            <w:r w:rsidRPr="0028544A">
              <w:rPr>
                <w:b/>
                <w:sz w:val="20"/>
                <w:szCs w:val="20"/>
              </w:rPr>
              <w:t>cost-efficient and sustainable energy</w:t>
            </w:r>
            <w:r w:rsidR="00D815E3">
              <w:rPr>
                <w:sz w:val="20"/>
                <w:szCs w:val="20"/>
              </w:rPr>
              <w:t>, disaggregated by rural/urban</w:t>
            </w:r>
          </w:p>
          <w:p w14:paraId="0CFDE134" w14:textId="77777777" w:rsidR="009B2487" w:rsidRPr="0028544A" w:rsidRDefault="009B2487" w:rsidP="0028544A">
            <w:pPr>
              <w:spacing w:after="0" w:line="240" w:lineRule="auto"/>
              <w:ind w:right="-29"/>
              <w:rPr>
                <w:b/>
                <w:sz w:val="20"/>
                <w:szCs w:val="20"/>
              </w:rPr>
            </w:pPr>
            <w:r w:rsidRPr="0028544A">
              <w:rPr>
                <w:sz w:val="20"/>
                <w:szCs w:val="20"/>
              </w:rPr>
              <w:t>a)</w:t>
            </w:r>
            <w:r w:rsidRPr="0028544A">
              <w:rPr>
                <w:b/>
                <w:sz w:val="20"/>
                <w:szCs w:val="20"/>
              </w:rPr>
              <w:t xml:space="preserve"> </w:t>
            </w:r>
            <w:r w:rsidRPr="0028544A">
              <w:rPr>
                <w:sz w:val="20"/>
                <w:szCs w:val="20"/>
              </w:rPr>
              <w:t>Percentage of population with</w:t>
            </w:r>
            <w:r w:rsidRPr="0028544A">
              <w:rPr>
                <w:b/>
                <w:sz w:val="20"/>
                <w:szCs w:val="20"/>
              </w:rPr>
              <w:t xml:space="preserve"> connection to electricity </w:t>
            </w:r>
            <w:r w:rsidRPr="0028544A">
              <w:rPr>
                <w:sz w:val="20"/>
                <w:szCs w:val="20"/>
              </w:rPr>
              <w:t>(total)</w:t>
            </w:r>
          </w:p>
          <w:p w14:paraId="02B54CE7" w14:textId="77777777" w:rsidR="009B2487" w:rsidRPr="0028544A" w:rsidRDefault="009B2487" w:rsidP="006F161D">
            <w:pPr>
              <w:pStyle w:val="ListParagraph"/>
              <w:numPr>
                <w:ilvl w:val="2"/>
                <w:numId w:val="15"/>
              </w:numPr>
              <w:ind w:left="715"/>
              <w:rPr>
                <w:b/>
                <w:sz w:val="20"/>
                <w:szCs w:val="20"/>
              </w:rPr>
            </w:pPr>
            <w:r w:rsidRPr="0028544A">
              <w:rPr>
                <w:rFonts w:asciiTheme="minorHAnsi" w:hAnsiTheme="minorHAnsi"/>
                <w:sz w:val="20"/>
                <w:szCs w:val="20"/>
              </w:rPr>
              <w:t>Urban</w:t>
            </w:r>
          </w:p>
          <w:p w14:paraId="0053F890" w14:textId="77777777" w:rsidR="009B2487" w:rsidRPr="0028544A" w:rsidRDefault="009B2487" w:rsidP="006F161D">
            <w:pPr>
              <w:pStyle w:val="ListParagraph"/>
              <w:numPr>
                <w:ilvl w:val="2"/>
                <w:numId w:val="15"/>
              </w:numPr>
              <w:ind w:left="715"/>
              <w:rPr>
                <w:b/>
                <w:sz w:val="20"/>
                <w:szCs w:val="20"/>
              </w:rPr>
            </w:pPr>
            <w:r w:rsidRPr="0028544A">
              <w:rPr>
                <w:rFonts w:asciiTheme="minorHAnsi" w:hAnsiTheme="minorHAnsi"/>
                <w:sz w:val="20"/>
                <w:szCs w:val="20"/>
              </w:rPr>
              <w:t>Rural</w:t>
            </w:r>
          </w:p>
          <w:p w14:paraId="30735A19" w14:textId="77777777" w:rsidR="009B2487" w:rsidRPr="0028544A" w:rsidRDefault="009B2487" w:rsidP="0028544A">
            <w:pPr>
              <w:spacing w:after="0" w:line="240" w:lineRule="auto"/>
              <w:ind w:right="-29"/>
              <w:rPr>
                <w:b/>
                <w:sz w:val="20"/>
                <w:szCs w:val="20"/>
              </w:rPr>
            </w:pPr>
            <w:r w:rsidRPr="0028544A">
              <w:rPr>
                <w:sz w:val="20"/>
                <w:szCs w:val="20"/>
              </w:rPr>
              <w:t>b)</w:t>
            </w:r>
            <w:r w:rsidRPr="0028544A">
              <w:rPr>
                <w:b/>
                <w:sz w:val="20"/>
                <w:szCs w:val="20"/>
              </w:rPr>
              <w:t xml:space="preserve"> </w:t>
            </w:r>
            <w:r w:rsidRPr="0028544A">
              <w:rPr>
                <w:sz w:val="20"/>
                <w:szCs w:val="20"/>
              </w:rPr>
              <w:t>Percentage of population with</w:t>
            </w:r>
            <w:r w:rsidRPr="0028544A">
              <w:rPr>
                <w:b/>
                <w:sz w:val="20"/>
                <w:szCs w:val="20"/>
              </w:rPr>
              <w:t xml:space="preserve"> access to non-solid fuels </w:t>
            </w:r>
            <w:r w:rsidRPr="0028544A">
              <w:rPr>
                <w:sz w:val="20"/>
                <w:szCs w:val="20"/>
              </w:rPr>
              <w:t>(total)</w:t>
            </w:r>
          </w:p>
          <w:p w14:paraId="54543AE1" w14:textId="77777777" w:rsidR="009B2487" w:rsidRPr="0028544A" w:rsidRDefault="009B2487" w:rsidP="006F161D">
            <w:pPr>
              <w:pStyle w:val="ListParagraph"/>
              <w:numPr>
                <w:ilvl w:val="2"/>
                <w:numId w:val="15"/>
              </w:numPr>
              <w:ind w:left="715"/>
              <w:rPr>
                <w:b/>
                <w:sz w:val="20"/>
                <w:szCs w:val="20"/>
              </w:rPr>
            </w:pPr>
            <w:r w:rsidRPr="0028544A">
              <w:rPr>
                <w:rFonts w:asciiTheme="minorHAnsi" w:hAnsiTheme="minorHAnsi"/>
                <w:sz w:val="20"/>
                <w:szCs w:val="20"/>
              </w:rPr>
              <w:t>Urban</w:t>
            </w:r>
          </w:p>
          <w:p w14:paraId="3E63B676" w14:textId="77777777" w:rsidR="009B2487" w:rsidRPr="0028544A" w:rsidRDefault="009B2487" w:rsidP="006F161D">
            <w:pPr>
              <w:pStyle w:val="ListParagraph"/>
              <w:numPr>
                <w:ilvl w:val="2"/>
                <w:numId w:val="15"/>
              </w:numPr>
              <w:ind w:left="715"/>
              <w:rPr>
                <w:b/>
                <w:sz w:val="20"/>
                <w:szCs w:val="20"/>
              </w:rPr>
            </w:pPr>
            <w:r w:rsidRPr="0028544A">
              <w:rPr>
                <w:rFonts w:asciiTheme="minorHAnsi" w:hAnsiTheme="minorHAnsi"/>
                <w:sz w:val="20"/>
                <w:szCs w:val="20"/>
              </w:rPr>
              <w:t>Rural</w:t>
            </w:r>
          </w:p>
        </w:tc>
        <w:tc>
          <w:tcPr>
            <w:tcW w:w="1983" w:type="dxa"/>
            <w:tcBorders>
              <w:top w:val="single" w:sz="4" w:space="0" w:color="auto"/>
              <w:left w:val="single" w:sz="4" w:space="0" w:color="auto"/>
              <w:right w:val="single" w:sz="4" w:space="0" w:color="auto"/>
            </w:tcBorders>
            <w:shd w:val="clear" w:color="auto" w:fill="auto"/>
          </w:tcPr>
          <w:p w14:paraId="46EF09A3" w14:textId="77777777" w:rsidR="001D4FB6" w:rsidRDefault="001D4FB6" w:rsidP="00C57F70">
            <w:pPr>
              <w:spacing w:after="0" w:line="240" w:lineRule="auto"/>
              <w:rPr>
                <w:rFonts w:eastAsia="SimSun"/>
                <w:sz w:val="20"/>
                <w:lang w:eastAsia="zh-CN"/>
              </w:rPr>
            </w:pPr>
          </w:p>
          <w:p w14:paraId="5E907C86" w14:textId="0BFCB9CA" w:rsidR="009B2487" w:rsidRPr="00C57F70" w:rsidRDefault="009B2487" w:rsidP="00C57F70">
            <w:pPr>
              <w:spacing w:after="0" w:line="240" w:lineRule="auto"/>
              <w:rPr>
                <w:rFonts w:eastAsia="SimSun"/>
                <w:b/>
                <w:sz w:val="20"/>
                <w:lang w:eastAsia="zh-CN"/>
              </w:rPr>
            </w:pPr>
            <w:r w:rsidRPr="00C57F70">
              <w:rPr>
                <w:rFonts w:eastAsia="SimSun"/>
                <w:sz w:val="20"/>
                <w:lang w:eastAsia="zh-CN"/>
              </w:rPr>
              <w:t>a)</w:t>
            </w:r>
            <w:r w:rsidRPr="00C57F70">
              <w:rPr>
                <w:rFonts w:eastAsia="SimSun"/>
                <w:b/>
                <w:sz w:val="20"/>
                <w:lang w:eastAsia="zh-CN"/>
              </w:rPr>
              <w:t xml:space="preserve"> 80.</w:t>
            </w:r>
            <w:r w:rsidR="00880347">
              <w:rPr>
                <w:rFonts w:eastAsia="SimSun"/>
                <w:b/>
                <w:sz w:val="20"/>
                <w:lang w:eastAsia="zh-CN"/>
              </w:rPr>
              <w:t>3</w:t>
            </w:r>
            <w:r w:rsidRPr="00C57F70">
              <w:rPr>
                <w:rFonts w:eastAsia="SimSun"/>
                <w:b/>
                <w:sz w:val="20"/>
                <w:lang w:eastAsia="zh-CN"/>
              </w:rPr>
              <w:t>% (2010*)</w:t>
            </w:r>
          </w:p>
          <w:p w14:paraId="68060096" w14:textId="6131705B" w:rsidR="009B2487" w:rsidRPr="00C57F70" w:rsidRDefault="009B2487" w:rsidP="006F161D">
            <w:pPr>
              <w:pStyle w:val="ListParagraph"/>
              <w:numPr>
                <w:ilvl w:val="0"/>
                <w:numId w:val="18"/>
              </w:numPr>
              <w:rPr>
                <w:rFonts w:asciiTheme="minorHAnsi" w:hAnsiTheme="minorHAnsi"/>
                <w:sz w:val="20"/>
              </w:rPr>
            </w:pPr>
            <w:r w:rsidRPr="00C57F70">
              <w:rPr>
                <w:rFonts w:asciiTheme="minorHAnsi" w:hAnsiTheme="minorHAnsi"/>
                <w:sz w:val="20"/>
              </w:rPr>
              <w:t>94.</w:t>
            </w:r>
            <w:r w:rsidR="00880347">
              <w:rPr>
                <w:rFonts w:asciiTheme="minorHAnsi" w:hAnsiTheme="minorHAnsi"/>
                <w:sz w:val="20"/>
              </w:rPr>
              <w:t>1</w:t>
            </w:r>
            <w:r w:rsidRPr="00C57F70">
              <w:rPr>
                <w:rFonts w:asciiTheme="minorHAnsi" w:hAnsiTheme="minorHAnsi"/>
                <w:sz w:val="20"/>
              </w:rPr>
              <w:t>% (2010*)</w:t>
            </w:r>
          </w:p>
          <w:p w14:paraId="49516783" w14:textId="46910D5C" w:rsidR="009B2487" w:rsidRPr="00C57F70" w:rsidRDefault="009B2487" w:rsidP="006F161D">
            <w:pPr>
              <w:pStyle w:val="ListParagraph"/>
              <w:numPr>
                <w:ilvl w:val="0"/>
                <w:numId w:val="18"/>
              </w:numPr>
              <w:rPr>
                <w:sz w:val="20"/>
              </w:rPr>
            </w:pPr>
            <w:r w:rsidRPr="00C57F70">
              <w:rPr>
                <w:sz w:val="20"/>
              </w:rPr>
              <w:t>68.</w:t>
            </w:r>
            <w:r w:rsidR="00880347">
              <w:rPr>
                <w:sz w:val="20"/>
              </w:rPr>
              <w:t>4</w:t>
            </w:r>
            <w:r w:rsidRPr="00C57F70">
              <w:rPr>
                <w:sz w:val="20"/>
              </w:rPr>
              <w:t>% (2010*)</w:t>
            </w:r>
          </w:p>
          <w:p w14:paraId="52FCF171" w14:textId="38535584" w:rsidR="009B2487" w:rsidRPr="00C57F70" w:rsidRDefault="009B2487" w:rsidP="00C57F70">
            <w:pPr>
              <w:spacing w:after="0" w:line="240" w:lineRule="auto"/>
              <w:rPr>
                <w:b/>
                <w:bCs/>
                <w:color w:val="000000"/>
                <w:sz w:val="20"/>
                <w:lang w:eastAsia="es-ES_tradnl"/>
              </w:rPr>
            </w:pPr>
            <w:r w:rsidRPr="00C57F70">
              <w:rPr>
                <w:bCs/>
                <w:color w:val="000000"/>
                <w:sz w:val="20"/>
                <w:lang w:eastAsia="es-ES_tradnl"/>
              </w:rPr>
              <w:t>b)</w:t>
            </w:r>
            <w:r w:rsidRPr="00C57F70">
              <w:rPr>
                <w:b/>
                <w:bCs/>
                <w:color w:val="000000"/>
                <w:sz w:val="20"/>
                <w:lang w:eastAsia="es-ES_tradnl"/>
              </w:rPr>
              <w:t xml:space="preserve"> 4</w:t>
            </w:r>
            <w:r w:rsidR="00880347">
              <w:rPr>
                <w:b/>
                <w:bCs/>
                <w:color w:val="000000"/>
                <w:sz w:val="20"/>
                <w:lang w:eastAsia="es-ES_tradnl"/>
              </w:rPr>
              <w:t>7.7</w:t>
            </w:r>
            <w:r w:rsidRPr="00C57F70">
              <w:rPr>
                <w:b/>
                <w:bCs/>
                <w:color w:val="000000"/>
                <w:sz w:val="20"/>
                <w:lang w:eastAsia="es-ES_tradnl"/>
              </w:rPr>
              <w:t>% (2010*)</w:t>
            </w:r>
          </w:p>
          <w:p w14:paraId="4CC7689F" w14:textId="79B2A50D" w:rsidR="009B2487" w:rsidRPr="00C57F70" w:rsidRDefault="009B2487" w:rsidP="006F161D">
            <w:pPr>
              <w:pStyle w:val="ListParagraph"/>
              <w:numPr>
                <w:ilvl w:val="0"/>
                <w:numId w:val="18"/>
              </w:numPr>
              <w:rPr>
                <w:rFonts w:asciiTheme="minorHAnsi" w:hAnsiTheme="minorHAnsi"/>
                <w:sz w:val="20"/>
              </w:rPr>
            </w:pPr>
            <w:r w:rsidRPr="00C57F70">
              <w:rPr>
                <w:rFonts w:asciiTheme="minorHAnsi" w:hAnsiTheme="minorHAnsi"/>
                <w:sz w:val="20"/>
              </w:rPr>
              <w:t>76.</w:t>
            </w:r>
            <w:r w:rsidR="00880347">
              <w:rPr>
                <w:rFonts w:asciiTheme="minorHAnsi" w:hAnsiTheme="minorHAnsi"/>
                <w:sz w:val="20"/>
              </w:rPr>
              <w:t>1</w:t>
            </w:r>
            <w:r w:rsidRPr="00C57F70">
              <w:rPr>
                <w:rFonts w:asciiTheme="minorHAnsi" w:hAnsiTheme="minorHAnsi"/>
                <w:sz w:val="20"/>
              </w:rPr>
              <w:t>% (2010*)</w:t>
            </w:r>
          </w:p>
          <w:p w14:paraId="19057D2C" w14:textId="3217DE6F" w:rsidR="009B2487" w:rsidRPr="00C57F70" w:rsidRDefault="009B2487" w:rsidP="006F161D">
            <w:pPr>
              <w:pStyle w:val="ListParagraph"/>
              <w:numPr>
                <w:ilvl w:val="0"/>
                <w:numId w:val="18"/>
              </w:numPr>
              <w:rPr>
                <w:sz w:val="20"/>
                <w:szCs w:val="20"/>
              </w:rPr>
            </w:pPr>
            <w:r w:rsidRPr="00C57F70">
              <w:rPr>
                <w:sz w:val="20"/>
              </w:rPr>
              <w:t>23.</w:t>
            </w:r>
            <w:r w:rsidR="00880347">
              <w:rPr>
                <w:sz w:val="20"/>
              </w:rPr>
              <w:t>3</w:t>
            </w:r>
            <w:r w:rsidRPr="00C57F70">
              <w:rPr>
                <w:sz w:val="20"/>
              </w:rPr>
              <w:t>% (2010*)</w:t>
            </w:r>
          </w:p>
        </w:tc>
        <w:tc>
          <w:tcPr>
            <w:tcW w:w="1890" w:type="dxa"/>
            <w:tcBorders>
              <w:top w:val="single" w:sz="4" w:space="0" w:color="auto"/>
              <w:left w:val="single" w:sz="4" w:space="0" w:color="auto"/>
              <w:right w:val="single" w:sz="4" w:space="0" w:color="auto"/>
            </w:tcBorders>
          </w:tcPr>
          <w:p w14:paraId="5B518349" w14:textId="77777777" w:rsidR="001D4FB6" w:rsidRDefault="001D4FB6" w:rsidP="008451C3">
            <w:pPr>
              <w:spacing w:after="0" w:line="240" w:lineRule="auto"/>
              <w:rPr>
                <w:sz w:val="20"/>
                <w:szCs w:val="20"/>
              </w:rPr>
            </w:pPr>
          </w:p>
          <w:p w14:paraId="62C1AA81" w14:textId="7B862E5B" w:rsidR="00BE75CD" w:rsidRPr="003F1D66" w:rsidRDefault="00BE75CD" w:rsidP="008451C3">
            <w:pPr>
              <w:spacing w:after="0" w:line="240" w:lineRule="auto"/>
              <w:rPr>
                <w:sz w:val="20"/>
              </w:rPr>
            </w:pPr>
            <w:r w:rsidRPr="005D13C6">
              <w:rPr>
                <w:sz w:val="20"/>
                <w:szCs w:val="20"/>
              </w:rPr>
              <w:t>Not yet available</w:t>
            </w:r>
          </w:p>
        </w:tc>
        <w:tc>
          <w:tcPr>
            <w:tcW w:w="1983" w:type="dxa"/>
            <w:tcBorders>
              <w:top w:val="single" w:sz="4" w:space="0" w:color="auto"/>
              <w:left w:val="single" w:sz="4" w:space="0" w:color="auto"/>
              <w:right w:val="single" w:sz="4" w:space="0" w:color="auto"/>
            </w:tcBorders>
            <w:shd w:val="clear" w:color="auto" w:fill="auto"/>
          </w:tcPr>
          <w:p w14:paraId="612675E3" w14:textId="77777777" w:rsidR="001D4FB6" w:rsidRDefault="001D4FB6" w:rsidP="008451C3">
            <w:pPr>
              <w:spacing w:after="0" w:line="240" w:lineRule="auto"/>
              <w:rPr>
                <w:sz w:val="20"/>
              </w:rPr>
            </w:pPr>
          </w:p>
          <w:p w14:paraId="029FB98F" w14:textId="3856532D" w:rsidR="009B2487" w:rsidRPr="003F1D66" w:rsidRDefault="009B2487" w:rsidP="008451C3">
            <w:pPr>
              <w:spacing w:after="0" w:line="240" w:lineRule="auto"/>
              <w:rPr>
                <w:sz w:val="20"/>
                <w:szCs w:val="20"/>
              </w:rPr>
            </w:pPr>
            <w:r w:rsidRPr="003F1D66">
              <w:rPr>
                <w:sz w:val="20"/>
              </w:rPr>
              <w:t>Direction of travel based on past trend:</w:t>
            </w:r>
          </w:p>
          <w:p w14:paraId="449E5BBF" w14:textId="77777777" w:rsidR="009B2487" w:rsidRPr="003F1D66" w:rsidRDefault="009B2487" w:rsidP="006F161D">
            <w:pPr>
              <w:pStyle w:val="ListParagraph"/>
              <w:numPr>
                <w:ilvl w:val="0"/>
                <w:numId w:val="20"/>
              </w:numPr>
              <w:rPr>
                <w:rFonts w:eastAsia="SimSun"/>
                <w:sz w:val="20"/>
                <w:lang w:eastAsia="zh-CN"/>
              </w:rPr>
            </w:pPr>
            <w:r w:rsidRPr="003F1D66">
              <w:rPr>
                <w:rFonts w:eastAsia="SimSun"/>
                <w:b/>
                <w:sz w:val="20"/>
                <w:lang w:eastAsia="zh-CN"/>
              </w:rPr>
              <w:t>Increase</w:t>
            </w:r>
            <w:r w:rsidRPr="003F1D66">
              <w:rPr>
                <w:rFonts w:eastAsia="SimSun"/>
                <w:sz w:val="20"/>
                <w:lang w:eastAsia="zh-CN"/>
              </w:rPr>
              <w:t>, 89%</w:t>
            </w:r>
          </w:p>
          <w:p w14:paraId="4DCF56B2" w14:textId="77777777" w:rsidR="009B2487" w:rsidRPr="003F1D66" w:rsidRDefault="009B2487" w:rsidP="008451C3">
            <w:pPr>
              <w:spacing w:after="0" w:line="240" w:lineRule="auto"/>
              <w:ind w:left="360"/>
              <w:rPr>
                <w:sz w:val="20"/>
                <w:szCs w:val="20"/>
              </w:rPr>
            </w:pPr>
            <w:r w:rsidRPr="003F1D66">
              <w:rPr>
                <w:rFonts w:eastAsia="SimSun"/>
                <w:sz w:val="20"/>
                <w:lang w:eastAsia="zh-CN"/>
              </w:rPr>
              <w:t>b)</w:t>
            </w:r>
            <w:r w:rsidRPr="003F1D66">
              <w:rPr>
                <w:rFonts w:eastAsia="SimSun"/>
                <w:b/>
                <w:sz w:val="20"/>
                <w:lang w:eastAsia="zh-CN"/>
              </w:rPr>
              <w:t xml:space="preserve"> Increase, </w:t>
            </w:r>
            <w:r w:rsidRPr="003F1D66">
              <w:rPr>
                <w:sz w:val="20"/>
              </w:rPr>
              <w:t>56%</w:t>
            </w:r>
          </w:p>
        </w:tc>
      </w:tr>
      <w:tr w:rsidR="00F77C68" w:rsidRPr="002C5BFD" w14:paraId="5DC69A23" w14:textId="77777777" w:rsidTr="0053534C">
        <w:trPr>
          <w:cantSplit/>
          <w:trHeight w:val="494"/>
          <w:jc w:val="center"/>
        </w:trPr>
        <w:tc>
          <w:tcPr>
            <w:tcW w:w="445" w:type="dxa"/>
            <w:vMerge/>
            <w:tcBorders>
              <w:left w:val="single" w:sz="4" w:space="0" w:color="auto"/>
              <w:right w:val="single" w:sz="4" w:space="0" w:color="auto"/>
            </w:tcBorders>
            <w:shd w:val="clear" w:color="auto" w:fill="auto"/>
          </w:tcPr>
          <w:p w14:paraId="2B8B7052" w14:textId="77777777" w:rsidR="00F77C68" w:rsidRPr="009B6BA8" w:rsidRDefault="00F77C68" w:rsidP="005E0294">
            <w:pPr>
              <w:spacing w:after="0" w:line="240" w:lineRule="auto"/>
              <w:ind w:right="-29"/>
              <w:rPr>
                <w:b/>
                <w:sz w:val="20"/>
                <w:szCs w:val="20"/>
              </w:rPr>
            </w:pPr>
          </w:p>
        </w:tc>
        <w:tc>
          <w:tcPr>
            <w:tcW w:w="14403" w:type="dxa"/>
            <w:gridSpan w:val="4"/>
            <w:tcBorders>
              <w:left w:val="single" w:sz="4" w:space="0" w:color="auto"/>
              <w:right w:val="single" w:sz="4" w:space="0" w:color="auto"/>
            </w:tcBorders>
            <w:shd w:val="clear" w:color="auto" w:fill="D9D9D9" w:themeFill="background1" w:themeFillShade="D9"/>
          </w:tcPr>
          <w:p w14:paraId="028A7D13" w14:textId="0A58A4F8" w:rsidR="00F77C68" w:rsidRPr="00E507B1" w:rsidRDefault="00F77C68" w:rsidP="0022229C">
            <w:pPr>
              <w:spacing w:after="0" w:line="240" w:lineRule="auto"/>
              <w:rPr>
                <w:rFonts w:eastAsia="Calibri" w:cs="Arial"/>
                <w:sz w:val="18"/>
                <w:szCs w:val="20"/>
              </w:rPr>
            </w:pPr>
            <w:r w:rsidRPr="00E507B1">
              <w:rPr>
                <w:rFonts w:eastAsia="Calibri" w:cs="Arial"/>
                <w:b/>
                <w:sz w:val="18"/>
                <w:szCs w:val="20"/>
              </w:rPr>
              <w:t>Source</w:t>
            </w:r>
            <w:r w:rsidRPr="00E507B1">
              <w:rPr>
                <w:rFonts w:eastAsia="Calibri" w:cs="Arial"/>
                <w:sz w:val="18"/>
                <w:szCs w:val="20"/>
              </w:rPr>
              <w:t xml:space="preserve">: UNDP estimate based on Global SE4ALL data, managed by the World Bank. a) Weighted average using population </w:t>
            </w:r>
            <w:r w:rsidR="00E507B1" w:rsidRPr="00E507B1">
              <w:rPr>
                <w:rFonts w:eastAsia="Calibri" w:cs="Arial"/>
                <w:sz w:val="18"/>
                <w:szCs w:val="20"/>
              </w:rPr>
              <w:t xml:space="preserve">data </w:t>
            </w:r>
            <w:r w:rsidRPr="00E507B1">
              <w:rPr>
                <w:rFonts w:eastAsia="Calibri" w:cs="Arial"/>
                <w:sz w:val="18"/>
                <w:szCs w:val="20"/>
              </w:rPr>
              <w:t>from the</w:t>
            </w:r>
            <w:r w:rsidRPr="00E507B1">
              <w:rPr>
                <w:rFonts w:ascii="Calibri" w:eastAsia="SimSun" w:hAnsi="Calibri"/>
                <w:sz w:val="18"/>
                <w:szCs w:val="20"/>
                <w:lang w:eastAsia="zh-CN"/>
              </w:rPr>
              <w:t xml:space="preserve"> United Nations Department of Economic and Social Affairs – UNDESA (World Urbanization Prospects, the 2011 Revision)</w:t>
            </w:r>
            <w:r w:rsidRPr="00E507B1">
              <w:rPr>
                <w:rFonts w:eastAsia="Calibri" w:cs="Arial"/>
                <w:sz w:val="18"/>
                <w:szCs w:val="20"/>
              </w:rPr>
              <w:t>, based on 1</w:t>
            </w:r>
            <w:r w:rsidR="00880347" w:rsidRPr="00E507B1">
              <w:rPr>
                <w:rFonts w:eastAsia="Calibri" w:cs="Arial"/>
                <w:sz w:val="18"/>
                <w:szCs w:val="20"/>
              </w:rPr>
              <w:t>49</w:t>
            </w:r>
            <w:r w:rsidRPr="00E507B1">
              <w:rPr>
                <w:rFonts w:eastAsia="Calibri" w:cs="Arial"/>
                <w:sz w:val="18"/>
                <w:szCs w:val="20"/>
              </w:rPr>
              <w:t xml:space="preserve"> UNDP programme countries, b) Weighted average using </w:t>
            </w:r>
            <w:r w:rsidR="00E507B1" w:rsidRPr="00E507B1">
              <w:rPr>
                <w:rFonts w:eastAsia="Calibri" w:cs="Arial"/>
                <w:sz w:val="18"/>
                <w:szCs w:val="20"/>
              </w:rPr>
              <w:t xml:space="preserve">UNDESA </w:t>
            </w:r>
            <w:r w:rsidRPr="00E507B1">
              <w:rPr>
                <w:rFonts w:eastAsia="Calibri" w:cs="Arial"/>
                <w:sz w:val="18"/>
                <w:szCs w:val="20"/>
              </w:rPr>
              <w:t>population</w:t>
            </w:r>
            <w:r w:rsidR="00E507B1" w:rsidRPr="00E507B1">
              <w:rPr>
                <w:rFonts w:eastAsia="Calibri" w:cs="Arial"/>
                <w:sz w:val="18"/>
                <w:szCs w:val="20"/>
              </w:rPr>
              <w:t xml:space="preserve"> data</w:t>
            </w:r>
            <w:r w:rsidRPr="00E507B1">
              <w:rPr>
                <w:rFonts w:eastAsia="Calibri" w:cs="Arial"/>
                <w:sz w:val="18"/>
                <w:szCs w:val="20"/>
              </w:rPr>
              <w:t>, based on 1</w:t>
            </w:r>
            <w:r w:rsidR="00880347" w:rsidRPr="00E507B1">
              <w:rPr>
                <w:rFonts w:eastAsia="Calibri" w:cs="Arial"/>
                <w:sz w:val="18"/>
                <w:szCs w:val="20"/>
              </w:rPr>
              <w:t>37</w:t>
            </w:r>
            <w:r w:rsidRPr="00E507B1">
              <w:rPr>
                <w:rFonts w:eastAsia="Calibri" w:cs="Arial"/>
                <w:sz w:val="18"/>
                <w:szCs w:val="20"/>
              </w:rPr>
              <w:t xml:space="preserve"> UNDP programme countries. There is no numeric internationally agreed target. Direction of travel/trends estimated by UNDP using historical trends.</w:t>
            </w:r>
          </w:p>
          <w:p w14:paraId="1F60C086" w14:textId="042996D8" w:rsidR="005C505A" w:rsidRPr="00E507B1" w:rsidRDefault="005C505A" w:rsidP="00880347">
            <w:pPr>
              <w:spacing w:after="0" w:line="240" w:lineRule="auto"/>
              <w:rPr>
                <w:sz w:val="18"/>
                <w:szCs w:val="20"/>
              </w:rPr>
            </w:pPr>
            <w:r w:rsidRPr="00E507B1">
              <w:rPr>
                <w:rFonts w:eastAsia="Calibri"/>
                <w:b/>
                <w:sz w:val="18"/>
                <w:szCs w:val="18"/>
              </w:rPr>
              <w:t xml:space="preserve">2014 Reporting Note: </w:t>
            </w:r>
            <w:r w:rsidRPr="00E507B1">
              <w:rPr>
                <w:rFonts w:eastAsia="Calibri"/>
                <w:sz w:val="18"/>
                <w:szCs w:val="18"/>
              </w:rPr>
              <w:t xml:space="preserve">Baseline updated with </w:t>
            </w:r>
            <w:r w:rsidR="00880347" w:rsidRPr="00E507B1">
              <w:rPr>
                <w:rFonts w:eastAsia="Calibri"/>
                <w:sz w:val="18"/>
                <w:szCs w:val="18"/>
              </w:rPr>
              <w:t>latest</w:t>
            </w:r>
            <w:r w:rsidRPr="00E507B1">
              <w:rPr>
                <w:rFonts w:eastAsia="Calibri"/>
                <w:sz w:val="18"/>
                <w:szCs w:val="18"/>
              </w:rPr>
              <w:t xml:space="preserve"> data </w:t>
            </w:r>
            <w:r w:rsidR="00880347" w:rsidRPr="00E507B1">
              <w:rPr>
                <w:rFonts w:eastAsia="Calibri"/>
                <w:sz w:val="18"/>
                <w:szCs w:val="18"/>
              </w:rPr>
              <w:t>for 2010.</w:t>
            </w:r>
            <w:r w:rsidRPr="00E507B1">
              <w:rPr>
                <w:rFonts w:eastAsia="Calibri"/>
                <w:sz w:val="18"/>
                <w:szCs w:val="18"/>
              </w:rPr>
              <w:t xml:space="preserve"> Previous value</w:t>
            </w:r>
            <w:r w:rsidR="008875E9" w:rsidRPr="00E507B1">
              <w:rPr>
                <w:rFonts w:eastAsia="Calibri"/>
                <w:sz w:val="18"/>
                <w:szCs w:val="18"/>
              </w:rPr>
              <w:t xml:space="preserve">s were a) </w:t>
            </w:r>
            <w:r w:rsidR="00880347" w:rsidRPr="00E507B1">
              <w:rPr>
                <w:rFonts w:eastAsia="Calibri"/>
                <w:sz w:val="18"/>
                <w:szCs w:val="18"/>
              </w:rPr>
              <w:t xml:space="preserve">overall </w:t>
            </w:r>
            <w:r w:rsidR="008875E9" w:rsidRPr="00E507B1">
              <w:rPr>
                <w:rFonts w:eastAsia="Calibri"/>
                <w:sz w:val="18"/>
                <w:szCs w:val="18"/>
              </w:rPr>
              <w:t xml:space="preserve">80.5%, urban 94.2%, rural 68.6%; b) overall 48.4%, urban 76.5%, rural 23.9% (all 2010). </w:t>
            </w:r>
          </w:p>
        </w:tc>
      </w:tr>
      <w:tr w:rsidR="009B2487" w:rsidRPr="002C5BFD" w14:paraId="7C624D8B" w14:textId="77777777" w:rsidTr="007B0371">
        <w:trPr>
          <w:cantSplit/>
          <w:trHeight w:val="494"/>
          <w:jc w:val="center"/>
        </w:trPr>
        <w:tc>
          <w:tcPr>
            <w:tcW w:w="445" w:type="dxa"/>
            <w:vMerge w:val="restart"/>
            <w:tcBorders>
              <w:top w:val="single" w:sz="4" w:space="0" w:color="auto"/>
              <w:left w:val="single" w:sz="4" w:space="0" w:color="auto"/>
              <w:right w:val="single" w:sz="4" w:space="0" w:color="auto"/>
            </w:tcBorders>
            <w:shd w:val="clear" w:color="auto" w:fill="auto"/>
          </w:tcPr>
          <w:p w14:paraId="2714192B" w14:textId="77777777" w:rsidR="009B2487" w:rsidRPr="009B6BA8" w:rsidRDefault="009B2487" w:rsidP="005E0294">
            <w:pPr>
              <w:spacing w:after="0" w:line="240" w:lineRule="auto"/>
              <w:ind w:right="-29"/>
              <w:rPr>
                <w:b/>
                <w:sz w:val="20"/>
                <w:szCs w:val="20"/>
              </w:rPr>
            </w:pPr>
            <w:r w:rsidRPr="009B6BA8">
              <w:rPr>
                <w:b/>
                <w:sz w:val="20"/>
                <w:szCs w:val="20"/>
              </w:rPr>
              <w:t>1.5</w:t>
            </w:r>
          </w:p>
        </w:tc>
        <w:tc>
          <w:tcPr>
            <w:tcW w:w="8547" w:type="dxa"/>
            <w:tcBorders>
              <w:top w:val="single" w:sz="4" w:space="0" w:color="auto"/>
              <w:left w:val="single" w:sz="4" w:space="0" w:color="auto"/>
              <w:right w:val="single" w:sz="4" w:space="0" w:color="auto"/>
            </w:tcBorders>
            <w:shd w:val="clear" w:color="auto" w:fill="auto"/>
          </w:tcPr>
          <w:p w14:paraId="4916420A" w14:textId="77777777" w:rsidR="009B2487" w:rsidRDefault="009B2487" w:rsidP="005E0294">
            <w:pPr>
              <w:spacing w:after="0" w:line="240" w:lineRule="auto"/>
              <w:ind w:right="-29"/>
              <w:rPr>
                <w:sz w:val="20"/>
                <w:szCs w:val="20"/>
              </w:rPr>
            </w:pPr>
            <w:r w:rsidRPr="009B6BA8">
              <w:rPr>
                <w:b/>
                <w:sz w:val="20"/>
                <w:szCs w:val="20"/>
              </w:rPr>
              <w:t xml:space="preserve">Hectares of land </w:t>
            </w:r>
            <w:r w:rsidRPr="009B6BA8">
              <w:rPr>
                <w:sz w:val="20"/>
                <w:szCs w:val="20"/>
              </w:rPr>
              <w:t>that are</w:t>
            </w:r>
            <w:r w:rsidRPr="009B6BA8">
              <w:rPr>
                <w:b/>
                <w:sz w:val="20"/>
                <w:szCs w:val="20"/>
              </w:rPr>
              <w:t xml:space="preserve"> managed sustainably </w:t>
            </w:r>
            <w:r w:rsidRPr="009B6BA8">
              <w:rPr>
                <w:sz w:val="20"/>
                <w:szCs w:val="20"/>
              </w:rPr>
              <w:t xml:space="preserve">under an </w:t>
            </w:r>
            <w:r w:rsidRPr="009B6BA8">
              <w:rPr>
                <w:i/>
                <w:sz w:val="20"/>
                <w:szCs w:val="20"/>
              </w:rPr>
              <w:t>in-situ</w:t>
            </w:r>
            <w:r w:rsidRPr="009B6BA8">
              <w:rPr>
                <w:sz w:val="20"/>
                <w:szCs w:val="20"/>
              </w:rPr>
              <w:t xml:space="preserve"> conservation regime,</w:t>
            </w:r>
            <w:r w:rsidRPr="009B6BA8">
              <w:rPr>
                <w:b/>
                <w:sz w:val="20"/>
                <w:szCs w:val="20"/>
              </w:rPr>
              <w:t xml:space="preserve"> </w:t>
            </w:r>
            <w:r w:rsidRPr="009B6BA8">
              <w:rPr>
                <w:sz w:val="20"/>
                <w:szCs w:val="20"/>
              </w:rPr>
              <w:t>a sustainable use regime and</w:t>
            </w:r>
            <w:r w:rsidRPr="009B6BA8">
              <w:rPr>
                <w:b/>
                <w:sz w:val="20"/>
                <w:szCs w:val="20"/>
              </w:rPr>
              <w:t xml:space="preserve"> </w:t>
            </w:r>
            <w:r w:rsidRPr="009B6BA8">
              <w:rPr>
                <w:sz w:val="20"/>
                <w:szCs w:val="20"/>
              </w:rPr>
              <w:t>an a</w:t>
            </w:r>
            <w:r>
              <w:rPr>
                <w:color w:val="000000"/>
                <w:sz w:val="20"/>
                <w:szCs w:val="20"/>
              </w:rPr>
              <w:t xml:space="preserve">ccess and benefits sharing </w:t>
            </w:r>
            <w:r w:rsidRPr="009B6BA8">
              <w:rPr>
                <w:color w:val="000000"/>
                <w:sz w:val="20"/>
                <w:szCs w:val="20"/>
              </w:rPr>
              <w:t>(</w:t>
            </w:r>
            <w:r w:rsidRPr="009B6BA8">
              <w:rPr>
                <w:sz w:val="20"/>
                <w:szCs w:val="20"/>
              </w:rPr>
              <w:t>ABS) regime</w:t>
            </w:r>
          </w:p>
          <w:p w14:paraId="75F0550B" w14:textId="77777777" w:rsidR="009B2487" w:rsidRDefault="009B2487" w:rsidP="006F161D">
            <w:pPr>
              <w:pStyle w:val="ListParagraph"/>
              <w:numPr>
                <w:ilvl w:val="0"/>
                <w:numId w:val="21"/>
              </w:numPr>
              <w:ind w:right="-29"/>
              <w:rPr>
                <w:sz w:val="20"/>
              </w:rPr>
            </w:pPr>
            <w:r w:rsidRPr="00CC1F30">
              <w:rPr>
                <w:sz w:val="20"/>
              </w:rPr>
              <w:t xml:space="preserve">Number of hectares of land managed under an </w:t>
            </w:r>
            <w:r w:rsidRPr="00D24692">
              <w:rPr>
                <w:i/>
                <w:sz w:val="20"/>
              </w:rPr>
              <w:t>in-situ</w:t>
            </w:r>
            <w:r w:rsidRPr="00CC1F30">
              <w:rPr>
                <w:sz w:val="20"/>
              </w:rPr>
              <w:t xml:space="preserve"> conservation regime</w:t>
            </w:r>
          </w:p>
          <w:p w14:paraId="2315D918" w14:textId="77777777" w:rsidR="009B2487" w:rsidRPr="00D4758F" w:rsidRDefault="009B2487" w:rsidP="006F161D">
            <w:pPr>
              <w:pStyle w:val="ListParagraph"/>
              <w:numPr>
                <w:ilvl w:val="0"/>
                <w:numId w:val="21"/>
              </w:numPr>
              <w:ind w:right="-29"/>
              <w:rPr>
                <w:b/>
                <w:sz w:val="18"/>
                <w:szCs w:val="20"/>
              </w:rPr>
            </w:pPr>
            <w:r w:rsidRPr="00CC1F30">
              <w:rPr>
                <w:rFonts w:asciiTheme="minorHAnsi" w:hAnsiTheme="minorHAnsi"/>
                <w:sz w:val="20"/>
              </w:rPr>
              <w:t>Number of hectares of land managed under a sustainable use regime</w:t>
            </w:r>
          </w:p>
          <w:p w14:paraId="18363820" w14:textId="77777777" w:rsidR="009B2487" w:rsidRPr="00CC1F30" w:rsidRDefault="009B2487" w:rsidP="006F161D">
            <w:pPr>
              <w:pStyle w:val="ListParagraph"/>
              <w:numPr>
                <w:ilvl w:val="0"/>
                <w:numId w:val="21"/>
              </w:numPr>
              <w:ind w:right="-29"/>
              <w:rPr>
                <w:b/>
                <w:sz w:val="20"/>
                <w:szCs w:val="20"/>
              </w:rPr>
            </w:pPr>
            <w:r w:rsidRPr="00CC1F30">
              <w:rPr>
                <w:rFonts w:asciiTheme="minorHAnsi" w:hAnsiTheme="minorHAnsi"/>
                <w:sz w:val="20"/>
              </w:rPr>
              <w:t>Number of hectares of land managed under an a</w:t>
            </w:r>
            <w:r w:rsidRPr="00CC1F30">
              <w:rPr>
                <w:color w:val="000000"/>
                <w:sz w:val="20"/>
              </w:rPr>
              <w:t>ccess and benefits sharing (</w:t>
            </w:r>
            <w:r w:rsidRPr="00CC1F30">
              <w:rPr>
                <w:rFonts w:asciiTheme="minorHAnsi" w:hAnsiTheme="minorHAnsi"/>
                <w:sz w:val="20"/>
              </w:rPr>
              <w:t>ABS) regime</w:t>
            </w:r>
          </w:p>
        </w:tc>
        <w:tc>
          <w:tcPr>
            <w:tcW w:w="1983" w:type="dxa"/>
            <w:tcBorders>
              <w:top w:val="single" w:sz="4" w:space="0" w:color="auto"/>
              <w:left w:val="single" w:sz="4" w:space="0" w:color="auto"/>
              <w:right w:val="single" w:sz="4" w:space="0" w:color="auto"/>
            </w:tcBorders>
            <w:shd w:val="clear" w:color="auto" w:fill="auto"/>
          </w:tcPr>
          <w:p w14:paraId="3E98CFB3" w14:textId="35D6A747" w:rsidR="009B2487" w:rsidRPr="005D13C6" w:rsidRDefault="00837A9F" w:rsidP="006F161D">
            <w:pPr>
              <w:pStyle w:val="ListParagraph"/>
              <w:numPr>
                <w:ilvl w:val="0"/>
                <w:numId w:val="22"/>
              </w:numPr>
              <w:rPr>
                <w:sz w:val="20"/>
              </w:rPr>
            </w:pPr>
            <w:r w:rsidRPr="005D13C6">
              <w:rPr>
                <w:b/>
                <w:bCs/>
                <w:sz w:val="20"/>
              </w:rPr>
              <w:t>2.45</w:t>
            </w:r>
            <w:r w:rsidR="009B2487" w:rsidRPr="005D13C6">
              <w:rPr>
                <w:b/>
                <w:bCs/>
                <w:sz w:val="20"/>
              </w:rPr>
              <w:t xml:space="preserve"> </w:t>
            </w:r>
            <w:r w:rsidR="009B2487" w:rsidRPr="005D13C6">
              <w:rPr>
                <w:bCs/>
                <w:sz w:val="20"/>
              </w:rPr>
              <w:t>billion ha</w:t>
            </w:r>
            <w:r w:rsidR="009B2487" w:rsidRPr="005D13C6">
              <w:rPr>
                <w:sz w:val="20"/>
              </w:rPr>
              <w:t xml:space="preserve"> (2013)</w:t>
            </w:r>
          </w:p>
          <w:p w14:paraId="3D28E598" w14:textId="77777777" w:rsidR="009B2487" w:rsidRPr="005D13C6" w:rsidRDefault="009B2487" w:rsidP="006F161D">
            <w:pPr>
              <w:pStyle w:val="ListParagraph"/>
              <w:numPr>
                <w:ilvl w:val="0"/>
                <w:numId w:val="22"/>
              </w:numPr>
              <w:rPr>
                <w:sz w:val="20"/>
              </w:rPr>
            </w:pPr>
            <w:r w:rsidRPr="005D13C6">
              <w:rPr>
                <w:rFonts w:asciiTheme="minorHAnsi" w:hAnsiTheme="minorHAnsi"/>
                <w:b/>
                <w:bCs/>
                <w:sz w:val="20"/>
              </w:rPr>
              <w:t xml:space="preserve">103 </w:t>
            </w:r>
            <w:r w:rsidRPr="005D13C6">
              <w:rPr>
                <w:rFonts w:asciiTheme="minorHAnsi" w:hAnsiTheme="minorHAnsi"/>
                <w:bCs/>
                <w:sz w:val="20"/>
              </w:rPr>
              <w:t>million ha</w:t>
            </w:r>
            <w:r w:rsidRPr="005D13C6">
              <w:rPr>
                <w:rFonts w:asciiTheme="minorHAnsi" w:hAnsiTheme="minorHAnsi"/>
                <w:sz w:val="20"/>
              </w:rPr>
              <w:t xml:space="preserve"> (2013)</w:t>
            </w:r>
          </w:p>
          <w:p w14:paraId="64FCDE58" w14:textId="77777777" w:rsidR="009B2487" w:rsidRPr="005D13C6" w:rsidRDefault="009B2487" w:rsidP="006F161D">
            <w:pPr>
              <w:pStyle w:val="ListParagraph"/>
              <w:numPr>
                <w:ilvl w:val="0"/>
                <w:numId w:val="22"/>
              </w:numPr>
              <w:rPr>
                <w:sz w:val="20"/>
              </w:rPr>
            </w:pPr>
            <w:r w:rsidRPr="005D13C6">
              <w:rPr>
                <w:rFonts w:asciiTheme="minorHAnsi" w:hAnsiTheme="minorHAnsi"/>
                <w:b/>
                <w:sz w:val="20"/>
              </w:rPr>
              <w:t xml:space="preserve">0 </w:t>
            </w:r>
            <w:r w:rsidRPr="005D13C6">
              <w:rPr>
                <w:rFonts w:asciiTheme="minorHAnsi" w:hAnsiTheme="minorHAnsi"/>
                <w:sz w:val="20"/>
              </w:rPr>
              <w:t>ha (2013)</w:t>
            </w:r>
          </w:p>
        </w:tc>
        <w:tc>
          <w:tcPr>
            <w:tcW w:w="1890" w:type="dxa"/>
            <w:tcBorders>
              <w:top w:val="single" w:sz="4" w:space="0" w:color="auto"/>
              <w:left w:val="single" w:sz="4" w:space="0" w:color="auto"/>
              <w:right w:val="single" w:sz="4" w:space="0" w:color="auto"/>
            </w:tcBorders>
          </w:tcPr>
          <w:p w14:paraId="4954BDC6" w14:textId="29EB9399" w:rsidR="00837A9F" w:rsidRPr="005D13C6" w:rsidRDefault="00837A9F" w:rsidP="006F161D">
            <w:pPr>
              <w:pStyle w:val="ListParagraph"/>
              <w:numPr>
                <w:ilvl w:val="0"/>
                <w:numId w:val="61"/>
              </w:numPr>
              <w:rPr>
                <w:sz w:val="20"/>
              </w:rPr>
            </w:pPr>
            <w:r w:rsidRPr="005D13C6">
              <w:rPr>
                <w:b/>
                <w:bCs/>
                <w:sz w:val="20"/>
              </w:rPr>
              <w:t>2.46</w:t>
            </w:r>
            <w:r w:rsidRPr="005D13C6">
              <w:rPr>
                <w:bCs/>
                <w:sz w:val="20"/>
              </w:rPr>
              <w:t xml:space="preserve"> billion ha</w:t>
            </w:r>
            <w:r w:rsidRPr="005D13C6">
              <w:rPr>
                <w:sz w:val="20"/>
              </w:rPr>
              <w:t xml:space="preserve"> (2014)</w:t>
            </w:r>
          </w:p>
          <w:p w14:paraId="25A7A8D6" w14:textId="454B2FB8" w:rsidR="00804656" w:rsidRPr="005D13C6" w:rsidRDefault="00804656" w:rsidP="006F161D">
            <w:pPr>
              <w:pStyle w:val="ListParagraph"/>
              <w:numPr>
                <w:ilvl w:val="0"/>
                <w:numId w:val="61"/>
              </w:numPr>
              <w:rPr>
                <w:sz w:val="20"/>
              </w:rPr>
            </w:pPr>
            <w:r w:rsidRPr="005D13C6">
              <w:rPr>
                <w:sz w:val="20"/>
                <w:szCs w:val="20"/>
              </w:rPr>
              <w:t>Not yet available</w:t>
            </w:r>
          </w:p>
          <w:p w14:paraId="0D05830C" w14:textId="14CDB458" w:rsidR="00BE75CD" w:rsidRPr="005D13C6" w:rsidRDefault="00804656" w:rsidP="006F161D">
            <w:pPr>
              <w:pStyle w:val="ListParagraph"/>
              <w:numPr>
                <w:ilvl w:val="0"/>
                <w:numId w:val="61"/>
              </w:numPr>
              <w:rPr>
                <w:sz w:val="20"/>
              </w:rPr>
            </w:pPr>
            <w:r w:rsidRPr="005D13C6">
              <w:rPr>
                <w:sz w:val="20"/>
                <w:szCs w:val="20"/>
              </w:rPr>
              <w:t>Not yet available</w:t>
            </w:r>
          </w:p>
        </w:tc>
        <w:tc>
          <w:tcPr>
            <w:tcW w:w="1983" w:type="dxa"/>
            <w:tcBorders>
              <w:top w:val="single" w:sz="4" w:space="0" w:color="auto"/>
              <w:left w:val="single" w:sz="4" w:space="0" w:color="auto"/>
              <w:right w:val="single" w:sz="4" w:space="0" w:color="auto"/>
            </w:tcBorders>
            <w:shd w:val="clear" w:color="auto" w:fill="auto"/>
          </w:tcPr>
          <w:p w14:paraId="53EAC5E9" w14:textId="679CFF92" w:rsidR="009B2487" w:rsidRPr="00600446" w:rsidRDefault="009B2487" w:rsidP="005E0294">
            <w:pPr>
              <w:spacing w:after="0" w:line="240" w:lineRule="auto"/>
              <w:rPr>
                <w:sz w:val="20"/>
              </w:rPr>
            </w:pPr>
            <w:r w:rsidRPr="00600446">
              <w:rPr>
                <w:sz w:val="20"/>
              </w:rPr>
              <w:t>Direction of travel based on past trend:</w:t>
            </w:r>
          </w:p>
          <w:p w14:paraId="7A15E4BA" w14:textId="77777777" w:rsidR="00804656" w:rsidRPr="00600446" w:rsidRDefault="00804656" w:rsidP="006F161D">
            <w:pPr>
              <w:pStyle w:val="ListParagraph"/>
              <w:numPr>
                <w:ilvl w:val="0"/>
                <w:numId w:val="23"/>
              </w:numPr>
              <w:rPr>
                <w:sz w:val="20"/>
                <w:szCs w:val="20"/>
              </w:rPr>
            </w:pPr>
            <w:r w:rsidRPr="00600446">
              <w:rPr>
                <w:rFonts w:asciiTheme="minorHAnsi" w:hAnsiTheme="minorHAnsi"/>
                <w:b/>
                <w:bCs/>
                <w:sz w:val="20"/>
              </w:rPr>
              <w:t xml:space="preserve">Increase </w:t>
            </w:r>
            <w:r w:rsidRPr="00600446">
              <w:rPr>
                <w:rFonts w:asciiTheme="minorHAnsi" w:hAnsiTheme="minorHAnsi"/>
                <w:bCs/>
                <w:sz w:val="20"/>
              </w:rPr>
              <w:t>in area</w:t>
            </w:r>
          </w:p>
          <w:p w14:paraId="46796F26" w14:textId="77777777" w:rsidR="009B2487" w:rsidRPr="00600446" w:rsidRDefault="009B2487" w:rsidP="006F161D">
            <w:pPr>
              <w:pStyle w:val="ListParagraph"/>
              <w:numPr>
                <w:ilvl w:val="0"/>
                <w:numId w:val="23"/>
              </w:numPr>
              <w:rPr>
                <w:sz w:val="20"/>
                <w:szCs w:val="20"/>
              </w:rPr>
            </w:pPr>
            <w:r w:rsidRPr="00600446">
              <w:rPr>
                <w:rFonts w:asciiTheme="minorHAnsi" w:hAnsiTheme="minorHAnsi"/>
                <w:b/>
                <w:bCs/>
                <w:sz w:val="20"/>
              </w:rPr>
              <w:t xml:space="preserve">Increase </w:t>
            </w:r>
            <w:r w:rsidRPr="00600446">
              <w:rPr>
                <w:rFonts w:asciiTheme="minorHAnsi" w:hAnsiTheme="minorHAnsi"/>
                <w:bCs/>
                <w:sz w:val="20"/>
              </w:rPr>
              <w:t>in area</w:t>
            </w:r>
          </w:p>
          <w:p w14:paraId="3BA9CE76" w14:textId="77777777" w:rsidR="009B2487" w:rsidRPr="00600446" w:rsidRDefault="009B2487" w:rsidP="006F161D">
            <w:pPr>
              <w:pStyle w:val="ListParagraph"/>
              <w:numPr>
                <w:ilvl w:val="0"/>
                <w:numId w:val="23"/>
              </w:numPr>
              <w:rPr>
                <w:sz w:val="20"/>
                <w:szCs w:val="20"/>
              </w:rPr>
            </w:pPr>
            <w:r w:rsidRPr="00600446">
              <w:rPr>
                <w:rFonts w:asciiTheme="minorHAnsi" w:hAnsiTheme="minorHAnsi"/>
                <w:b/>
                <w:bCs/>
                <w:sz w:val="20"/>
              </w:rPr>
              <w:t xml:space="preserve">Increase </w:t>
            </w:r>
            <w:r w:rsidRPr="00600446">
              <w:rPr>
                <w:rFonts w:asciiTheme="minorHAnsi" w:hAnsiTheme="minorHAnsi"/>
                <w:bCs/>
                <w:sz w:val="20"/>
              </w:rPr>
              <w:t>in area</w:t>
            </w:r>
          </w:p>
        </w:tc>
      </w:tr>
      <w:tr w:rsidR="00F77C68" w:rsidRPr="002C5BFD" w14:paraId="55D30533" w14:textId="77777777" w:rsidTr="0053534C">
        <w:trPr>
          <w:cantSplit/>
          <w:trHeight w:val="494"/>
          <w:jc w:val="center"/>
        </w:trPr>
        <w:tc>
          <w:tcPr>
            <w:tcW w:w="445" w:type="dxa"/>
            <w:vMerge/>
            <w:tcBorders>
              <w:left w:val="single" w:sz="4" w:space="0" w:color="auto"/>
              <w:right w:val="single" w:sz="4" w:space="0" w:color="auto"/>
            </w:tcBorders>
            <w:shd w:val="clear" w:color="auto" w:fill="auto"/>
          </w:tcPr>
          <w:p w14:paraId="6245D50A" w14:textId="77777777" w:rsidR="00F77C68" w:rsidRPr="00A512C1" w:rsidRDefault="00F77C68" w:rsidP="005E0294">
            <w:pPr>
              <w:spacing w:after="0" w:line="240" w:lineRule="auto"/>
              <w:ind w:right="-29"/>
              <w:rPr>
                <w:b/>
                <w:sz w:val="20"/>
              </w:rPr>
            </w:pPr>
          </w:p>
        </w:tc>
        <w:tc>
          <w:tcPr>
            <w:tcW w:w="14403" w:type="dxa"/>
            <w:gridSpan w:val="4"/>
            <w:tcBorders>
              <w:left w:val="single" w:sz="4" w:space="0" w:color="auto"/>
              <w:right w:val="single" w:sz="4" w:space="0" w:color="auto"/>
            </w:tcBorders>
            <w:shd w:val="clear" w:color="auto" w:fill="D9D9D9" w:themeFill="background1" w:themeFillShade="D9"/>
          </w:tcPr>
          <w:p w14:paraId="2C0AD11A" w14:textId="273BEE2B" w:rsidR="00F77C68" w:rsidRPr="00D649BC" w:rsidRDefault="00F77C68" w:rsidP="00D649BC">
            <w:pPr>
              <w:spacing w:after="0" w:line="240" w:lineRule="auto"/>
              <w:ind w:left="180" w:hanging="180"/>
              <w:jc w:val="both"/>
              <w:rPr>
                <w:rFonts w:eastAsia="Calibri" w:cs="Arial"/>
                <w:sz w:val="18"/>
                <w:szCs w:val="18"/>
              </w:rPr>
            </w:pPr>
            <w:r w:rsidRPr="00D649BC">
              <w:rPr>
                <w:rFonts w:eastAsia="Calibri" w:cs="Arial"/>
                <w:b/>
                <w:sz w:val="18"/>
                <w:szCs w:val="18"/>
              </w:rPr>
              <w:t>a) Source</w:t>
            </w:r>
            <w:r w:rsidRPr="00D649BC">
              <w:rPr>
                <w:rFonts w:eastAsia="Calibri" w:cs="Arial"/>
                <w:sz w:val="18"/>
                <w:szCs w:val="18"/>
              </w:rPr>
              <w:t>: UNDP estimate based on World Databa</w:t>
            </w:r>
            <w:r w:rsidR="00804656" w:rsidRPr="00D649BC">
              <w:rPr>
                <w:rFonts w:eastAsia="Calibri" w:cs="Arial"/>
                <w:sz w:val="18"/>
                <w:szCs w:val="18"/>
              </w:rPr>
              <w:t xml:space="preserve">se on Protected Areas </w:t>
            </w:r>
            <w:r w:rsidRPr="00D649BC">
              <w:rPr>
                <w:rFonts w:eastAsia="Calibri" w:cs="Arial"/>
                <w:sz w:val="18"/>
                <w:szCs w:val="18"/>
              </w:rPr>
              <w:t xml:space="preserve">for </w:t>
            </w:r>
            <w:r w:rsidR="00804656" w:rsidRPr="00D649BC">
              <w:rPr>
                <w:rFonts w:eastAsia="Calibri" w:cs="Arial"/>
                <w:sz w:val="18"/>
                <w:szCs w:val="18"/>
              </w:rPr>
              <w:t>146</w:t>
            </w:r>
            <w:r w:rsidRPr="00D649BC">
              <w:rPr>
                <w:rFonts w:eastAsia="Calibri" w:cs="Arial"/>
                <w:sz w:val="18"/>
                <w:szCs w:val="18"/>
              </w:rPr>
              <w:t xml:space="preserve"> UNDP program</w:t>
            </w:r>
            <w:r w:rsidR="007F1E65">
              <w:rPr>
                <w:rFonts w:eastAsia="Calibri" w:cs="Arial"/>
                <w:sz w:val="18"/>
                <w:szCs w:val="18"/>
              </w:rPr>
              <w:t xml:space="preserve">me countries. </w:t>
            </w:r>
            <w:r w:rsidR="00804656" w:rsidRPr="00D649BC">
              <w:rPr>
                <w:rFonts w:eastAsia="Calibri" w:cs="Arial"/>
                <w:sz w:val="18"/>
                <w:szCs w:val="18"/>
              </w:rPr>
              <w:t>Reference target:</w:t>
            </w:r>
            <w:r w:rsidRPr="00D649BC">
              <w:rPr>
                <w:rFonts w:eastAsia="Calibri" w:cs="Arial"/>
                <w:sz w:val="18"/>
                <w:szCs w:val="18"/>
              </w:rPr>
              <w:t xml:space="preserve"> Aichi Target 11 (By 2020, at least 17 per cent of terrestrial and inland water areas and 10 per cent of coastal and marine areas…) and information from the Convention on Biological Diversity.</w:t>
            </w:r>
          </w:p>
          <w:p w14:paraId="36049E93" w14:textId="61F5B6B0" w:rsidR="00F77C68" w:rsidRPr="00D649BC" w:rsidRDefault="00F77C68" w:rsidP="00D649BC">
            <w:pPr>
              <w:spacing w:after="0" w:line="240" w:lineRule="auto"/>
              <w:ind w:left="180" w:hanging="180"/>
              <w:rPr>
                <w:rFonts w:eastAsia="Calibri" w:cs="Arial"/>
                <w:sz w:val="18"/>
                <w:szCs w:val="18"/>
              </w:rPr>
            </w:pPr>
            <w:r w:rsidRPr="00D649BC">
              <w:rPr>
                <w:rFonts w:eastAsia="Calibri" w:cs="Arial"/>
                <w:b/>
                <w:sz w:val="18"/>
                <w:szCs w:val="18"/>
              </w:rPr>
              <w:t>b) Source</w:t>
            </w:r>
            <w:r w:rsidRPr="00D649BC">
              <w:rPr>
                <w:rFonts w:eastAsia="Calibri" w:cs="Arial"/>
                <w:sz w:val="18"/>
                <w:szCs w:val="18"/>
              </w:rPr>
              <w:t>: UNDP estimate based on data from Organic World Net (2011) and Forest Stewardship Council (FSC) (2013) for 119 UNDP programme countries. UNDP monitor</w:t>
            </w:r>
            <w:r w:rsidR="007F1E65">
              <w:rPr>
                <w:rFonts w:eastAsia="Calibri" w:cs="Arial"/>
                <w:sz w:val="18"/>
                <w:szCs w:val="18"/>
              </w:rPr>
              <w:t>s</w:t>
            </w:r>
            <w:r w:rsidRPr="00D649BC">
              <w:rPr>
                <w:rFonts w:eastAsia="Calibri" w:cs="Arial"/>
                <w:sz w:val="18"/>
                <w:szCs w:val="18"/>
              </w:rPr>
              <w:t xml:space="preserve"> this indicator </w:t>
            </w:r>
            <w:r w:rsidR="007F1E65">
              <w:rPr>
                <w:rFonts w:eastAsia="Calibri" w:cs="Arial"/>
                <w:sz w:val="18"/>
                <w:szCs w:val="18"/>
              </w:rPr>
              <w:t>on the basis of a</w:t>
            </w:r>
            <w:r w:rsidRPr="00D649BC">
              <w:rPr>
                <w:rFonts w:eastAsia="Calibri" w:cs="Arial"/>
                <w:sz w:val="18"/>
                <w:szCs w:val="18"/>
              </w:rPr>
              <w:t xml:space="preserve"> direction of travel</w:t>
            </w:r>
            <w:r w:rsidR="007F1E65">
              <w:rPr>
                <w:rFonts w:eastAsia="Calibri" w:cs="Arial"/>
                <w:sz w:val="18"/>
                <w:szCs w:val="18"/>
              </w:rPr>
              <w:t xml:space="preserve"> target </w:t>
            </w:r>
            <w:r w:rsidRPr="00D649BC">
              <w:rPr>
                <w:rFonts w:eastAsia="Calibri" w:cs="Arial"/>
                <w:sz w:val="18"/>
                <w:szCs w:val="18"/>
              </w:rPr>
              <w:t xml:space="preserve">(increase) as there is no internationally agreed spatial target for sustainable use. The relevant Aichi Target (#7) speaks only of sustainable management, without a numerical target. </w:t>
            </w:r>
          </w:p>
          <w:p w14:paraId="11F54694" w14:textId="294AA4AD" w:rsidR="00F77C68" w:rsidRPr="00D649BC" w:rsidRDefault="00F77C68" w:rsidP="00D649BC">
            <w:pPr>
              <w:spacing w:after="0" w:line="240" w:lineRule="auto"/>
              <w:ind w:left="180" w:hanging="180"/>
              <w:rPr>
                <w:rFonts w:eastAsia="Calibri" w:cs="Arial"/>
                <w:sz w:val="18"/>
                <w:szCs w:val="18"/>
              </w:rPr>
            </w:pPr>
            <w:r w:rsidRPr="00D649BC">
              <w:rPr>
                <w:rFonts w:eastAsia="Calibri" w:cs="Arial"/>
                <w:b/>
                <w:sz w:val="18"/>
                <w:szCs w:val="18"/>
              </w:rPr>
              <w:t>c) Source</w:t>
            </w:r>
            <w:r w:rsidRPr="00D649BC">
              <w:rPr>
                <w:rFonts w:eastAsia="Calibri" w:cs="Arial"/>
                <w:sz w:val="18"/>
                <w:szCs w:val="18"/>
              </w:rPr>
              <w:t>:</w:t>
            </w:r>
            <w:r w:rsidRPr="00D649BC">
              <w:rPr>
                <w:rFonts w:eastAsia="Calibri" w:cs="Arial"/>
                <w:b/>
                <w:sz w:val="18"/>
                <w:szCs w:val="18"/>
              </w:rPr>
              <w:t xml:space="preserve"> </w:t>
            </w:r>
            <w:r w:rsidRPr="00D649BC">
              <w:rPr>
                <w:rFonts w:eastAsia="Calibri" w:cs="Arial"/>
                <w:sz w:val="18"/>
                <w:szCs w:val="18"/>
              </w:rPr>
              <w:t xml:space="preserve">UNDP estimate based on Global Environment Facility (GEF)-UNDP portfolio. Baseline </w:t>
            </w:r>
            <w:r w:rsidR="007F1E65">
              <w:rPr>
                <w:rFonts w:eastAsia="Calibri" w:cs="Arial"/>
                <w:sz w:val="18"/>
                <w:szCs w:val="18"/>
              </w:rPr>
              <w:t>reflects</w:t>
            </w:r>
            <w:r w:rsidRPr="00D649BC">
              <w:rPr>
                <w:rFonts w:eastAsia="Calibri" w:cs="Arial"/>
                <w:sz w:val="18"/>
                <w:szCs w:val="18"/>
              </w:rPr>
              <w:t xml:space="preserve"> the fact th</w:t>
            </w:r>
            <w:r w:rsidR="007F1E65">
              <w:rPr>
                <w:rFonts w:eastAsia="Calibri" w:cs="Arial"/>
                <w:sz w:val="18"/>
                <w:szCs w:val="18"/>
              </w:rPr>
              <w:t>at</w:t>
            </w:r>
            <w:r w:rsidRPr="00D649BC">
              <w:rPr>
                <w:rFonts w:eastAsia="Calibri" w:cs="Arial"/>
                <w:sz w:val="18"/>
                <w:szCs w:val="18"/>
              </w:rPr>
              <w:t xml:space="preserve"> work in ABS was in nascent stages in 2013, and therefore </w:t>
            </w:r>
            <w:r w:rsidR="007F1E65">
              <w:rPr>
                <w:rFonts w:eastAsia="Calibri" w:cs="Arial"/>
                <w:sz w:val="18"/>
                <w:szCs w:val="18"/>
              </w:rPr>
              <w:t xml:space="preserve">2013 </w:t>
            </w:r>
            <w:r w:rsidRPr="00D649BC">
              <w:rPr>
                <w:rFonts w:eastAsia="Calibri" w:cs="Arial"/>
                <w:sz w:val="18"/>
                <w:szCs w:val="18"/>
              </w:rPr>
              <w:t>coverage c</w:t>
            </w:r>
            <w:r w:rsidR="007F1E65">
              <w:rPr>
                <w:rFonts w:eastAsia="Calibri" w:cs="Arial"/>
                <w:sz w:val="18"/>
                <w:szCs w:val="18"/>
              </w:rPr>
              <w:t>ould</w:t>
            </w:r>
            <w:r w:rsidRPr="00D649BC">
              <w:rPr>
                <w:rFonts w:eastAsia="Calibri" w:cs="Arial"/>
                <w:sz w:val="18"/>
                <w:szCs w:val="18"/>
              </w:rPr>
              <w:t xml:space="preserve"> conservatively be </w:t>
            </w:r>
            <w:r w:rsidR="007F1E65">
              <w:rPr>
                <w:rFonts w:eastAsia="Calibri" w:cs="Arial"/>
                <w:sz w:val="18"/>
                <w:szCs w:val="18"/>
              </w:rPr>
              <w:t>estimated</w:t>
            </w:r>
            <w:r w:rsidRPr="00D649BC">
              <w:rPr>
                <w:rFonts w:eastAsia="Calibri" w:cs="Arial"/>
                <w:sz w:val="18"/>
                <w:szCs w:val="18"/>
              </w:rPr>
              <w:t xml:space="preserve"> </w:t>
            </w:r>
            <w:r w:rsidR="007F1E65">
              <w:rPr>
                <w:rFonts w:eastAsia="Calibri" w:cs="Arial"/>
                <w:sz w:val="18"/>
                <w:szCs w:val="18"/>
              </w:rPr>
              <w:t>as</w:t>
            </w:r>
            <w:r w:rsidRPr="00D649BC">
              <w:rPr>
                <w:rFonts w:eastAsia="Calibri" w:cs="Arial"/>
                <w:sz w:val="18"/>
                <w:szCs w:val="18"/>
              </w:rPr>
              <w:t xml:space="preserve"> 0 ha.</w:t>
            </w:r>
            <w:r w:rsidRPr="00D649BC">
              <w:rPr>
                <w:rFonts w:eastAsia="Calibri" w:cs="Arial"/>
                <w:b/>
                <w:sz w:val="18"/>
                <w:szCs w:val="18"/>
              </w:rPr>
              <w:t xml:space="preserve"> </w:t>
            </w:r>
            <w:r w:rsidRPr="00D649BC">
              <w:rPr>
                <w:rFonts w:eastAsia="Calibri" w:cs="Arial"/>
                <w:sz w:val="18"/>
                <w:szCs w:val="18"/>
              </w:rPr>
              <w:t xml:space="preserve">Direction of travel only for monitoring (increase) since there is no internationally agreed spatial target for ABS. The relevant Aichi Target (#16) speaks only of the adoption of the Nagoya Protocol, without a numerical target. </w:t>
            </w:r>
          </w:p>
          <w:p w14:paraId="6A4435DB" w14:textId="001EE88D" w:rsidR="009D5E3A" w:rsidRPr="00D649BC" w:rsidRDefault="00804656" w:rsidP="00F4280F">
            <w:pPr>
              <w:spacing w:after="0" w:line="240" w:lineRule="auto"/>
              <w:rPr>
                <w:rFonts w:eastAsia="Calibri" w:cs="Arial"/>
                <w:sz w:val="18"/>
                <w:szCs w:val="18"/>
              </w:rPr>
            </w:pPr>
            <w:r w:rsidRPr="00D649BC">
              <w:rPr>
                <w:rFonts w:eastAsia="Calibri"/>
                <w:b/>
                <w:sz w:val="18"/>
                <w:szCs w:val="18"/>
              </w:rPr>
              <w:t xml:space="preserve">2014 Reporting Note: </w:t>
            </w:r>
            <w:r w:rsidRPr="00D649BC">
              <w:rPr>
                <w:rFonts w:eastAsia="Calibri"/>
                <w:sz w:val="18"/>
                <w:szCs w:val="18"/>
              </w:rPr>
              <w:t>a) Baseline updated with new data up to 2013. Previous value (2010) a) 1.3 billion ha. The difference is explained by the fact that the database on protected areas was significantly updated.</w:t>
            </w:r>
          </w:p>
        </w:tc>
      </w:tr>
    </w:tbl>
    <w:p w14:paraId="1A365BCC" w14:textId="77777777" w:rsidR="007F1E65" w:rsidRDefault="007F1E65">
      <w:r>
        <w:br w:type="page"/>
      </w:r>
    </w:p>
    <w:tbl>
      <w:tblPr>
        <w:tblW w:w="14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860"/>
        <w:gridCol w:w="5437"/>
        <w:gridCol w:w="1525"/>
        <w:gridCol w:w="1265"/>
        <w:gridCol w:w="1263"/>
        <w:gridCol w:w="1803"/>
      </w:tblGrid>
      <w:tr w:rsidR="00925A24" w:rsidRPr="00283732" w14:paraId="5701098B" w14:textId="77777777" w:rsidTr="00BC2597">
        <w:trPr>
          <w:trHeight w:val="485"/>
          <w:jc w:val="center"/>
        </w:trPr>
        <w:tc>
          <w:tcPr>
            <w:tcW w:w="2695" w:type="dxa"/>
            <w:vMerge w:val="restart"/>
            <w:tcBorders>
              <w:top w:val="single" w:sz="4" w:space="0" w:color="auto"/>
              <w:left w:val="single" w:sz="4" w:space="0" w:color="auto"/>
              <w:right w:val="single" w:sz="4" w:space="0" w:color="auto"/>
            </w:tcBorders>
            <w:shd w:val="clear" w:color="auto" w:fill="DAEEF3"/>
            <w:hideMark/>
          </w:tcPr>
          <w:p w14:paraId="1B7B4BEC" w14:textId="2F9C4CAD" w:rsidR="00925A24" w:rsidRPr="00A512C1" w:rsidRDefault="00925A24" w:rsidP="005E0294">
            <w:pPr>
              <w:spacing w:after="0" w:line="240" w:lineRule="auto"/>
              <w:rPr>
                <w:rFonts w:eastAsia="Calibri"/>
                <w:i/>
                <w:sz w:val="20"/>
              </w:rPr>
            </w:pPr>
            <w:r w:rsidRPr="00A512C1">
              <w:rPr>
                <w:rFonts w:eastAsia="Calibri"/>
                <w:sz w:val="20"/>
              </w:rPr>
              <w:br w:type="page"/>
            </w:r>
            <w:r w:rsidRPr="00A512C1">
              <w:rPr>
                <w:rFonts w:eastAsia="Calibri"/>
                <w:b/>
                <w:sz w:val="20"/>
              </w:rPr>
              <w:t>Output</w:t>
            </w:r>
            <w:r w:rsidRPr="00A512C1">
              <w:rPr>
                <w:rFonts w:eastAsia="Calibri"/>
                <w:i/>
                <w:sz w:val="20"/>
              </w:rPr>
              <w:t xml:space="preserve"> </w:t>
            </w:r>
            <w:r w:rsidRPr="00B2372F">
              <w:rPr>
                <w:rFonts w:ascii="Calibri" w:eastAsia="Calibri" w:hAnsi="Calibri"/>
                <w:i/>
                <w:sz w:val="18"/>
                <w:szCs w:val="18"/>
              </w:rPr>
              <w:t>(UNDP provides specific support for the following results, based on national demand)</w:t>
            </w:r>
          </w:p>
        </w:tc>
        <w:tc>
          <w:tcPr>
            <w:tcW w:w="6297" w:type="dxa"/>
            <w:gridSpan w:val="2"/>
            <w:vMerge w:val="restart"/>
            <w:tcBorders>
              <w:top w:val="single" w:sz="4" w:space="0" w:color="auto"/>
              <w:left w:val="single" w:sz="4" w:space="0" w:color="auto"/>
              <w:right w:val="single" w:sz="4" w:space="0" w:color="auto"/>
            </w:tcBorders>
            <w:shd w:val="clear" w:color="auto" w:fill="DAEEF3"/>
            <w:hideMark/>
          </w:tcPr>
          <w:p w14:paraId="641C60C4" w14:textId="5AB66801" w:rsidR="001F5104" w:rsidRPr="001F5104" w:rsidRDefault="00925A24" w:rsidP="005E0294">
            <w:pPr>
              <w:spacing w:after="0" w:line="240" w:lineRule="auto"/>
              <w:rPr>
                <w:rFonts w:ascii="Calibri" w:eastAsia="Calibri" w:hAnsi="Calibri"/>
                <w:i/>
                <w:sz w:val="18"/>
                <w:szCs w:val="18"/>
              </w:rPr>
            </w:pPr>
            <w:r w:rsidRPr="00A512C1">
              <w:rPr>
                <w:rFonts w:eastAsia="Calibri"/>
                <w:b/>
                <w:sz w:val="20"/>
              </w:rPr>
              <w:t xml:space="preserve">Output Indicator </w:t>
            </w:r>
            <w:r w:rsidRPr="00B2372F">
              <w:rPr>
                <w:rFonts w:ascii="Calibri" w:eastAsia="Calibri" w:hAnsi="Calibri"/>
                <w:i/>
                <w:sz w:val="18"/>
                <w:szCs w:val="18"/>
              </w:rPr>
              <w:t xml:space="preserve">(output indicators measure only those results which are </w:t>
            </w:r>
            <w:r w:rsidRPr="002339B0">
              <w:rPr>
                <w:rFonts w:ascii="Calibri" w:eastAsia="Calibri" w:hAnsi="Calibri"/>
                <w:i/>
                <w:sz w:val="18"/>
                <w:szCs w:val="18"/>
                <w:u w:val="single"/>
              </w:rPr>
              <w:t xml:space="preserve">specifically </w:t>
            </w:r>
            <w:r w:rsidRPr="00B2372F">
              <w:rPr>
                <w:rFonts w:ascii="Calibri" w:eastAsia="Calibri" w:hAnsi="Calibri"/>
                <w:i/>
                <w:sz w:val="18"/>
                <w:szCs w:val="18"/>
                <w:u w:val="single"/>
              </w:rPr>
              <w:t>supported</w:t>
            </w:r>
            <w:r w:rsidRPr="00B2372F">
              <w:rPr>
                <w:rFonts w:ascii="Calibri" w:eastAsia="Calibri" w:hAnsi="Calibri"/>
                <w:i/>
                <w:sz w:val="18"/>
                <w:szCs w:val="18"/>
              </w:rPr>
              <w:t xml:space="preserve"> by UNDP, in response to demand from programme countries</w:t>
            </w:r>
            <w:r w:rsidR="001F5104">
              <w:rPr>
                <w:rFonts w:ascii="Calibri" w:eastAsia="Calibri" w:hAnsi="Calibri"/>
                <w:i/>
                <w:sz w:val="18"/>
                <w:szCs w:val="18"/>
              </w:rPr>
              <w:t>)</w:t>
            </w:r>
          </w:p>
        </w:tc>
        <w:tc>
          <w:tcPr>
            <w:tcW w:w="1525" w:type="dxa"/>
            <w:vMerge w:val="restart"/>
            <w:tcBorders>
              <w:top w:val="single" w:sz="4" w:space="0" w:color="auto"/>
              <w:left w:val="single" w:sz="4" w:space="0" w:color="auto"/>
              <w:right w:val="single" w:sz="4" w:space="0" w:color="auto"/>
            </w:tcBorders>
            <w:shd w:val="clear" w:color="auto" w:fill="DAEEF3"/>
          </w:tcPr>
          <w:p w14:paraId="2FB93CB6" w14:textId="7FDBD11A" w:rsidR="00925A24" w:rsidRPr="00A512C1" w:rsidRDefault="00925A24" w:rsidP="00922506">
            <w:pPr>
              <w:spacing w:after="0" w:line="240" w:lineRule="auto"/>
              <w:jc w:val="center"/>
              <w:rPr>
                <w:rFonts w:eastAsia="Calibri"/>
                <w:b/>
                <w:sz w:val="20"/>
              </w:rPr>
            </w:pPr>
            <w:r w:rsidRPr="00A512C1">
              <w:rPr>
                <w:rFonts w:eastAsia="Calibri"/>
                <w:b/>
                <w:sz w:val="20"/>
              </w:rPr>
              <w:t>Baseline</w:t>
            </w:r>
            <w:r>
              <w:rPr>
                <w:rFonts w:eastAsia="Calibri"/>
                <w:b/>
                <w:sz w:val="20"/>
              </w:rPr>
              <w:t xml:space="preserve"> </w:t>
            </w:r>
          </w:p>
        </w:tc>
        <w:tc>
          <w:tcPr>
            <w:tcW w:w="2528" w:type="dxa"/>
            <w:gridSpan w:val="2"/>
            <w:tcBorders>
              <w:top w:val="single" w:sz="4" w:space="0" w:color="auto"/>
              <w:left w:val="single" w:sz="4" w:space="0" w:color="auto"/>
              <w:bottom w:val="single" w:sz="4" w:space="0" w:color="auto"/>
              <w:right w:val="single" w:sz="4" w:space="0" w:color="auto"/>
            </w:tcBorders>
            <w:shd w:val="clear" w:color="auto" w:fill="DAEEF3"/>
          </w:tcPr>
          <w:p w14:paraId="66C83977" w14:textId="5548BF3A" w:rsidR="00925A24" w:rsidRPr="00A512C1" w:rsidRDefault="00925A24" w:rsidP="00BC2597">
            <w:pPr>
              <w:spacing w:after="0" w:line="240" w:lineRule="auto"/>
              <w:jc w:val="center"/>
              <w:rPr>
                <w:rFonts w:eastAsia="Calibri"/>
                <w:b/>
                <w:sz w:val="20"/>
              </w:rPr>
            </w:pPr>
            <w:r w:rsidRPr="00A512C1">
              <w:rPr>
                <w:rFonts w:eastAsia="Calibri"/>
                <w:b/>
                <w:sz w:val="20"/>
              </w:rPr>
              <w:t>Milestones</w:t>
            </w:r>
          </w:p>
        </w:tc>
        <w:tc>
          <w:tcPr>
            <w:tcW w:w="1803" w:type="dxa"/>
            <w:tcBorders>
              <w:top w:val="single" w:sz="4" w:space="0" w:color="auto"/>
              <w:left w:val="single" w:sz="4" w:space="0" w:color="auto"/>
              <w:right w:val="single" w:sz="4" w:space="0" w:color="auto"/>
            </w:tcBorders>
            <w:shd w:val="clear" w:color="auto" w:fill="DAEEF3"/>
          </w:tcPr>
          <w:p w14:paraId="11788132" w14:textId="62DCECEF" w:rsidR="00925A24" w:rsidRPr="00A512C1" w:rsidRDefault="00925A24" w:rsidP="00BC2597">
            <w:pPr>
              <w:spacing w:after="0" w:line="240" w:lineRule="auto"/>
              <w:jc w:val="center"/>
              <w:rPr>
                <w:rFonts w:eastAsia="Calibri"/>
                <w:b/>
                <w:sz w:val="20"/>
              </w:rPr>
            </w:pPr>
            <w:r w:rsidRPr="00A512C1">
              <w:rPr>
                <w:rFonts w:eastAsia="Calibri"/>
                <w:b/>
                <w:sz w:val="20"/>
              </w:rPr>
              <w:t>Target</w:t>
            </w:r>
          </w:p>
        </w:tc>
      </w:tr>
      <w:tr w:rsidR="00925A24" w:rsidRPr="00283732" w14:paraId="1037B24D" w14:textId="77777777" w:rsidTr="00BC2597">
        <w:trPr>
          <w:trHeight w:val="260"/>
          <w:jc w:val="center"/>
        </w:trPr>
        <w:tc>
          <w:tcPr>
            <w:tcW w:w="2695" w:type="dxa"/>
            <w:vMerge/>
            <w:tcBorders>
              <w:left w:val="single" w:sz="4" w:space="0" w:color="auto"/>
              <w:right w:val="single" w:sz="4" w:space="0" w:color="auto"/>
            </w:tcBorders>
            <w:shd w:val="clear" w:color="auto" w:fill="DAEEF3"/>
          </w:tcPr>
          <w:p w14:paraId="4DA15769" w14:textId="34FC089F" w:rsidR="00925A24" w:rsidRPr="00A512C1" w:rsidRDefault="00925A24" w:rsidP="005E0294">
            <w:pPr>
              <w:spacing w:after="0" w:line="240" w:lineRule="auto"/>
              <w:rPr>
                <w:rFonts w:eastAsia="Calibri"/>
                <w:sz w:val="20"/>
              </w:rPr>
            </w:pPr>
          </w:p>
        </w:tc>
        <w:tc>
          <w:tcPr>
            <w:tcW w:w="6297" w:type="dxa"/>
            <w:gridSpan w:val="2"/>
            <w:vMerge/>
            <w:tcBorders>
              <w:left w:val="single" w:sz="4" w:space="0" w:color="auto"/>
              <w:right w:val="single" w:sz="4" w:space="0" w:color="auto"/>
            </w:tcBorders>
            <w:shd w:val="clear" w:color="auto" w:fill="DAEEF3"/>
          </w:tcPr>
          <w:p w14:paraId="41A33B66" w14:textId="77777777" w:rsidR="00925A24" w:rsidRPr="00A512C1" w:rsidRDefault="00925A24" w:rsidP="005E0294">
            <w:pPr>
              <w:spacing w:after="0" w:line="240" w:lineRule="auto"/>
              <w:rPr>
                <w:rFonts w:eastAsia="Calibri"/>
                <w:b/>
                <w:sz w:val="20"/>
              </w:rPr>
            </w:pPr>
          </w:p>
        </w:tc>
        <w:tc>
          <w:tcPr>
            <w:tcW w:w="1525" w:type="dxa"/>
            <w:vMerge/>
            <w:tcBorders>
              <w:left w:val="single" w:sz="4" w:space="0" w:color="auto"/>
              <w:bottom w:val="single" w:sz="4" w:space="0" w:color="auto"/>
              <w:right w:val="single" w:sz="4" w:space="0" w:color="auto"/>
            </w:tcBorders>
            <w:shd w:val="clear" w:color="auto" w:fill="DAEEF3"/>
          </w:tcPr>
          <w:p w14:paraId="2E2A933E" w14:textId="77777777" w:rsidR="00925A24" w:rsidRPr="00A512C1" w:rsidRDefault="00925A24" w:rsidP="005E2995">
            <w:pPr>
              <w:spacing w:after="0" w:line="240" w:lineRule="auto"/>
              <w:jc w:val="center"/>
              <w:rPr>
                <w:rFonts w:eastAsia="Calibri"/>
                <w:b/>
                <w:sz w:val="20"/>
              </w:rPr>
            </w:pPr>
          </w:p>
        </w:tc>
        <w:tc>
          <w:tcPr>
            <w:tcW w:w="1265" w:type="dxa"/>
            <w:tcBorders>
              <w:top w:val="single" w:sz="4" w:space="0" w:color="auto"/>
              <w:left w:val="single" w:sz="4" w:space="0" w:color="auto"/>
              <w:bottom w:val="single" w:sz="4" w:space="0" w:color="auto"/>
              <w:right w:val="single" w:sz="4" w:space="0" w:color="auto"/>
            </w:tcBorders>
            <w:shd w:val="clear" w:color="auto" w:fill="DAEEF3"/>
            <w:vAlign w:val="center"/>
          </w:tcPr>
          <w:p w14:paraId="325F8D89" w14:textId="1254BBE7" w:rsidR="00925A24" w:rsidRPr="00A512C1" w:rsidRDefault="00925A24" w:rsidP="00B54958">
            <w:pPr>
              <w:spacing w:after="0" w:line="240" w:lineRule="auto"/>
              <w:jc w:val="center"/>
              <w:rPr>
                <w:rFonts w:eastAsia="Calibri"/>
                <w:b/>
                <w:sz w:val="20"/>
              </w:rPr>
            </w:pPr>
            <w:r>
              <w:rPr>
                <w:rFonts w:eastAsia="Calibri"/>
                <w:b/>
                <w:sz w:val="20"/>
              </w:rPr>
              <w:t>Planned</w:t>
            </w:r>
          </w:p>
        </w:tc>
        <w:tc>
          <w:tcPr>
            <w:tcW w:w="1263" w:type="dxa"/>
            <w:tcBorders>
              <w:left w:val="single" w:sz="4" w:space="0" w:color="auto"/>
              <w:bottom w:val="single" w:sz="4" w:space="0" w:color="auto"/>
              <w:right w:val="single" w:sz="4" w:space="0" w:color="auto"/>
            </w:tcBorders>
            <w:shd w:val="clear" w:color="auto" w:fill="DAEEF3"/>
            <w:vAlign w:val="center"/>
          </w:tcPr>
          <w:p w14:paraId="16C59CB6" w14:textId="1FF2C0EA" w:rsidR="00925A24" w:rsidRDefault="00925A24" w:rsidP="00B54958">
            <w:pPr>
              <w:spacing w:after="0" w:line="240" w:lineRule="auto"/>
              <w:jc w:val="center"/>
              <w:rPr>
                <w:rFonts w:ascii="Calibri" w:eastAsia="Calibri" w:hAnsi="Calibri"/>
                <w:i/>
                <w:sz w:val="18"/>
                <w:szCs w:val="18"/>
              </w:rPr>
            </w:pPr>
            <w:r w:rsidRPr="00B54958">
              <w:rPr>
                <w:rFonts w:eastAsia="Calibri"/>
                <w:b/>
                <w:sz w:val="20"/>
              </w:rPr>
              <w:t>Actual</w:t>
            </w:r>
          </w:p>
        </w:tc>
        <w:tc>
          <w:tcPr>
            <w:tcW w:w="1803" w:type="dxa"/>
            <w:tcBorders>
              <w:left w:val="single" w:sz="4" w:space="0" w:color="auto"/>
              <w:bottom w:val="single" w:sz="4" w:space="0" w:color="auto"/>
              <w:right w:val="single" w:sz="4" w:space="0" w:color="auto"/>
            </w:tcBorders>
            <w:shd w:val="clear" w:color="auto" w:fill="DAEEF3"/>
          </w:tcPr>
          <w:p w14:paraId="3619A0B9" w14:textId="77777777" w:rsidR="00925A24" w:rsidRPr="00A512C1" w:rsidRDefault="00925A24" w:rsidP="005E0294">
            <w:pPr>
              <w:spacing w:after="0" w:line="240" w:lineRule="auto"/>
              <w:jc w:val="center"/>
              <w:rPr>
                <w:rFonts w:eastAsia="Calibri"/>
                <w:b/>
                <w:sz w:val="20"/>
              </w:rPr>
            </w:pPr>
          </w:p>
        </w:tc>
      </w:tr>
      <w:tr w:rsidR="00925A24" w:rsidRPr="00283732" w14:paraId="76610E16" w14:textId="77777777" w:rsidTr="00BC2597">
        <w:trPr>
          <w:trHeight w:val="197"/>
          <w:jc w:val="center"/>
        </w:trPr>
        <w:tc>
          <w:tcPr>
            <w:tcW w:w="2695" w:type="dxa"/>
            <w:vMerge/>
            <w:tcBorders>
              <w:left w:val="single" w:sz="4" w:space="0" w:color="auto"/>
              <w:bottom w:val="single" w:sz="4" w:space="0" w:color="auto"/>
              <w:right w:val="single" w:sz="4" w:space="0" w:color="auto"/>
            </w:tcBorders>
            <w:shd w:val="clear" w:color="auto" w:fill="DAEEF3"/>
          </w:tcPr>
          <w:p w14:paraId="5DD8040B" w14:textId="77777777" w:rsidR="00925A24" w:rsidRPr="00A512C1" w:rsidRDefault="00925A24" w:rsidP="005E0294">
            <w:pPr>
              <w:spacing w:after="0" w:line="240" w:lineRule="auto"/>
              <w:rPr>
                <w:rFonts w:eastAsia="Calibri"/>
                <w:sz w:val="20"/>
              </w:rPr>
            </w:pPr>
          </w:p>
        </w:tc>
        <w:tc>
          <w:tcPr>
            <w:tcW w:w="6297" w:type="dxa"/>
            <w:gridSpan w:val="2"/>
            <w:vMerge/>
            <w:tcBorders>
              <w:left w:val="single" w:sz="4" w:space="0" w:color="auto"/>
              <w:bottom w:val="single" w:sz="4" w:space="0" w:color="auto"/>
              <w:right w:val="single" w:sz="4" w:space="0" w:color="auto"/>
            </w:tcBorders>
            <w:shd w:val="clear" w:color="auto" w:fill="DAEEF3"/>
          </w:tcPr>
          <w:p w14:paraId="431FFF13" w14:textId="77777777" w:rsidR="00925A24" w:rsidRPr="00A512C1" w:rsidRDefault="00925A24" w:rsidP="005E0294">
            <w:pPr>
              <w:spacing w:after="0" w:line="240" w:lineRule="auto"/>
              <w:rPr>
                <w:rFonts w:eastAsia="Calibri"/>
                <w:b/>
                <w:sz w:val="20"/>
              </w:rPr>
            </w:pPr>
          </w:p>
        </w:tc>
        <w:tc>
          <w:tcPr>
            <w:tcW w:w="1525" w:type="dxa"/>
            <w:tcBorders>
              <w:top w:val="single" w:sz="4" w:space="0" w:color="auto"/>
              <w:left w:val="single" w:sz="4" w:space="0" w:color="auto"/>
              <w:bottom w:val="single" w:sz="4" w:space="0" w:color="auto"/>
              <w:right w:val="single" w:sz="4" w:space="0" w:color="auto"/>
            </w:tcBorders>
            <w:shd w:val="clear" w:color="auto" w:fill="DAEEF3"/>
          </w:tcPr>
          <w:p w14:paraId="3D895704" w14:textId="77777777" w:rsidR="00925A24" w:rsidRPr="0069152F" w:rsidRDefault="00925A24" w:rsidP="005E0294">
            <w:pPr>
              <w:spacing w:after="0" w:line="240" w:lineRule="auto"/>
              <w:jc w:val="center"/>
              <w:rPr>
                <w:rFonts w:eastAsia="Calibri"/>
                <w:b/>
                <w:sz w:val="20"/>
                <w:szCs w:val="20"/>
              </w:rPr>
            </w:pPr>
            <w:r w:rsidRPr="0069152F">
              <w:rPr>
                <w:rFonts w:eastAsia="Calibri"/>
                <w:b/>
                <w:sz w:val="20"/>
                <w:szCs w:val="20"/>
              </w:rPr>
              <w:t>2013</w:t>
            </w:r>
          </w:p>
        </w:tc>
        <w:tc>
          <w:tcPr>
            <w:tcW w:w="1265" w:type="dxa"/>
            <w:tcBorders>
              <w:top w:val="single" w:sz="4" w:space="0" w:color="auto"/>
              <w:left w:val="single" w:sz="4" w:space="0" w:color="auto"/>
              <w:bottom w:val="single" w:sz="4" w:space="0" w:color="auto"/>
              <w:right w:val="single" w:sz="4" w:space="0" w:color="auto"/>
            </w:tcBorders>
            <w:shd w:val="clear" w:color="auto" w:fill="DAEEF3"/>
          </w:tcPr>
          <w:p w14:paraId="58DC097F" w14:textId="7B3859B8" w:rsidR="00925A24" w:rsidRPr="0069152F" w:rsidRDefault="00925A24" w:rsidP="005E0294">
            <w:pPr>
              <w:spacing w:after="0" w:line="240" w:lineRule="auto"/>
              <w:jc w:val="center"/>
              <w:rPr>
                <w:rFonts w:eastAsia="Calibri"/>
                <w:b/>
                <w:sz w:val="20"/>
                <w:szCs w:val="20"/>
              </w:rPr>
            </w:pPr>
            <w:r w:rsidRPr="0069152F">
              <w:rPr>
                <w:rFonts w:eastAsia="Calibri"/>
                <w:b/>
                <w:sz w:val="20"/>
                <w:szCs w:val="20"/>
              </w:rPr>
              <w:t>2014</w:t>
            </w:r>
          </w:p>
        </w:tc>
        <w:tc>
          <w:tcPr>
            <w:tcW w:w="1263" w:type="dxa"/>
            <w:tcBorders>
              <w:top w:val="single" w:sz="4" w:space="0" w:color="auto"/>
              <w:left w:val="single" w:sz="4" w:space="0" w:color="auto"/>
              <w:bottom w:val="single" w:sz="4" w:space="0" w:color="auto"/>
              <w:right w:val="single" w:sz="4" w:space="0" w:color="auto"/>
            </w:tcBorders>
            <w:shd w:val="clear" w:color="auto" w:fill="DAEEF3"/>
          </w:tcPr>
          <w:p w14:paraId="0C652D33" w14:textId="43DD4592" w:rsidR="00925A24" w:rsidRPr="0069152F" w:rsidRDefault="00925A24" w:rsidP="005E0294">
            <w:pPr>
              <w:spacing w:after="0" w:line="240" w:lineRule="auto"/>
              <w:jc w:val="center"/>
              <w:rPr>
                <w:rFonts w:eastAsia="Calibri"/>
                <w:b/>
                <w:sz w:val="20"/>
                <w:szCs w:val="20"/>
              </w:rPr>
            </w:pPr>
            <w:r>
              <w:rPr>
                <w:rFonts w:eastAsia="Calibri"/>
                <w:b/>
                <w:sz w:val="20"/>
                <w:szCs w:val="20"/>
              </w:rPr>
              <w:t>2014</w:t>
            </w:r>
          </w:p>
        </w:tc>
        <w:tc>
          <w:tcPr>
            <w:tcW w:w="1803" w:type="dxa"/>
            <w:tcBorders>
              <w:top w:val="single" w:sz="4" w:space="0" w:color="auto"/>
              <w:left w:val="single" w:sz="4" w:space="0" w:color="auto"/>
              <w:bottom w:val="single" w:sz="4" w:space="0" w:color="auto"/>
              <w:right w:val="single" w:sz="4" w:space="0" w:color="auto"/>
            </w:tcBorders>
            <w:shd w:val="clear" w:color="auto" w:fill="DAEEF3"/>
          </w:tcPr>
          <w:p w14:paraId="2083ABC3" w14:textId="77777777" w:rsidR="00925A24" w:rsidRPr="0069152F" w:rsidRDefault="00925A24" w:rsidP="005E0294">
            <w:pPr>
              <w:spacing w:after="0" w:line="240" w:lineRule="auto"/>
              <w:jc w:val="center"/>
              <w:rPr>
                <w:rFonts w:eastAsia="Calibri"/>
                <w:b/>
                <w:sz w:val="20"/>
                <w:szCs w:val="20"/>
              </w:rPr>
            </w:pPr>
            <w:r w:rsidRPr="0069152F">
              <w:rPr>
                <w:rFonts w:eastAsia="Calibri"/>
                <w:b/>
                <w:sz w:val="20"/>
                <w:szCs w:val="20"/>
              </w:rPr>
              <w:t>2017</w:t>
            </w:r>
          </w:p>
        </w:tc>
      </w:tr>
      <w:tr w:rsidR="00925A24" w:rsidRPr="00283732" w14:paraId="1E607256" w14:textId="77777777" w:rsidTr="00BC2597">
        <w:trPr>
          <w:trHeight w:val="431"/>
          <w:jc w:val="center"/>
        </w:trPr>
        <w:tc>
          <w:tcPr>
            <w:tcW w:w="2695" w:type="dxa"/>
            <w:vMerge w:val="restart"/>
            <w:tcBorders>
              <w:top w:val="single" w:sz="4" w:space="0" w:color="auto"/>
              <w:left w:val="single" w:sz="4" w:space="0" w:color="auto"/>
              <w:right w:val="single" w:sz="4" w:space="0" w:color="auto"/>
            </w:tcBorders>
            <w:shd w:val="clear" w:color="auto" w:fill="FFFFFF"/>
            <w:hideMark/>
          </w:tcPr>
          <w:p w14:paraId="04664F51" w14:textId="77777777" w:rsidR="00925A24" w:rsidRDefault="00925A24" w:rsidP="005E0294">
            <w:pPr>
              <w:spacing w:after="0" w:line="240" w:lineRule="auto"/>
              <w:rPr>
                <w:rFonts w:eastAsia="Calibri"/>
                <w:b/>
                <w:color w:val="000000"/>
                <w:sz w:val="20"/>
              </w:rPr>
            </w:pPr>
            <w:r w:rsidRPr="00A512C1">
              <w:rPr>
                <w:rFonts w:eastAsia="Calibri"/>
                <w:b/>
                <w:sz w:val="20"/>
              </w:rPr>
              <w:t xml:space="preserve">Output 1.1. </w:t>
            </w:r>
            <w:r w:rsidRPr="00A512C1">
              <w:rPr>
                <w:rFonts w:eastAsia="Calibri"/>
                <w:color w:val="000000"/>
                <w:sz w:val="20"/>
              </w:rPr>
              <w:t xml:space="preserve">National and sub-national systems and institutions enabled to achieve structural transformation of </w:t>
            </w:r>
            <w:r w:rsidRPr="00A512C1">
              <w:rPr>
                <w:rFonts w:eastAsia="Calibri"/>
                <w:sz w:val="20"/>
              </w:rPr>
              <w:t xml:space="preserve">productive capacities that are </w:t>
            </w:r>
            <w:r w:rsidRPr="00A512C1">
              <w:rPr>
                <w:rFonts w:eastAsia="Calibri"/>
                <w:color w:val="000000"/>
                <w:sz w:val="20"/>
              </w:rPr>
              <w:t>sustainable and employment - and livelihoods-intensive</w:t>
            </w:r>
          </w:p>
          <w:p w14:paraId="63FD8A80" w14:textId="77777777" w:rsidR="00925A24" w:rsidRDefault="00925A24" w:rsidP="005E0294">
            <w:pPr>
              <w:spacing w:after="0" w:line="240" w:lineRule="auto"/>
              <w:rPr>
                <w:rFonts w:eastAsia="Calibri"/>
                <w:b/>
                <w:color w:val="000000"/>
                <w:sz w:val="20"/>
              </w:rPr>
            </w:pPr>
          </w:p>
          <w:p w14:paraId="10B7338F" w14:textId="1E038292" w:rsidR="00925A24" w:rsidRPr="00A512C1" w:rsidRDefault="00925A24" w:rsidP="00FC52FE">
            <w:pPr>
              <w:spacing w:after="0" w:line="240" w:lineRule="auto"/>
              <w:rPr>
                <w:rFonts w:eastAsia="Calibri"/>
                <w:b/>
                <w:color w:val="000000"/>
                <w:sz w:val="20"/>
              </w:rPr>
            </w:pPr>
            <w:r w:rsidRPr="00B359E7">
              <w:rPr>
                <w:rFonts w:ascii="Calibri" w:eastAsia="Calibri" w:hAnsi="Calibri"/>
                <w:b/>
                <w:i/>
                <w:color w:val="000000"/>
                <w:sz w:val="18"/>
                <w:szCs w:val="18"/>
              </w:rPr>
              <w:t>Number of countries linked:</w:t>
            </w:r>
            <w:r w:rsidRPr="00B359E7">
              <w:rPr>
                <w:rFonts w:ascii="Calibri" w:eastAsia="Calibri" w:hAnsi="Calibri"/>
                <w:b/>
                <w:color w:val="000000"/>
                <w:sz w:val="18"/>
                <w:szCs w:val="18"/>
              </w:rPr>
              <w:t xml:space="preserve"> 11</w:t>
            </w:r>
            <w:r w:rsidR="00FC52FE">
              <w:rPr>
                <w:rFonts w:ascii="Calibri" w:eastAsia="Calibri" w:hAnsi="Calibri"/>
                <w:b/>
                <w:color w:val="000000"/>
                <w:sz w:val="18"/>
                <w:szCs w:val="18"/>
              </w:rPr>
              <w:t>7</w:t>
            </w:r>
            <w:r w:rsidR="00FA2A11">
              <w:rPr>
                <w:rFonts w:ascii="Calibri" w:eastAsia="Calibri" w:hAnsi="Calibri"/>
                <w:b/>
                <w:color w:val="000000"/>
                <w:sz w:val="18"/>
                <w:szCs w:val="18"/>
              </w:rPr>
              <w:t xml:space="preserve"> (February 2015</w:t>
            </w:r>
            <w:r w:rsidRPr="00B359E7">
              <w:rPr>
                <w:rFonts w:ascii="Calibri" w:eastAsia="Calibri" w:hAnsi="Calibri"/>
                <w:b/>
                <w:color w:val="000000"/>
                <w:sz w:val="18"/>
                <w:szCs w:val="18"/>
              </w:rPr>
              <w:t>)</w:t>
            </w:r>
          </w:p>
        </w:tc>
        <w:tc>
          <w:tcPr>
            <w:tcW w:w="860" w:type="dxa"/>
            <w:vMerge w:val="restart"/>
            <w:tcBorders>
              <w:top w:val="single" w:sz="4" w:space="0" w:color="auto"/>
              <w:left w:val="single" w:sz="4" w:space="0" w:color="auto"/>
              <w:right w:val="single" w:sz="4" w:space="0" w:color="auto"/>
            </w:tcBorders>
            <w:shd w:val="clear" w:color="auto" w:fill="FFFFFF"/>
            <w:hideMark/>
          </w:tcPr>
          <w:p w14:paraId="5F41AD5E" w14:textId="77777777" w:rsidR="00925A24" w:rsidRPr="00E207C2" w:rsidRDefault="00925A24" w:rsidP="005E0294">
            <w:pPr>
              <w:spacing w:after="0" w:line="240" w:lineRule="auto"/>
              <w:jc w:val="both"/>
              <w:rPr>
                <w:rFonts w:eastAsia="Calibri"/>
                <w:b/>
                <w:sz w:val="20"/>
                <w:highlight w:val="yellow"/>
              </w:rPr>
            </w:pPr>
            <w:r w:rsidRPr="00714C6A">
              <w:rPr>
                <w:rFonts w:eastAsia="Calibri"/>
                <w:b/>
                <w:sz w:val="20"/>
              </w:rPr>
              <w:t>1.1.1</w:t>
            </w:r>
          </w:p>
        </w:tc>
        <w:tc>
          <w:tcPr>
            <w:tcW w:w="5437" w:type="dxa"/>
            <w:tcBorders>
              <w:top w:val="single" w:sz="4" w:space="0" w:color="auto"/>
              <w:left w:val="single" w:sz="4" w:space="0" w:color="auto"/>
              <w:bottom w:val="single" w:sz="4" w:space="0" w:color="auto"/>
              <w:right w:val="single" w:sz="4" w:space="0" w:color="auto"/>
            </w:tcBorders>
            <w:shd w:val="clear" w:color="auto" w:fill="FFFFFF"/>
            <w:hideMark/>
          </w:tcPr>
          <w:p w14:paraId="75A4E6BB" w14:textId="77777777" w:rsidR="00925A24" w:rsidRPr="0013161E" w:rsidRDefault="00925A24" w:rsidP="005E0294">
            <w:pPr>
              <w:spacing w:after="0" w:line="240" w:lineRule="auto"/>
              <w:ind w:right="-62"/>
              <w:rPr>
                <w:rFonts w:eastAsia="Calibri"/>
                <w:sz w:val="20"/>
              </w:rPr>
            </w:pPr>
            <w:r w:rsidRPr="0013161E">
              <w:rPr>
                <w:rFonts w:eastAsia="Calibri"/>
                <w:sz w:val="20"/>
              </w:rPr>
              <w:t xml:space="preserve">Number of </w:t>
            </w:r>
            <w:r w:rsidRPr="0013161E">
              <w:rPr>
                <w:rFonts w:eastAsia="Calibri"/>
                <w:b/>
                <w:sz w:val="20"/>
              </w:rPr>
              <w:t>new jobs and other livelihoods</w:t>
            </w:r>
            <w:r w:rsidRPr="0013161E">
              <w:rPr>
                <w:rFonts w:eastAsia="Calibri"/>
                <w:sz w:val="20"/>
              </w:rPr>
              <w:t xml:space="preserve"> generated, disaggregated </w:t>
            </w:r>
            <w:r w:rsidRPr="0013161E">
              <w:rPr>
                <w:rFonts w:eastAsia="Calibri"/>
                <w:b/>
                <w:sz w:val="20"/>
              </w:rPr>
              <w:t>by sex</w:t>
            </w:r>
            <w:r w:rsidRPr="0013161E">
              <w:rPr>
                <w:rFonts w:eastAsia="Calibri"/>
                <w:sz w:val="20"/>
              </w:rPr>
              <w:t>.</w:t>
            </w:r>
          </w:p>
          <w:p w14:paraId="5234903D" w14:textId="77777777" w:rsidR="00925A24" w:rsidRPr="0013161E" w:rsidRDefault="00925A24" w:rsidP="006F161D">
            <w:pPr>
              <w:pStyle w:val="ListParagraph"/>
              <w:numPr>
                <w:ilvl w:val="0"/>
                <w:numId w:val="10"/>
              </w:numPr>
              <w:ind w:right="-62"/>
              <w:rPr>
                <w:rFonts w:eastAsia="Calibri"/>
                <w:sz w:val="20"/>
              </w:rPr>
            </w:pPr>
            <w:r w:rsidRPr="0013161E">
              <w:rPr>
                <w:rFonts w:eastAsia="Calibri"/>
                <w:sz w:val="20"/>
              </w:rPr>
              <w:t>New jobs (women)</w:t>
            </w:r>
          </w:p>
          <w:p w14:paraId="458E5B30" w14:textId="77777777" w:rsidR="00925A24" w:rsidRPr="0013161E" w:rsidRDefault="00925A24" w:rsidP="006F161D">
            <w:pPr>
              <w:pStyle w:val="ListParagraph"/>
              <w:numPr>
                <w:ilvl w:val="0"/>
                <w:numId w:val="10"/>
              </w:numPr>
              <w:ind w:right="-62"/>
              <w:rPr>
                <w:rFonts w:eastAsia="Calibri"/>
                <w:sz w:val="20"/>
              </w:rPr>
            </w:pPr>
            <w:r w:rsidRPr="0013161E">
              <w:rPr>
                <w:rFonts w:eastAsia="Calibri"/>
                <w:sz w:val="20"/>
              </w:rPr>
              <w:t>New jobs (men)</w:t>
            </w:r>
          </w:p>
          <w:p w14:paraId="014D10EA" w14:textId="77777777" w:rsidR="00925A24" w:rsidRPr="0013161E" w:rsidRDefault="00925A24" w:rsidP="006F161D">
            <w:pPr>
              <w:pStyle w:val="ListParagraph"/>
              <w:numPr>
                <w:ilvl w:val="0"/>
                <w:numId w:val="10"/>
              </w:numPr>
              <w:ind w:right="-112"/>
              <w:rPr>
                <w:rFonts w:eastAsia="Calibri"/>
                <w:sz w:val="20"/>
              </w:rPr>
            </w:pPr>
            <w:r w:rsidRPr="0013161E">
              <w:rPr>
                <w:rFonts w:eastAsia="Calibri"/>
                <w:sz w:val="20"/>
              </w:rPr>
              <w:t xml:space="preserve">Additional females benefiting from strengthened livelihoods  </w:t>
            </w:r>
          </w:p>
          <w:p w14:paraId="02E545CE" w14:textId="77777777" w:rsidR="00925A24" w:rsidRPr="0013161E" w:rsidRDefault="00925A24" w:rsidP="006F161D">
            <w:pPr>
              <w:pStyle w:val="ListParagraph"/>
              <w:numPr>
                <w:ilvl w:val="0"/>
                <w:numId w:val="10"/>
              </w:numPr>
              <w:ind w:right="-112"/>
              <w:rPr>
                <w:rFonts w:eastAsia="Calibri"/>
                <w:sz w:val="20"/>
              </w:rPr>
            </w:pPr>
            <w:r w:rsidRPr="0013161E">
              <w:rPr>
                <w:rFonts w:eastAsia="Calibri"/>
                <w:sz w:val="20"/>
              </w:rPr>
              <w:t>Additional males benefiting from strengthened livelihoods</w:t>
            </w:r>
          </w:p>
          <w:p w14:paraId="048E97A2" w14:textId="6F8F0DBF" w:rsidR="001E5B44" w:rsidRPr="0013161E" w:rsidRDefault="007F1E65" w:rsidP="007F1E65">
            <w:pPr>
              <w:spacing w:before="240" w:after="0"/>
              <w:ind w:right="-112"/>
              <w:rPr>
                <w:rFonts w:eastAsia="Calibri"/>
                <w:b/>
                <w:i/>
                <w:sz w:val="18"/>
                <w:szCs w:val="18"/>
              </w:rPr>
            </w:pPr>
            <w:r w:rsidRPr="0013161E">
              <w:rPr>
                <w:rFonts w:eastAsia="Calibri"/>
                <w:b/>
                <w:i/>
                <w:sz w:val="18"/>
                <w:szCs w:val="18"/>
              </w:rPr>
              <w:t>Number of countries for which a 2017 target has currently been set under this indicator</w:t>
            </w:r>
            <w:r w:rsidR="00A24173" w:rsidRPr="0013161E">
              <w:rPr>
                <w:rFonts w:eastAsia="Calibri"/>
                <w:b/>
                <w:i/>
                <w:sz w:val="18"/>
                <w:szCs w:val="18"/>
              </w:rPr>
              <w:t>: a) 73, b) 70, c) 79, d) 76</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center"/>
          </w:tcPr>
          <w:p w14:paraId="0F6938CC" w14:textId="64C5EE2F" w:rsidR="00925A24" w:rsidRDefault="00922506" w:rsidP="00685756">
            <w:pPr>
              <w:spacing w:after="0" w:line="240" w:lineRule="auto"/>
              <w:jc w:val="right"/>
              <w:rPr>
                <w:rFonts w:eastAsia="Calibri"/>
                <w:sz w:val="20"/>
              </w:rPr>
            </w:pPr>
            <w:r>
              <w:rPr>
                <w:rFonts w:eastAsia="Calibri"/>
                <w:sz w:val="20"/>
              </w:rPr>
              <w:t>0</w:t>
            </w:r>
          </w:p>
          <w:p w14:paraId="52B49EEF" w14:textId="235ACE38" w:rsidR="00925A24" w:rsidRDefault="00824DB0" w:rsidP="00685756">
            <w:pPr>
              <w:spacing w:after="0" w:line="240" w:lineRule="auto"/>
              <w:jc w:val="right"/>
              <w:rPr>
                <w:rFonts w:eastAsia="Calibri"/>
                <w:sz w:val="20"/>
              </w:rPr>
            </w:pPr>
            <w:r>
              <w:rPr>
                <w:rFonts w:eastAsia="Calibri"/>
                <w:sz w:val="20"/>
              </w:rPr>
              <w:t>0</w:t>
            </w:r>
          </w:p>
          <w:p w14:paraId="764212D5" w14:textId="5DABD338" w:rsidR="00925A24" w:rsidRDefault="00824DB0" w:rsidP="00685756">
            <w:pPr>
              <w:spacing w:after="0" w:line="240" w:lineRule="auto"/>
              <w:jc w:val="right"/>
              <w:rPr>
                <w:rFonts w:eastAsia="Calibri"/>
                <w:sz w:val="20"/>
              </w:rPr>
            </w:pPr>
            <w:r>
              <w:rPr>
                <w:rFonts w:eastAsia="Calibri"/>
                <w:sz w:val="20"/>
              </w:rPr>
              <w:t>0</w:t>
            </w:r>
          </w:p>
          <w:p w14:paraId="184F7DD5" w14:textId="77777777" w:rsidR="00925A24" w:rsidRDefault="00824DB0" w:rsidP="00685756">
            <w:pPr>
              <w:spacing w:after="0" w:line="240" w:lineRule="auto"/>
              <w:jc w:val="right"/>
              <w:rPr>
                <w:rFonts w:eastAsia="Calibri"/>
                <w:sz w:val="20"/>
              </w:rPr>
            </w:pPr>
            <w:r>
              <w:rPr>
                <w:rFonts w:eastAsia="Calibri"/>
                <w:sz w:val="20"/>
              </w:rPr>
              <w:t>0</w:t>
            </w:r>
          </w:p>
          <w:p w14:paraId="5FD977AD" w14:textId="6CB98FF5" w:rsidR="00922506" w:rsidRPr="00A512C1" w:rsidRDefault="00922506" w:rsidP="00685756">
            <w:pPr>
              <w:spacing w:after="0" w:line="240" w:lineRule="auto"/>
              <w:jc w:val="right"/>
              <w:rPr>
                <w:rFonts w:eastAsia="Calibri"/>
                <w:sz w:val="20"/>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14:paraId="34D12341" w14:textId="3DC1EF6B" w:rsidR="00925A24" w:rsidRPr="005D13C6" w:rsidRDefault="00925A24" w:rsidP="005E0294">
            <w:pPr>
              <w:spacing w:after="0" w:line="240" w:lineRule="auto"/>
              <w:ind w:right="400"/>
              <w:rPr>
                <w:rFonts w:eastAsia="Calibri"/>
                <w:sz w:val="20"/>
              </w:rPr>
            </w:pPr>
          </w:p>
          <w:p w14:paraId="564254AC" w14:textId="77777777" w:rsidR="00925A24" w:rsidRPr="005D13C6" w:rsidRDefault="00925A24" w:rsidP="005E0294">
            <w:pPr>
              <w:spacing w:after="0" w:line="240" w:lineRule="auto"/>
              <w:ind w:right="400"/>
              <w:rPr>
                <w:rFonts w:eastAsia="Calibri"/>
                <w:sz w:val="20"/>
              </w:rPr>
            </w:pPr>
          </w:p>
          <w:p w14:paraId="49B71F14" w14:textId="1A761929" w:rsidR="00925A24" w:rsidRPr="005D13C6" w:rsidRDefault="006232F2" w:rsidP="005E0294">
            <w:pPr>
              <w:spacing w:after="0" w:line="240" w:lineRule="auto"/>
              <w:ind w:right="-20"/>
              <w:jc w:val="right"/>
              <w:rPr>
                <w:rFonts w:eastAsia="Calibri"/>
                <w:sz w:val="20"/>
              </w:rPr>
            </w:pPr>
            <w:r w:rsidRPr="005D13C6">
              <w:rPr>
                <w:rFonts w:eastAsia="Calibri"/>
                <w:sz w:val="20"/>
              </w:rPr>
              <w:t>236,</w:t>
            </w:r>
            <w:r w:rsidR="00750687" w:rsidRPr="005D13C6">
              <w:rPr>
                <w:rFonts w:eastAsia="Calibri"/>
                <w:sz w:val="20"/>
              </w:rPr>
              <w:t>199</w:t>
            </w:r>
          </w:p>
          <w:p w14:paraId="11301EE1" w14:textId="432ABB60" w:rsidR="00925A24" w:rsidRPr="005D13C6" w:rsidRDefault="006232F2" w:rsidP="005E0294">
            <w:pPr>
              <w:spacing w:after="0" w:line="240" w:lineRule="auto"/>
              <w:jc w:val="right"/>
              <w:rPr>
                <w:rFonts w:eastAsia="Calibri"/>
                <w:sz w:val="20"/>
              </w:rPr>
            </w:pPr>
            <w:r w:rsidRPr="005D13C6">
              <w:rPr>
                <w:rFonts w:eastAsia="Calibri"/>
                <w:sz w:val="20"/>
              </w:rPr>
              <w:t>3</w:t>
            </w:r>
            <w:r w:rsidR="00750687" w:rsidRPr="005D13C6">
              <w:rPr>
                <w:rFonts w:eastAsia="Calibri"/>
                <w:sz w:val="20"/>
              </w:rPr>
              <w:t>42</w:t>
            </w:r>
            <w:r w:rsidRPr="005D13C6">
              <w:rPr>
                <w:rFonts w:eastAsia="Calibri"/>
                <w:sz w:val="20"/>
              </w:rPr>
              <w:t>,</w:t>
            </w:r>
            <w:r w:rsidR="00750687" w:rsidRPr="005D13C6">
              <w:rPr>
                <w:rFonts w:eastAsia="Calibri"/>
                <w:sz w:val="20"/>
              </w:rPr>
              <w:t>828</w:t>
            </w:r>
          </w:p>
          <w:p w14:paraId="7B3A36BF" w14:textId="085FF9FD" w:rsidR="006232F2" w:rsidRPr="005D13C6" w:rsidRDefault="006232F2" w:rsidP="006232F2">
            <w:pPr>
              <w:spacing w:after="0" w:line="240" w:lineRule="auto"/>
              <w:jc w:val="right"/>
              <w:rPr>
                <w:rFonts w:eastAsia="Calibri"/>
                <w:sz w:val="20"/>
              </w:rPr>
            </w:pPr>
            <w:r w:rsidRPr="005D13C6">
              <w:rPr>
                <w:rFonts w:eastAsia="Calibri"/>
                <w:sz w:val="20"/>
              </w:rPr>
              <w:t>1,73</w:t>
            </w:r>
            <w:r w:rsidR="004D7869" w:rsidRPr="005D13C6">
              <w:rPr>
                <w:rFonts w:eastAsia="Calibri"/>
                <w:sz w:val="20"/>
              </w:rPr>
              <w:t>5</w:t>
            </w:r>
            <w:r w:rsidRPr="005D13C6">
              <w:rPr>
                <w:rFonts w:eastAsia="Calibri"/>
                <w:sz w:val="20"/>
              </w:rPr>
              <w:t>,</w:t>
            </w:r>
            <w:r w:rsidR="004D7869" w:rsidRPr="005D13C6">
              <w:rPr>
                <w:rFonts w:eastAsia="Calibri"/>
                <w:sz w:val="20"/>
              </w:rPr>
              <w:t>48</w:t>
            </w:r>
            <w:r w:rsidRPr="005D13C6">
              <w:rPr>
                <w:rFonts w:eastAsia="Calibri"/>
                <w:sz w:val="20"/>
              </w:rPr>
              <w:t>5</w:t>
            </w:r>
          </w:p>
          <w:p w14:paraId="48ACDB07" w14:textId="187250F4" w:rsidR="00925A24" w:rsidRPr="005D13C6" w:rsidRDefault="006232F2" w:rsidP="004D7869">
            <w:pPr>
              <w:spacing w:after="0" w:line="240" w:lineRule="auto"/>
              <w:jc w:val="right"/>
              <w:rPr>
                <w:rFonts w:eastAsia="Calibri"/>
                <w:sz w:val="20"/>
              </w:rPr>
            </w:pPr>
            <w:r w:rsidRPr="005D13C6">
              <w:rPr>
                <w:rFonts w:eastAsia="Calibri"/>
                <w:sz w:val="20"/>
              </w:rPr>
              <w:t>1,13</w:t>
            </w:r>
            <w:r w:rsidR="004D7869" w:rsidRPr="005D13C6">
              <w:rPr>
                <w:rFonts w:eastAsia="Calibri"/>
                <w:sz w:val="20"/>
              </w:rPr>
              <w:t>1</w:t>
            </w:r>
            <w:r w:rsidRPr="005D13C6">
              <w:rPr>
                <w:rFonts w:eastAsia="Calibri"/>
                <w:sz w:val="20"/>
              </w:rPr>
              <w:t>,</w:t>
            </w:r>
            <w:r w:rsidR="004D7869" w:rsidRPr="005D13C6">
              <w:rPr>
                <w:rFonts w:eastAsia="Calibri"/>
                <w:sz w:val="20"/>
              </w:rPr>
              <w:t>170</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14:paraId="2A5B77C8" w14:textId="77777777" w:rsidR="00925A24" w:rsidRPr="005D13C6" w:rsidRDefault="00925A24" w:rsidP="005E0294">
            <w:pPr>
              <w:spacing w:after="0" w:line="240" w:lineRule="auto"/>
              <w:rPr>
                <w:rFonts w:eastAsia="Calibri"/>
                <w:sz w:val="20"/>
              </w:rPr>
            </w:pPr>
          </w:p>
          <w:p w14:paraId="120EFE23" w14:textId="77777777" w:rsidR="00925A24" w:rsidRPr="005D13C6" w:rsidRDefault="00925A24" w:rsidP="005E0294">
            <w:pPr>
              <w:spacing w:after="0" w:line="240" w:lineRule="auto"/>
              <w:rPr>
                <w:rFonts w:eastAsia="Calibri"/>
                <w:sz w:val="20"/>
              </w:rPr>
            </w:pPr>
          </w:p>
          <w:p w14:paraId="412C9927" w14:textId="03E5D4F6" w:rsidR="00925A24" w:rsidRPr="005D13C6" w:rsidRDefault="00A472E3" w:rsidP="005E0294">
            <w:pPr>
              <w:spacing w:after="0" w:line="240" w:lineRule="auto"/>
              <w:jc w:val="right"/>
              <w:rPr>
                <w:rFonts w:eastAsia="Calibri"/>
                <w:sz w:val="20"/>
              </w:rPr>
            </w:pPr>
            <w:r w:rsidRPr="005D13C6">
              <w:rPr>
                <w:rFonts w:eastAsia="Calibri"/>
                <w:sz w:val="20"/>
              </w:rPr>
              <w:t>2</w:t>
            </w:r>
            <w:r w:rsidR="00750687" w:rsidRPr="005D13C6">
              <w:rPr>
                <w:rFonts w:eastAsia="Calibri"/>
                <w:sz w:val="20"/>
              </w:rPr>
              <w:t>05</w:t>
            </w:r>
            <w:r w:rsidRPr="005D13C6">
              <w:rPr>
                <w:rFonts w:eastAsia="Calibri"/>
                <w:sz w:val="20"/>
              </w:rPr>
              <w:t>,</w:t>
            </w:r>
            <w:r w:rsidR="00750687" w:rsidRPr="005D13C6">
              <w:rPr>
                <w:rFonts w:eastAsia="Calibri"/>
                <w:sz w:val="20"/>
              </w:rPr>
              <w:t>842</w:t>
            </w:r>
          </w:p>
          <w:p w14:paraId="753780AD" w14:textId="1340E6DE" w:rsidR="00A472E3" w:rsidRPr="005D13C6" w:rsidRDefault="00750687" w:rsidP="005E0294">
            <w:pPr>
              <w:spacing w:after="0" w:line="240" w:lineRule="auto"/>
              <w:jc w:val="right"/>
              <w:rPr>
                <w:rFonts w:eastAsia="Calibri"/>
                <w:sz w:val="20"/>
              </w:rPr>
            </w:pPr>
            <w:r w:rsidRPr="005D13C6">
              <w:rPr>
                <w:rFonts w:eastAsia="Calibri"/>
                <w:sz w:val="20"/>
              </w:rPr>
              <w:t>305</w:t>
            </w:r>
            <w:r w:rsidR="004D7869" w:rsidRPr="005D13C6">
              <w:rPr>
                <w:rFonts w:eastAsia="Calibri"/>
                <w:sz w:val="20"/>
              </w:rPr>
              <w:t>,</w:t>
            </w:r>
            <w:r w:rsidRPr="005D13C6">
              <w:rPr>
                <w:rFonts w:eastAsia="Calibri"/>
                <w:sz w:val="20"/>
              </w:rPr>
              <w:t>406</w:t>
            </w:r>
          </w:p>
          <w:p w14:paraId="3D91CA37" w14:textId="2D357192" w:rsidR="00A472E3" w:rsidRPr="005D13C6" w:rsidRDefault="00A472E3" w:rsidP="005E0294">
            <w:pPr>
              <w:spacing w:after="0" w:line="240" w:lineRule="auto"/>
              <w:jc w:val="right"/>
              <w:rPr>
                <w:rFonts w:eastAsia="Calibri"/>
                <w:sz w:val="20"/>
              </w:rPr>
            </w:pPr>
            <w:r w:rsidRPr="005D13C6">
              <w:rPr>
                <w:rFonts w:eastAsia="Calibri"/>
                <w:sz w:val="20"/>
              </w:rPr>
              <w:t>2,</w:t>
            </w:r>
            <w:r w:rsidR="00F62F0B">
              <w:rPr>
                <w:rFonts w:eastAsia="Calibri"/>
                <w:sz w:val="20"/>
              </w:rPr>
              <w:t>173</w:t>
            </w:r>
            <w:r w:rsidRPr="005D13C6">
              <w:rPr>
                <w:rFonts w:eastAsia="Calibri"/>
                <w:sz w:val="20"/>
              </w:rPr>
              <w:t>,</w:t>
            </w:r>
            <w:r w:rsidR="004D7869" w:rsidRPr="005D13C6">
              <w:rPr>
                <w:rFonts w:eastAsia="Calibri"/>
                <w:sz w:val="20"/>
              </w:rPr>
              <w:t>662</w:t>
            </w:r>
          </w:p>
          <w:p w14:paraId="759FF5BC" w14:textId="13A8950F" w:rsidR="00A472E3" w:rsidRPr="005D13C6" w:rsidRDefault="00A472E3" w:rsidP="00F62F0B">
            <w:pPr>
              <w:spacing w:after="0" w:line="240" w:lineRule="auto"/>
              <w:jc w:val="right"/>
              <w:rPr>
                <w:rFonts w:eastAsia="Calibri"/>
                <w:sz w:val="20"/>
              </w:rPr>
            </w:pPr>
            <w:r w:rsidRPr="005D13C6">
              <w:rPr>
                <w:rFonts w:eastAsia="Calibri"/>
                <w:sz w:val="20"/>
              </w:rPr>
              <w:t>1,</w:t>
            </w:r>
            <w:r w:rsidR="00F62F0B">
              <w:rPr>
                <w:rFonts w:eastAsia="Calibri"/>
                <w:sz w:val="20"/>
              </w:rPr>
              <w:t>51</w:t>
            </w:r>
            <w:r w:rsidRPr="005D13C6">
              <w:rPr>
                <w:rFonts w:eastAsia="Calibri"/>
                <w:sz w:val="20"/>
              </w:rPr>
              <w:t>4,547</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14A323C3" w14:textId="77777777" w:rsidR="00925A24" w:rsidRPr="005D13C6" w:rsidRDefault="00925A24" w:rsidP="005E0294">
            <w:pPr>
              <w:spacing w:after="0" w:line="240" w:lineRule="auto"/>
              <w:rPr>
                <w:rFonts w:eastAsia="Calibri"/>
                <w:sz w:val="20"/>
              </w:rPr>
            </w:pPr>
          </w:p>
          <w:p w14:paraId="519FAA0F" w14:textId="77777777" w:rsidR="00925A24" w:rsidRPr="005D13C6" w:rsidRDefault="00925A24" w:rsidP="005E0294">
            <w:pPr>
              <w:spacing w:after="0" w:line="240" w:lineRule="auto"/>
              <w:rPr>
                <w:rFonts w:eastAsia="Calibri"/>
                <w:sz w:val="20"/>
              </w:rPr>
            </w:pPr>
          </w:p>
          <w:p w14:paraId="754BE075" w14:textId="043D2350" w:rsidR="00925A24" w:rsidRPr="005D13C6" w:rsidRDefault="00740796" w:rsidP="005E0294">
            <w:pPr>
              <w:spacing w:after="0" w:line="240" w:lineRule="auto"/>
              <w:ind w:right="-6"/>
              <w:jc w:val="right"/>
              <w:rPr>
                <w:rFonts w:eastAsia="Calibri"/>
                <w:sz w:val="20"/>
              </w:rPr>
            </w:pPr>
            <w:r w:rsidRPr="005D13C6">
              <w:rPr>
                <w:rFonts w:eastAsia="Calibri"/>
                <w:sz w:val="20"/>
              </w:rPr>
              <w:t>6</w:t>
            </w:r>
            <w:r w:rsidR="00750687" w:rsidRPr="005D13C6">
              <w:rPr>
                <w:rFonts w:eastAsia="Calibri"/>
                <w:sz w:val="20"/>
              </w:rPr>
              <w:t>57</w:t>
            </w:r>
            <w:r w:rsidRPr="005D13C6">
              <w:rPr>
                <w:rFonts w:eastAsia="Calibri"/>
                <w:sz w:val="20"/>
              </w:rPr>
              <w:t>,</w:t>
            </w:r>
            <w:r w:rsidR="00750687" w:rsidRPr="005D13C6">
              <w:rPr>
                <w:rFonts w:eastAsia="Calibri"/>
                <w:sz w:val="20"/>
              </w:rPr>
              <w:t>983</w:t>
            </w:r>
          </w:p>
          <w:p w14:paraId="46BBE6FB" w14:textId="77B8076A" w:rsidR="00740796" w:rsidRPr="005D13C6" w:rsidRDefault="001B77D1" w:rsidP="005E0294">
            <w:pPr>
              <w:spacing w:after="0" w:line="240" w:lineRule="auto"/>
              <w:jc w:val="right"/>
              <w:rPr>
                <w:rFonts w:eastAsia="Calibri"/>
                <w:sz w:val="20"/>
              </w:rPr>
            </w:pPr>
            <w:r w:rsidRPr="005D13C6">
              <w:rPr>
                <w:rFonts w:eastAsia="Calibri"/>
                <w:sz w:val="20"/>
              </w:rPr>
              <w:t>782,266</w:t>
            </w:r>
          </w:p>
          <w:p w14:paraId="10BFFFA2" w14:textId="7D657642" w:rsidR="00740796" w:rsidRPr="005D13C6" w:rsidRDefault="00F62F0B" w:rsidP="00740796">
            <w:pPr>
              <w:spacing w:after="0" w:line="240" w:lineRule="auto"/>
              <w:jc w:val="right"/>
              <w:rPr>
                <w:rFonts w:eastAsia="Calibri"/>
                <w:sz w:val="20"/>
              </w:rPr>
            </w:pPr>
            <w:r>
              <w:rPr>
                <w:rFonts w:eastAsia="Calibri"/>
                <w:sz w:val="20"/>
              </w:rPr>
              <w:t>4,996</w:t>
            </w:r>
            <w:r w:rsidR="00740796" w:rsidRPr="005D13C6">
              <w:rPr>
                <w:rFonts w:eastAsia="Calibri"/>
                <w:sz w:val="20"/>
              </w:rPr>
              <w:t>,493</w:t>
            </w:r>
          </w:p>
          <w:p w14:paraId="2D38F13D" w14:textId="71EA2655" w:rsidR="00740796" w:rsidRPr="005D13C6" w:rsidRDefault="00740796" w:rsidP="00740796">
            <w:pPr>
              <w:spacing w:after="0" w:line="240" w:lineRule="auto"/>
              <w:jc w:val="right"/>
              <w:rPr>
                <w:rFonts w:eastAsia="Calibri"/>
                <w:sz w:val="20"/>
              </w:rPr>
            </w:pPr>
            <w:r w:rsidRPr="005D13C6">
              <w:rPr>
                <w:rFonts w:eastAsia="Calibri"/>
                <w:sz w:val="20"/>
              </w:rPr>
              <w:t>2,</w:t>
            </w:r>
            <w:r w:rsidR="00F62F0B">
              <w:rPr>
                <w:rFonts w:eastAsia="Calibri"/>
                <w:sz w:val="20"/>
              </w:rPr>
              <w:t>170</w:t>
            </w:r>
            <w:r w:rsidRPr="005D13C6">
              <w:rPr>
                <w:rFonts w:eastAsia="Calibri"/>
                <w:sz w:val="20"/>
              </w:rPr>
              <w:t>,915</w:t>
            </w:r>
          </w:p>
          <w:p w14:paraId="7D8CD1FA" w14:textId="556EEE5E" w:rsidR="00925A24" w:rsidRPr="005D13C6" w:rsidRDefault="00925A24" w:rsidP="00740796">
            <w:pPr>
              <w:spacing w:after="0" w:line="240" w:lineRule="auto"/>
              <w:jc w:val="right"/>
              <w:rPr>
                <w:rFonts w:eastAsia="Calibri"/>
                <w:sz w:val="20"/>
              </w:rPr>
            </w:pPr>
          </w:p>
        </w:tc>
      </w:tr>
      <w:tr w:rsidR="00A60DE8" w:rsidRPr="00283732" w14:paraId="41A37139" w14:textId="77777777" w:rsidTr="00BC2597">
        <w:trPr>
          <w:trHeight w:val="431"/>
          <w:jc w:val="center"/>
        </w:trPr>
        <w:tc>
          <w:tcPr>
            <w:tcW w:w="2695" w:type="dxa"/>
            <w:vMerge/>
            <w:tcBorders>
              <w:left w:val="single" w:sz="4" w:space="0" w:color="auto"/>
              <w:right w:val="single" w:sz="4" w:space="0" w:color="auto"/>
            </w:tcBorders>
            <w:shd w:val="clear" w:color="auto" w:fill="FFFFFF"/>
          </w:tcPr>
          <w:p w14:paraId="750F134C" w14:textId="7C8B7ABD" w:rsidR="00A60DE8" w:rsidRPr="00A512C1" w:rsidRDefault="00A60DE8" w:rsidP="005E0294">
            <w:pPr>
              <w:spacing w:after="0" w:line="240" w:lineRule="auto"/>
              <w:rPr>
                <w:rFonts w:eastAsia="Calibri"/>
                <w:b/>
                <w:sz w:val="20"/>
              </w:rPr>
            </w:pPr>
          </w:p>
        </w:tc>
        <w:tc>
          <w:tcPr>
            <w:tcW w:w="860" w:type="dxa"/>
            <w:vMerge/>
            <w:tcBorders>
              <w:left w:val="single" w:sz="4" w:space="0" w:color="auto"/>
              <w:bottom w:val="single" w:sz="4" w:space="0" w:color="auto"/>
              <w:right w:val="single" w:sz="4" w:space="0" w:color="auto"/>
            </w:tcBorders>
            <w:shd w:val="clear" w:color="auto" w:fill="FFFFFF"/>
          </w:tcPr>
          <w:p w14:paraId="5E644471" w14:textId="77777777" w:rsidR="00A60DE8" w:rsidRPr="00627ECC" w:rsidRDefault="00A60DE8" w:rsidP="005E0294">
            <w:pPr>
              <w:spacing w:after="0" w:line="240" w:lineRule="auto"/>
              <w:jc w:val="both"/>
              <w:rPr>
                <w:rFonts w:eastAsia="Calibri"/>
                <w:b/>
                <w:sz w:val="20"/>
                <w:highlight w:val="yellow"/>
              </w:rPr>
            </w:pPr>
          </w:p>
        </w:tc>
        <w:tc>
          <w:tcPr>
            <w:tcW w:w="11293" w:type="dxa"/>
            <w:gridSpan w:val="5"/>
            <w:tcBorders>
              <w:left w:val="single" w:sz="4" w:space="0" w:color="auto"/>
              <w:bottom w:val="single" w:sz="4" w:space="0" w:color="auto"/>
              <w:right w:val="single" w:sz="4" w:space="0" w:color="auto"/>
            </w:tcBorders>
            <w:shd w:val="clear" w:color="auto" w:fill="D9D9D9" w:themeFill="background1" w:themeFillShade="D9"/>
          </w:tcPr>
          <w:p w14:paraId="7A1E8937" w14:textId="5917E645" w:rsidR="00A60DE8" w:rsidRPr="0013161E" w:rsidRDefault="00A60DE8" w:rsidP="005E0294">
            <w:pPr>
              <w:spacing w:after="0" w:line="240" w:lineRule="auto"/>
              <w:rPr>
                <w:rFonts w:eastAsia="Calibri"/>
                <w:sz w:val="18"/>
                <w:szCs w:val="18"/>
              </w:rPr>
            </w:pPr>
            <w:r w:rsidRPr="0013161E">
              <w:rPr>
                <w:rFonts w:ascii="Calibri" w:eastAsia="Calibri" w:hAnsi="Calibri"/>
                <w:b/>
                <w:sz w:val="18"/>
                <w:szCs w:val="18"/>
              </w:rPr>
              <w:t xml:space="preserve">Indicator 1.1.1 </w:t>
            </w:r>
            <w:r w:rsidRPr="0013161E">
              <w:rPr>
                <w:rFonts w:eastAsia="Calibri"/>
                <w:b/>
                <w:sz w:val="18"/>
                <w:szCs w:val="18"/>
              </w:rPr>
              <w:t>Note</w:t>
            </w:r>
            <w:r w:rsidRPr="0013161E">
              <w:rPr>
                <w:rFonts w:eastAsia="Calibri"/>
                <w:sz w:val="18"/>
                <w:szCs w:val="18"/>
              </w:rPr>
              <w:t xml:space="preserve">: </w:t>
            </w:r>
            <w:r w:rsidRPr="0013161E">
              <w:rPr>
                <w:rFonts w:ascii="Calibri" w:eastAsia="Calibri" w:hAnsi="Calibri"/>
                <w:sz w:val="18"/>
                <w:szCs w:val="18"/>
              </w:rPr>
              <w:t xml:space="preserve">Tracks the number of new jobs created and number of additional people benefiting from strengthened livelihoods with UNDP support (on demand </w:t>
            </w:r>
            <w:r w:rsidRPr="0013161E">
              <w:rPr>
                <w:sz w:val="18"/>
                <w:szCs w:val="18"/>
              </w:rPr>
              <w:t>from programme countries</w:t>
            </w:r>
            <w:r w:rsidRPr="0013161E">
              <w:rPr>
                <w:rFonts w:ascii="Calibri" w:eastAsia="Calibri" w:hAnsi="Calibri"/>
                <w:sz w:val="18"/>
                <w:szCs w:val="18"/>
              </w:rPr>
              <w:t>) from January 2014 onward. Where data disaggregated by sex was not available, data were provided for the total number of people</w:t>
            </w:r>
            <w:r w:rsidR="00CA106C" w:rsidRPr="0013161E">
              <w:rPr>
                <w:rFonts w:ascii="Calibri" w:eastAsia="Calibri" w:hAnsi="Calibri"/>
                <w:sz w:val="18"/>
                <w:szCs w:val="18"/>
              </w:rPr>
              <w:t>. An</w:t>
            </w:r>
            <w:r w:rsidRPr="0013161E">
              <w:rPr>
                <w:rFonts w:ascii="Calibri" w:eastAsia="Calibri" w:hAnsi="Calibri"/>
                <w:sz w:val="18"/>
                <w:szCs w:val="18"/>
              </w:rPr>
              <w:t xml:space="preserve"> </w:t>
            </w:r>
            <w:r w:rsidRPr="0013161E">
              <w:rPr>
                <w:rFonts w:ascii="Calibri" w:eastAsia="Calibri" w:hAnsi="Calibri"/>
                <w:b/>
                <w:sz w:val="18"/>
                <w:szCs w:val="18"/>
              </w:rPr>
              <w:t xml:space="preserve">additional </w:t>
            </w:r>
            <w:r w:rsidR="00CA106C" w:rsidRPr="0013161E">
              <w:rPr>
                <w:rFonts w:ascii="Calibri" w:eastAsia="Calibri" w:hAnsi="Calibri"/>
                <w:b/>
                <w:sz w:val="18"/>
                <w:szCs w:val="18"/>
              </w:rPr>
              <w:t>267,900</w:t>
            </w:r>
            <w:r w:rsidRPr="0013161E">
              <w:rPr>
                <w:rFonts w:ascii="Calibri" w:eastAsia="Calibri" w:hAnsi="Calibri"/>
                <w:b/>
                <w:sz w:val="18"/>
                <w:szCs w:val="18"/>
              </w:rPr>
              <w:t xml:space="preserve"> new jobs</w:t>
            </w:r>
            <w:r w:rsidRPr="0013161E">
              <w:rPr>
                <w:rFonts w:ascii="Calibri" w:eastAsia="Calibri" w:hAnsi="Calibri"/>
                <w:sz w:val="18"/>
                <w:szCs w:val="18"/>
              </w:rPr>
              <w:t xml:space="preserve"> were </w:t>
            </w:r>
            <w:r w:rsidR="00CA106C" w:rsidRPr="0013161E">
              <w:rPr>
                <w:rFonts w:ascii="Calibri" w:eastAsia="Calibri" w:hAnsi="Calibri"/>
                <w:sz w:val="18"/>
                <w:szCs w:val="18"/>
              </w:rPr>
              <w:t xml:space="preserve">generated in 2014, and </w:t>
            </w:r>
            <w:r w:rsidR="00BC67F2" w:rsidRPr="0013161E">
              <w:rPr>
                <w:rFonts w:ascii="Calibri" w:eastAsia="Calibri" w:hAnsi="Calibri"/>
                <w:b/>
                <w:sz w:val="18"/>
                <w:szCs w:val="18"/>
              </w:rPr>
              <w:t>478,618</w:t>
            </w:r>
            <w:r w:rsidRPr="0013161E">
              <w:rPr>
                <w:rFonts w:ascii="Calibri" w:eastAsia="Calibri" w:hAnsi="Calibri"/>
                <w:b/>
                <w:sz w:val="18"/>
                <w:szCs w:val="18"/>
              </w:rPr>
              <w:t xml:space="preserve"> additional people</w:t>
            </w:r>
            <w:r w:rsidRPr="0013161E">
              <w:rPr>
                <w:rFonts w:ascii="Calibri" w:eastAsia="Calibri" w:hAnsi="Calibri"/>
                <w:sz w:val="18"/>
                <w:szCs w:val="18"/>
              </w:rPr>
              <w:t xml:space="preserve"> benefitt</w:t>
            </w:r>
            <w:r w:rsidR="00583C76">
              <w:rPr>
                <w:rFonts w:ascii="Calibri" w:eastAsia="Calibri" w:hAnsi="Calibri"/>
                <w:sz w:val="18"/>
                <w:szCs w:val="18"/>
              </w:rPr>
              <w:t>ed</w:t>
            </w:r>
            <w:r w:rsidRPr="0013161E">
              <w:rPr>
                <w:rFonts w:ascii="Calibri" w:eastAsia="Calibri" w:hAnsi="Calibri"/>
                <w:sz w:val="18"/>
                <w:szCs w:val="18"/>
              </w:rPr>
              <w:t xml:space="preserve"> from strengthened livelihoods</w:t>
            </w:r>
            <w:r w:rsidR="00BC67F2" w:rsidRPr="0013161E">
              <w:rPr>
                <w:rFonts w:ascii="Calibri" w:eastAsia="Calibri" w:hAnsi="Calibri"/>
                <w:sz w:val="18"/>
                <w:szCs w:val="18"/>
              </w:rPr>
              <w:t xml:space="preserve"> in 2014, for which sex disaggregation is not available</w:t>
            </w:r>
            <w:r w:rsidRPr="0013161E">
              <w:rPr>
                <w:rFonts w:ascii="Calibri" w:eastAsia="Calibri" w:hAnsi="Calibri"/>
                <w:sz w:val="18"/>
                <w:szCs w:val="18"/>
              </w:rPr>
              <w:t xml:space="preserve">. </w:t>
            </w:r>
            <w:r w:rsidRPr="0013161E">
              <w:rPr>
                <w:rFonts w:eastAsia="Calibri"/>
                <w:sz w:val="18"/>
                <w:szCs w:val="18"/>
              </w:rPr>
              <w:t>For complementary jobs and livelihoods</w:t>
            </w:r>
            <w:r w:rsidR="00BC67F2" w:rsidRPr="0013161E">
              <w:rPr>
                <w:rFonts w:eastAsia="Calibri"/>
                <w:sz w:val="18"/>
                <w:szCs w:val="18"/>
              </w:rPr>
              <w:t xml:space="preserve"> results</w:t>
            </w:r>
            <w:r w:rsidRPr="0013161E">
              <w:rPr>
                <w:rFonts w:eastAsia="Calibri"/>
                <w:sz w:val="18"/>
                <w:szCs w:val="18"/>
              </w:rPr>
              <w:t xml:space="preserve">, please see </w:t>
            </w:r>
            <w:r w:rsidRPr="0013161E">
              <w:rPr>
                <w:rFonts w:eastAsia="Calibri"/>
                <w:b/>
                <w:sz w:val="18"/>
                <w:szCs w:val="18"/>
              </w:rPr>
              <w:t>indicator</w:t>
            </w:r>
            <w:r w:rsidR="00BC67F2" w:rsidRPr="0013161E">
              <w:rPr>
                <w:rFonts w:eastAsia="Calibri"/>
                <w:b/>
                <w:sz w:val="18"/>
                <w:szCs w:val="18"/>
              </w:rPr>
              <w:t>s</w:t>
            </w:r>
            <w:r w:rsidRPr="0013161E">
              <w:rPr>
                <w:rFonts w:eastAsia="Calibri"/>
                <w:b/>
                <w:sz w:val="18"/>
                <w:szCs w:val="18"/>
              </w:rPr>
              <w:t xml:space="preserve"> 1.3.2</w:t>
            </w:r>
            <w:r w:rsidRPr="0013161E">
              <w:rPr>
                <w:rFonts w:eastAsia="Calibri"/>
                <w:sz w:val="18"/>
                <w:szCs w:val="18"/>
              </w:rPr>
              <w:t xml:space="preserve"> and </w:t>
            </w:r>
            <w:r w:rsidRPr="0013161E">
              <w:rPr>
                <w:rFonts w:eastAsia="Calibri"/>
                <w:b/>
                <w:sz w:val="18"/>
                <w:szCs w:val="18"/>
              </w:rPr>
              <w:t>6.1.1</w:t>
            </w:r>
            <w:r w:rsidRPr="0013161E">
              <w:rPr>
                <w:rFonts w:eastAsia="Calibri"/>
                <w:sz w:val="18"/>
                <w:szCs w:val="18"/>
              </w:rPr>
              <w:t>.</w:t>
            </w:r>
          </w:p>
          <w:p w14:paraId="47A28A60" w14:textId="44E7A3C3" w:rsidR="00A60DE8" w:rsidRPr="0013161E" w:rsidRDefault="00A60DE8" w:rsidP="00A037C4">
            <w:pPr>
              <w:spacing w:after="0" w:line="240" w:lineRule="auto"/>
              <w:rPr>
                <w:rFonts w:eastAsia="Calibri"/>
                <w:sz w:val="20"/>
              </w:rPr>
            </w:pPr>
            <w:r w:rsidRPr="0013161E">
              <w:rPr>
                <w:rFonts w:eastAsia="Calibri"/>
                <w:b/>
                <w:sz w:val="18"/>
                <w:szCs w:val="18"/>
              </w:rPr>
              <w:t xml:space="preserve">2014 Reporting Note: </w:t>
            </w:r>
            <w:r w:rsidRPr="0013161E">
              <w:rPr>
                <w:rFonts w:eastAsia="Calibri"/>
                <w:sz w:val="18"/>
                <w:szCs w:val="18"/>
              </w:rPr>
              <w:t xml:space="preserve">2014 </w:t>
            </w:r>
            <w:r w:rsidR="007C6F80" w:rsidRPr="0013161E">
              <w:rPr>
                <w:rFonts w:eastAsia="Calibri"/>
                <w:sz w:val="18"/>
                <w:szCs w:val="18"/>
              </w:rPr>
              <w:t>m</w:t>
            </w:r>
            <w:r w:rsidRPr="0013161E">
              <w:rPr>
                <w:rFonts w:eastAsia="Calibri"/>
                <w:sz w:val="18"/>
                <w:szCs w:val="18"/>
              </w:rPr>
              <w:t xml:space="preserve">ilestones </w:t>
            </w:r>
            <w:r w:rsidR="0065709B" w:rsidRPr="0013161E">
              <w:rPr>
                <w:rFonts w:eastAsia="Calibri"/>
                <w:sz w:val="18"/>
                <w:szCs w:val="18"/>
              </w:rPr>
              <w:t xml:space="preserve">and </w:t>
            </w:r>
            <w:r w:rsidR="007C6F80" w:rsidRPr="0013161E">
              <w:rPr>
                <w:rFonts w:eastAsia="Calibri"/>
                <w:sz w:val="18"/>
                <w:szCs w:val="18"/>
              </w:rPr>
              <w:t>2017 t</w:t>
            </w:r>
            <w:r w:rsidR="0065709B" w:rsidRPr="0013161E">
              <w:rPr>
                <w:rFonts w:eastAsia="Calibri"/>
                <w:sz w:val="18"/>
                <w:szCs w:val="18"/>
              </w:rPr>
              <w:t xml:space="preserve">argets </w:t>
            </w:r>
            <w:r w:rsidRPr="0013161E">
              <w:rPr>
                <w:rFonts w:eastAsia="Calibri"/>
                <w:sz w:val="18"/>
                <w:szCs w:val="18"/>
              </w:rPr>
              <w:t xml:space="preserve">updated to reflect more complete reporting from country offices. </w:t>
            </w:r>
            <w:r w:rsidR="00D95083" w:rsidRPr="0013161E">
              <w:rPr>
                <w:rFonts w:eastAsia="Calibri"/>
                <w:sz w:val="18"/>
                <w:szCs w:val="18"/>
              </w:rPr>
              <w:t>For reference, p</w:t>
            </w:r>
            <w:r w:rsidRPr="0013161E">
              <w:rPr>
                <w:rFonts w:eastAsia="Calibri"/>
                <w:sz w:val="18"/>
                <w:szCs w:val="18"/>
              </w:rPr>
              <w:t xml:space="preserve">revious </w:t>
            </w:r>
            <w:r w:rsidR="00D95083" w:rsidRPr="0013161E">
              <w:rPr>
                <w:rFonts w:eastAsia="Calibri"/>
                <w:sz w:val="18"/>
                <w:szCs w:val="18"/>
              </w:rPr>
              <w:t xml:space="preserve">2014 </w:t>
            </w:r>
            <w:r w:rsidRPr="0013161E">
              <w:rPr>
                <w:rFonts w:eastAsia="Calibri"/>
                <w:sz w:val="18"/>
                <w:szCs w:val="18"/>
              </w:rPr>
              <w:t xml:space="preserve">milestones </w:t>
            </w:r>
            <w:r w:rsidR="00D95083" w:rsidRPr="0013161E">
              <w:rPr>
                <w:rFonts w:eastAsia="Calibri"/>
                <w:sz w:val="18"/>
                <w:szCs w:val="18"/>
              </w:rPr>
              <w:t>w</w:t>
            </w:r>
            <w:r w:rsidRPr="0013161E">
              <w:rPr>
                <w:rFonts w:eastAsia="Calibri"/>
                <w:sz w:val="18"/>
                <w:szCs w:val="18"/>
              </w:rPr>
              <w:t>ere</w:t>
            </w:r>
            <w:r w:rsidR="00D95083" w:rsidRPr="0013161E">
              <w:rPr>
                <w:rFonts w:eastAsia="Calibri"/>
                <w:sz w:val="18"/>
                <w:szCs w:val="18"/>
              </w:rPr>
              <w:t>:</w:t>
            </w:r>
            <w:r w:rsidRPr="0013161E">
              <w:rPr>
                <w:rFonts w:eastAsia="Calibri"/>
                <w:sz w:val="18"/>
                <w:szCs w:val="18"/>
              </w:rPr>
              <w:t xml:space="preserve"> (a) 697,108</w:t>
            </w:r>
            <w:r w:rsidR="00D95083" w:rsidRPr="0013161E">
              <w:rPr>
                <w:rFonts w:eastAsia="Calibri"/>
                <w:sz w:val="18"/>
                <w:szCs w:val="18"/>
              </w:rPr>
              <w:t>; (b) 1,524,891; (c) 588,121; (d) 203,330</w:t>
            </w:r>
            <w:r w:rsidR="00A7324F" w:rsidRPr="0013161E">
              <w:rPr>
                <w:rFonts w:eastAsia="Calibri"/>
                <w:sz w:val="18"/>
                <w:szCs w:val="18"/>
              </w:rPr>
              <w:t>; p</w:t>
            </w:r>
            <w:r w:rsidR="00672ADD" w:rsidRPr="0013161E">
              <w:rPr>
                <w:rFonts w:eastAsia="Calibri"/>
                <w:sz w:val="18"/>
                <w:szCs w:val="18"/>
              </w:rPr>
              <w:t xml:space="preserve">revious targets were: (a) 2,413,098; (b) 4,765,749; (c) 4,125,033; (d) 1,311,905. </w:t>
            </w:r>
            <w:r w:rsidR="006F42BD" w:rsidRPr="0013161E">
              <w:rPr>
                <w:rFonts w:eastAsia="Calibri"/>
                <w:sz w:val="18"/>
                <w:szCs w:val="18"/>
              </w:rPr>
              <w:t>The reduction in the milestone</w:t>
            </w:r>
            <w:r w:rsidR="00672ADD" w:rsidRPr="0013161E">
              <w:rPr>
                <w:rFonts w:eastAsia="Calibri"/>
                <w:sz w:val="18"/>
                <w:szCs w:val="18"/>
              </w:rPr>
              <w:t>s</w:t>
            </w:r>
            <w:r w:rsidR="006F42BD" w:rsidRPr="0013161E">
              <w:rPr>
                <w:rFonts w:eastAsia="Calibri"/>
                <w:sz w:val="18"/>
                <w:szCs w:val="18"/>
              </w:rPr>
              <w:t xml:space="preserve"> </w:t>
            </w:r>
            <w:r w:rsidR="00672ADD" w:rsidRPr="0013161E">
              <w:rPr>
                <w:rFonts w:eastAsia="Calibri"/>
                <w:sz w:val="18"/>
                <w:szCs w:val="18"/>
              </w:rPr>
              <w:t xml:space="preserve">and targets </w:t>
            </w:r>
            <w:r w:rsidR="006F42BD" w:rsidRPr="0013161E">
              <w:rPr>
                <w:rFonts w:eastAsia="Calibri"/>
                <w:sz w:val="18"/>
                <w:szCs w:val="18"/>
              </w:rPr>
              <w:t xml:space="preserve">for jobs created </w:t>
            </w:r>
            <w:r w:rsidR="002F36A2" w:rsidRPr="0013161E">
              <w:rPr>
                <w:rFonts w:eastAsia="Calibri"/>
                <w:sz w:val="18"/>
                <w:szCs w:val="18"/>
              </w:rPr>
              <w:t xml:space="preserve">reflects adjustments by </w:t>
            </w:r>
            <w:r w:rsidR="00A037C4" w:rsidRPr="0013161E">
              <w:rPr>
                <w:rFonts w:eastAsia="Calibri"/>
                <w:sz w:val="18"/>
                <w:szCs w:val="18"/>
              </w:rPr>
              <w:t>two country</w:t>
            </w:r>
            <w:r w:rsidR="002F36A2" w:rsidRPr="0013161E">
              <w:rPr>
                <w:rFonts w:eastAsia="Calibri"/>
                <w:sz w:val="18"/>
                <w:szCs w:val="18"/>
              </w:rPr>
              <w:t xml:space="preserve"> offices </w:t>
            </w:r>
            <w:r w:rsidR="006F42BD" w:rsidRPr="0013161E">
              <w:rPr>
                <w:rFonts w:eastAsia="Calibri"/>
                <w:sz w:val="18"/>
                <w:szCs w:val="18"/>
              </w:rPr>
              <w:t xml:space="preserve">which had originally </w:t>
            </w:r>
            <w:r w:rsidR="00672ADD" w:rsidRPr="0013161E">
              <w:rPr>
                <w:rFonts w:eastAsia="Calibri"/>
                <w:sz w:val="18"/>
                <w:szCs w:val="18"/>
              </w:rPr>
              <w:t>b</w:t>
            </w:r>
            <w:r w:rsidR="006F42BD" w:rsidRPr="0013161E">
              <w:rPr>
                <w:rFonts w:eastAsia="Calibri"/>
                <w:sz w:val="18"/>
                <w:szCs w:val="18"/>
              </w:rPr>
              <w:t xml:space="preserve">ased </w:t>
            </w:r>
            <w:r w:rsidR="007C6F80" w:rsidRPr="0013161E">
              <w:rPr>
                <w:rFonts w:eastAsia="Calibri"/>
                <w:sz w:val="18"/>
                <w:szCs w:val="18"/>
              </w:rPr>
              <w:t xml:space="preserve">targets </w:t>
            </w:r>
            <w:r w:rsidR="006F42BD" w:rsidRPr="0013161E">
              <w:rPr>
                <w:rFonts w:eastAsia="Calibri"/>
                <w:sz w:val="18"/>
                <w:szCs w:val="18"/>
              </w:rPr>
              <w:t xml:space="preserve">on the total number of jobs expected to be created </w:t>
            </w:r>
            <w:r w:rsidR="002F36A2" w:rsidRPr="0013161E">
              <w:rPr>
                <w:rFonts w:eastAsia="Calibri"/>
                <w:sz w:val="18"/>
                <w:szCs w:val="18"/>
              </w:rPr>
              <w:t xml:space="preserve">nationally over the period, </w:t>
            </w:r>
            <w:r w:rsidR="006F42BD" w:rsidRPr="0013161E">
              <w:rPr>
                <w:rFonts w:eastAsia="Calibri"/>
                <w:sz w:val="18"/>
                <w:szCs w:val="18"/>
              </w:rPr>
              <w:t>rather than</w:t>
            </w:r>
            <w:r w:rsidR="002F36A2" w:rsidRPr="0013161E">
              <w:rPr>
                <w:rFonts w:eastAsia="Calibri"/>
                <w:sz w:val="18"/>
                <w:szCs w:val="18"/>
              </w:rPr>
              <w:t xml:space="preserve"> those directly support</w:t>
            </w:r>
            <w:r w:rsidR="001B77D1" w:rsidRPr="0013161E">
              <w:rPr>
                <w:rFonts w:eastAsia="Calibri"/>
                <w:sz w:val="18"/>
                <w:szCs w:val="18"/>
              </w:rPr>
              <w:t>ed</w:t>
            </w:r>
            <w:r w:rsidR="002F36A2" w:rsidRPr="0013161E">
              <w:rPr>
                <w:rFonts w:eastAsia="Calibri"/>
                <w:sz w:val="18"/>
                <w:szCs w:val="18"/>
              </w:rPr>
              <w:t xml:space="preserve"> by UNDP</w:t>
            </w:r>
            <w:r w:rsidR="006F42BD" w:rsidRPr="0013161E">
              <w:rPr>
                <w:rFonts w:eastAsia="Calibri"/>
                <w:sz w:val="18"/>
                <w:szCs w:val="18"/>
              </w:rPr>
              <w:t xml:space="preserve">. </w:t>
            </w:r>
          </w:p>
        </w:tc>
      </w:tr>
      <w:tr w:rsidR="00925A24" w:rsidRPr="00283732" w14:paraId="25F47594" w14:textId="77777777" w:rsidTr="00BC2597">
        <w:trPr>
          <w:trHeight w:val="494"/>
          <w:jc w:val="center"/>
        </w:trPr>
        <w:tc>
          <w:tcPr>
            <w:tcW w:w="2695" w:type="dxa"/>
            <w:vMerge/>
            <w:tcBorders>
              <w:left w:val="single" w:sz="4" w:space="0" w:color="auto"/>
              <w:right w:val="single" w:sz="4" w:space="0" w:color="auto"/>
            </w:tcBorders>
            <w:shd w:val="clear" w:color="auto" w:fill="FFFFFF"/>
          </w:tcPr>
          <w:p w14:paraId="363B6436" w14:textId="77777777" w:rsidR="00925A24" w:rsidRPr="00A512C1" w:rsidRDefault="00925A24" w:rsidP="005E0294">
            <w:pPr>
              <w:spacing w:after="0" w:line="240" w:lineRule="auto"/>
              <w:rPr>
                <w:rFonts w:eastAsia="Calibri"/>
                <w:b/>
                <w:sz w:val="20"/>
              </w:rPr>
            </w:pPr>
          </w:p>
        </w:tc>
        <w:tc>
          <w:tcPr>
            <w:tcW w:w="860" w:type="dxa"/>
            <w:vMerge w:val="restart"/>
            <w:tcBorders>
              <w:top w:val="single" w:sz="4" w:space="0" w:color="auto"/>
              <w:left w:val="single" w:sz="4" w:space="0" w:color="auto"/>
              <w:right w:val="single" w:sz="4" w:space="0" w:color="auto"/>
            </w:tcBorders>
            <w:shd w:val="clear" w:color="auto" w:fill="FFFFFF"/>
          </w:tcPr>
          <w:p w14:paraId="1F80308E" w14:textId="77777777" w:rsidR="00925A24" w:rsidRPr="001F65A6" w:rsidRDefault="00925A24" w:rsidP="005E0294">
            <w:pPr>
              <w:spacing w:after="0" w:line="240" w:lineRule="auto"/>
              <w:jc w:val="both"/>
              <w:rPr>
                <w:rFonts w:eastAsia="Calibri"/>
                <w:b/>
                <w:sz w:val="20"/>
              </w:rPr>
            </w:pPr>
            <w:r w:rsidRPr="001F65A6">
              <w:rPr>
                <w:rFonts w:eastAsia="Calibri"/>
                <w:b/>
                <w:sz w:val="20"/>
              </w:rPr>
              <w:t>1.1.2</w:t>
            </w:r>
          </w:p>
        </w:tc>
        <w:tc>
          <w:tcPr>
            <w:tcW w:w="5437" w:type="dxa"/>
            <w:tcBorders>
              <w:top w:val="single" w:sz="4" w:space="0" w:color="auto"/>
              <w:left w:val="single" w:sz="4" w:space="0" w:color="auto"/>
              <w:bottom w:val="single" w:sz="4" w:space="0" w:color="auto"/>
              <w:right w:val="single" w:sz="4" w:space="0" w:color="auto"/>
            </w:tcBorders>
            <w:shd w:val="clear" w:color="auto" w:fill="FFFFFF"/>
          </w:tcPr>
          <w:p w14:paraId="7D1A1357" w14:textId="05FB09A1" w:rsidR="00925A24" w:rsidRPr="0013161E" w:rsidRDefault="00925A24" w:rsidP="005E0294">
            <w:pPr>
              <w:spacing w:after="0" w:line="240" w:lineRule="auto"/>
              <w:ind w:right="-62"/>
              <w:rPr>
                <w:rFonts w:eastAsia="Calibri"/>
                <w:sz w:val="20"/>
              </w:rPr>
            </w:pPr>
            <w:r w:rsidRPr="0013161E">
              <w:rPr>
                <w:rFonts w:eastAsia="Calibri"/>
                <w:sz w:val="20"/>
              </w:rPr>
              <w:t>Number of countries with</w:t>
            </w:r>
            <w:r w:rsidR="0061055A" w:rsidRPr="0013161E">
              <w:rPr>
                <w:rFonts w:eastAsia="Calibri"/>
                <w:sz w:val="20"/>
              </w:rPr>
              <w:t xml:space="preserve"> </w:t>
            </w:r>
            <w:r w:rsidR="0061055A" w:rsidRPr="000B5DED">
              <w:rPr>
                <w:rFonts w:eastAsia="Calibri"/>
                <w:b/>
                <w:sz w:val="20"/>
              </w:rPr>
              <w:t>improved</w:t>
            </w:r>
            <w:r w:rsidRPr="0013161E">
              <w:rPr>
                <w:rFonts w:eastAsia="Calibri"/>
                <w:sz w:val="20"/>
              </w:rPr>
              <w:t xml:space="preserve"> </w:t>
            </w:r>
            <w:r w:rsidRPr="0013161E">
              <w:rPr>
                <w:rFonts w:eastAsia="Calibri"/>
                <w:b/>
                <w:sz w:val="20"/>
              </w:rPr>
              <w:t>policies, systems and/or institutional measures</w:t>
            </w:r>
            <w:r w:rsidRPr="0013161E">
              <w:rPr>
                <w:rFonts w:eastAsia="Calibri"/>
                <w:sz w:val="20"/>
              </w:rPr>
              <w:t xml:space="preserve"> in place at the national and sub-national levels to </w:t>
            </w:r>
            <w:r w:rsidRPr="0013161E">
              <w:rPr>
                <w:rFonts w:eastAsia="Calibri"/>
                <w:b/>
                <w:sz w:val="20"/>
              </w:rPr>
              <w:t>generate and strengthen employment and livelihoods</w:t>
            </w:r>
          </w:p>
          <w:p w14:paraId="13D36F43" w14:textId="27FE52E8" w:rsidR="001E5B44" w:rsidRPr="0013161E" w:rsidRDefault="001E5B44" w:rsidP="00922506">
            <w:pPr>
              <w:spacing w:before="240" w:after="0" w:line="240" w:lineRule="auto"/>
              <w:ind w:right="-62"/>
              <w:rPr>
                <w:rFonts w:eastAsia="Calibri"/>
                <w:sz w:val="20"/>
              </w:rPr>
            </w:pPr>
            <w:r w:rsidRPr="0013161E">
              <w:rPr>
                <w:rFonts w:eastAsia="Calibri"/>
                <w:b/>
                <w:i/>
                <w:sz w:val="18"/>
                <w:szCs w:val="18"/>
              </w:rPr>
              <w:t xml:space="preserve">Number of countries </w:t>
            </w:r>
            <w:r w:rsidR="00687C0B" w:rsidRPr="0013161E">
              <w:rPr>
                <w:rFonts w:eastAsia="Calibri"/>
                <w:b/>
                <w:i/>
                <w:sz w:val="18"/>
                <w:szCs w:val="18"/>
              </w:rPr>
              <w:t>for which a 2017 target has currently been set under this indicator</w:t>
            </w:r>
            <w:r w:rsidR="0044264F" w:rsidRPr="0013161E">
              <w:rPr>
                <w:rFonts w:eastAsia="Calibri"/>
                <w:b/>
                <w:i/>
                <w:sz w:val="18"/>
                <w:szCs w:val="18"/>
              </w:rPr>
              <w:t>: 99</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center"/>
          </w:tcPr>
          <w:p w14:paraId="31600F3E" w14:textId="28445210" w:rsidR="00925A24" w:rsidRPr="001F65A6" w:rsidRDefault="00925A24" w:rsidP="00824DB0">
            <w:pPr>
              <w:spacing w:after="0" w:line="240" w:lineRule="auto"/>
              <w:jc w:val="center"/>
              <w:rPr>
                <w:rFonts w:eastAsia="Calibri"/>
                <w:sz w:val="20"/>
              </w:rPr>
            </w:pPr>
            <w:r w:rsidRPr="001F65A6">
              <w:rPr>
                <w:rFonts w:eastAsia="Calibri"/>
                <w:sz w:val="20"/>
              </w:rPr>
              <w:t>0</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4D359650" w14:textId="77F1DF88" w:rsidR="00925A24" w:rsidRPr="001F65A6" w:rsidRDefault="00D33A9D" w:rsidP="00CB2C25">
            <w:pPr>
              <w:spacing w:after="0" w:line="240" w:lineRule="auto"/>
              <w:jc w:val="center"/>
              <w:rPr>
                <w:rFonts w:eastAsia="Calibri"/>
                <w:sz w:val="20"/>
              </w:rPr>
            </w:pPr>
            <w:r>
              <w:rPr>
                <w:rFonts w:eastAsia="Calibri"/>
                <w:sz w:val="20"/>
              </w:rPr>
              <w:t>31</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14:paraId="1BD45E45" w14:textId="151950FB" w:rsidR="00925A24" w:rsidRPr="001F65A6" w:rsidRDefault="00D33A9D" w:rsidP="00CB2C25">
            <w:pPr>
              <w:spacing w:after="0" w:line="240" w:lineRule="auto"/>
              <w:jc w:val="center"/>
              <w:rPr>
                <w:rFonts w:eastAsia="Calibri"/>
                <w:sz w:val="20"/>
              </w:rPr>
            </w:pPr>
            <w:r>
              <w:rPr>
                <w:rFonts w:eastAsia="Calibri"/>
                <w:sz w:val="20"/>
              </w:rPr>
              <w:t>33</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3D31436D" w14:textId="373C4C3A" w:rsidR="00925A24" w:rsidRPr="001F65A6" w:rsidRDefault="0044264F" w:rsidP="00CB2C25">
            <w:pPr>
              <w:spacing w:after="0" w:line="240" w:lineRule="auto"/>
              <w:jc w:val="center"/>
              <w:rPr>
                <w:rFonts w:eastAsia="Calibri"/>
                <w:sz w:val="20"/>
              </w:rPr>
            </w:pPr>
            <w:r w:rsidRPr="0044264F">
              <w:rPr>
                <w:rFonts w:eastAsia="Calibri"/>
                <w:sz w:val="20"/>
              </w:rPr>
              <w:t>76</w:t>
            </w:r>
          </w:p>
        </w:tc>
      </w:tr>
      <w:tr w:rsidR="00D33A9D" w:rsidRPr="00283732" w14:paraId="31AFD61D" w14:textId="77777777" w:rsidTr="00BC2597">
        <w:trPr>
          <w:trHeight w:val="494"/>
          <w:jc w:val="center"/>
        </w:trPr>
        <w:tc>
          <w:tcPr>
            <w:tcW w:w="2695" w:type="dxa"/>
            <w:vMerge/>
            <w:tcBorders>
              <w:left w:val="single" w:sz="4" w:space="0" w:color="auto"/>
              <w:right w:val="single" w:sz="4" w:space="0" w:color="auto"/>
            </w:tcBorders>
            <w:shd w:val="clear" w:color="auto" w:fill="FFFFFF"/>
          </w:tcPr>
          <w:p w14:paraId="2E4F8576" w14:textId="77777777" w:rsidR="00D33A9D" w:rsidRPr="00A512C1" w:rsidRDefault="00D33A9D" w:rsidP="005E0294">
            <w:pPr>
              <w:spacing w:after="0" w:line="240" w:lineRule="auto"/>
              <w:rPr>
                <w:rFonts w:eastAsia="Calibri"/>
                <w:b/>
                <w:sz w:val="20"/>
              </w:rPr>
            </w:pPr>
          </w:p>
        </w:tc>
        <w:tc>
          <w:tcPr>
            <w:tcW w:w="860" w:type="dxa"/>
            <w:vMerge/>
            <w:tcBorders>
              <w:left w:val="single" w:sz="4" w:space="0" w:color="auto"/>
              <w:bottom w:val="single" w:sz="4" w:space="0" w:color="auto"/>
              <w:right w:val="single" w:sz="4" w:space="0" w:color="auto"/>
            </w:tcBorders>
            <w:shd w:val="clear" w:color="auto" w:fill="FFFFFF"/>
          </w:tcPr>
          <w:p w14:paraId="3BBFB96A" w14:textId="77777777" w:rsidR="00D33A9D" w:rsidRPr="00A512C1" w:rsidRDefault="00D33A9D" w:rsidP="005E0294">
            <w:pPr>
              <w:spacing w:after="0" w:line="240" w:lineRule="auto"/>
              <w:jc w:val="both"/>
              <w:rPr>
                <w:rFonts w:eastAsia="Calibri"/>
                <w:b/>
                <w:sz w:val="20"/>
              </w:rPr>
            </w:pPr>
          </w:p>
        </w:tc>
        <w:tc>
          <w:tcPr>
            <w:tcW w:w="11293" w:type="dxa"/>
            <w:gridSpan w:val="5"/>
            <w:tcBorders>
              <w:left w:val="single" w:sz="4" w:space="0" w:color="auto"/>
              <w:bottom w:val="single" w:sz="4" w:space="0" w:color="auto"/>
              <w:right w:val="single" w:sz="4" w:space="0" w:color="auto"/>
            </w:tcBorders>
            <w:shd w:val="clear" w:color="auto" w:fill="D9D9D9" w:themeFill="background1" w:themeFillShade="D9"/>
          </w:tcPr>
          <w:p w14:paraId="5A1F286D" w14:textId="0D331AA2" w:rsidR="00D33A9D" w:rsidRPr="00687C0B" w:rsidRDefault="00D33A9D" w:rsidP="006D4A6C">
            <w:pPr>
              <w:spacing w:after="0" w:line="240" w:lineRule="auto"/>
              <w:rPr>
                <w:rFonts w:eastAsia="Calibri"/>
                <w:sz w:val="18"/>
                <w:szCs w:val="18"/>
              </w:rPr>
            </w:pPr>
            <w:r w:rsidRPr="00687C0B">
              <w:rPr>
                <w:rFonts w:ascii="Calibri" w:eastAsia="Calibri" w:hAnsi="Calibri" w:cs="Times New Roman"/>
                <w:b/>
                <w:sz w:val="18"/>
                <w:szCs w:val="18"/>
                <w:lang w:eastAsia="en-US"/>
              </w:rPr>
              <w:t>Indicator 1.1.2 Note</w:t>
            </w:r>
            <w:r w:rsidRPr="00687C0B">
              <w:rPr>
                <w:rFonts w:ascii="Calibri" w:eastAsia="Calibri" w:hAnsi="Calibri" w:cs="Times New Roman"/>
                <w:sz w:val="18"/>
                <w:szCs w:val="18"/>
                <w:lang w:eastAsia="en-US"/>
              </w:rPr>
              <w:t xml:space="preserve">: </w:t>
            </w:r>
            <w:r w:rsidRPr="00687C0B">
              <w:rPr>
                <w:rFonts w:ascii="Calibri" w:eastAsia="Calibri" w:hAnsi="Calibri"/>
                <w:sz w:val="18"/>
                <w:szCs w:val="18"/>
              </w:rPr>
              <w:t xml:space="preserve">Tracks the number of countries where UNDP support (on demand </w:t>
            </w:r>
            <w:r w:rsidRPr="00687C0B">
              <w:rPr>
                <w:sz w:val="18"/>
                <w:szCs w:val="18"/>
              </w:rPr>
              <w:t>from programme countries</w:t>
            </w:r>
            <w:r w:rsidRPr="00687C0B">
              <w:rPr>
                <w:rFonts w:ascii="Calibri" w:eastAsia="Calibri" w:hAnsi="Calibri"/>
                <w:sz w:val="18"/>
                <w:szCs w:val="18"/>
              </w:rPr>
              <w:t xml:space="preserve">) has led to </w:t>
            </w:r>
            <w:r w:rsidR="000B5DED">
              <w:rPr>
                <w:rFonts w:ascii="Calibri" w:eastAsia="Calibri" w:hAnsi="Calibri"/>
                <w:sz w:val="18"/>
                <w:szCs w:val="18"/>
              </w:rPr>
              <w:t>improvements</w:t>
            </w:r>
            <w:r w:rsidRPr="00687C0B">
              <w:rPr>
                <w:rFonts w:ascii="Calibri" w:eastAsia="Calibri" w:hAnsi="Calibri"/>
                <w:sz w:val="18"/>
                <w:szCs w:val="18"/>
              </w:rPr>
              <w:t xml:space="preserve"> in policies, systems and institutional measures with the aim of generating and strengthening employment and livelihoods. </w:t>
            </w:r>
            <w:r w:rsidRPr="00687C0B">
              <w:rPr>
                <w:rFonts w:eastAsia="Calibri"/>
                <w:sz w:val="18"/>
                <w:szCs w:val="18"/>
              </w:rPr>
              <w:t xml:space="preserve">The effectiveness of UNDP’s support is tracked using a qualitative assessment (extent to which policies, systems and/or institutional measures are in place at the national and sub-national levels: 1- Not adequately, 2- Very partially, 3- Partially, and 4-Largely), counting the number of countries </w:t>
            </w:r>
            <w:r w:rsidR="000B5DED">
              <w:rPr>
                <w:rFonts w:eastAsia="Calibri"/>
                <w:sz w:val="18"/>
                <w:szCs w:val="18"/>
              </w:rPr>
              <w:t>where improved policies, systems and/or institutional measures</w:t>
            </w:r>
            <w:r w:rsidRPr="00687C0B">
              <w:rPr>
                <w:rFonts w:eastAsia="Calibri"/>
                <w:sz w:val="18"/>
                <w:szCs w:val="18"/>
              </w:rPr>
              <w:t xml:space="preserve"> </w:t>
            </w:r>
            <w:r w:rsidR="000B5DED">
              <w:rPr>
                <w:rFonts w:eastAsia="Calibri"/>
                <w:sz w:val="18"/>
                <w:szCs w:val="18"/>
              </w:rPr>
              <w:t xml:space="preserve">were put </w:t>
            </w:r>
            <w:r w:rsidRPr="00687C0B">
              <w:rPr>
                <w:rFonts w:eastAsia="Calibri"/>
                <w:sz w:val="18"/>
                <w:szCs w:val="18"/>
              </w:rPr>
              <w:t>in place with UNDP support.</w:t>
            </w:r>
          </w:p>
          <w:p w14:paraId="4538DE2A" w14:textId="2324D4D4" w:rsidR="00D33A9D" w:rsidRPr="00687C0B" w:rsidRDefault="00D33A9D" w:rsidP="007C6F80">
            <w:pPr>
              <w:spacing w:after="0" w:line="240" w:lineRule="auto"/>
              <w:rPr>
                <w:rFonts w:eastAsia="Calibri"/>
                <w:sz w:val="20"/>
              </w:rPr>
            </w:pPr>
            <w:r w:rsidRPr="00687C0B">
              <w:rPr>
                <w:rFonts w:eastAsia="Calibri"/>
                <w:b/>
                <w:sz w:val="18"/>
                <w:szCs w:val="18"/>
              </w:rPr>
              <w:t xml:space="preserve">2014 Reporting Note: </w:t>
            </w:r>
            <w:r w:rsidR="007C6F80" w:rsidRPr="00687C0B">
              <w:rPr>
                <w:rFonts w:eastAsia="Calibri"/>
                <w:sz w:val="18"/>
                <w:szCs w:val="18"/>
              </w:rPr>
              <w:t>2014 m</w:t>
            </w:r>
            <w:r w:rsidRPr="00687C0B">
              <w:rPr>
                <w:rFonts w:eastAsia="Calibri"/>
                <w:sz w:val="18"/>
                <w:szCs w:val="18"/>
              </w:rPr>
              <w:t xml:space="preserve">ilestone </w:t>
            </w:r>
            <w:r w:rsidR="007C6F80" w:rsidRPr="00687C0B">
              <w:rPr>
                <w:rFonts w:eastAsia="Calibri"/>
                <w:sz w:val="18"/>
                <w:szCs w:val="18"/>
              </w:rPr>
              <w:t xml:space="preserve">and 2017 target </w:t>
            </w:r>
            <w:r w:rsidRPr="00687C0B">
              <w:rPr>
                <w:rFonts w:eastAsia="Calibri"/>
                <w:sz w:val="18"/>
                <w:szCs w:val="18"/>
              </w:rPr>
              <w:t>updated to reflect more complete reporting from country offices. For reference, previous 2014 milestone was 26</w:t>
            </w:r>
            <w:r w:rsidR="007C6F80" w:rsidRPr="00687C0B">
              <w:rPr>
                <w:rFonts w:eastAsia="Calibri"/>
                <w:sz w:val="18"/>
                <w:szCs w:val="18"/>
              </w:rPr>
              <w:t xml:space="preserve">, previous target was 65. </w:t>
            </w:r>
          </w:p>
        </w:tc>
      </w:tr>
    </w:tbl>
    <w:p w14:paraId="63358880" w14:textId="77777777" w:rsidR="00687C0B" w:rsidRDefault="00687C0B">
      <w:r>
        <w:br w:type="page"/>
      </w:r>
    </w:p>
    <w:tbl>
      <w:tblPr>
        <w:tblW w:w="14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860"/>
        <w:gridCol w:w="5437"/>
        <w:gridCol w:w="1525"/>
        <w:gridCol w:w="1265"/>
        <w:gridCol w:w="1263"/>
        <w:gridCol w:w="1803"/>
      </w:tblGrid>
      <w:tr w:rsidR="00925A24" w:rsidRPr="00283732" w14:paraId="295DEEC1" w14:textId="77777777" w:rsidTr="00BC2597">
        <w:trPr>
          <w:trHeight w:val="593"/>
          <w:jc w:val="center"/>
        </w:trPr>
        <w:tc>
          <w:tcPr>
            <w:tcW w:w="2695" w:type="dxa"/>
            <w:vMerge w:val="restart"/>
            <w:tcBorders>
              <w:left w:val="single" w:sz="4" w:space="0" w:color="auto"/>
              <w:right w:val="single" w:sz="4" w:space="0" w:color="auto"/>
            </w:tcBorders>
            <w:shd w:val="clear" w:color="auto" w:fill="FFFFFF"/>
          </w:tcPr>
          <w:p w14:paraId="41B5DCBE" w14:textId="62BF6293" w:rsidR="00925A24" w:rsidRPr="00A512C1" w:rsidRDefault="00925A24" w:rsidP="005E0294">
            <w:pPr>
              <w:spacing w:after="0" w:line="240" w:lineRule="auto"/>
              <w:rPr>
                <w:rFonts w:eastAsia="Calibri"/>
                <w:b/>
                <w:sz w:val="20"/>
              </w:rPr>
            </w:pPr>
          </w:p>
        </w:tc>
        <w:tc>
          <w:tcPr>
            <w:tcW w:w="860" w:type="dxa"/>
            <w:vMerge w:val="restart"/>
            <w:tcBorders>
              <w:top w:val="single" w:sz="4" w:space="0" w:color="auto"/>
              <w:left w:val="single" w:sz="4" w:space="0" w:color="auto"/>
              <w:right w:val="single" w:sz="4" w:space="0" w:color="auto"/>
            </w:tcBorders>
            <w:shd w:val="clear" w:color="auto" w:fill="FFFFFF"/>
          </w:tcPr>
          <w:p w14:paraId="78E2466D" w14:textId="77777777" w:rsidR="00925A24" w:rsidRPr="00916C74" w:rsidRDefault="00925A24" w:rsidP="005E0294">
            <w:pPr>
              <w:spacing w:after="0" w:line="240" w:lineRule="auto"/>
              <w:jc w:val="both"/>
              <w:rPr>
                <w:rFonts w:eastAsia="Calibri"/>
                <w:b/>
                <w:sz w:val="20"/>
                <w:highlight w:val="yellow"/>
              </w:rPr>
            </w:pPr>
            <w:r w:rsidRPr="00EF44C1">
              <w:rPr>
                <w:rFonts w:eastAsia="Calibri"/>
                <w:b/>
                <w:sz w:val="20"/>
              </w:rPr>
              <w:t>1.1.3</w:t>
            </w:r>
          </w:p>
        </w:tc>
        <w:tc>
          <w:tcPr>
            <w:tcW w:w="5437" w:type="dxa"/>
            <w:tcBorders>
              <w:top w:val="single" w:sz="4" w:space="0" w:color="auto"/>
              <w:left w:val="single" w:sz="4" w:space="0" w:color="auto"/>
              <w:right w:val="single" w:sz="4" w:space="0" w:color="auto"/>
            </w:tcBorders>
            <w:shd w:val="clear" w:color="auto" w:fill="FFFFFF"/>
          </w:tcPr>
          <w:p w14:paraId="75913CE0" w14:textId="77777777" w:rsidR="00925A24" w:rsidRPr="0013161E" w:rsidRDefault="00925A24" w:rsidP="007B51D7">
            <w:pPr>
              <w:spacing w:after="0" w:line="240" w:lineRule="auto"/>
              <w:rPr>
                <w:rFonts w:eastAsia="Calibri"/>
                <w:b/>
                <w:color w:val="000000"/>
                <w:sz w:val="20"/>
              </w:rPr>
            </w:pPr>
            <w:r w:rsidRPr="0013161E">
              <w:rPr>
                <w:rFonts w:eastAsia="Calibri"/>
                <w:color w:val="000000"/>
                <w:sz w:val="20"/>
              </w:rPr>
              <w:t xml:space="preserve">Number of </w:t>
            </w:r>
            <w:r w:rsidRPr="000B5DED">
              <w:rPr>
                <w:rFonts w:eastAsia="Calibri"/>
                <w:b/>
                <w:color w:val="000000"/>
                <w:sz w:val="20"/>
              </w:rPr>
              <w:t>new</w:t>
            </w:r>
            <w:r w:rsidRPr="0013161E">
              <w:rPr>
                <w:rFonts w:eastAsia="Calibri"/>
                <w:color w:val="000000"/>
                <w:sz w:val="20"/>
              </w:rPr>
              <w:t xml:space="preserve"> schemes which </w:t>
            </w:r>
            <w:r w:rsidRPr="0013161E">
              <w:rPr>
                <w:rFonts w:eastAsia="Calibri"/>
                <w:b/>
                <w:color w:val="000000"/>
                <w:sz w:val="20"/>
              </w:rPr>
              <w:t xml:space="preserve">expand and diversify the productive base </w:t>
            </w:r>
            <w:r w:rsidRPr="0013161E">
              <w:rPr>
                <w:rFonts w:eastAsia="Calibri"/>
                <w:color w:val="000000"/>
                <w:sz w:val="20"/>
              </w:rPr>
              <w:t xml:space="preserve">based on the </w:t>
            </w:r>
            <w:r w:rsidRPr="0013161E">
              <w:rPr>
                <w:rFonts w:eastAsia="Calibri"/>
                <w:b/>
                <w:color w:val="000000"/>
                <w:sz w:val="20"/>
              </w:rPr>
              <w:t>use of sustainable production technologies</w:t>
            </w:r>
          </w:p>
          <w:p w14:paraId="1BB4C8E6" w14:textId="0D38D7D9" w:rsidR="001E5B44" w:rsidRPr="0013161E" w:rsidRDefault="00922506" w:rsidP="00687C0B">
            <w:pPr>
              <w:spacing w:before="240" w:after="0" w:line="240" w:lineRule="auto"/>
              <w:rPr>
                <w:rFonts w:eastAsia="Calibri"/>
                <w:color w:val="000000"/>
                <w:sz w:val="20"/>
              </w:rPr>
            </w:pPr>
            <w:r w:rsidRPr="0013161E">
              <w:rPr>
                <w:rFonts w:eastAsia="Calibri"/>
                <w:b/>
                <w:i/>
                <w:sz w:val="18"/>
                <w:szCs w:val="18"/>
              </w:rPr>
              <w:t xml:space="preserve">Number of countries </w:t>
            </w:r>
            <w:r w:rsidR="00687C0B" w:rsidRPr="0013161E">
              <w:rPr>
                <w:rFonts w:eastAsia="Calibri"/>
                <w:b/>
                <w:i/>
                <w:sz w:val="18"/>
                <w:szCs w:val="18"/>
              </w:rPr>
              <w:t>for which a 2017 target has currently been set under this indicator:</w:t>
            </w:r>
            <w:r w:rsidR="003F0B08" w:rsidRPr="0013161E">
              <w:rPr>
                <w:rFonts w:eastAsia="Calibri"/>
                <w:b/>
                <w:i/>
                <w:sz w:val="18"/>
                <w:szCs w:val="18"/>
              </w:rPr>
              <w:t xml:space="preserve"> </w:t>
            </w:r>
            <w:r w:rsidR="00AD4B3B" w:rsidRPr="0013161E">
              <w:rPr>
                <w:rFonts w:eastAsia="Calibri"/>
                <w:b/>
                <w:i/>
                <w:sz w:val="18"/>
                <w:szCs w:val="18"/>
              </w:rPr>
              <w:t>63</w:t>
            </w:r>
          </w:p>
        </w:tc>
        <w:tc>
          <w:tcPr>
            <w:tcW w:w="1525" w:type="dxa"/>
            <w:tcBorders>
              <w:top w:val="single" w:sz="4" w:space="0" w:color="auto"/>
              <w:left w:val="single" w:sz="4" w:space="0" w:color="auto"/>
              <w:right w:val="single" w:sz="4" w:space="0" w:color="auto"/>
            </w:tcBorders>
            <w:shd w:val="clear" w:color="auto" w:fill="FFFFFF"/>
            <w:vAlign w:val="center"/>
          </w:tcPr>
          <w:p w14:paraId="018BD86E" w14:textId="3EEE4B87" w:rsidR="00925A24" w:rsidRPr="00A512C1" w:rsidRDefault="00824DB0" w:rsidP="00824DB0">
            <w:pPr>
              <w:spacing w:after="0" w:line="240" w:lineRule="auto"/>
              <w:jc w:val="center"/>
              <w:rPr>
                <w:rFonts w:eastAsia="Calibri"/>
                <w:sz w:val="20"/>
              </w:rPr>
            </w:pPr>
            <w:r>
              <w:rPr>
                <w:rFonts w:eastAsia="Calibri"/>
                <w:sz w:val="20"/>
              </w:rPr>
              <w:t>0</w:t>
            </w:r>
          </w:p>
        </w:tc>
        <w:tc>
          <w:tcPr>
            <w:tcW w:w="1265" w:type="dxa"/>
            <w:tcBorders>
              <w:top w:val="single" w:sz="4" w:space="0" w:color="auto"/>
              <w:left w:val="single" w:sz="4" w:space="0" w:color="auto"/>
              <w:right w:val="single" w:sz="4" w:space="0" w:color="auto"/>
            </w:tcBorders>
            <w:shd w:val="clear" w:color="auto" w:fill="FFFFFF"/>
            <w:vAlign w:val="center"/>
          </w:tcPr>
          <w:p w14:paraId="6CFAA244" w14:textId="11A405CF" w:rsidR="00925A24" w:rsidRPr="00A512C1" w:rsidRDefault="00D33A9D" w:rsidP="00813A71">
            <w:pPr>
              <w:spacing w:after="0" w:line="240" w:lineRule="auto"/>
              <w:jc w:val="center"/>
              <w:rPr>
                <w:rFonts w:eastAsia="Calibri"/>
                <w:sz w:val="20"/>
              </w:rPr>
            </w:pPr>
            <w:r>
              <w:rPr>
                <w:rFonts w:eastAsia="Calibri"/>
                <w:sz w:val="20"/>
              </w:rPr>
              <w:t>471</w:t>
            </w:r>
          </w:p>
        </w:tc>
        <w:tc>
          <w:tcPr>
            <w:tcW w:w="1263" w:type="dxa"/>
            <w:tcBorders>
              <w:top w:val="single" w:sz="4" w:space="0" w:color="auto"/>
              <w:left w:val="single" w:sz="4" w:space="0" w:color="auto"/>
              <w:right w:val="single" w:sz="4" w:space="0" w:color="auto"/>
            </w:tcBorders>
            <w:shd w:val="clear" w:color="auto" w:fill="FFFFFF"/>
            <w:vAlign w:val="center"/>
          </w:tcPr>
          <w:p w14:paraId="662FEE48" w14:textId="5C7F95A9" w:rsidR="00925A24" w:rsidRPr="00A512C1" w:rsidRDefault="00D33A9D" w:rsidP="007B51D7">
            <w:pPr>
              <w:spacing w:after="0" w:line="240" w:lineRule="auto"/>
              <w:jc w:val="center"/>
              <w:rPr>
                <w:rFonts w:eastAsia="Calibri"/>
                <w:sz w:val="20"/>
              </w:rPr>
            </w:pPr>
            <w:r>
              <w:rPr>
                <w:rFonts w:eastAsia="Calibri"/>
                <w:sz w:val="20"/>
              </w:rPr>
              <w:t>595</w:t>
            </w:r>
          </w:p>
        </w:tc>
        <w:tc>
          <w:tcPr>
            <w:tcW w:w="1803" w:type="dxa"/>
            <w:tcBorders>
              <w:top w:val="single" w:sz="4" w:space="0" w:color="auto"/>
              <w:left w:val="single" w:sz="4" w:space="0" w:color="auto"/>
              <w:right w:val="single" w:sz="4" w:space="0" w:color="auto"/>
            </w:tcBorders>
            <w:shd w:val="clear" w:color="auto" w:fill="FFFFFF"/>
            <w:vAlign w:val="center"/>
          </w:tcPr>
          <w:p w14:paraId="57D534F8" w14:textId="1E3FA9FE" w:rsidR="00925A24" w:rsidRPr="00A512C1" w:rsidRDefault="00925A24" w:rsidP="00800759">
            <w:pPr>
              <w:spacing w:after="0" w:line="240" w:lineRule="auto"/>
              <w:jc w:val="center"/>
              <w:rPr>
                <w:rFonts w:eastAsia="Calibri"/>
                <w:sz w:val="20"/>
              </w:rPr>
            </w:pPr>
            <w:r w:rsidRPr="0044264F">
              <w:rPr>
                <w:rFonts w:eastAsia="Calibri"/>
                <w:sz w:val="20"/>
              </w:rPr>
              <w:t>1,</w:t>
            </w:r>
            <w:r w:rsidR="0044264F" w:rsidRPr="0044264F">
              <w:rPr>
                <w:rFonts w:eastAsia="Calibri"/>
                <w:sz w:val="20"/>
              </w:rPr>
              <w:t>6</w:t>
            </w:r>
            <w:r w:rsidR="00800759">
              <w:rPr>
                <w:rFonts w:eastAsia="Calibri"/>
                <w:sz w:val="20"/>
              </w:rPr>
              <w:t>42</w:t>
            </w:r>
          </w:p>
        </w:tc>
      </w:tr>
      <w:tr w:rsidR="00D33A9D" w:rsidRPr="00283732" w14:paraId="66DC6065" w14:textId="77777777" w:rsidTr="00BC2597">
        <w:trPr>
          <w:trHeight w:val="593"/>
          <w:jc w:val="center"/>
        </w:trPr>
        <w:tc>
          <w:tcPr>
            <w:tcW w:w="2695" w:type="dxa"/>
            <w:vMerge/>
            <w:tcBorders>
              <w:left w:val="single" w:sz="4" w:space="0" w:color="auto"/>
              <w:bottom w:val="single" w:sz="4" w:space="0" w:color="auto"/>
              <w:right w:val="single" w:sz="4" w:space="0" w:color="auto"/>
            </w:tcBorders>
          </w:tcPr>
          <w:p w14:paraId="139D21BB" w14:textId="77777777" w:rsidR="00D33A9D" w:rsidRPr="00A512C1" w:rsidRDefault="00D33A9D" w:rsidP="005E0294">
            <w:pPr>
              <w:spacing w:after="0" w:line="240" w:lineRule="auto"/>
              <w:rPr>
                <w:rFonts w:eastAsia="Calibri"/>
                <w:b/>
                <w:sz w:val="20"/>
              </w:rPr>
            </w:pPr>
          </w:p>
        </w:tc>
        <w:tc>
          <w:tcPr>
            <w:tcW w:w="860" w:type="dxa"/>
            <w:vMerge/>
            <w:tcBorders>
              <w:left w:val="single" w:sz="4" w:space="0" w:color="auto"/>
              <w:right w:val="single" w:sz="4" w:space="0" w:color="auto"/>
            </w:tcBorders>
          </w:tcPr>
          <w:p w14:paraId="0E23BE94" w14:textId="77777777" w:rsidR="00D33A9D" w:rsidRPr="00916C74" w:rsidRDefault="00D33A9D" w:rsidP="005E0294">
            <w:pPr>
              <w:spacing w:after="0" w:line="240" w:lineRule="auto"/>
              <w:jc w:val="both"/>
              <w:rPr>
                <w:rFonts w:eastAsia="Calibri"/>
                <w:b/>
                <w:sz w:val="20"/>
                <w:highlight w:val="yellow"/>
              </w:rPr>
            </w:pPr>
          </w:p>
        </w:tc>
        <w:tc>
          <w:tcPr>
            <w:tcW w:w="11293" w:type="dxa"/>
            <w:gridSpan w:val="5"/>
            <w:tcBorders>
              <w:left w:val="single" w:sz="4" w:space="0" w:color="auto"/>
              <w:right w:val="single" w:sz="4" w:space="0" w:color="auto"/>
            </w:tcBorders>
            <w:shd w:val="clear" w:color="auto" w:fill="D9D9D9" w:themeFill="background1" w:themeFillShade="D9"/>
          </w:tcPr>
          <w:p w14:paraId="259D6ED4" w14:textId="7131FAE1" w:rsidR="00D33A9D" w:rsidRPr="00687C0B" w:rsidRDefault="00D33A9D" w:rsidP="00000064">
            <w:pPr>
              <w:spacing w:after="0" w:line="240" w:lineRule="auto"/>
              <w:rPr>
                <w:rFonts w:ascii="Calibri" w:eastAsia="Calibri" w:hAnsi="Calibri"/>
                <w:sz w:val="18"/>
                <w:szCs w:val="18"/>
              </w:rPr>
            </w:pPr>
            <w:r w:rsidRPr="00687C0B">
              <w:rPr>
                <w:rFonts w:ascii="Calibri" w:eastAsia="Calibri" w:hAnsi="Calibri" w:cs="Times New Roman"/>
                <w:b/>
                <w:sz w:val="18"/>
                <w:szCs w:val="18"/>
                <w:lang w:eastAsia="en-US"/>
              </w:rPr>
              <w:t>Indicator 1.1.3 Note</w:t>
            </w:r>
            <w:r w:rsidRPr="00687C0B">
              <w:rPr>
                <w:rFonts w:ascii="Calibri" w:eastAsia="Calibri" w:hAnsi="Calibri" w:cs="Times New Roman"/>
                <w:sz w:val="18"/>
                <w:szCs w:val="18"/>
                <w:lang w:eastAsia="en-US"/>
              </w:rPr>
              <w:t xml:space="preserve">: </w:t>
            </w:r>
            <w:r w:rsidRPr="00687C0B">
              <w:rPr>
                <w:rFonts w:ascii="Calibri" w:eastAsia="Calibri" w:hAnsi="Calibri"/>
                <w:sz w:val="18"/>
                <w:szCs w:val="18"/>
              </w:rPr>
              <w:t xml:space="preserve">Tracks the number of new schemes (specified as new demonstration projects, new </w:t>
            </w:r>
            <w:r w:rsidR="00687C0B">
              <w:rPr>
                <w:rFonts w:ascii="Calibri" w:eastAsia="Calibri" w:hAnsi="Calibri"/>
                <w:sz w:val="18"/>
                <w:szCs w:val="18"/>
              </w:rPr>
              <w:t>advocacy and knowledge-</w:t>
            </w:r>
            <w:r w:rsidRPr="00687C0B">
              <w:rPr>
                <w:rFonts w:ascii="Calibri" w:eastAsia="Calibri" w:hAnsi="Calibri"/>
                <w:sz w:val="18"/>
                <w:szCs w:val="18"/>
              </w:rPr>
              <w:t xml:space="preserve">generation schemes, new skills-building schemes, and new implementation support schemes) implemented with UNDP support (on demand </w:t>
            </w:r>
            <w:r w:rsidRPr="00687C0B">
              <w:rPr>
                <w:sz w:val="18"/>
                <w:szCs w:val="18"/>
              </w:rPr>
              <w:t>from programme countries</w:t>
            </w:r>
            <w:r w:rsidRPr="00687C0B">
              <w:rPr>
                <w:rFonts w:ascii="Calibri" w:eastAsia="Calibri" w:hAnsi="Calibri"/>
                <w:sz w:val="18"/>
                <w:szCs w:val="18"/>
              </w:rPr>
              <w:t>), that played a catalytic role in prompting a follow-up action and/or leading to transformational change, from January 2014 onwards.</w:t>
            </w:r>
          </w:p>
          <w:p w14:paraId="0C52FDB9" w14:textId="53EC959A" w:rsidR="00D33A9D" w:rsidRPr="00687C0B" w:rsidRDefault="00D33A9D" w:rsidP="007C6F80">
            <w:pPr>
              <w:spacing w:after="0" w:line="240" w:lineRule="auto"/>
              <w:rPr>
                <w:rFonts w:eastAsia="Calibri"/>
                <w:sz w:val="20"/>
              </w:rPr>
            </w:pPr>
            <w:r w:rsidRPr="00687C0B">
              <w:rPr>
                <w:rFonts w:eastAsia="Calibri"/>
                <w:b/>
                <w:sz w:val="18"/>
                <w:szCs w:val="18"/>
              </w:rPr>
              <w:t xml:space="preserve">2014 Reporting Note: </w:t>
            </w:r>
            <w:r w:rsidRPr="00687C0B">
              <w:rPr>
                <w:rFonts w:eastAsia="Calibri"/>
                <w:sz w:val="18"/>
                <w:szCs w:val="18"/>
              </w:rPr>
              <w:t xml:space="preserve">2014 </w:t>
            </w:r>
            <w:r w:rsidR="007C6F80" w:rsidRPr="00687C0B">
              <w:rPr>
                <w:rFonts w:eastAsia="Calibri"/>
                <w:sz w:val="18"/>
                <w:szCs w:val="18"/>
              </w:rPr>
              <w:t>m</w:t>
            </w:r>
            <w:r w:rsidRPr="00687C0B">
              <w:rPr>
                <w:rFonts w:eastAsia="Calibri"/>
                <w:sz w:val="18"/>
                <w:szCs w:val="18"/>
              </w:rPr>
              <w:t xml:space="preserve">ilestone </w:t>
            </w:r>
            <w:r w:rsidR="007C6F80" w:rsidRPr="00687C0B">
              <w:rPr>
                <w:rFonts w:eastAsia="Calibri"/>
                <w:sz w:val="18"/>
                <w:szCs w:val="18"/>
              </w:rPr>
              <w:t xml:space="preserve">and 2017 target </w:t>
            </w:r>
            <w:r w:rsidRPr="00687C0B">
              <w:rPr>
                <w:rFonts w:eastAsia="Calibri"/>
                <w:sz w:val="18"/>
                <w:szCs w:val="18"/>
              </w:rPr>
              <w:t>updated to reflect more complete reporting from country offices. For reference, previous 2014 milestone was 419</w:t>
            </w:r>
            <w:r w:rsidR="007C6F80" w:rsidRPr="00687C0B">
              <w:rPr>
                <w:rFonts w:eastAsia="Calibri"/>
                <w:sz w:val="18"/>
                <w:szCs w:val="18"/>
              </w:rPr>
              <w:t xml:space="preserve">, previous target was 1,579. </w:t>
            </w:r>
          </w:p>
        </w:tc>
      </w:tr>
      <w:tr w:rsidR="00925A24" w:rsidRPr="00283732" w14:paraId="4533279C" w14:textId="77777777" w:rsidTr="00BC2597">
        <w:trPr>
          <w:trHeight w:val="593"/>
          <w:jc w:val="center"/>
        </w:trPr>
        <w:tc>
          <w:tcPr>
            <w:tcW w:w="2695" w:type="dxa"/>
            <w:vMerge w:val="restart"/>
            <w:tcBorders>
              <w:top w:val="single" w:sz="4" w:space="0" w:color="auto"/>
              <w:left w:val="single" w:sz="4" w:space="0" w:color="auto"/>
              <w:right w:val="single" w:sz="4" w:space="0" w:color="auto"/>
            </w:tcBorders>
            <w:shd w:val="clear" w:color="auto" w:fill="FFFFFF"/>
            <w:hideMark/>
          </w:tcPr>
          <w:p w14:paraId="2F6AF9C1" w14:textId="77777777" w:rsidR="00925A24" w:rsidRPr="00A512C1" w:rsidRDefault="00925A24" w:rsidP="005E0294">
            <w:pPr>
              <w:spacing w:after="0" w:line="240" w:lineRule="auto"/>
              <w:rPr>
                <w:rFonts w:eastAsia="Calibri"/>
                <w:sz w:val="20"/>
              </w:rPr>
            </w:pPr>
            <w:r w:rsidRPr="00A512C1">
              <w:rPr>
                <w:rFonts w:eastAsia="Calibri"/>
                <w:b/>
                <w:sz w:val="20"/>
              </w:rPr>
              <w:t>Output 1.2.</w:t>
            </w:r>
            <w:r w:rsidRPr="00A512C1">
              <w:rPr>
                <w:rFonts w:eastAsia="Calibri"/>
                <w:sz w:val="20"/>
              </w:rPr>
              <w:t xml:space="preserve"> Options enabled and facilitated for inclusive and sustainable social protection </w:t>
            </w:r>
          </w:p>
          <w:p w14:paraId="35FC2CA4" w14:textId="77777777" w:rsidR="00925A24" w:rsidRDefault="00925A24" w:rsidP="005E0294">
            <w:pPr>
              <w:spacing w:after="0" w:line="240" w:lineRule="auto"/>
              <w:rPr>
                <w:rFonts w:eastAsia="Calibri"/>
                <w:i/>
                <w:color w:val="000000"/>
                <w:sz w:val="20"/>
                <w:szCs w:val="18"/>
              </w:rPr>
            </w:pPr>
          </w:p>
          <w:p w14:paraId="26496D04" w14:textId="45313F03" w:rsidR="00925A24" w:rsidRPr="00A512C1" w:rsidRDefault="00925A24" w:rsidP="00700531">
            <w:pPr>
              <w:spacing w:after="0" w:line="240" w:lineRule="auto"/>
              <w:rPr>
                <w:rFonts w:eastAsia="Calibri"/>
                <w:i/>
                <w:color w:val="000000"/>
                <w:sz w:val="20"/>
                <w:szCs w:val="18"/>
              </w:rPr>
            </w:pPr>
            <w:r w:rsidRPr="00B359E7">
              <w:rPr>
                <w:rFonts w:ascii="Calibri" w:eastAsia="Calibri" w:hAnsi="Calibri"/>
                <w:b/>
                <w:i/>
                <w:color w:val="000000"/>
                <w:sz w:val="18"/>
                <w:szCs w:val="18"/>
              </w:rPr>
              <w:t>Number of countries linked:</w:t>
            </w:r>
            <w:r w:rsidR="00FA2A11">
              <w:rPr>
                <w:rFonts w:ascii="Calibri" w:eastAsia="Calibri" w:hAnsi="Calibri"/>
                <w:b/>
                <w:color w:val="000000"/>
                <w:sz w:val="18"/>
                <w:szCs w:val="18"/>
              </w:rPr>
              <w:t xml:space="preserve"> 5</w:t>
            </w:r>
            <w:r w:rsidR="00700531">
              <w:rPr>
                <w:rFonts w:ascii="Calibri" w:eastAsia="Calibri" w:hAnsi="Calibri"/>
                <w:b/>
                <w:color w:val="000000"/>
                <w:sz w:val="18"/>
                <w:szCs w:val="18"/>
              </w:rPr>
              <w:t>5</w:t>
            </w:r>
            <w:r>
              <w:rPr>
                <w:rFonts w:ascii="Calibri" w:eastAsia="Calibri" w:hAnsi="Calibri"/>
                <w:b/>
                <w:color w:val="000000"/>
                <w:sz w:val="18"/>
                <w:szCs w:val="18"/>
              </w:rPr>
              <w:t xml:space="preserve"> </w:t>
            </w:r>
            <w:r w:rsidR="00FA2A11">
              <w:rPr>
                <w:rFonts w:ascii="Calibri" w:eastAsia="Calibri" w:hAnsi="Calibri"/>
                <w:b/>
                <w:color w:val="000000"/>
                <w:sz w:val="18"/>
                <w:szCs w:val="18"/>
              </w:rPr>
              <w:t>(February 2015</w:t>
            </w:r>
            <w:r w:rsidR="00FA2A11" w:rsidRPr="00B359E7">
              <w:rPr>
                <w:rFonts w:ascii="Calibri" w:eastAsia="Calibri" w:hAnsi="Calibri"/>
                <w:b/>
                <w:color w:val="000000"/>
                <w:sz w:val="18"/>
                <w:szCs w:val="18"/>
              </w:rPr>
              <w:t>)</w:t>
            </w:r>
          </w:p>
        </w:tc>
        <w:tc>
          <w:tcPr>
            <w:tcW w:w="860" w:type="dxa"/>
            <w:vMerge w:val="restart"/>
            <w:tcBorders>
              <w:top w:val="single" w:sz="4" w:space="0" w:color="auto"/>
              <w:left w:val="single" w:sz="4" w:space="0" w:color="auto"/>
              <w:right w:val="single" w:sz="4" w:space="0" w:color="auto"/>
            </w:tcBorders>
            <w:shd w:val="clear" w:color="auto" w:fill="FFFFFF"/>
            <w:hideMark/>
          </w:tcPr>
          <w:p w14:paraId="69E7F955" w14:textId="77777777" w:rsidR="00925A24" w:rsidRPr="00A512C1" w:rsidRDefault="00925A24" w:rsidP="005E0294">
            <w:pPr>
              <w:spacing w:after="0" w:line="240" w:lineRule="auto"/>
              <w:jc w:val="both"/>
              <w:rPr>
                <w:rFonts w:eastAsia="Calibri"/>
                <w:b/>
                <w:sz w:val="20"/>
              </w:rPr>
            </w:pPr>
            <w:r w:rsidRPr="00A512C1">
              <w:rPr>
                <w:rFonts w:eastAsia="Calibri"/>
                <w:b/>
                <w:sz w:val="20"/>
              </w:rPr>
              <w:t>1.2.1</w:t>
            </w:r>
          </w:p>
        </w:tc>
        <w:tc>
          <w:tcPr>
            <w:tcW w:w="5437" w:type="dxa"/>
            <w:tcBorders>
              <w:top w:val="single" w:sz="4" w:space="0" w:color="auto"/>
              <w:left w:val="single" w:sz="4" w:space="0" w:color="auto"/>
              <w:bottom w:val="single" w:sz="4" w:space="0" w:color="auto"/>
              <w:right w:val="single" w:sz="4" w:space="0" w:color="auto"/>
            </w:tcBorders>
            <w:shd w:val="clear" w:color="auto" w:fill="FFFFFF"/>
            <w:hideMark/>
          </w:tcPr>
          <w:p w14:paraId="03552BA4" w14:textId="78651D38" w:rsidR="00925A24" w:rsidRDefault="00925A24" w:rsidP="005E0294">
            <w:pPr>
              <w:spacing w:after="0" w:line="240" w:lineRule="auto"/>
              <w:rPr>
                <w:rFonts w:eastAsia="Calibri"/>
                <w:b/>
                <w:color w:val="000000"/>
                <w:sz w:val="20"/>
              </w:rPr>
            </w:pPr>
            <w:r w:rsidRPr="00A512C1">
              <w:rPr>
                <w:rFonts w:eastAsia="Calibri"/>
                <w:color w:val="000000"/>
                <w:sz w:val="20"/>
              </w:rPr>
              <w:t xml:space="preserve">Number of countries with </w:t>
            </w:r>
            <w:r w:rsidRPr="00A512C1">
              <w:rPr>
                <w:rFonts w:eastAsia="Calibri"/>
                <w:b/>
                <w:color w:val="000000"/>
                <w:sz w:val="20"/>
              </w:rPr>
              <w:t xml:space="preserve">policy and institutional </w:t>
            </w:r>
            <w:r w:rsidR="00482A0E" w:rsidRPr="00482A0E">
              <w:rPr>
                <w:rFonts w:eastAsia="Calibri"/>
                <w:b/>
                <w:color w:val="000000"/>
                <w:sz w:val="20"/>
              </w:rPr>
              <w:t>measures</w:t>
            </w:r>
            <w:r w:rsidRPr="00A512C1">
              <w:rPr>
                <w:rFonts w:eastAsia="Calibri"/>
                <w:color w:val="000000"/>
                <w:sz w:val="20"/>
              </w:rPr>
              <w:t xml:space="preserve"> that increase access to </w:t>
            </w:r>
            <w:r w:rsidRPr="00A512C1">
              <w:rPr>
                <w:rFonts w:eastAsia="Calibri"/>
                <w:b/>
                <w:color w:val="000000"/>
                <w:sz w:val="20"/>
              </w:rPr>
              <w:t>social protection schemes</w:t>
            </w:r>
            <w:r w:rsidRPr="00A512C1">
              <w:rPr>
                <w:rFonts w:eastAsia="Calibri"/>
                <w:color w:val="000000"/>
                <w:sz w:val="20"/>
              </w:rPr>
              <w:t xml:space="preserve">, </w:t>
            </w:r>
            <w:r>
              <w:rPr>
                <w:rFonts w:eastAsia="Calibri"/>
                <w:color w:val="000000"/>
                <w:sz w:val="20"/>
              </w:rPr>
              <w:t>targeting the poor and other at-</w:t>
            </w:r>
            <w:r w:rsidRPr="00A512C1">
              <w:rPr>
                <w:rFonts w:eastAsia="Calibri"/>
                <w:color w:val="000000"/>
                <w:sz w:val="20"/>
              </w:rPr>
              <w:t xml:space="preserve">risk groups, disaggregated </w:t>
            </w:r>
            <w:r w:rsidRPr="00A512C1">
              <w:rPr>
                <w:rFonts w:eastAsia="Calibri"/>
                <w:b/>
                <w:color w:val="000000"/>
                <w:sz w:val="20"/>
              </w:rPr>
              <w:t>by sex</w:t>
            </w:r>
            <w:r w:rsidRPr="00A512C1">
              <w:rPr>
                <w:rFonts w:eastAsia="Calibri"/>
                <w:color w:val="000000"/>
                <w:sz w:val="20"/>
              </w:rPr>
              <w:t xml:space="preserve">, </w:t>
            </w:r>
            <w:r w:rsidRPr="00A512C1">
              <w:rPr>
                <w:rFonts w:eastAsia="Calibri"/>
                <w:b/>
                <w:color w:val="000000"/>
                <w:sz w:val="20"/>
              </w:rPr>
              <w:t>rural</w:t>
            </w:r>
            <w:r>
              <w:rPr>
                <w:rFonts w:eastAsia="Calibri"/>
                <w:b/>
                <w:color w:val="000000"/>
                <w:sz w:val="20"/>
              </w:rPr>
              <w:t>/</w:t>
            </w:r>
            <w:r w:rsidRPr="00A512C1">
              <w:rPr>
                <w:rFonts w:eastAsia="Calibri"/>
                <w:b/>
                <w:color w:val="000000"/>
                <w:sz w:val="20"/>
              </w:rPr>
              <w:t>urban</w:t>
            </w:r>
          </w:p>
          <w:p w14:paraId="7577EC6B" w14:textId="77777777" w:rsidR="00925A24" w:rsidRPr="00663F98" w:rsidRDefault="00925A24" w:rsidP="006F161D">
            <w:pPr>
              <w:pStyle w:val="ListParagraph"/>
              <w:numPr>
                <w:ilvl w:val="0"/>
                <w:numId w:val="11"/>
              </w:numPr>
              <w:rPr>
                <w:rFonts w:eastAsia="Calibri"/>
                <w:color w:val="000000"/>
                <w:sz w:val="20"/>
              </w:rPr>
            </w:pPr>
            <w:r w:rsidRPr="00663F98">
              <w:rPr>
                <w:rFonts w:eastAsia="Calibri"/>
                <w:color w:val="000000"/>
                <w:sz w:val="20"/>
              </w:rPr>
              <w:t xml:space="preserve">Increase access for </w:t>
            </w:r>
            <w:r w:rsidRPr="00A23D72">
              <w:rPr>
                <w:rFonts w:eastAsia="Calibri"/>
                <w:b/>
                <w:color w:val="000000"/>
                <w:sz w:val="20"/>
              </w:rPr>
              <w:t>women</w:t>
            </w:r>
          </w:p>
          <w:p w14:paraId="14B5CDC5" w14:textId="77777777" w:rsidR="00925A24" w:rsidRDefault="00925A24" w:rsidP="006F161D">
            <w:pPr>
              <w:pStyle w:val="ListParagraph"/>
              <w:numPr>
                <w:ilvl w:val="0"/>
                <w:numId w:val="11"/>
              </w:numPr>
              <w:rPr>
                <w:rFonts w:eastAsia="Calibri"/>
                <w:color w:val="000000"/>
                <w:sz w:val="20"/>
              </w:rPr>
            </w:pPr>
            <w:r>
              <w:rPr>
                <w:rFonts w:eastAsia="Calibri"/>
                <w:color w:val="000000"/>
                <w:sz w:val="20"/>
              </w:rPr>
              <w:t xml:space="preserve">Increase access for </w:t>
            </w:r>
            <w:r w:rsidRPr="00A23D72">
              <w:rPr>
                <w:rFonts w:eastAsia="Calibri"/>
                <w:b/>
                <w:color w:val="000000"/>
                <w:sz w:val="20"/>
              </w:rPr>
              <w:t>men</w:t>
            </w:r>
          </w:p>
          <w:p w14:paraId="1DA3C394" w14:textId="77777777" w:rsidR="00925A24" w:rsidRDefault="00925A24" w:rsidP="006F161D">
            <w:pPr>
              <w:pStyle w:val="ListParagraph"/>
              <w:numPr>
                <w:ilvl w:val="0"/>
                <w:numId w:val="11"/>
              </w:numPr>
              <w:rPr>
                <w:rFonts w:eastAsia="Calibri"/>
                <w:color w:val="000000"/>
                <w:sz w:val="20"/>
              </w:rPr>
            </w:pPr>
            <w:r>
              <w:rPr>
                <w:rFonts w:eastAsia="Calibri"/>
                <w:color w:val="000000"/>
                <w:sz w:val="20"/>
              </w:rPr>
              <w:t xml:space="preserve">Increase access in </w:t>
            </w:r>
            <w:r w:rsidRPr="00A23D72">
              <w:rPr>
                <w:rFonts w:eastAsia="Calibri"/>
                <w:b/>
                <w:color w:val="000000"/>
                <w:sz w:val="20"/>
              </w:rPr>
              <w:t>rural</w:t>
            </w:r>
            <w:r>
              <w:rPr>
                <w:rFonts w:eastAsia="Calibri"/>
                <w:color w:val="000000"/>
                <w:sz w:val="20"/>
              </w:rPr>
              <w:t xml:space="preserve"> areas</w:t>
            </w:r>
          </w:p>
          <w:p w14:paraId="061A1770" w14:textId="77777777" w:rsidR="00925A24" w:rsidRDefault="00925A24" w:rsidP="006F161D">
            <w:pPr>
              <w:pStyle w:val="ListParagraph"/>
              <w:numPr>
                <w:ilvl w:val="0"/>
                <w:numId w:val="11"/>
              </w:numPr>
              <w:rPr>
                <w:rFonts w:eastAsia="Calibri"/>
                <w:color w:val="000000"/>
                <w:sz w:val="20"/>
              </w:rPr>
            </w:pPr>
            <w:r>
              <w:rPr>
                <w:rFonts w:eastAsia="Calibri"/>
                <w:color w:val="000000"/>
                <w:sz w:val="20"/>
              </w:rPr>
              <w:t xml:space="preserve">Increase access in </w:t>
            </w:r>
            <w:r w:rsidRPr="00A23D72">
              <w:rPr>
                <w:rFonts w:eastAsia="Calibri"/>
                <w:b/>
                <w:color w:val="000000"/>
                <w:sz w:val="20"/>
              </w:rPr>
              <w:t>urban</w:t>
            </w:r>
            <w:r>
              <w:rPr>
                <w:rFonts w:eastAsia="Calibri"/>
                <w:color w:val="000000"/>
                <w:sz w:val="20"/>
              </w:rPr>
              <w:t xml:space="preserve"> areas</w:t>
            </w:r>
          </w:p>
          <w:p w14:paraId="2E92C368" w14:textId="10F4D679" w:rsidR="00922506" w:rsidRPr="00922506" w:rsidRDefault="00922506" w:rsidP="00922506">
            <w:pPr>
              <w:spacing w:before="240" w:after="0"/>
              <w:rPr>
                <w:rFonts w:eastAsia="Calibri"/>
                <w:color w:val="000000"/>
                <w:sz w:val="20"/>
              </w:rPr>
            </w:pPr>
            <w:r w:rsidRPr="00412C47">
              <w:rPr>
                <w:rFonts w:eastAsia="Calibri"/>
                <w:b/>
                <w:i/>
                <w:sz w:val="18"/>
                <w:szCs w:val="18"/>
              </w:rPr>
              <w:t xml:space="preserve">Number of countries </w:t>
            </w:r>
            <w:r w:rsidR="00687C0B" w:rsidRPr="00412C47">
              <w:rPr>
                <w:rFonts w:eastAsia="Calibri"/>
                <w:b/>
                <w:i/>
                <w:sz w:val="18"/>
                <w:szCs w:val="18"/>
              </w:rPr>
              <w:t>for which a 2017 target has currently been set under this indicator</w:t>
            </w:r>
            <w:r w:rsidR="00D93CEE" w:rsidRPr="00412C47">
              <w:rPr>
                <w:rFonts w:eastAsia="Calibri"/>
                <w:b/>
                <w:i/>
                <w:sz w:val="18"/>
                <w:szCs w:val="18"/>
              </w:rPr>
              <w:t>: a) 35, b) 36, c) 33, d) 33</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14:paraId="4F5F40ED" w14:textId="77777777" w:rsidR="00925A24" w:rsidRPr="00A153AE" w:rsidRDefault="00925A24" w:rsidP="005E0294">
            <w:pPr>
              <w:spacing w:after="0" w:line="240" w:lineRule="auto"/>
              <w:jc w:val="center"/>
              <w:rPr>
                <w:rFonts w:eastAsia="Calibri"/>
                <w:sz w:val="20"/>
              </w:rPr>
            </w:pPr>
          </w:p>
          <w:p w14:paraId="144A9D44" w14:textId="77777777" w:rsidR="00925A24" w:rsidRPr="00A153AE" w:rsidRDefault="00925A24" w:rsidP="005E0294">
            <w:pPr>
              <w:spacing w:after="0" w:line="240" w:lineRule="auto"/>
              <w:jc w:val="center"/>
              <w:rPr>
                <w:rFonts w:eastAsia="Calibri"/>
                <w:sz w:val="20"/>
              </w:rPr>
            </w:pPr>
          </w:p>
          <w:p w14:paraId="0D7FF307" w14:textId="77777777" w:rsidR="00925A24" w:rsidRPr="00A153AE" w:rsidRDefault="00925A24" w:rsidP="005E0294">
            <w:pPr>
              <w:spacing w:after="0" w:line="240" w:lineRule="auto"/>
              <w:jc w:val="center"/>
              <w:rPr>
                <w:rFonts w:eastAsia="Calibri"/>
                <w:sz w:val="20"/>
              </w:rPr>
            </w:pPr>
          </w:p>
          <w:p w14:paraId="009B054D" w14:textId="77777777" w:rsidR="00925A24" w:rsidRPr="00A153AE" w:rsidRDefault="00925A24" w:rsidP="005E0294">
            <w:pPr>
              <w:spacing w:after="0" w:line="240" w:lineRule="auto"/>
              <w:jc w:val="center"/>
              <w:rPr>
                <w:rFonts w:eastAsia="Calibri"/>
                <w:sz w:val="20"/>
              </w:rPr>
            </w:pPr>
          </w:p>
          <w:p w14:paraId="48F4F132" w14:textId="0867D7C1" w:rsidR="00925A24" w:rsidRPr="00A153AE" w:rsidRDefault="00131747" w:rsidP="005E0294">
            <w:pPr>
              <w:spacing w:after="0" w:line="240" w:lineRule="auto"/>
              <w:jc w:val="center"/>
              <w:rPr>
                <w:rFonts w:eastAsia="Calibri"/>
                <w:sz w:val="20"/>
              </w:rPr>
            </w:pPr>
            <w:r w:rsidRPr="00A153AE">
              <w:rPr>
                <w:rFonts w:eastAsia="Calibri"/>
                <w:sz w:val="20"/>
              </w:rPr>
              <w:t>3</w:t>
            </w:r>
          </w:p>
          <w:p w14:paraId="63E76739" w14:textId="531C24A8" w:rsidR="00714ED6" w:rsidRPr="00A153AE" w:rsidRDefault="00131747" w:rsidP="005E0294">
            <w:pPr>
              <w:spacing w:after="0" w:line="240" w:lineRule="auto"/>
              <w:jc w:val="center"/>
              <w:rPr>
                <w:rFonts w:eastAsia="Calibri"/>
                <w:sz w:val="20"/>
              </w:rPr>
            </w:pPr>
            <w:r w:rsidRPr="00A153AE">
              <w:rPr>
                <w:rFonts w:eastAsia="Calibri"/>
                <w:sz w:val="20"/>
              </w:rPr>
              <w:t>3</w:t>
            </w:r>
          </w:p>
          <w:p w14:paraId="4242DF75" w14:textId="011B885A" w:rsidR="00714ED6" w:rsidRPr="00A153AE" w:rsidRDefault="00131747" w:rsidP="005E0294">
            <w:pPr>
              <w:spacing w:after="0" w:line="240" w:lineRule="auto"/>
              <w:jc w:val="center"/>
              <w:rPr>
                <w:rFonts w:eastAsia="Calibri"/>
                <w:sz w:val="20"/>
              </w:rPr>
            </w:pPr>
            <w:r w:rsidRPr="00A153AE">
              <w:rPr>
                <w:rFonts w:eastAsia="Calibri"/>
                <w:sz w:val="20"/>
              </w:rPr>
              <w:t>1</w:t>
            </w:r>
          </w:p>
          <w:p w14:paraId="431C7F82" w14:textId="7F2A33C2" w:rsidR="00714ED6" w:rsidRPr="00A153AE" w:rsidRDefault="00131747" w:rsidP="005E0294">
            <w:pPr>
              <w:spacing w:after="0" w:line="240" w:lineRule="auto"/>
              <w:jc w:val="center"/>
              <w:rPr>
                <w:rFonts w:eastAsia="Calibri"/>
                <w:sz w:val="20"/>
              </w:rPr>
            </w:pPr>
            <w:r w:rsidRPr="00A153AE">
              <w:rPr>
                <w:rFonts w:eastAsia="Calibri"/>
                <w:sz w:val="20"/>
              </w:rPr>
              <w:t>3</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14:paraId="3754670F" w14:textId="5E97B84F" w:rsidR="00925A24" w:rsidRPr="00A153AE" w:rsidRDefault="00925A24" w:rsidP="005E0294">
            <w:pPr>
              <w:spacing w:after="0" w:line="240" w:lineRule="auto"/>
              <w:jc w:val="center"/>
              <w:rPr>
                <w:rFonts w:eastAsia="Calibri"/>
                <w:sz w:val="20"/>
              </w:rPr>
            </w:pPr>
          </w:p>
          <w:p w14:paraId="3C027335" w14:textId="77777777" w:rsidR="00925A24" w:rsidRPr="00A153AE" w:rsidRDefault="00925A24" w:rsidP="005E0294">
            <w:pPr>
              <w:spacing w:after="0" w:line="240" w:lineRule="auto"/>
              <w:jc w:val="center"/>
              <w:rPr>
                <w:rFonts w:eastAsia="Calibri"/>
                <w:sz w:val="20"/>
              </w:rPr>
            </w:pPr>
          </w:p>
          <w:p w14:paraId="450A7A0A" w14:textId="77777777" w:rsidR="00925A24" w:rsidRPr="00A153AE" w:rsidRDefault="00925A24" w:rsidP="005E0294">
            <w:pPr>
              <w:spacing w:after="0" w:line="240" w:lineRule="auto"/>
              <w:jc w:val="center"/>
              <w:rPr>
                <w:rFonts w:eastAsia="Calibri"/>
                <w:sz w:val="20"/>
              </w:rPr>
            </w:pPr>
          </w:p>
          <w:p w14:paraId="3DF8BDE8" w14:textId="77777777" w:rsidR="00925A24" w:rsidRPr="00A153AE" w:rsidRDefault="00925A24" w:rsidP="005E0294">
            <w:pPr>
              <w:spacing w:after="0" w:line="240" w:lineRule="auto"/>
              <w:jc w:val="center"/>
              <w:rPr>
                <w:rFonts w:eastAsia="Calibri"/>
                <w:sz w:val="20"/>
              </w:rPr>
            </w:pPr>
          </w:p>
          <w:p w14:paraId="0DB48EF6" w14:textId="46C5F455" w:rsidR="00925A24" w:rsidRPr="00A153AE" w:rsidRDefault="00131747" w:rsidP="005E0294">
            <w:pPr>
              <w:spacing w:after="0" w:line="240" w:lineRule="auto"/>
              <w:jc w:val="center"/>
              <w:rPr>
                <w:rFonts w:eastAsia="Calibri"/>
                <w:sz w:val="20"/>
              </w:rPr>
            </w:pPr>
            <w:r w:rsidRPr="00A153AE">
              <w:rPr>
                <w:rFonts w:eastAsia="Calibri"/>
                <w:sz w:val="20"/>
              </w:rPr>
              <w:t>4</w:t>
            </w:r>
          </w:p>
          <w:p w14:paraId="5A97ED96" w14:textId="03D244CD" w:rsidR="003A69FA" w:rsidRPr="00A153AE" w:rsidRDefault="00131747" w:rsidP="005E0294">
            <w:pPr>
              <w:spacing w:after="0" w:line="240" w:lineRule="auto"/>
              <w:jc w:val="center"/>
              <w:rPr>
                <w:rFonts w:eastAsia="Calibri"/>
                <w:sz w:val="20"/>
              </w:rPr>
            </w:pPr>
            <w:r w:rsidRPr="00A153AE">
              <w:rPr>
                <w:rFonts w:eastAsia="Calibri"/>
                <w:sz w:val="20"/>
              </w:rPr>
              <w:t>4</w:t>
            </w:r>
          </w:p>
          <w:p w14:paraId="5507D7C6" w14:textId="65B40CF9" w:rsidR="003A69FA" w:rsidRPr="00A153AE" w:rsidRDefault="00131747" w:rsidP="005E0294">
            <w:pPr>
              <w:spacing w:after="0" w:line="240" w:lineRule="auto"/>
              <w:jc w:val="center"/>
              <w:rPr>
                <w:rFonts w:eastAsia="Calibri"/>
                <w:sz w:val="20"/>
              </w:rPr>
            </w:pPr>
            <w:r w:rsidRPr="00A153AE">
              <w:rPr>
                <w:rFonts w:eastAsia="Calibri"/>
                <w:sz w:val="20"/>
              </w:rPr>
              <w:t>2</w:t>
            </w:r>
          </w:p>
          <w:p w14:paraId="2784F042" w14:textId="2A1A3F88" w:rsidR="003A69FA" w:rsidRPr="00A153AE" w:rsidRDefault="00131747" w:rsidP="005E0294">
            <w:pPr>
              <w:spacing w:after="0" w:line="240" w:lineRule="auto"/>
              <w:jc w:val="center"/>
              <w:rPr>
                <w:rFonts w:eastAsia="Calibri"/>
                <w:sz w:val="20"/>
              </w:rPr>
            </w:pPr>
            <w:r w:rsidRPr="00A153AE">
              <w:rPr>
                <w:rFonts w:eastAsia="Calibri"/>
                <w:sz w:val="20"/>
              </w:rPr>
              <w:t>3</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14:paraId="3201DB16" w14:textId="77777777" w:rsidR="00925A24" w:rsidRDefault="00925A24" w:rsidP="005E0294">
            <w:pPr>
              <w:spacing w:after="0" w:line="240" w:lineRule="auto"/>
              <w:jc w:val="center"/>
              <w:rPr>
                <w:rFonts w:eastAsia="Calibri"/>
                <w:sz w:val="20"/>
              </w:rPr>
            </w:pPr>
          </w:p>
          <w:p w14:paraId="0C3E9CEF" w14:textId="77777777" w:rsidR="00925A24" w:rsidRDefault="00925A24" w:rsidP="005E0294">
            <w:pPr>
              <w:spacing w:after="0" w:line="240" w:lineRule="auto"/>
              <w:jc w:val="center"/>
              <w:rPr>
                <w:rFonts w:eastAsia="Calibri"/>
                <w:sz w:val="20"/>
              </w:rPr>
            </w:pPr>
          </w:p>
          <w:p w14:paraId="59172A4E" w14:textId="77777777" w:rsidR="00925A24" w:rsidRDefault="00925A24" w:rsidP="005E0294">
            <w:pPr>
              <w:spacing w:after="0" w:line="240" w:lineRule="auto"/>
              <w:jc w:val="center"/>
              <w:rPr>
                <w:rFonts w:eastAsia="Calibri"/>
                <w:sz w:val="20"/>
              </w:rPr>
            </w:pPr>
          </w:p>
          <w:p w14:paraId="141A49AD" w14:textId="77777777" w:rsidR="00714ED6" w:rsidRDefault="00714ED6" w:rsidP="003A69FA">
            <w:pPr>
              <w:spacing w:after="0" w:line="240" w:lineRule="auto"/>
              <w:jc w:val="center"/>
              <w:rPr>
                <w:rFonts w:eastAsia="Calibri"/>
                <w:sz w:val="20"/>
              </w:rPr>
            </w:pPr>
          </w:p>
          <w:p w14:paraId="7482BA69" w14:textId="77777777" w:rsidR="003A69FA" w:rsidRDefault="00714ED6" w:rsidP="003A69FA">
            <w:pPr>
              <w:spacing w:after="0" w:line="240" w:lineRule="auto"/>
              <w:jc w:val="center"/>
              <w:rPr>
                <w:rFonts w:eastAsia="Calibri"/>
                <w:sz w:val="20"/>
              </w:rPr>
            </w:pPr>
            <w:r>
              <w:rPr>
                <w:rFonts w:eastAsia="Calibri"/>
                <w:sz w:val="20"/>
              </w:rPr>
              <w:t>3</w:t>
            </w:r>
          </w:p>
          <w:p w14:paraId="7857ECE4" w14:textId="77777777" w:rsidR="00714ED6" w:rsidRDefault="00714ED6" w:rsidP="003A69FA">
            <w:pPr>
              <w:spacing w:after="0" w:line="240" w:lineRule="auto"/>
              <w:jc w:val="center"/>
              <w:rPr>
                <w:rFonts w:eastAsia="Calibri"/>
                <w:sz w:val="20"/>
              </w:rPr>
            </w:pPr>
            <w:r>
              <w:rPr>
                <w:rFonts w:eastAsia="Calibri"/>
                <w:sz w:val="20"/>
              </w:rPr>
              <w:t>3</w:t>
            </w:r>
          </w:p>
          <w:p w14:paraId="762A4BD3" w14:textId="77777777" w:rsidR="00714ED6" w:rsidRDefault="00714ED6" w:rsidP="003A69FA">
            <w:pPr>
              <w:spacing w:after="0" w:line="240" w:lineRule="auto"/>
              <w:jc w:val="center"/>
              <w:rPr>
                <w:rFonts w:eastAsia="Calibri"/>
                <w:sz w:val="20"/>
              </w:rPr>
            </w:pPr>
            <w:r>
              <w:rPr>
                <w:rFonts w:eastAsia="Calibri"/>
                <w:sz w:val="20"/>
              </w:rPr>
              <w:t>2</w:t>
            </w:r>
          </w:p>
          <w:p w14:paraId="20AD4FC7" w14:textId="0EB014CA" w:rsidR="00714ED6" w:rsidRPr="0018005B" w:rsidRDefault="00714ED6" w:rsidP="003A69FA">
            <w:pPr>
              <w:spacing w:after="0" w:line="240" w:lineRule="auto"/>
              <w:jc w:val="center"/>
              <w:rPr>
                <w:rFonts w:eastAsia="Calibri"/>
                <w:sz w:val="20"/>
              </w:rPr>
            </w:pPr>
            <w:r>
              <w:rPr>
                <w:rFonts w:eastAsia="Calibri"/>
                <w:sz w:val="20"/>
              </w:rPr>
              <w:t>3</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33DA4369" w14:textId="77777777" w:rsidR="00925A24" w:rsidRDefault="00925A24" w:rsidP="005E0294">
            <w:pPr>
              <w:spacing w:after="0" w:line="240" w:lineRule="auto"/>
              <w:jc w:val="center"/>
              <w:rPr>
                <w:rFonts w:eastAsia="Calibri"/>
                <w:sz w:val="20"/>
              </w:rPr>
            </w:pPr>
          </w:p>
          <w:p w14:paraId="5758DCDF" w14:textId="77777777" w:rsidR="00925A24" w:rsidRDefault="00925A24" w:rsidP="005E0294">
            <w:pPr>
              <w:spacing w:after="0" w:line="240" w:lineRule="auto"/>
              <w:jc w:val="center"/>
              <w:rPr>
                <w:rFonts w:eastAsia="Calibri"/>
                <w:sz w:val="20"/>
              </w:rPr>
            </w:pPr>
          </w:p>
          <w:p w14:paraId="071E4D07" w14:textId="77777777" w:rsidR="00925A24" w:rsidRDefault="00925A24" w:rsidP="005E0294">
            <w:pPr>
              <w:spacing w:after="0" w:line="240" w:lineRule="auto"/>
              <w:jc w:val="center"/>
              <w:rPr>
                <w:rFonts w:eastAsia="Calibri"/>
                <w:sz w:val="20"/>
              </w:rPr>
            </w:pPr>
          </w:p>
          <w:p w14:paraId="307DBC3E" w14:textId="77777777" w:rsidR="00925A24" w:rsidRDefault="00925A24" w:rsidP="005E0294">
            <w:pPr>
              <w:spacing w:after="0" w:line="240" w:lineRule="auto"/>
              <w:jc w:val="center"/>
              <w:rPr>
                <w:rFonts w:eastAsia="Calibri"/>
                <w:sz w:val="20"/>
              </w:rPr>
            </w:pPr>
          </w:p>
          <w:p w14:paraId="62AB60ED" w14:textId="2F880904" w:rsidR="00925A24" w:rsidRPr="00D93CEE" w:rsidRDefault="00D93CEE" w:rsidP="005E0294">
            <w:pPr>
              <w:spacing w:after="0" w:line="240" w:lineRule="auto"/>
              <w:jc w:val="center"/>
              <w:rPr>
                <w:rFonts w:eastAsia="Calibri"/>
                <w:sz w:val="20"/>
              </w:rPr>
            </w:pPr>
            <w:r w:rsidRPr="00D93CEE">
              <w:rPr>
                <w:rFonts w:eastAsia="Calibri"/>
                <w:sz w:val="20"/>
              </w:rPr>
              <w:t>15</w:t>
            </w:r>
          </w:p>
          <w:p w14:paraId="63B24C19" w14:textId="638F9D4A" w:rsidR="00925A24" w:rsidRPr="00D93CEE" w:rsidRDefault="00D93CEE" w:rsidP="005E0294">
            <w:pPr>
              <w:spacing w:after="0" w:line="240" w:lineRule="auto"/>
              <w:jc w:val="center"/>
              <w:rPr>
                <w:rFonts w:eastAsia="Calibri"/>
                <w:sz w:val="20"/>
              </w:rPr>
            </w:pPr>
            <w:r w:rsidRPr="00D93CEE">
              <w:rPr>
                <w:rFonts w:eastAsia="Calibri"/>
                <w:sz w:val="20"/>
              </w:rPr>
              <w:t>16</w:t>
            </w:r>
          </w:p>
          <w:p w14:paraId="4A1E396B" w14:textId="597039FC" w:rsidR="00925A24" w:rsidRPr="00D93CEE" w:rsidRDefault="00D93CEE" w:rsidP="005E0294">
            <w:pPr>
              <w:spacing w:after="0" w:line="240" w:lineRule="auto"/>
              <w:jc w:val="center"/>
              <w:rPr>
                <w:rFonts w:eastAsia="Calibri"/>
                <w:sz w:val="20"/>
              </w:rPr>
            </w:pPr>
            <w:r w:rsidRPr="00D93CEE">
              <w:rPr>
                <w:rFonts w:eastAsia="Calibri"/>
                <w:sz w:val="20"/>
              </w:rPr>
              <w:t>12</w:t>
            </w:r>
          </w:p>
          <w:p w14:paraId="048D8BA7" w14:textId="1CF26FA0" w:rsidR="00925A24" w:rsidRPr="0018005B" w:rsidRDefault="00D93CEE" w:rsidP="00A7324F">
            <w:pPr>
              <w:spacing w:after="0" w:line="240" w:lineRule="auto"/>
              <w:jc w:val="center"/>
              <w:rPr>
                <w:rFonts w:eastAsia="Calibri"/>
                <w:sz w:val="20"/>
              </w:rPr>
            </w:pPr>
            <w:r w:rsidRPr="00D93CEE">
              <w:rPr>
                <w:rFonts w:eastAsia="Calibri"/>
                <w:sz w:val="20"/>
              </w:rPr>
              <w:t>11</w:t>
            </w:r>
          </w:p>
        </w:tc>
      </w:tr>
      <w:tr w:rsidR="00714ED6" w:rsidRPr="00283732" w14:paraId="5B3EFC8F" w14:textId="77777777" w:rsidTr="00BC2597">
        <w:trPr>
          <w:trHeight w:val="593"/>
          <w:jc w:val="center"/>
        </w:trPr>
        <w:tc>
          <w:tcPr>
            <w:tcW w:w="2695" w:type="dxa"/>
            <w:vMerge/>
            <w:tcBorders>
              <w:left w:val="single" w:sz="4" w:space="0" w:color="auto"/>
              <w:right w:val="single" w:sz="4" w:space="0" w:color="auto"/>
            </w:tcBorders>
          </w:tcPr>
          <w:p w14:paraId="56837060" w14:textId="4FABD8FC" w:rsidR="00714ED6" w:rsidRPr="00A512C1" w:rsidRDefault="00714ED6" w:rsidP="005E0294">
            <w:pPr>
              <w:spacing w:after="0" w:line="240" w:lineRule="auto"/>
              <w:rPr>
                <w:rFonts w:eastAsia="Calibri"/>
                <w:b/>
                <w:sz w:val="20"/>
              </w:rPr>
            </w:pPr>
          </w:p>
        </w:tc>
        <w:tc>
          <w:tcPr>
            <w:tcW w:w="860" w:type="dxa"/>
            <w:vMerge/>
            <w:tcBorders>
              <w:left w:val="single" w:sz="4" w:space="0" w:color="auto"/>
              <w:bottom w:val="single" w:sz="4" w:space="0" w:color="auto"/>
              <w:right w:val="single" w:sz="4" w:space="0" w:color="auto"/>
            </w:tcBorders>
          </w:tcPr>
          <w:p w14:paraId="0B7AF183" w14:textId="77777777" w:rsidR="00714ED6" w:rsidRPr="00A512C1" w:rsidRDefault="00714ED6" w:rsidP="005E0294">
            <w:pPr>
              <w:spacing w:after="0" w:line="240" w:lineRule="auto"/>
              <w:jc w:val="both"/>
              <w:rPr>
                <w:rFonts w:eastAsia="Calibri"/>
                <w:b/>
                <w:sz w:val="20"/>
              </w:rPr>
            </w:pPr>
          </w:p>
        </w:tc>
        <w:tc>
          <w:tcPr>
            <w:tcW w:w="11293" w:type="dxa"/>
            <w:gridSpan w:val="5"/>
            <w:tcBorders>
              <w:left w:val="single" w:sz="4" w:space="0" w:color="auto"/>
              <w:bottom w:val="single" w:sz="4" w:space="0" w:color="auto"/>
              <w:right w:val="single" w:sz="4" w:space="0" w:color="auto"/>
            </w:tcBorders>
            <w:shd w:val="clear" w:color="auto" w:fill="D9D9D9" w:themeFill="background1" w:themeFillShade="D9"/>
          </w:tcPr>
          <w:p w14:paraId="4F891F7A" w14:textId="505CC9A8" w:rsidR="00714ED6" w:rsidRPr="00687C0B" w:rsidRDefault="00714ED6" w:rsidP="005E0294">
            <w:pPr>
              <w:spacing w:after="0" w:line="240" w:lineRule="auto"/>
              <w:rPr>
                <w:rFonts w:ascii="Calibri" w:eastAsia="Calibri" w:hAnsi="Calibri"/>
                <w:sz w:val="18"/>
                <w:szCs w:val="18"/>
              </w:rPr>
            </w:pPr>
            <w:r w:rsidRPr="00687C0B">
              <w:rPr>
                <w:rFonts w:ascii="Calibri" w:eastAsia="Calibri" w:hAnsi="Calibri" w:cs="Times New Roman"/>
                <w:b/>
                <w:sz w:val="18"/>
                <w:szCs w:val="18"/>
                <w:lang w:eastAsia="en-US"/>
              </w:rPr>
              <w:t>Indicator 1.2.1 Note</w:t>
            </w:r>
            <w:r w:rsidRPr="00687C0B">
              <w:rPr>
                <w:rFonts w:ascii="Calibri" w:eastAsia="Calibri" w:hAnsi="Calibri" w:cs="Times New Roman"/>
                <w:sz w:val="18"/>
                <w:szCs w:val="18"/>
                <w:lang w:eastAsia="en-US"/>
              </w:rPr>
              <w:t>:</w:t>
            </w:r>
            <w:r w:rsidRPr="00687C0B">
              <w:rPr>
                <w:rFonts w:ascii="Calibri" w:eastAsia="Calibri" w:hAnsi="Calibri"/>
                <w:sz w:val="18"/>
                <w:szCs w:val="18"/>
              </w:rPr>
              <w:t xml:space="preserve"> Qualitative indicator through which the effectiveness of UNDP’s support (on demand </w:t>
            </w:r>
            <w:r w:rsidRPr="00687C0B">
              <w:rPr>
                <w:sz w:val="18"/>
                <w:szCs w:val="18"/>
              </w:rPr>
              <w:t>from programme countries</w:t>
            </w:r>
            <w:r w:rsidRPr="00687C0B">
              <w:rPr>
                <w:rFonts w:ascii="Calibri" w:eastAsia="Calibri" w:hAnsi="Calibri"/>
                <w:sz w:val="18"/>
                <w:szCs w:val="18"/>
              </w:rPr>
              <w:t xml:space="preserve">) for policy and institutional </w:t>
            </w:r>
            <w:r w:rsidR="00482A0E">
              <w:rPr>
                <w:rFonts w:ascii="Calibri" w:eastAsia="Calibri" w:hAnsi="Calibri"/>
                <w:sz w:val="18"/>
                <w:szCs w:val="18"/>
              </w:rPr>
              <w:t>measures</w:t>
            </w:r>
            <w:r w:rsidRPr="00687C0B">
              <w:rPr>
                <w:rFonts w:ascii="Calibri" w:eastAsia="Calibri" w:hAnsi="Calibri"/>
                <w:sz w:val="18"/>
                <w:szCs w:val="18"/>
              </w:rPr>
              <w:t xml:space="preserve"> on social protection is track</w:t>
            </w:r>
            <w:r w:rsidR="00482A0E">
              <w:rPr>
                <w:rFonts w:ascii="Calibri" w:eastAsia="Calibri" w:hAnsi="Calibri"/>
                <w:sz w:val="18"/>
                <w:szCs w:val="18"/>
              </w:rPr>
              <w:t xml:space="preserve">ed on the basis of a rating scale </w:t>
            </w:r>
            <w:r w:rsidR="00482A0E" w:rsidRPr="00386474">
              <w:rPr>
                <w:rFonts w:ascii="Calibri" w:eastAsia="Calibri" w:hAnsi="Calibri"/>
                <w:sz w:val="18"/>
                <w:szCs w:val="18"/>
              </w:rPr>
              <w:t>(</w:t>
            </w:r>
            <w:r w:rsidR="00386474" w:rsidRPr="00386474">
              <w:rPr>
                <w:rFonts w:ascii="Calibri" w:eastAsia="Calibri" w:hAnsi="Calibri"/>
                <w:sz w:val="18"/>
                <w:szCs w:val="18"/>
              </w:rPr>
              <w:t>1 = National policy dialogue has determined who is excluded from social protection schemes and why; 2 = Policy/legislation reform has been planned to increase access and target those not previously covered, particularly the poor and other at-risk groups in rural areas; 3 = Policy / legislative reform proposals have been tabled for approval that have clear measures to increase access and target those not previously covered, particularly the poor and other at-risk groups in rural areas; 4 = Policy / legislative reforms have been approved and implemented with some evidence that these will lead to increased access and improved targeting in rural areas; 5 = Policy/legislative reforms have evidence of effectiveness and have adequate and predictable financing and institutional capacity</w:t>
            </w:r>
            <w:r w:rsidR="00482A0E" w:rsidRPr="00386474">
              <w:rPr>
                <w:rFonts w:ascii="Calibri" w:eastAsia="Calibri" w:hAnsi="Calibri"/>
                <w:sz w:val="18"/>
                <w:szCs w:val="18"/>
              </w:rPr>
              <w:t>), and counting</w:t>
            </w:r>
            <w:r w:rsidR="00482A0E">
              <w:rPr>
                <w:rFonts w:ascii="Calibri" w:eastAsia="Calibri" w:hAnsi="Calibri"/>
                <w:sz w:val="18"/>
                <w:szCs w:val="18"/>
              </w:rPr>
              <w:t xml:space="preserve"> the </w:t>
            </w:r>
            <w:r w:rsidRPr="00687C0B">
              <w:rPr>
                <w:rFonts w:ascii="Calibri" w:eastAsia="Calibri" w:hAnsi="Calibri"/>
                <w:sz w:val="18"/>
                <w:szCs w:val="18"/>
              </w:rPr>
              <w:t xml:space="preserve">number of countries where </w:t>
            </w:r>
            <w:r w:rsidR="00482A0E">
              <w:rPr>
                <w:rFonts w:ascii="Calibri" w:eastAsia="Calibri" w:hAnsi="Calibri"/>
                <w:sz w:val="18"/>
                <w:szCs w:val="18"/>
              </w:rPr>
              <w:t xml:space="preserve">objective evidence exists that </w:t>
            </w:r>
            <w:r w:rsidRPr="00687C0B">
              <w:rPr>
                <w:rFonts w:ascii="Calibri" w:eastAsia="Calibri" w:hAnsi="Calibri"/>
                <w:sz w:val="18"/>
                <w:szCs w:val="18"/>
              </w:rPr>
              <w:t xml:space="preserve">UNDP support </w:t>
            </w:r>
            <w:r w:rsidR="00482A0E">
              <w:rPr>
                <w:rFonts w:ascii="Calibri" w:eastAsia="Calibri" w:hAnsi="Calibri"/>
                <w:sz w:val="18"/>
                <w:szCs w:val="18"/>
              </w:rPr>
              <w:t>has resulted in measure</w:t>
            </w:r>
            <w:r w:rsidR="00386474">
              <w:rPr>
                <w:rFonts w:ascii="Calibri" w:eastAsia="Calibri" w:hAnsi="Calibri"/>
                <w:sz w:val="18"/>
                <w:szCs w:val="18"/>
              </w:rPr>
              <w:t>s</w:t>
            </w:r>
            <w:r w:rsidR="00482A0E">
              <w:rPr>
                <w:rFonts w:ascii="Calibri" w:eastAsia="Calibri" w:hAnsi="Calibri"/>
                <w:sz w:val="18"/>
                <w:szCs w:val="18"/>
              </w:rPr>
              <w:t xml:space="preserve"> being</w:t>
            </w:r>
            <w:r w:rsidRPr="00687C0B">
              <w:rPr>
                <w:rFonts w:ascii="Calibri" w:eastAsia="Calibri" w:hAnsi="Calibri"/>
                <w:sz w:val="18"/>
                <w:szCs w:val="18"/>
              </w:rPr>
              <w:t xml:space="preserve"> </w:t>
            </w:r>
            <w:r w:rsidR="00386474">
              <w:rPr>
                <w:rFonts w:ascii="Calibri" w:eastAsia="Calibri" w:hAnsi="Calibri"/>
                <w:sz w:val="18"/>
                <w:szCs w:val="18"/>
              </w:rPr>
              <w:t>at least approved and implemented</w:t>
            </w:r>
            <w:r w:rsidRPr="00687C0B">
              <w:rPr>
                <w:rFonts w:ascii="Calibri" w:eastAsia="Calibri" w:hAnsi="Calibri"/>
                <w:sz w:val="18"/>
                <w:szCs w:val="18"/>
              </w:rPr>
              <w:t>.</w:t>
            </w:r>
            <w:r w:rsidR="00AF0D8C">
              <w:rPr>
                <w:rFonts w:ascii="Calibri" w:eastAsia="Calibri" w:hAnsi="Calibri"/>
                <w:sz w:val="18"/>
                <w:szCs w:val="18"/>
              </w:rPr>
              <w:t xml:space="preserve"> </w:t>
            </w:r>
            <w:r w:rsidR="00EC4C8D">
              <w:rPr>
                <w:rFonts w:ascii="Calibri" w:eastAsia="Calibri" w:hAnsi="Calibri"/>
                <w:sz w:val="18"/>
                <w:szCs w:val="18"/>
              </w:rPr>
              <w:t>The i</w:t>
            </w:r>
            <w:r w:rsidR="00AF0D8C">
              <w:rPr>
                <w:rFonts w:ascii="Calibri" w:eastAsia="Calibri" w:hAnsi="Calibri"/>
                <w:sz w:val="18"/>
                <w:szCs w:val="18"/>
              </w:rPr>
              <w:t>ndicator</w:t>
            </w:r>
            <w:r w:rsidR="00EC4C8D">
              <w:rPr>
                <w:rFonts w:ascii="Calibri" w:eastAsia="Calibri" w:hAnsi="Calibri"/>
                <w:sz w:val="18"/>
                <w:szCs w:val="18"/>
              </w:rPr>
              <w:t xml:space="preserve"> language has been slightly</w:t>
            </w:r>
            <w:r w:rsidR="00AF0D8C">
              <w:rPr>
                <w:rFonts w:ascii="Calibri" w:eastAsia="Calibri" w:hAnsi="Calibri"/>
                <w:sz w:val="18"/>
                <w:szCs w:val="18"/>
              </w:rPr>
              <w:t xml:space="preserve"> </w:t>
            </w:r>
            <w:r w:rsidR="00AF0D8C" w:rsidRPr="00AF0D8C">
              <w:rPr>
                <w:rFonts w:ascii="Calibri" w:eastAsia="Calibri" w:hAnsi="Calibri"/>
                <w:sz w:val="18"/>
                <w:szCs w:val="18"/>
                <w:u w:val="single"/>
              </w:rPr>
              <w:t>revised</w:t>
            </w:r>
            <w:r w:rsidR="00AF0D8C">
              <w:rPr>
                <w:rFonts w:ascii="Calibri" w:eastAsia="Calibri" w:hAnsi="Calibri"/>
                <w:sz w:val="18"/>
                <w:szCs w:val="18"/>
              </w:rPr>
              <w:t xml:space="preserve"> to refer to measures instead of reforms. </w:t>
            </w:r>
          </w:p>
          <w:p w14:paraId="068FF1E1" w14:textId="32199BF3" w:rsidR="00714ED6" w:rsidRPr="00687C0B" w:rsidRDefault="00714ED6" w:rsidP="000969BD">
            <w:pPr>
              <w:spacing w:after="0" w:line="240" w:lineRule="auto"/>
              <w:rPr>
                <w:rFonts w:eastAsia="Calibri"/>
                <w:sz w:val="20"/>
              </w:rPr>
            </w:pPr>
            <w:r w:rsidRPr="00687C0B">
              <w:rPr>
                <w:rFonts w:eastAsia="Calibri"/>
                <w:b/>
                <w:sz w:val="18"/>
                <w:szCs w:val="18"/>
              </w:rPr>
              <w:t xml:space="preserve">2014 Reporting Note: </w:t>
            </w:r>
            <w:r w:rsidR="00A7324F" w:rsidRPr="00687C0B">
              <w:rPr>
                <w:rFonts w:eastAsia="Calibri"/>
                <w:sz w:val="18"/>
                <w:szCs w:val="18"/>
              </w:rPr>
              <w:t xml:space="preserve">Baselines, 2014 milestones and 2017 targets </w:t>
            </w:r>
            <w:r w:rsidRPr="00687C0B">
              <w:rPr>
                <w:rFonts w:eastAsia="Calibri"/>
                <w:sz w:val="18"/>
                <w:szCs w:val="18"/>
              </w:rPr>
              <w:t xml:space="preserve">updated to reflect more complete reporting from country offices. For reference, </w:t>
            </w:r>
            <w:r w:rsidR="00BF24E9" w:rsidRPr="00687C0B">
              <w:rPr>
                <w:rFonts w:eastAsia="Calibri"/>
                <w:sz w:val="18"/>
                <w:szCs w:val="18"/>
              </w:rPr>
              <w:t>previous bas</w:t>
            </w:r>
            <w:r w:rsidR="00541408" w:rsidRPr="00687C0B">
              <w:rPr>
                <w:rFonts w:eastAsia="Calibri"/>
                <w:sz w:val="18"/>
                <w:szCs w:val="18"/>
              </w:rPr>
              <w:t>eline values were a) 2, b) 2, c)</w:t>
            </w:r>
            <w:r w:rsidR="00BF24E9" w:rsidRPr="00687C0B">
              <w:rPr>
                <w:rFonts w:eastAsia="Calibri"/>
                <w:sz w:val="18"/>
                <w:szCs w:val="18"/>
              </w:rPr>
              <w:t xml:space="preserve"> 1 d) 2</w:t>
            </w:r>
            <w:r w:rsidR="00A7324F" w:rsidRPr="00687C0B">
              <w:rPr>
                <w:rFonts w:eastAsia="Calibri"/>
                <w:sz w:val="18"/>
                <w:szCs w:val="18"/>
              </w:rPr>
              <w:t xml:space="preserve">; </w:t>
            </w:r>
            <w:r w:rsidRPr="00687C0B">
              <w:rPr>
                <w:rFonts w:eastAsia="Calibri"/>
                <w:sz w:val="18"/>
                <w:szCs w:val="18"/>
              </w:rPr>
              <w:t>previous</w:t>
            </w:r>
            <w:r w:rsidR="007C4B5D" w:rsidRPr="00687C0B">
              <w:rPr>
                <w:rFonts w:eastAsia="Calibri"/>
                <w:sz w:val="18"/>
                <w:szCs w:val="18"/>
              </w:rPr>
              <w:t xml:space="preserve"> 2014 milestone</w:t>
            </w:r>
            <w:r w:rsidR="00A7324F" w:rsidRPr="00687C0B">
              <w:rPr>
                <w:rFonts w:eastAsia="Calibri"/>
                <w:sz w:val="18"/>
                <w:szCs w:val="18"/>
              </w:rPr>
              <w:t>s</w:t>
            </w:r>
            <w:r w:rsidRPr="00687C0B">
              <w:rPr>
                <w:rFonts w:eastAsia="Calibri"/>
                <w:sz w:val="18"/>
                <w:szCs w:val="18"/>
              </w:rPr>
              <w:t xml:space="preserve"> were: a) 3, b) </w:t>
            </w:r>
            <w:r w:rsidR="00DC6539" w:rsidRPr="00687C0B">
              <w:rPr>
                <w:rFonts w:eastAsia="Calibri"/>
                <w:sz w:val="18"/>
                <w:szCs w:val="18"/>
              </w:rPr>
              <w:t>3, c) 2, d) 2</w:t>
            </w:r>
            <w:r w:rsidR="00A7324F" w:rsidRPr="00687C0B">
              <w:rPr>
                <w:rFonts w:eastAsia="Calibri"/>
                <w:sz w:val="18"/>
                <w:szCs w:val="18"/>
              </w:rPr>
              <w:t xml:space="preserve">; previous targets were a) 12, b) 13, c) 11, d) 8. </w:t>
            </w:r>
          </w:p>
        </w:tc>
      </w:tr>
    </w:tbl>
    <w:p w14:paraId="3CC7CF9F" w14:textId="77777777" w:rsidR="00386474" w:rsidRDefault="00386474">
      <w:r>
        <w:br w:type="page"/>
      </w:r>
    </w:p>
    <w:tbl>
      <w:tblPr>
        <w:tblW w:w="14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860"/>
        <w:gridCol w:w="5437"/>
        <w:gridCol w:w="1525"/>
        <w:gridCol w:w="1265"/>
        <w:gridCol w:w="1263"/>
        <w:gridCol w:w="1803"/>
      </w:tblGrid>
      <w:tr w:rsidR="00925A24" w:rsidRPr="00283732" w14:paraId="6B3E5749" w14:textId="77777777" w:rsidTr="00BC2597">
        <w:trPr>
          <w:trHeight w:val="251"/>
          <w:jc w:val="center"/>
        </w:trPr>
        <w:tc>
          <w:tcPr>
            <w:tcW w:w="2695" w:type="dxa"/>
            <w:vMerge w:val="restart"/>
            <w:tcBorders>
              <w:left w:val="single" w:sz="4" w:space="0" w:color="auto"/>
              <w:right w:val="single" w:sz="4" w:space="0" w:color="auto"/>
            </w:tcBorders>
            <w:shd w:val="clear" w:color="auto" w:fill="auto"/>
            <w:vAlign w:val="center"/>
            <w:hideMark/>
          </w:tcPr>
          <w:p w14:paraId="1A6BE027" w14:textId="1E51A230" w:rsidR="00925A24" w:rsidRPr="00015A57" w:rsidRDefault="00925A24" w:rsidP="005E0294">
            <w:pPr>
              <w:spacing w:after="0" w:line="240" w:lineRule="auto"/>
              <w:rPr>
                <w:rFonts w:eastAsia="Calibri"/>
                <w:b/>
              </w:rPr>
            </w:pPr>
          </w:p>
        </w:tc>
        <w:tc>
          <w:tcPr>
            <w:tcW w:w="860" w:type="dxa"/>
            <w:vMerge w:val="restart"/>
            <w:tcBorders>
              <w:top w:val="single" w:sz="4" w:space="0" w:color="auto"/>
              <w:left w:val="single" w:sz="4" w:space="0" w:color="auto"/>
              <w:right w:val="single" w:sz="4" w:space="0" w:color="auto"/>
            </w:tcBorders>
            <w:shd w:val="clear" w:color="auto" w:fill="FFFFFF"/>
            <w:hideMark/>
          </w:tcPr>
          <w:p w14:paraId="378308B7" w14:textId="77777777" w:rsidR="00925A24" w:rsidRPr="00A512C1" w:rsidRDefault="00925A24" w:rsidP="005E0294">
            <w:pPr>
              <w:spacing w:after="0" w:line="240" w:lineRule="auto"/>
              <w:jc w:val="both"/>
              <w:rPr>
                <w:rFonts w:eastAsia="Calibri"/>
                <w:b/>
                <w:sz w:val="20"/>
              </w:rPr>
            </w:pPr>
            <w:r w:rsidRPr="00070856">
              <w:rPr>
                <w:rFonts w:eastAsia="Calibri"/>
                <w:b/>
                <w:sz w:val="20"/>
              </w:rPr>
              <w:t>1.2.2</w:t>
            </w:r>
          </w:p>
        </w:tc>
        <w:tc>
          <w:tcPr>
            <w:tcW w:w="5437" w:type="dxa"/>
            <w:tcBorders>
              <w:top w:val="single" w:sz="4" w:space="0" w:color="auto"/>
              <w:left w:val="single" w:sz="4" w:space="0" w:color="auto"/>
              <w:bottom w:val="single" w:sz="4" w:space="0" w:color="auto"/>
              <w:right w:val="single" w:sz="4" w:space="0" w:color="auto"/>
            </w:tcBorders>
            <w:shd w:val="clear" w:color="auto" w:fill="FFFFFF"/>
            <w:hideMark/>
          </w:tcPr>
          <w:p w14:paraId="1BF33A18" w14:textId="77777777" w:rsidR="00925A24" w:rsidRPr="00412C47" w:rsidRDefault="00925A24" w:rsidP="00F4125C">
            <w:pPr>
              <w:spacing w:after="0" w:line="240" w:lineRule="auto"/>
              <w:rPr>
                <w:rFonts w:eastAsia="Calibri"/>
                <w:b/>
                <w:color w:val="000000"/>
                <w:sz w:val="20"/>
              </w:rPr>
            </w:pPr>
            <w:r w:rsidRPr="00412C47">
              <w:rPr>
                <w:rFonts w:eastAsia="Calibri"/>
                <w:color w:val="000000"/>
                <w:sz w:val="20"/>
              </w:rPr>
              <w:t xml:space="preserve">Number of countries with </w:t>
            </w:r>
            <w:r w:rsidRPr="00412C47">
              <w:rPr>
                <w:rFonts w:eastAsia="Calibri"/>
                <w:b/>
                <w:color w:val="000000"/>
                <w:sz w:val="20"/>
              </w:rPr>
              <w:t>improved</w:t>
            </w:r>
            <w:r w:rsidRPr="00412C47">
              <w:rPr>
                <w:rFonts w:eastAsia="Calibri"/>
                <w:color w:val="000000"/>
                <w:sz w:val="20"/>
              </w:rPr>
              <w:t xml:space="preserve"> </w:t>
            </w:r>
            <w:r w:rsidRPr="00412C47">
              <w:rPr>
                <w:rFonts w:eastAsia="Calibri"/>
                <w:b/>
                <w:color w:val="000000"/>
                <w:sz w:val="20"/>
              </w:rPr>
              <w:t>financial sustainability</w:t>
            </w:r>
            <w:r w:rsidRPr="00412C47">
              <w:rPr>
                <w:rFonts w:eastAsia="Calibri"/>
                <w:color w:val="000000"/>
                <w:sz w:val="20"/>
              </w:rPr>
              <w:t xml:space="preserve"> of </w:t>
            </w:r>
            <w:r w:rsidRPr="00412C47">
              <w:rPr>
                <w:rFonts w:eastAsia="Calibri"/>
                <w:b/>
                <w:color w:val="000000"/>
                <w:sz w:val="20"/>
              </w:rPr>
              <w:t>social protection systems</w:t>
            </w:r>
          </w:p>
          <w:p w14:paraId="38F23870" w14:textId="059E43E4" w:rsidR="00CE25EF" w:rsidRPr="00412C47" w:rsidRDefault="00CE25EF" w:rsidP="007D5753">
            <w:pPr>
              <w:spacing w:before="240" w:after="0" w:line="240" w:lineRule="auto"/>
              <w:rPr>
                <w:rFonts w:eastAsia="Calibri"/>
                <w:color w:val="000000"/>
                <w:sz w:val="20"/>
              </w:rPr>
            </w:pPr>
            <w:r w:rsidRPr="00412C47">
              <w:rPr>
                <w:rFonts w:eastAsia="Calibri"/>
                <w:b/>
                <w:i/>
                <w:sz w:val="18"/>
                <w:szCs w:val="18"/>
              </w:rPr>
              <w:t xml:space="preserve">Number of countries </w:t>
            </w:r>
            <w:r w:rsidR="000969BD" w:rsidRPr="00412C47">
              <w:rPr>
                <w:rFonts w:eastAsia="Calibri"/>
                <w:b/>
                <w:i/>
                <w:sz w:val="18"/>
                <w:szCs w:val="18"/>
              </w:rPr>
              <w:t>for which a 2017 target has currently been set under this indicator</w:t>
            </w:r>
            <w:r w:rsidRPr="00412C47">
              <w:rPr>
                <w:rFonts w:eastAsia="Calibri"/>
                <w:b/>
                <w:i/>
                <w:sz w:val="18"/>
                <w:szCs w:val="18"/>
              </w:rPr>
              <w:t>: 31</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center"/>
          </w:tcPr>
          <w:p w14:paraId="3F6BE001" w14:textId="3BCBD046" w:rsidR="00925A24" w:rsidRPr="006F12EE" w:rsidRDefault="00824DB0" w:rsidP="00824DB0">
            <w:pPr>
              <w:spacing w:after="0" w:line="240" w:lineRule="auto"/>
              <w:jc w:val="center"/>
              <w:rPr>
                <w:rFonts w:eastAsia="Calibri"/>
                <w:sz w:val="20"/>
              </w:rPr>
            </w:pPr>
            <w:r>
              <w:rPr>
                <w:rFonts w:eastAsia="Calibri"/>
                <w:sz w:val="20"/>
              </w:rPr>
              <w:t>0</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287D4C7F" w14:textId="1E989011" w:rsidR="00925A24" w:rsidRPr="006F12EE" w:rsidRDefault="00925A24" w:rsidP="00801BF7">
            <w:pPr>
              <w:spacing w:after="0" w:line="240" w:lineRule="auto"/>
              <w:jc w:val="center"/>
              <w:rPr>
                <w:rFonts w:eastAsia="Calibri"/>
                <w:sz w:val="20"/>
              </w:rPr>
            </w:pPr>
            <w:r>
              <w:rPr>
                <w:rFonts w:eastAsia="Calibri"/>
                <w:sz w:val="20"/>
              </w:rPr>
              <w:t>6</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14:paraId="69EC7E93" w14:textId="66C730C5" w:rsidR="00925A24" w:rsidRPr="006F12EE" w:rsidRDefault="000D6A50" w:rsidP="00801BF7">
            <w:pPr>
              <w:spacing w:after="0" w:line="240" w:lineRule="auto"/>
              <w:jc w:val="center"/>
              <w:rPr>
                <w:rFonts w:eastAsia="Calibri"/>
                <w:sz w:val="20"/>
              </w:rPr>
            </w:pPr>
            <w:r>
              <w:rPr>
                <w:rFonts w:eastAsia="Calibri"/>
                <w:sz w:val="20"/>
              </w:rPr>
              <w:t>6</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30C0B075" w14:textId="07EF7A99" w:rsidR="00F4125C" w:rsidRPr="006F12EE" w:rsidRDefault="00925A24" w:rsidP="00CE25EF">
            <w:pPr>
              <w:spacing w:after="0" w:line="240" w:lineRule="auto"/>
              <w:jc w:val="center"/>
              <w:rPr>
                <w:rFonts w:eastAsia="Calibri"/>
                <w:sz w:val="20"/>
              </w:rPr>
            </w:pPr>
            <w:r w:rsidRPr="001F5104">
              <w:rPr>
                <w:rFonts w:eastAsia="Calibri"/>
                <w:sz w:val="20"/>
              </w:rPr>
              <w:t>1</w:t>
            </w:r>
            <w:r w:rsidR="00F4125C" w:rsidRPr="001F5104">
              <w:rPr>
                <w:rFonts w:eastAsia="Calibri"/>
                <w:sz w:val="20"/>
              </w:rPr>
              <w:t>9</w:t>
            </w:r>
          </w:p>
        </w:tc>
      </w:tr>
      <w:tr w:rsidR="00DC6539" w:rsidRPr="00283732" w14:paraId="2DCE76E6" w14:textId="77777777" w:rsidTr="00BC2597">
        <w:trPr>
          <w:trHeight w:val="251"/>
          <w:jc w:val="center"/>
        </w:trPr>
        <w:tc>
          <w:tcPr>
            <w:tcW w:w="2695" w:type="dxa"/>
            <w:vMerge/>
            <w:tcBorders>
              <w:left w:val="single" w:sz="4" w:space="0" w:color="auto"/>
              <w:bottom w:val="single" w:sz="4" w:space="0" w:color="auto"/>
              <w:right w:val="single" w:sz="4" w:space="0" w:color="auto"/>
            </w:tcBorders>
            <w:shd w:val="clear" w:color="auto" w:fill="auto"/>
            <w:vAlign w:val="center"/>
          </w:tcPr>
          <w:p w14:paraId="51A7831B" w14:textId="77777777" w:rsidR="00DC6539" w:rsidRPr="00015A57" w:rsidRDefault="00DC6539" w:rsidP="005E0294">
            <w:pPr>
              <w:spacing w:after="0" w:line="240" w:lineRule="auto"/>
              <w:rPr>
                <w:rFonts w:eastAsia="Calibri"/>
                <w:b/>
              </w:rPr>
            </w:pPr>
          </w:p>
        </w:tc>
        <w:tc>
          <w:tcPr>
            <w:tcW w:w="860" w:type="dxa"/>
            <w:vMerge/>
            <w:tcBorders>
              <w:left w:val="single" w:sz="4" w:space="0" w:color="auto"/>
              <w:bottom w:val="single" w:sz="4" w:space="0" w:color="auto"/>
              <w:right w:val="single" w:sz="4" w:space="0" w:color="auto"/>
            </w:tcBorders>
            <w:shd w:val="clear" w:color="auto" w:fill="FFFFFF"/>
          </w:tcPr>
          <w:p w14:paraId="225D78C1" w14:textId="77777777" w:rsidR="00DC6539" w:rsidRPr="00A512C1" w:rsidRDefault="00DC6539" w:rsidP="005E0294">
            <w:pPr>
              <w:spacing w:after="0" w:line="240" w:lineRule="auto"/>
              <w:jc w:val="both"/>
              <w:rPr>
                <w:rFonts w:eastAsia="Calibri"/>
                <w:b/>
                <w:sz w:val="20"/>
              </w:rPr>
            </w:pPr>
          </w:p>
        </w:tc>
        <w:tc>
          <w:tcPr>
            <w:tcW w:w="11293" w:type="dxa"/>
            <w:gridSpan w:val="5"/>
            <w:tcBorders>
              <w:left w:val="single" w:sz="4" w:space="0" w:color="auto"/>
              <w:bottom w:val="single" w:sz="4" w:space="0" w:color="auto"/>
              <w:right w:val="single" w:sz="4" w:space="0" w:color="auto"/>
            </w:tcBorders>
            <w:shd w:val="clear" w:color="auto" w:fill="D9D9D9" w:themeFill="background1" w:themeFillShade="D9"/>
          </w:tcPr>
          <w:p w14:paraId="103505B3" w14:textId="77777777" w:rsidR="001F5104" w:rsidRPr="000969BD" w:rsidRDefault="00DC6539" w:rsidP="001F5104">
            <w:pPr>
              <w:spacing w:after="0" w:line="240" w:lineRule="auto"/>
              <w:rPr>
                <w:rFonts w:eastAsia="Calibri"/>
                <w:sz w:val="18"/>
                <w:szCs w:val="18"/>
              </w:rPr>
            </w:pPr>
            <w:r w:rsidRPr="000969BD">
              <w:rPr>
                <w:rFonts w:ascii="Calibri" w:eastAsia="Calibri" w:hAnsi="Calibri" w:cs="Times New Roman"/>
                <w:b/>
                <w:sz w:val="18"/>
                <w:szCs w:val="18"/>
                <w:lang w:eastAsia="en-US"/>
              </w:rPr>
              <w:t>Indicator 1.2.2 Note</w:t>
            </w:r>
            <w:r w:rsidRPr="000969BD">
              <w:rPr>
                <w:rFonts w:ascii="Calibri" w:eastAsia="Calibri" w:hAnsi="Calibri" w:cs="Times New Roman"/>
                <w:sz w:val="18"/>
                <w:szCs w:val="18"/>
                <w:lang w:eastAsia="en-US"/>
              </w:rPr>
              <w:t xml:space="preserve">: </w:t>
            </w:r>
            <w:r w:rsidRPr="000969BD">
              <w:rPr>
                <w:rFonts w:ascii="Calibri" w:eastAsia="Calibri" w:hAnsi="Calibri"/>
                <w:sz w:val="18"/>
                <w:szCs w:val="18"/>
              </w:rPr>
              <w:t xml:space="preserve">Tracks the number of countries where UNDP support (on demand </w:t>
            </w:r>
            <w:r w:rsidRPr="000969BD">
              <w:rPr>
                <w:sz w:val="18"/>
                <w:szCs w:val="18"/>
              </w:rPr>
              <w:t>from programme countries</w:t>
            </w:r>
            <w:r w:rsidRPr="000969BD">
              <w:rPr>
                <w:rFonts w:ascii="Calibri" w:eastAsia="Calibri" w:hAnsi="Calibri"/>
                <w:sz w:val="18"/>
                <w:szCs w:val="18"/>
              </w:rPr>
              <w:t xml:space="preserve">) has led to sustainable financing for social protection, based on objective criteria and evidence. </w:t>
            </w:r>
            <w:r w:rsidRPr="000969BD">
              <w:rPr>
                <w:rFonts w:eastAsia="Calibri"/>
                <w:sz w:val="18"/>
                <w:szCs w:val="18"/>
              </w:rPr>
              <w:t>The effectiveness of UNDP’s support is tracked using a qualitative assessment (1- Not adequately, 2- Very partially, 3- Partially, and 4-Largely), counting the number of countries which, with UNDP support, have improved financial sustainability of social protection systems from January 2014 onwards.</w:t>
            </w:r>
            <w:r w:rsidR="00F4125C" w:rsidRPr="000969BD">
              <w:rPr>
                <w:rFonts w:eastAsia="Calibri"/>
                <w:sz w:val="18"/>
                <w:szCs w:val="18"/>
              </w:rPr>
              <w:t xml:space="preserve"> </w:t>
            </w:r>
          </w:p>
          <w:p w14:paraId="76EE44B3" w14:textId="5D286F7B" w:rsidR="00DC6539" w:rsidRPr="000969BD" w:rsidRDefault="00F4125C" w:rsidP="001F5104">
            <w:pPr>
              <w:spacing w:after="0" w:line="240" w:lineRule="auto"/>
              <w:rPr>
                <w:rFonts w:eastAsia="Calibri"/>
                <w:sz w:val="20"/>
              </w:rPr>
            </w:pPr>
            <w:r w:rsidRPr="000969BD">
              <w:rPr>
                <w:rFonts w:eastAsia="Calibri"/>
                <w:b/>
                <w:sz w:val="18"/>
                <w:szCs w:val="18"/>
              </w:rPr>
              <w:t xml:space="preserve">2014 Reporting Note: </w:t>
            </w:r>
            <w:r w:rsidRPr="000969BD">
              <w:rPr>
                <w:rFonts w:eastAsia="Calibri"/>
                <w:sz w:val="18"/>
                <w:szCs w:val="18"/>
              </w:rPr>
              <w:t xml:space="preserve">2017 target updated to reflect more complete reporting from country offices. For reference, </w:t>
            </w:r>
            <w:r w:rsidR="001F5104" w:rsidRPr="000969BD">
              <w:rPr>
                <w:rFonts w:eastAsia="Calibri"/>
                <w:sz w:val="18"/>
                <w:szCs w:val="18"/>
              </w:rPr>
              <w:t>previous target was 16</w:t>
            </w:r>
            <w:r w:rsidRPr="000969BD">
              <w:rPr>
                <w:rFonts w:eastAsia="Calibri"/>
                <w:sz w:val="18"/>
                <w:szCs w:val="18"/>
              </w:rPr>
              <w:t>.</w:t>
            </w:r>
          </w:p>
        </w:tc>
      </w:tr>
      <w:tr w:rsidR="00925A24" w:rsidRPr="00283732" w14:paraId="2E5AC73C" w14:textId="77777777" w:rsidTr="008376B6">
        <w:trPr>
          <w:trHeight w:val="314"/>
          <w:jc w:val="center"/>
        </w:trPr>
        <w:tc>
          <w:tcPr>
            <w:tcW w:w="2695" w:type="dxa"/>
            <w:vMerge w:val="restart"/>
            <w:tcBorders>
              <w:top w:val="single" w:sz="4" w:space="0" w:color="auto"/>
              <w:left w:val="single" w:sz="4" w:space="0" w:color="auto"/>
              <w:right w:val="single" w:sz="4" w:space="0" w:color="auto"/>
            </w:tcBorders>
            <w:shd w:val="clear" w:color="auto" w:fill="FFFFFF"/>
            <w:hideMark/>
          </w:tcPr>
          <w:p w14:paraId="64B4105F" w14:textId="7C916654" w:rsidR="00925A24" w:rsidRDefault="00925A24" w:rsidP="005E0294">
            <w:pPr>
              <w:spacing w:after="0" w:line="240" w:lineRule="auto"/>
              <w:rPr>
                <w:rFonts w:eastAsia="Calibri"/>
                <w:sz w:val="20"/>
                <w:szCs w:val="20"/>
              </w:rPr>
            </w:pPr>
            <w:r w:rsidRPr="00A512C1">
              <w:rPr>
                <w:rFonts w:eastAsia="Calibri"/>
                <w:b/>
                <w:sz w:val="20"/>
                <w:szCs w:val="20"/>
              </w:rPr>
              <w:t xml:space="preserve">Output 1.3. </w:t>
            </w:r>
            <w:r w:rsidRPr="00A512C1">
              <w:rPr>
                <w:rFonts w:eastAsia="Calibri"/>
                <w:sz w:val="20"/>
                <w:szCs w:val="20"/>
              </w:rPr>
              <w:t xml:space="preserve">Solutions developed at national and sub-national levels for sustainable management of natural </w:t>
            </w:r>
            <w:r>
              <w:rPr>
                <w:rFonts w:eastAsia="Calibri"/>
                <w:sz w:val="20"/>
                <w:szCs w:val="20"/>
              </w:rPr>
              <w:t xml:space="preserve">resources, ecosystem </w:t>
            </w:r>
            <w:r w:rsidRPr="00A512C1">
              <w:rPr>
                <w:rFonts w:eastAsia="Calibri"/>
                <w:sz w:val="20"/>
                <w:szCs w:val="20"/>
              </w:rPr>
              <w:t>services, chemicals and waste</w:t>
            </w:r>
            <w:r>
              <w:rPr>
                <w:rFonts w:eastAsia="Calibri"/>
                <w:sz w:val="20"/>
                <w:szCs w:val="20"/>
              </w:rPr>
              <w:t>.</w:t>
            </w:r>
          </w:p>
          <w:p w14:paraId="6AE4FCE7" w14:textId="77777777" w:rsidR="00925A24" w:rsidRDefault="00925A24" w:rsidP="005E0294">
            <w:pPr>
              <w:spacing w:after="0" w:line="240" w:lineRule="auto"/>
              <w:rPr>
                <w:rFonts w:eastAsia="Calibri"/>
                <w:sz w:val="20"/>
                <w:szCs w:val="20"/>
              </w:rPr>
            </w:pPr>
          </w:p>
          <w:p w14:paraId="6DC71570" w14:textId="1B2C7019" w:rsidR="00925A24" w:rsidRPr="00A512C1" w:rsidRDefault="00925A24" w:rsidP="00700531">
            <w:pPr>
              <w:spacing w:after="0" w:line="240" w:lineRule="auto"/>
              <w:rPr>
                <w:rFonts w:eastAsia="Calibri"/>
                <w:sz w:val="20"/>
                <w:szCs w:val="20"/>
              </w:rPr>
            </w:pPr>
            <w:r w:rsidRPr="00B359E7">
              <w:rPr>
                <w:rFonts w:ascii="Calibri" w:eastAsia="Calibri" w:hAnsi="Calibri"/>
                <w:b/>
                <w:i/>
                <w:color w:val="000000"/>
                <w:sz w:val="18"/>
                <w:szCs w:val="18"/>
              </w:rPr>
              <w:t>Number of countries linked:</w:t>
            </w:r>
            <w:r w:rsidR="00FA2A11">
              <w:rPr>
                <w:rFonts w:ascii="Calibri" w:eastAsia="Calibri" w:hAnsi="Calibri"/>
                <w:b/>
                <w:color w:val="000000"/>
                <w:sz w:val="18"/>
                <w:szCs w:val="18"/>
              </w:rPr>
              <w:t xml:space="preserve"> 11</w:t>
            </w:r>
            <w:r w:rsidR="00700531">
              <w:rPr>
                <w:rFonts w:ascii="Calibri" w:eastAsia="Calibri" w:hAnsi="Calibri"/>
                <w:b/>
                <w:color w:val="000000"/>
                <w:sz w:val="18"/>
                <w:szCs w:val="18"/>
              </w:rPr>
              <w:t>2</w:t>
            </w:r>
            <w:r w:rsidR="00FA2A11">
              <w:rPr>
                <w:rFonts w:ascii="Calibri" w:eastAsia="Calibri" w:hAnsi="Calibri"/>
                <w:b/>
                <w:color w:val="000000"/>
                <w:sz w:val="18"/>
                <w:szCs w:val="18"/>
              </w:rPr>
              <w:t xml:space="preserve"> (February 2015</w:t>
            </w:r>
            <w:r w:rsidR="00FA2A11" w:rsidRPr="00B359E7">
              <w:rPr>
                <w:rFonts w:ascii="Calibri" w:eastAsia="Calibri" w:hAnsi="Calibri"/>
                <w:b/>
                <w:color w:val="000000"/>
                <w:sz w:val="18"/>
                <w:szCs w:val="18"/>
              </w:rPr>
              <w:t>)</w:t>
            </w:r>
          </w:p>
        </w:tc>
        <w:tc>
          <w:tcPr>
            <w:tcW w:w="860" w:type="dxa"/>
            <w:vMerge w:val="restart"/>
            <w:tcBorders>
              <w:top w:val="single" w:sz="4" w:space="0" w:color="auto"/>
              <w:left w:val="single" w:sz="4" w:space="0" w:color="auto"/>
              <w:right w:val="single" w:sz="4" w:space="0" w:color="auto"/>
            </w:tcBorders>
            <w:shd w:val="clear" w:color="auto" w:fill="FFFFFF"/>
            <w:hideMark/>
          </w:tcPr>
          <w:p w14:paraId="098E5CB5" w14:textId="77777777" w:rsidR="00925A24" w:rsidRPr="00A512C1" w:rsidRDefault="00925A24" w:rsidP="005E0294">
            <w:pPr>
              <w:spacing w:after="0" w:line="240" w:lineRule="auto"/>
              <w:rPr>
                <w:rFonts w:eastAsia="Calibri"/>
                <w:b/>
                <w:sz w:val="20"/>
                <w:szCs w:val="20"/>
              </w:rPr>
            </w:pPr>
            <w:r w:rsidRPr="00A512C1">
              <w:rPr>
                <w:rFonts w:eastAsia="Calibri"/>
                <w:b/>
                <w:sz w:val="20"/>
                <w:szCs w:val="20"/>
              </w:rPr>
              <w:t>1.3.1</w:t>
            </w:r>
          </w:p>
        </w:tc>
        <w:tc>
          <w:tcPr>
            <w:tcW w:w="5437" w:type="dxa"/>
            <w:tcBorders>
              <w:top w:val="single" w:sz="4" w:space="0" w:color="auto"/>
              <w:left w:val="single" w:sz="4" w:space="0" w:color="auto"/>
              <w:bottom w:val="single" w:sz="4" w:space="0" w:color="auto"/>
              <w:right w:val="single" w:sz="4" w:space="0" w:color="auto"/>
            </w:tcBorders>
            <w:shd w:val="clear" w:color="auto" w:fill="FFFFFF"/>
          </w:tcPr>
          <w:p w14:paraId="26CA420D" w14:textId="658DB2D5" w:rsidR="00925A24" w:rsidRPr="00412C47" w:rsidRDefault="00925A24" w:rsidP="00265DCC">
            <w:pPr>
              <w:spacing w:after="0" w:line="240" w:lineRule="auto"/>
              <w:rPr>
                <w:rFonts w:eastAsia="Calibri"/>
                <w:color w:val="000000"/>
                <w:sz w:val="20"/>
                <w:szCs w:val="20"/>
              </w:rPr>
            </w:pPr>
            <w:r w:rsidRPr="00412C47">
              <w:rPr>
                <w:rFonts w:eastAsia="Calibri"/>
                <w:color w:val="000000"/>
                <w:sz w:val="20"/>
                <w:szCs w:val="20"/>
              </w:rPr>
              <w:t xml:space="preserve">Number of </w:t>
            </w:r>
            <w:r w:rsidRPr="000B5DED">
              <w:rPr>
                <w:rFonts w:eastAsia="Calibri"/>
                <w:b/>
                <w:color w:val="000000"/>
                <w:sz w:val="20"/>
                <w:szCs w:val="20"/>
              </w:rPr>
              <w:t xml:space="preserve">new </w:t>
            </w:r>
            <w:r w:rsidRPr="00412C47">
              <w:rPr>
                <w:rFonts w:eastAsia="Calibri"/>
                <w:b/>
                <w:color w:val="000000"/>
                <w:sz w:val="20"/>
                <w:szCs w:val="20"/>
              </w:rPr>
              <w:t>partnership mechanisms</w:t>
            </w:r>
            <w:r w:rsidRPr="00412C47">
              <w:rPr>
                <w:rFonts w:eastAsia="Calibri"/>
                <w:color w:val="000000"/>
                <w:sz w:val="20"/>
                <w:szCs w:val="20"/>
              </w:rPr>
              <w:t xml:space="preserve"> with funding for </w:t>
            </w:r>
            <w:r w:rsidRPr="00412C47">
              <w:rPr>
                <w:rFonts w:eastAsia="Calibri"/>
                <w:b/>
                <w:color w:val="000000"/>
                <w:sz w:val="20"/>
                <w:szCs w:val="20"/>
              </w:rPr>
              <w:t xml:space="preserve">sustainable management solutions </w:t>
            </w:r>
            <w:r w:rsidRPr="00412C47">
              <w:rPr>
                <w:rFonts w:eastAsia="Calibri"/>
                <w:color w:val="000000"/>
                <w:sz w:val="20"/>
                <w:szCs w:val="20"/>
              </w:rPr>
              <w:t>of natural resources, ecosystems services, chemicals and waste at na</w:t>
            </w:r>
            <w:r w:rsidR="00CE25EF" w:rsidRPr="00412C47">
              <w:rPr>
                <w:rFonts w:eastAsia="Calibri"/>
                <w:color w:val="000000"/>
                <w:sz w:val="20"/>
                <w:szCs w:val="20"/>
              </w:rPr>
              <w:t>tional and/or subnational level</w:t>
            </w:r>
          </w:p>
          <w:p w14:paraId="35873856" w14:textId="17AE2FA3" w:rsidR="00CE25EF" w:rsidRPr="00412C47" w:rsidRDefault="00CE25EF" w:rsidP="00CE25EF">
            <w:pPr>
              <w:spacing w:before="240" w:after="0" w:line="240" w:lineRule="auto"/>
              <w:rPr>
                <w:rFonts w:eastAsia="Calibri"/>
                <w:b/>
                <w:sz w:val="20"/>
                <w:szCs w:val="20"/>
              </w:rPr>
            </w:pPr>
            <w:r w:rsidRPr="00412C47">
              <w:rPr>
                <w:rFonts w:eastAsia="Calibri"/>
                <w:b/>
                <w:i/>
                <w:sz w:val="18"/>
                <w:szCs w:val="18"/>
              </w:rPr>
              <w:t xml:space="preserve">Number of countries </w:t>
            </w:r>
            <w:r w:rsidR="000969BD" w:rsidRPr="00412C47">
              <w:rPr>
                <w:rFonts w:eastAsia="Calibri"/>
                <w:b/>
                <w:i/>
                <w:sz w:val="18"/>
                <w:szCs w:val="18"/>
              </w:rPr>
              <w:t>for which a 2017 target has currently been set under this indicator</w:t>
            </w:r>
            <w:r w:rsidR="00C9366E" w:rsidRPr="00412C47">
              <w:rPr>
                <w:rFonts w:eastAsia="Calibri"/>
                <w:b/>
                <w:i/>
                <w:sz w:val="18"/>
                <w:szCs w:val="18"/>
              </w:rPr>
              <w:t>: 87</w:t>
            </w:r>
          </w:p>
        </w:tc>
        <w:tc>
          <w:tcPr>
            <w:tcW w:w="1525" w:type="dxa"/>
            <w:tcBorders>
              <w:top w:val="single" w:sz="4" w:space="0" w:color="auto"/>
              <w:left w:val="single" w:sz="4" w:space="0" w:color="auto"/>
              <w:right w:val="single" w:sz="4" w:space="0" w:color="auto"/>
            </w:tcBorders>
            <w:shd w:val="clear" w:color="auto" w:fill="FFFFFF"/>
            <w:vAlign w:val="center"/>
          </w:tcPr>
          <w:p w14:paraId="1F891801" w14:textId="14DDF22C" w:rsidR="00925A24" w:rsidRPr="003E53A5" w:rsidRDefault="00824DB0" w:rsidP="00824DB0">
            <w:pPr>
              <w:spacing w:after="0" w:line="240" w:lineRule="auto"/>
              <w:jc w:val="center"/>
              <w:rPr>
                <w:rFonts w:eastAsia="Calibri"/>
                <w:sz w:val="20"/>
                <w:szCs w:val="20"/>
              </w:rPr>
            </w:pPr>
            <w:r>
              <w:rPr>
                <w:rFonts w:eastAsia="Calibri"/>
                <w:sz w:val="20"/>
                <w:szCs w:val="20"/>
              </w:rPr>
              <w:t>0</w:t>
            </w:r>
          </w:p>
        </w:tc>
        <w:tc>
          <w:tcPr>
            <w:tcW w:w="1265" w:type="dxa"/>
            <w:tcBorders>
              <w:top w:val="single" w:sz="4" w:space="0" w:color="auto"/>
              <w:left w:val="single" w:sz="4" w:space="0" w:color="auto"/>
              <w:right w:val="single" w:sz="4" w:space="0" w:color="auto"/>
            </w:tcBorders>
            <w:shd w:val="clear" w:color="auto" w:fill="FFFFFF"/>
            <w:vAlign w:val="center"/>
          </w:tcPr>
          <w:p w14:paraId="696AB341" w14:textId="196C4809" w:rsidR="00925A24" w:rsidRPr="003E53A5" w:rsidRDefault="00F65ABE" w:rsidP="005E0294">
            <w:pPr>
              <w:spacing w:after="0" w:line="240" w:lineRule="auto"/>
              <w:jc w:val="center"/>
              <w:rPr>
                <w:rFonts w:eastAsia="Calibri"/>
                <w:sz w:val="20"/>
                <w:szCs w:val="20"/>
              </w:rPr>
            </w:pPr>
            <w:r>
              <w:rPr>
                <w:rFonts w:eastAsia="Calibri"/>
                <w:sz w:val="20"/>
                <w:szCs w:val="20"/>
              </w:rPr>
              <w:t>600</w:t>
            </w:r>
          </w:p>
        </w:tc>
        <w:tc>
          <w:tcPr>
            <w:tcW w:w="1263" w:type="dxa"/>
            <w:tcBorders>
              <w:top w:val="single" w:sz="4" w:space="0" w:color="auto"/>
              <w:left w:val="single" w:sz="4" w:space="0" w:color="auto"/>
              <w:right w:val="single" w:sz="4" w:space="0" w:color="auto"/>
            </w:tcBorders>
            <w:shd w:val="clear" w:color="auto" w:fill="FFFFFF"/>
            <w:vAlign w:val="center"/>
          </w:tcPr>
          <w:p w14:paraId="3D6BBD19" w14:textId="251B6AD8" w:rsidR="00925A24" w:rsidRPr="003E53A5" w:rsidRDefault="00621FBB" w:rsidP="00F65ABE">
            <w:pPr>
              <w:spacing w:after="0" w:line="240" w:lineRule="auto"/>
              <w:jc w:val="center"/>
              <w:rPr>
                <w:rFonts w:eastAsia="Calibri"/>
                <w:sz w:val="20"/>
                <w:szCs w:val="20"/>
              </w:rPr>
            </w:pPr>
            <w:r>
              <w:rPr>
                <w:rFonts w:eastAsia="Calibri"/>
                <w:sz w:val="20"/>
                <w:szCs w:val="20"/>
              </w:rPr>
              <w:t>58</w:t>
            </w:r>
            <w:r w:rsidR="00F65ABE">
              <w:rPr>
                <w:rFonts w:eastAsia="Calibri"/>
                <w:sz w:val="20"/>
                <w:szCs w:val="20"/>
              </w:rPr>
              <w:t>1</w:t>
            </w:r>
          </w:p>
        </w:tc>
        <w:tc>
          <w:tcPr>
            <w:tcW w:w="1803" w:type="dxa"/>
            <w:tcBorders>
              <w:top w:val="single" w:sz="4" w:space="0" w:color="auto"/>
              <w:left w:val="single" w:sz="4" w:space="0" w:color="auto"/>
              <w:right w:val="single" w:sz="4" w:space="0" w:color="auto"/>
            </w:tcBorders>
            <w:shd w:val="clear" w:color="auto" w:fill="FFFFFF"/>
            <w:vAlign w:val="center"/>
          </w:tcPr>
          <w:p w14:paraId="694244EA" w14:textId="2D530293" w:rsidR="00925A24" w:rsidRPr="00F60682" w:rsidRDefault="00F65ABE" w:rsidP="00F65ABE">
            <w:pPr>
              <w:spacing w:after="0" w:line="240" w:lineRule="auto"/>
              <w:jc w:val="center"/>
              <w:rPr>
                <w:rFonts w:eastAsia="Calibri"/>
                <w:sz w:val="20"/>
                <w:szCs w:val="20"/>
              </w:rPr>
            </w:pPr>
            <w:r w:rsidRPr="007C198F">
              <w:rPr>
                <w:rFonts w:eastAsia="Calibri"/>
                <w:sz w:val="20"/>
                <w:szCs w:val="20"/>
              </w:rPr>
              <w:t>1,442</w:t>
            </w:r>
          </w:p>
        </w:tc>
      </w:tr>
      <w:tr w:rsidR="00621FBB" w:rsidRPr="00283732" w14:paraId="027EC0C0" w14:textId="77777777" w:rsidTr="00BC2597">
        <w:trPr>
          <w:trHeight w:val="314"/>
          <w:jc w:val="center"/>
        </w:trPr>
        <w:tc>
          <w:tcPr>
            <w:tcW w:w="2695" w:type="dxa"/>
            <w:vMerge/>
            <w:tcBorders>
              <w:left w:val="single" w:sz="4" w:space="0" w:color="auto"/>
              <w:right w:val="single" w:sz="4" w:space="0" w:color="auto"/>
            </w:tcBorders>
            <w:shd w:val="clear" w:color="auto" w:fill="FFFFFF"/>
            <w:vAlign w:val="center"/>
          </w:tcPr>
          <w:p w14:paraId="6B9A16CB" w14:textId="3854B567" w:rsidR="00621FBB" w:rsidRPr="00A512C1" w:rsidRDefault="00621FBB" w:rsidP="005E0294">
            <w:pPr>
              <w:spacing w:after="0" w:line="240" w:lineRule="auto"/>
              <w:rPr>
                <w:rFonts w:eastAsia="Calibri"/>
                <w:b/>
                <w:sz w:val="20"/>
                <w:szCs w:val="20"/>
              </w:rPr>
            </w:pPr>
          </w:p>
        </w:tc>
        <w:tc>
          <w:tcPr>
            <w:tcW w:w="860" w:type="dxa"/>
            <w:vMerge/>
            <w:tcBorders>
              <w:left w:val="single" w:sz="4" w:space="0" w:color="auto"/>
              <w:bottom w:val="single" w:sz="4" w:space="0" w:color="auto"/>
              <w:right w:val="single" w:sz="4" w:space="0" w:color="auto"/>
            </w:tcBorders>
            <w:shd w:val="clear" w:color="auto" w:fill="FFFFFF"/>
          </w:tcPr>
          <w:p w14:paraId="11696D53" w14:textId="77777777" w:rsidR="00621FBB" w:rsidRPr="00A512C1" w:rsidRDefault="00621FBB" w:rsidP="005E0294">
            <w:pPr>
              <w:spacing w:after="0" w:line="240" w:lineRule="auto"/>
              <w:rPr>
                <w:rFonts w:eastAsia="Calibri"/>
                <w:b/>
                <w:sz w:val="20"/>
                <w:szCs w:val="20"/>
              </w:rPr>
            </w:pPr>
          </w:p>
        </w:tc>
        <w:tc>
          <w:tcPr>
            <w:tcW w:w="11293" w:type="dxa"/>
            <w:gridSpan w:val="5"/>
            <w:tcBorders>
              <w:left w:val="single" w:sz="4" w:space="0" w:color="auto"/>
              <w:bottom w:val="single" w:sz="4" w:space="0" w:color="auto"/>
              <w:right w:val="single" w:sz="4" w:space="0" w:color="auto"/>
            </w:tcBorders>
            <w:shd w:val="clear" w:color="auto" w:fill="D9D9D9" w:themeFill="background1" w:themeFillShade="D9"/>
          </w:tcPr>
          <w:p w14:paraId="26BA7657" w14:textId="2C20CD0E" w:rsidR="00621FBB" w:rsidRPr="00106580" w:rsidRDefault="00621FBB" w:rsidP="005E0294">
            <w:pPr>
              <w:spacing w:after="0" w:line="240" w:lineRule="auto"/>
              <w:rPr>
                <w:rFonts w:ascii="Calibri" w:eastAsia="Calibri" w:hAnsi="Calibri"/>
                <w:sz w:val="18"/>
                <w:szCs w:val="18"/>
              </w:rPr>
            </w:pPr>
            <w:r w:rsidRPr="00106580">
              <w:rPr>
                <w:rFonts w:ascii="Calibri" w:eastAsia="Calibri" w:hAnsi="Calibri" w:cs="Times New Roman"/>
                <w:b/>
                <w:sz w:val="18"/>
                <w:szCs w:val="18"/>
                <w:lang w:eastAsia="en-US"/>
              </w:rPr>
              <w:t>Indicator 1.3.1 Note</w:t>
            </w:r>
            <w:r w:rsidRPr="00106580">
              <w:rPr>
                <w:rFonts w:ascii="Calibri" w:eastAsia="Calibri" w:hAnsi="Calibri" w:cs="Times New Roman"/>
                <w:sz w:val="18"/>
                <w:szCs w:val="18"/>
                <w:lang w:eastAsia="en-US"/>
              </w:rPr>
              <w:t xml:space="preserve">: </w:t>
            </w:r>
            <w:r w:rsidRPr="00106580">
              <w:rPr>
                <w:rFonts w:ascii="Calibri" w:eastAsia="Calibri" w:hAnsi="Calibri"/>
                <w:sz w:val="18"/>
                <w:szCs w:val="18"/>
              </w:rPr>
              <w:t xml:space="preserve">Tracks the number of new partnership mechanisms with funding for sustainable management solutions of natural resources, ecosystem services, chemicals and waste at national and/or sub-national level, created from January 2014 onward (on demand </w:t>
            </w:r>
            <w:r w:rsidRPr="00106580">
              <w:rPr>
                <w:sz w:val="18"/>
                <w:szCs w:val="18"/>
              </w:rPr>
              <w:t>from programme countries</w:t>
            </w:r>
            <w:r w:rsidRPr="00106580">
              <w:rPr>
                <w:rFonts w:ascii="Calibri" w:eastAsia="Calibri" w:hAnsi="Calibri"/>
                <w:sz w:val="18"/>
                <w:szCs w:val="18"/>
              </w:rPr>
              <w:t>).</w:t>
            </w:r>
            <w:r w:rsidR="00106580">
              <w:rPr>
                <w:rFonts w:ascii="Calibri" w:eastAsia="Calibri" w:hAnsi="Calibri"/>
                <w:sz w:val="18"/>
                <w:szCs w:val="18"/>
              </w:rPr>
              <w:t xml:space="preserve"> </w:t>
            </w:r>
          </w:p>
          <w:p w14:paraId="1493BB22" w14:textId="27A17F30" w:rsidR="00356F55" w:rsidRPr="00106580" w:rsidRDefault="00621FBB" w:rsidP="00106580">
            <w:pPr>
              <w:spacing w:after="0" w:line="240" w:lineRule="auto"/>
              <w:rPr>
                <w:rFonts w:ascii="Calibri" w:eastAsia="Calibri" w:hAnsi="Calibri" w:cs="Times New Roman"/>
                <w:sz w:val="18"/>
                <w:szCs w:val="18"/>
                <w:lang w:eastAsia="en-US"/>
              </w:rPr>
            </w:pPr>
            <w:r w:rsidRPr="00106580">
              <w:rPr>
                <w:rFonts w:eastAsia="Calibri"/>
                <w:b/>
                <w:sz w:val="18"/>
                <w:szCs w:val="18"/>
              </w:rPr>
              <w:t xml:space="preserve">2014 Reporting Note: </w:t>
            </w:r>
            <w:r w:rsidRPr="00106580">
              <w:rPr>
                <w:rFonts w:eastAsia="Calibri"/>
                <w:sz w:val="18"/>
                <w:szCs w:val="18"/>
              </w:rPr>
              <w:t xml:space="preserve">2014 </w:t>
            </w:r>
            <w:r w:rsidR="00A25A6D" w:rsidRPr="00106580">
              <w:rPr>
                <w:rFonts w:eastAsia="Calibri"/>
                <w:sz w:val="18"/>
                <w:szCs w:val="18"/>
              </w:rPr>
              <w:t>m</w:t>
            </w:r>
            <w:r w:rsidRPr="00106580">
              <w:rPr>
                <w:rFonts w:eastAsia="Calibri"/>
                <w:sz w:val="18"/>
                <w:szCs w:val="18"/>
              </w:rPr>
              <w:t xml:space="preserve">ilestone </w:t>
            </w:r>
            <w:r w:rsidR="00A25A6D" w:rsidRPr="00106580">
              <w:rPr>
                <w:rFonts w:eastAsia="Calibri"/>
                <w:sz w:val="18"/>
                <w:szCs w:val="18"/>
              </w:rPr>
              <w:t xml:space="preserve">and 2017 target </w:t>
            </w:r>
            <w:r w:rsidRPr="00106580">
              <w:rPr>
                <w:rFonts w:eastAsia="Calibri"/>
                <w:sz w:val="18"/>
                <w:szCs w:val="18"/>
              </w:rPr>
              <w:t>updated to reflect more complete reporting from country offices</w:t>
            </w:r>
            <w:r w:rsidR="00F65ABE" w:rsidRPr="00106580">
              <w:rPr>
                <w:rFonts w:eastAsia="Calibri"/>
                <w:sz w:val="18"/>
                <w:szCs w:val="18"/>
              </w:rPr>
              <w:t xml:space="preserve">, and to correct </w:t>
            </w:r>
            <w:r w:rsidR="00734F56" w:rsidRPr="00106580">
              <w:rPr>
                <w:rFonts w:eastAsia="Calibri"/>
                <w:sz w:val="18"/>
                <w:szCs w:val="18"/>
              </w:rPr>
              <w:t xml:space="preserve">an error by one country office </w:t>
            </w:r>
            <w:r w:rsidR="00106580" w:rsidRPr="00106580">
              <w:rPr>
                <w:rFonts w:eastAsia="Calibri"/>
                <w:sz w:val="18"/>
                <w:szCs w:val="18"/>
              </w:rPr>
              <w:t xml:space="preserve">which previously reported on </w:t>
            </w:r>
            <w:r w:rsidR="00734F56" w:rsidRPr="00106580">
              <w:rPr>
                <w:rFonts w:eastAsia="Calibri"/>
                <w:sz w:val="18"/>
                <w:szCs w:val="18"/>
              </w:rPr>
              <w:t xml:space="preserve">number of partners rather than </w:t>
            </w:r>
            <w:r w:rsidR="00106580" w:rsidRPr="00106580">
              <w:rPr>
                <w:rFonts w:eastAsia="Calibri"/>
                <w:sz w:val="18"/>
                <w:szCs w:val="18"/>
              </w:rPr>
              <w:t xml:space="preserve">of </w:t>
            </w:r>
            <w:r w:rsidR="007C198F" w:rsidRPr="00106580">
              <w:rPr>
                <w:rFonts w:eastAsia="Calibri"/>
                <w:sz w:val="18"/>
                <w:szCs w:val="18"/>
              </w:rPr>
              <w:t xml:space="preserve">partnership </w:t>
            </w:r>
            <w:r w:rsidR="00734F56" w:rsidRPr="00106580">
              <w:rPr>
                <w:rFonts w:eastAsia="Calibri"/>
                <w:sz w:val="18"/>
                <w:szCs w:val="18"/>
              </w:rPr>
              <w:t>mechanisms</w:t>
            </w:r>
            <w:r w:rsidRPr="00106580">
              <w:rPr>
                <w:rFonts w:eastAsia="Calibri"/>
                <w:sz w:val="18"/>
                <w:szCs w:val="18"/>
              </w:rPr>
              <w:t>. For reference, previous 2014 milestone was 640</w:t>
            </w:r>
            <w:r w:rsidR="00A25A6D" w:rsidRPr="00106580">
              <w:rPr>
                <w:rFonts w:eastAsia="Calibri"/>
                <w:sz w:val="18"/>
                <w:szCs w:val="18"/>
              </w:rPr>
              <w:t xml:space="preserve">, previous target was 3,490. </w:t>
            </w:r>
          </w:p>
        </w:tc>
      </w:tr>
      <w:tr w:rsidR="00925A24" w:rsidRPr="00283732" w14:paraId="4058EB24" w14:textId="77777777" w:rsidTr="00BC2597">
        <w:trPr>
          <w:trHeight w:val="548"/>
          <w:jc w:val="center"/>
        </w:trPr>
        <w:tc>
          <w:tcPr>
            <w:tcW w:w="2695" w:type="dxa"/>
            <w:vMerge/>
            <w:tcBorders>
              <w:left w:val="single" w:sz="4" w:space="0" w:color="auto"/>
              <w:right w:val="single" w:sz="4" w:space="0" w:color="auto"/>
            </w:tcBorders>
            <w:shd w:val="clear" w:color="auto" w:fill="auto"/>
            <w:vAlign w:val="center"/>
            <w:hideMark/>
          </w:tcPr>
          <w:p w14:paraId="53B53E78" w14:textId="77777777" w:rsidR="00925A24" w:rsidRPr="00A512C1" w:rsidRDefault="00925A24" w:rsidP="005E0294">
            <w:pPr>
              <w:spacing w:after="0" w:line="240" w:lineRule="auto"/>
              <w:rPr>
                <w:rFonts w:eastAsia="Calibri"/>
                <w:b/>
                <w:sz w:val="20"/>
                <w:szCs w:val="20"/>
              </w:rPr>
            </w:pPr>
          </w:p>
        </w:tc>
        <w:tc>
          <w:tcPr>
            <w:tcW w:w="860" w:type="dxa"/>
            <w:vMerge w:val="restart"/>
            <w:tcBorders>
              <w:top w:val="single" w:sz="4" w:space="0" w:color="auto"/>
              <w:left w:val="single" w:sz="4" w:space="0" w:color="auto"/>
              <w:right w:val="single" w:sz="4" w:space="0" w:color="auto"/>
            </w:tcBorders>
            <w:shd w:val="clear" w:color="auto" w:fill="FFFFFF"/>
            <w:hideMark/>
          </w:tcPr>
          <w:p w14:paraId="6B2A6EB0" w14:textId="77777777" w:rsidR="00925A24" w:rsidRPr="00A512C1" w:rsidRDefault="00925A24" w:rsidP="005E0294">
            <w:pPr>
              <w:spacing w:after="0" w:line="240" w:lineRule="auto"/>
              <w:rPr>
                <w:rFonts w:eastAsia="Calibri"/>
                <w:b/>
                <w:sz w:val="20"/>
                <w:szCs w:val="20"/>
              </w:rPr>
            </w:pPr>
            <w:r w:rsidRPr="00A512C1">
              <w:rPr>
                <w:rFonts w:eastAsia="Calibri"/>
                <w:b/>
                <w:sz w:val="20"/>
                <w:szCs w:val="20"/>
              </w:rPr>
              <w:t>1.3.2</w:t>
            </w:r>
          </w:p>
        </w:tc>
        <w:tc>
          <w:tcPr>
            <w:tcW w:w="5437" w:type="dxa"/>
            <w:tcBorders>
              <w:top w:val="single" w:sz="4" w:space="0" w:color="auto"/>
              <w:left w:val="single" w:sz="4" w:space="0" w:color="auto"/>
              <w:bottom w:val="single" w:sz="4" w:space="0" w:color="auto"/>
              <w:right w:val="single" w:sz="4" w:space="0" w:color="auto"/>
            </w:tcBorders>
            <w:shd w:val="clear" w:color="auto" w:fill="FFFFFF"/>
            <w:hideMark/>
          </w:tcPr>
          <w:p w14:paraId="55E558C3" w14:textId="77777777" w:rsidR="00925A24" w:rsidRPr="00412C47" w:rsidRDefault="00925A24" w:rsidP="005E0294">
            <w:pPr>
              <w:spacing w:after="0" w:line="240" w:lineRule="auto"/>
              <w:rPr>
                <w:rFonts w:eastAsia="Calibri"/>
                <w:color w:val="000000"/>
                <w:sz w:val="20"/>
                <w:szCs w:val="20"/>
              </w:rPr>
            </w:pPr>
            <w:r w:rsidRPr="00412C47">
              <w:rPr>
                <w:rFonts w:eastAsia="Calibri"/>
                <w:color w:val="000000"/>
                <w:sz w:val="20"/>
                <w:szCs w:val="20"/>
              </w:rPr>
              <w:t xml:space="preserve">Number of </w:t>
            </w:r>
            <w:r w:rsidRPr="00412C47">
              <w:rPr>
                <w:rFonts w:eastAsia="Calibri"/>
                <w:b/>
                <w:color w:val="000000"/>
                <w:sz w:val="20"/>
                <w:szCs w:val="20"/>
              </w:rPr>
              <w:t>new</w:t>
            </w:r>
            <w:r w:rsidRPr="00412C47">
              <w:rPr>
                <w:rFonts w:eastAsia="Calibri"/>
                <w:color w:val="000000"/>
                <w:sz w:val="20"/>
                <w:szCs w:val="20"/>
              </w:rPr>
              <w:t xml:space="preserve"> </w:t>
            </w:r>
            <w:r w:rsidRPr="00412C47">
              <w:rPr>
                <w:rFonts w:eastAsia="Calibri"/>
                <w:b/>
                <w:color w:val="000000"/>
                <w:sz w:val="20"/>
                <w:szCs w:val="20"/>
              </w:rPr>
              <w:t>jobs and livelihoods</w:t>
            </w:r>
            <w:r w:rsidRPr="00412C47">
              <w:rPr>
                <w:rFonts w:eastAsia="Calibri"/>
                <w:color w:val="000000"/>
                <w:sz w:val="20"/>
                <w:szCs w:val="20"/>
              </w:rPr>
              <w:t xml:space="preserve"> created through management of natural resources, ecosystems services, chemicals and waste, disaggregated </w:t>
            </w:r>
            <w:r w:rsidRPr="00412C47">
              <w:rPr>
                <w:rFonts w:eastAsia="Calibri"/>
                <w:b/>
                <w:color w:val="000000"/>
                <w:sz w:val="20"/>
                <w:szCs w:val="20"/>
              </w:rPr>
              <w:t>by sex</w:t>
            </w:r>
            <w:r w:rsidRPr="00412C47">
              <w:rPr>
                <w:rFonts w:eastAsia="Calibri"/>
                <w:color w:val="000000"/>
                <w:sz w:val="20"/>
                <w:szCs w:val="20"/>
              </w:rPr>
              <w:t>.</w:t>
            </w:r>
          </w:p>
          <w:p w14:paraId="5A8B105F" w14:textId="77777777" w:rsidR="00925A24" w:rsidRPr="00412C47" w:rsidRDefault="00925A24" w:rsidP="006F161D">
            <w:pPr>
              <w:pStyle w:val="ListParagraph"/>
              <w:numPr>
                <w:ilvl w:val="0"/>
                <w:numId w:val="12"/>
              </w:numPr>
              <w:ind w:left="381" w:hanging="381"/>
              <w:rPr>
                <w:rFonts w:eastAsia="Calibri"/>
                <w:sz w:val="20"/>
                <w:szCs w:val="20"/>
              </w:rPr>
            </w:pPr>
            <w:r w:rsidRPr="00412C47">
              <w:rPr>
                <w:rFonts w:eastAsia="Calibri"/>
                <w:sz w:val="20"/>
                <w:szCs w:val="20"/>
              </w:rPr>
              <w:t>New jobs (women)</w:t>
            </w:r>
          </w:p>
          <w:p w14:paraId="23FFFD0E" w14:textId="77777777" w:rsidR="00925A24" w:rsidRPr="00412C47" w:rsidRDefault="00925A24" w:rsidP="006F161D">
            <w:pPr>
              <w:pStyle w:val="ListParagraph"/>
              <w:numPr>
                <w:ilvl w:val="0"/>
                <w:numId w:val="12"/>
              </w:numPr>
              <w:ind w:left="381" w:hanging="381"/>
              <w:rPr>
                <w:rFonts w:eastAsia="Calibri"/>
                <w:sz w:val="20"/>
                <w:szCs w:val="20"/>
              </w:rPr>
            </w:pPr>
            <w:r w:rsidRPr="00412C47">
              <w:rPr>
                <w:rFonts w:eastAsia="Calibri"/>
                <w:sz w:val="20"/>
                <w:szCs w:val="20"/>
              </w:rPr>
              <w:t>New jobs (men)</w:t>
            </w:r>
          </w:p>
          <w:p w14:paraId="2E9BD52F" w14:textId="77777777" w:rsidR="00925A24" w:rsidRPr="00412C47" w:rsidRDefault="00925A24" w:rsidP="006F161D">
            <w:pPr>
              <w:pStyle w:val="ListParagraph"/>
              <w:numPr>
                <w:ilvl w:val="0"/>
                <w:numId w:val="12"/>
              </w:numPr>
              <w:ind w:left="381" w:hanging="381"/>
              <w:rPr>
                <w:rFonts w:eastAsia="Calibri"/>
                <w:color w:val="000000"/>
                <w:sz w:val="20"/>
                <w:szCs w:val="20"/>
              </w:rPr>
            </w:pPr>
            <w:r w:rsidRPr="00412C47">
              <w:rPr>
                <w:rFonts w:eastAsia="Calibri"/>
                <w:color w:val="000000"/>
                <w:sz w:val="20"/>
                <w:szCs w:val="20"/>
              </w:rPr>
              <w:t>Additional females benefiting from strengthened livelihoods</w:t>
            </w:r>
          </w:p>
          <w:p w14:paraId="08128E9E" w14:textId="77777777" w:rsidR="00925A24" w:rsidRPr="00412C47" w:rsidRDefault="00925A24" w:rsidP="006F161D">
            <w:pPr>
              <w:pStyle w:val="ListParagraph"/>
              <w:numPr>
                <w:ilvl w:val="0"/>
                <w:numId w:val="12"/>
              </w:numPr>
              <w:ind w:left="381" w:hanging="381"/>
              <w:rPr>
                <w:rFonts w:eastAsia="Calibri"/>
                <w:color w:val="000000"/>
                <w:sz w:val="20"/>
                <w:szCs w:val="20"/>
              </w:rPr>
            </w:pPr>
            <w:r w:rsidRPr="00412C47">
              <w:rPr>
                <w:rFonts w:eastAsia="Calibri"/>
                <w:color w:val="000000"/>
                <w:sz w:val="20"/>
                <w:szCs w:val="20"/>
              </w:rPr>
              <w:t>Additional males benefiting from strengthened livelihoods</w:t>
            </w:r>
          </w:p>
          <w:p w14:paraId="2B4E3069" w14:textId="77E446C9" w:rsidR="00CE25EF" w:rsidRPr="00412C47" w:rsidRDefault="00CE25EF" w:rsidP="00CE25EF">
            <w:pPr>
              <w:spacing w:before="240" w:after="0"/>
              <w:rPr>
                <w:rFonts w:eastAsia="Calibri"/>
                <w:color w:val="000000"/>
                <w:sz w:val="20"/>
                <w:szCs w:val="20"/>
              </w:rPr>
            </w:pPr>
            <w:r w:rsidRPr="00412C47">
              <w:rPr>
                <w:rFonts w:eastAsia="Calibri"/>
                <w:b/>
                <w:i/>
                <w:sz w:val="18"/>
                <w:szCs w:val="18"/>
              </w:rPr>
              <w:t xml:space="preserve">Number of countries </w:t>
            </w:r>
            <w:r w:rsidR="00106580" w:rsidRPr="00412C47">
              <w:rPr>
                <w:rFonts w:eastAsia="Calibri"/>
                <w:b/>
                <w:i/>
                <w:sz w:val="18"/>
                <w:szCs w:val="18"/>
              </w:rPr>
              <w:t>for which a 2017 target has currently been set under this indicator</w:t>
            </w:r>
            <w:r w:rsidR="00077178" w:rsidRPr="00412C47">
              <w:rPr>
                <w:rFonts w:eastAsia="Calibri"/>
                <w:b/>
                <w:i/>
                <w:sz w:val="18"/>
                <w:szCs w:val="18"/>
              </w:rPr>
              <w:t>: 41 (a &amp; b), 66 (c &amp; d)</w:t>
            </w:r>
          </w:p>
        </w:tc>
        <w:tc>
          <w:tcPr>
            <w:tcW w:w="1525" w:type="dxa"/>
            <w:tcBorders>
              <w:left w:val="single" w:sz="4" w:space="0" w:color="auto"/>
              <w:bottom w:val="single" w:sz="4" w:space="0" w:color="auto"/>
              <w:right w:val="single" w:sz="4" w:space="0" w:color="auto"/>
            </w:tcBorders>
            <w:shd w:val="clear" w:color="auto" w:fill="FFFFFF"/>
          </w:tcPr>
          <w:p w14:paraId="71A3F8CB" w14:textId="77777777" w:rsidR="00925A24" w:rsidRDefault="00925A24" w:rsidP="005E0294">
            <w:pPr>
              <w:spacing w:after="0" w:line="240" w:lineRule="auto"/>
              <w:jc w:val="center"/>
              <w:rPr>
                <w:sz w:val="20"/>
                <w:szCs w:val="20"/>
              </w:rPr>
            </w:pPr>
          </w:p>
          <w:p w14:paraId="3A8C7CFB" w14:textId="77777777" w:rsidR="00925A24" w:rsidRDefault="00925A24" w:rsidP="005E0294">
            <w:pPr>
              <w:spacing w:after="0" w:line="240" w:lineRule="auto"/>
              <w:jc w:val="center"/>
              <w:rPr>
                <w:sz w:val="20"/>
                <w:szCs w:val="20"/>
              </w:rPr>
            </w:pPr>
          </w:p>
          <w:p w14:paraId="3AA37F21" w14:textId="77777777" w:rsidR="00925A24" w:rsidRDefault="00925A24" w:rsidP="005E0294">
            <w:pPr>
              <w:spacing w:after="0" w:line="240" w:lineRule="auto"/>
              <w:jc w:val="center"/>
              <w:rPr>
                <w:sz w:val="20"/>
                <w:szCs w:val="20"/>
              </w:rPr>
            </w:pPr>
          </w:p>
          <w:p w14:paraId="69EFF904" w14:textId="77777777" w:rsidR="00824DB0" w:rsidRDefault="00824DB0" w:rsidP="007F3B5E">
            <w:pPr>
              <w:spacing w:after="0" w:line="240" w:lineRule="auto"/>
              <w:jc w:val="center"/>
              <w:rPr>
                <w:sz w:val="20"/>
                <w:szCs w:val="20"/>
              </w:rPr>
            </w:pPr>
            <w:r>
              <w:rPr>
                <w:sz w:val="20"/>
                <w:szCs w:val="20"/>
              </w:rPr>
              <w:t xml:space="preserve">0 </w:t>
            </w:r>
          </w:p>
          <w:p w14:paraId="111E5846" w14:textId="25E21804" w:rsidR="00925A24" w:rsidRDefault="00925A24" w:rsidP="007F3B5E">
            <w:pPr>
              <w:spacing w:after="0" w:line="240" w:lineRule="auto"/>
              <w:jc w:val="center"/>
              <w:rPr>
                <w:sz w:val="20"/>
                <w:szCs w:val="20"/>
              </w:rPr>
            </w:pPr>
            <w:r>
              <w:rPr>
                <w:sz w:val="20"/>
                <w:szCs w:val="20"/>
              </w:rPr>
              <w:t>0</w:t>
            </w:r>
          </w:p>
          <w:p w14:paraId="542D302C" w14:textId="7F083832" w:rsidR="00925A24" w:rsidRDefault="00824DB0" w:rsidP="005E0294">
            <w:pPr>
              <w:spacing w:after="0" w:line="240" w:lineRule="auto"/>
              <w:jc w:val="center"/>
              <w:rPr>
                <w:sz w:val="20"/>
                <w:szCs w:val="20"/>
              </w:rPr>
            </w:pPr>
            <w:r>
              <w:rPr>
                <w:sz w:val="20"/>
                <w:szCs w:val="20"/>
              </w:rPr>
              <w:t>0</w:t>
            </w:r>
          </w:p>
          <w:p w14:paraId="649DF168" w14:textId="77777777" w:rsidR="00925A24" w:rsidRDefault="00925A24" w:rsidP="005E0294">
            <w:pPr>
              <w:spacing w:after="0" w:line="240" w:lineRule="auto"/>
              <w:jc w:val="center"/>
              <w:rPr>
                <w:sz w:val="20"/>
                <w:szCs w:val="20"/>
              </w:rPr>
            </w:pPr>
          </w:p>
          <w:p w14:paraId="1A43126D" w14:textId="1417F9CC" w:rsidR="00925A24" w:rsidRPr="003C7D3F" w:rsidRDefault="00925A24" w:rsidP="00824DB0">
            <w:pPr>
              <w:spacing w:after="0" w:line="240" w:lineRule="auto"/>
              <w:jc w:val="center"/>
              <w:rPr>
                <w:sz w:val="20"/>
                <w:szCs w:val="20"/>
              </w:rPr>
            </w:pPr>
            <w:r>
              <w:rPr>
                <w:sz w:val="20"/>
                <w:szCs w:val="20"/>
              </w:rPr>
              <w:t>0</w:t>
            </w:r>
          </w:p>
        </w:tc>
        <w:tc>
          <w:tcPr>
            <w:tcW w:w="1265" w:type="dxa"/>
            <w:tcBorders>
              <w:left w:val="single" w:sz="4" w:space="0" w:color="auto"/>
              <w:bottom w:val="single" w:sz="4" w:space="0" w:color="auto"/>
              <w:right w:val="single" w:sz="4" w:space="0" w:color="auto"/>
            </w:tcBorders>
            <w:shd w:val="clear" w:color="auto" w:fill="FFFFFF"/>
          </w:tcPr>
          <w:p w14:paraId="1A26ABCD" w14:textId="7B79CF1C" w:rsidR="00925A24" w:rsidRDefault="00925A24" w:rsidP="005E0294">
            <w:pPr>
              <w:spacing w:after="0" w:line="240" w:lineRule="auto"/>
              <w:jc w:val="right"/>
              <w:rPr>
                <w:sz w:val="20"/>
                <w:szCs w:val="20"/>
              </w:rPr>
            </w:pPr>
          </w:p>
          <w:p w14:paraId="5899A6E5" w14:textId="77777777" w:rsidR="00925A24" w:rsidRDefault="00925A24" w:rsidP="005E0294">
            <w:pPr>
              <w:spacing w:after="0" w:line="240" w:lineRule="auto"/>
              <w:jc w:val="right"/>
              <w:rPr>
                <w:sz w:val="20"/>
                <w:szCs w:val="20"/>
              </w:rPr>
            </w:pPr>
          </w:p>
          <w:p w14:paraId="19A48DB7" w14:textId="77777777" w:rsidR="00925A24" w:rsidRDefault="00925A24" w:rsidP="005E0294">
            <w:pPr>
              <w:spacing w:after="0" w:line="240" w:lineRule="auto"/>
              <w:jc w:val="right"/>
              <w:rPr>
                <w:sz w:val="20"/>
                <w:szCs w:val="20"/>
              </w:rPr>
            </w:pPr>
          </w:p>
          <w:p w14:paraId="58DD55E2" w14:textId="72747246" w:rsidR="00925A24" w:rsidRPr="006149FF" w:rsidRDefault="00920030" w:rsidP="007F3B5E">
            <w:pPr>
              <w:spacing w:after="0" w:line="240" w:lineRule="auto"/>
              <w:jc w:val="right"/>
              <w:rPr>
                <w:sz w:val="20"/>
                <w:szCs w:val="20"/>
              </w:rPr>
            </w:pPr>
            <w:r>
              <w:rPr>
                <w:sz w:val="20"/>
                <w:szCs w:val="20"/>
              </w:rPr>
              <w:t>43,706</w:t>
            </w:r>
          </w:p>
          <w:p w14:paraId="3E34A5FB" w14:textId="4EB9D2E0" w:rsidR="00925A24" w:rsidRPr="006149FF" w:rsidRDefault="00920030" w:rsidP="007F3B5E">
            <w:pPr>
              <w:spacing w:after="0" w:line="240" w:lineRule="auto"/>
              <w:jc w:val="right"/>
              <w:rPr>
                <w:sz w:val="20"/>
                <w:szCs w:val="20"/>
              </w:rPr>
            </w:pPr>
            <w:r>
              <w:rPr>
                <w:sz w:val="20"/>
                <w:szCs w:val="20"/>
              </w:rPr>
              <w:t>25,591</w:t>
            </w:r>
          </w:p>
          <w:p w14:paraId="04D050B9" w14:textId="0FFFAB69" w:rsidR="00925A24" w:rsidRDefault="00920030" w:rsidP="00BD64F6">
            <w:pPr>
              <w:spacing w:after="0" w:line="240" w:lineRule="auto"/>
              <w:jc w:val="right"/>
              <w:rPr>
                <w:sz w:val="20"/>
                <w:szCs w:val="20"/>
              </w:rPr>
            </w:pPr>
            <w:r>
              <w:rPr>
                <w:sz w:val="20"/>
                <w:szCs w:val="20"/>
              </w:rPr>
              <w:t>766,895</w:t>
            </w:r>
          </w:p>
          <w:p w14:paraId="46B58812" w14:textId="77777777" w:rsidR="00925A24" w:rsidRDefault="00925A24" w:rsidP="00BD64F6">
            <w:pPr>
              <w:spacing w:after="0" w:line="240" w:lineRule="auto"/>
              <w:jc w:val="right"/>
              <w:rPr>
                <w:sz w:val="20"/>
                <w:szCs w:val="20"/>
              </w:rPr>
            </w:pPr>
          </w:p>
          <w:p w14:paraId="3D320397" w14:textId="3CA65B31" w:rsidR="00925A24" w:rsidRPr="003C7D3F" w:rsidRDefault="00920030" w:rsidP="00B1106B">
            <w:pPr>
              <w:spacing w:after="0" w:line="240" w:lineRule="auto"/>
              <w:jc w:val="right"/>
              <w:rPr>
                <w:sz w:val="20"/>
                <w:szCs w:val="20"/>
              </w:rPr>
            </w:pPr>
            <w:r>
              <w:rPr>
                <w:sz w:val="20"/>
                <w:szCs w:val="20"/>
              </w:rPr>
              <w:t>60</w:t>
            </w:r>
            <w:r w:rsidR="00B1106B">
              <w:rPr>
                <w:sz w:val="20"/>
                <w:szCs w:val="20"/>
              </w:rPr>
              <w:t>3</w:t>
            </w:r>
            <w:r>
              <w:rPr>
                <w:sz w:val="20"/>
                <w:szCs w:val="20"/>
              </w:rPr>
              <w:t>,768</w:t>
            </w:r>
          </w:p>
        </w:tc>
        <w:tc>
          <w:tcPr>
            <w:tcW w:w="1263" w:type="dxa"/>
            <w:tcBorders>
              <w:left w:val="single" w:sz="4" w:space="0" w:color="auto"/>
              <w:bottom w:val="single" w:sz="4" w:space="0" w:color="auto"/>
              <w:right w:val="single" w:sz="4" w:space="0" w:color="auto"/>
            </w:tcBorders>
            <w:shd w:val="clear" w:color="auto" w:fill="FFFFFF"/>
          </w:tcPr>
          <w:p w14:paraId="42C084A8" w14:textId="77777777" w:rsidR="00925A24" w:rsidRDefault="00925A24" w:rsidP="005E0294">
            <w:pPr>
              <w:spacing w:after="0" w:line="240" w:lineRule="auto"/>
              <w:jc w:val="right"/>
              <w:rPr>
                <w:sz w:val="20"/>
                <w:szCs w:val="20"/>
              </w:rPr>
            </w:pPr>
          </w:p>
          <w:p w14:paraId="6EAE01D6" w14:textId="77777777" w:rsidR="00925A24" w:rsidRDefault="00925A24" w:rsidP="005E0294">
            <w:pPr>
              <w:spacing w:after="0" w:line="240" w:lineRule="auto"/>
              <w:jc w:val="right"/>
              <w:rPr>
                <w:sz w:val="20"/>
                <w:szCs w:val="20"/>
              </w:rPr>
            </w:pPr>
          </w:p>
          <w:p w14:paraId="248962A9" w14:textId="77777777" w:rsidR="00925A24" w:rsidRDefault="00925A24" w:rsidP="005E0294">
            <w:pPr>
              <w:spacing w:after="0" w:line="240" w:lineRule="auto"/>
              <w:jc w:val="right"/>
              <w:rPr>
                <w:sz w:val="20"/>
                <w:szCs w:val="20"/>
              </w:rPr>
            </w:pPr>
          </w:p>
          <w:p w14:paraId="31EEABDF" w14:textId="11D2177E" w:rsidR="00925A24" w:rsidRDefault="001763BF" w:rsidP="003C7D3F">
            <w:pPr>
              <w:spacing w:after="0" w:line="240" w:lineRule="auto"/>
              <w:jc w:val="right"/>
              <w:rPr>
                <w:sz w:val="20"/>
                <w:szCs w:val="20"/>
              </w:rPr>
            </w:pPr>
            <w:r>
              <w:rPr>
                <w:sz w:val="20"/>
                <w:szCs w:val="20"/>
              </w:rPr>
              <w:t>11</w:t>
            </w:r>
            <w:r w:rsidR="00920030">
              <w:rPr>
                <w:sz w:val="20"/>
                <w:szCs w:val="20"/>
              </w:rPr>
              <w:t>,</w:t>
            </w:r>
            <w:r>
              <w:rPr>
                <w:sz w:val="20"/>
                <w:szCs w:val="20"/>
              </w:rPr>
              <w:t>654</w:t>
            </w:r>
          </w:p>
          <w:p w14:paraId="566F9719" w14:textId="460EB3E5" w:rsidR="00920030" w:rsidRDefault="00904EA5" w:rsidP="003C7D3F">
            <w:pPr>
              <w:spacing w:after="0" w:line="240" w:lineRule="auto"/>
              <w:jc w:val="right"/>
              <w:rPr>
                <w:sz w:val="20"/>
                <w:szCs w:val="20"/>
              </w:rPr>
            </w:pPr>
            <w:r>
              <w:rPr>
                <w:sz w:val="20"/>
                <w:szCs w:val="20"/>
              </w:rPr>
              <w:t>12</w:t>
            </w:r>
            <w:r w:rsidR="00920030">
              <w:rPr>
                <w:sz w:val="20"/>
                <w:szCs w:val="20"/>
              </w:rPr>
              <w:t>,</w:t>
            </w:r>
            <w:r>
              <w:rPr>
                <w:sz w:val="20"/>
                <w:szCs w:val="20"/>
              </w:rPr>
              <w:t>401</w:t>
            </w:r>
          </w:p>
          <w:p w14:paraId="184E4A5C" w14:textId="0DA8F571" w:rsidR="00B1106B" w:rsidRDefault="00B80E3E" w:rsidP="00B1106B">
            <w:pPr>
              <w:spacing w:after="0" w:line="240" w:lineRule="auto"/>
              <w:jc w:val="right"/>
              <w:rPr>
                <w:sz w:val="20"/>
                <w:szCs w:val="20"/>
              </w:rPr>
            </w:pPr>
            <w:r>
              <w:rPr>
                <w:sz w:val="20"/>
                <w:szCs w:val="20"/>
              </w:rPr>
              <w:t>778,661</w:t>
            </w:r>
          </w:p>
          <w:p w14:paraId="7C027BB2" w14:textId="77777777" w:rsidR="00B1106B" w:rsidRDefault="00B1106B" w:rsidP="00B1106B">
            <w:pPr>
              <w:spacing w:after="0" w:line="240" w:lineRule="auto"/>
              <w:jc w:val="right"/>
              <w:rPr>
                <w:sz w:val="20"/>
                <w:szCs w:val="20"/>
              </w:rPr>
            </w:pPr>
          </w:p>
          <w:p w14:paraId="1DAB5DC2" w14:textId="1E8B2BEC" w:rsidR="00B1106B" w:rsidRPr="003C7D3F" w:rsidRDefault="00B80E3E" w:rsidP="00B1106B">
            <w:pPr>
              <w:spacing w:after="0" w:line="240" w:lineRule="auto"/>
              <w:jc w:val="right"/>
              <w:rPr>
                <w:sz w:val="20"/>
                <w:szCs w:val="20"/>
              </w:rPr>
            </w:pPr>
            <w:r>
              <w:rPr>
                <w:sz w:val="20"/>
                <w:szCs w:val="20"/>
              </w:rPr>
              <w:t>624,820</w:t>
            </w:r>
          </w:p>
        </w:tc>
        <w:tc>
          <w:tcPr>
            <w:tcW w:w="1803" w:type="dxa"/>
            <w:tcBorders>
              <w:left w:val="single" w:sz="4" w:space="0" w:color="auto"/>
              <w:bottom w:val="single" w:sz="4" w:space="0" w:color="auto"/>
              <w:right w:val="single" w:sz="4" w:space="0" w:color="auto"/>
            </w:tcBorders>
            <w:shd w:val="clear" w:color="auto" w:fill="FFFFFF"/>
          </w:tcPr>
          <w:p w14:paraId="5238A774" w14:textId="77777777" w:rsidR="00925A24" w:rsidRDefault="00925A24" w:rsidP="005E0294">
            <w:pPr>
              <w:spacing w:after="0" w:line="240" w:lineRule="auto"/>
              <w:jc w:val="right"/>
              <w:rPr>
                <w:sz w:val="20"/>
                <w:szCs w:val="20"/>
              </w:rPr>
            </w:pPr>
          </w:p>
          <w:p w14:paraId="627CEE05" w14:textId="77777777" w:rsidR="00925A24" w:rsidRDefault="00925A24" w:rsidP="005E0294">
            <w:pPr>
              <w:spacing w:after="0" w:line="240" w:lineRule="auto"/>
              <w:jc w:val="right"/>
              <w:rPr>
                <w:sz w:val="20"/>
                <w:szCs w:val="20"/>
              </w:rPr>
            </w:pPr>
          </w:p>
          <w:p w14:paraId="6DC430B2" w14:textId="77777777" w:rsidR="00925A24" w:rsidRDefault="00925A24" w:rsidP="005E0294">
            <w:pPr>
              <w:spacing w:after="0" w:line="240" w:lineRule="auto"/>
              <w:jc w:val="right"/>
              <w:rPr>
                <w:sz w:val="20"/>
                <w:szCs w:val="20"/>
              </w:rPr>
            </w:pPr>
          </w:p>
          <w:p w14:paraId="1A8D18AC" w14:textId="02B59672" w:rsidR="00925A24" w:rsidRPr="00F60682" w:rsidRDefault="00077178" w:rsidP="007F3B5E">
            <w:pPr>
              <w:spacing w:after="0" w:line="240" w:lineRule="auto"/>
              <w:jc w:val="right"/>
              <w:rPr>
                <w:sz w:val="20"/>
                <w:szCs w:val="20"/>
              </w:rPr>
            </w:pPr>
            <w:r w:rsidRPr="00F60682">
              <w:rPr>
                <w:sz w:val="20"/>
                <w:szCs w:val="20"/>
              </w:rPr>
              <w:t>180,779</w:t>
            </w:r>
          </w:p>
          <w:p w14:paraId="31F849A3" w14:textId="7957FDA4" w:rsidR="00925A24" w:rsidRPr="00F60682" w:rsidRDefault="00077178" w:rsidP="007F3B5E">
            <w:pPr>
              <w:spacing w:after="0" w:line="240" w:lineRule="auto"/>
              <w:jc w:val="right"/>
              <w:rPr>
                <w:sz w:val="20"/>
                <w:szCs w:val="20"/>
              </w:rPr>
            </w:pPr>
            <w:r w:rsidRPr="00F60682">
              <w:rPr>
                <w:sz w:val="20"/>
                <w:szCs w:val="20"/>
              </w:rPr>
              <w:t>86,888</w:t>
            </w:r>
          </w:p>
          <w:p w14:paraId="1D2DD32D" w14:textId="638C52C8" w:rsidR="00925A24" w:rsidRPr="00F60682" w:rsidRDefault="00F60682" w:rsidP="00BD64F6">
            <w:pPr>
              <w:spacing w:after="0" w:line="240" w:lineRule="auto"/>
              <w:jc w:val="right"/>
              <w:rPr>
                <w:sz w:val="20"/>
                <w:szCs w:val="20"/>
              </w:rPr>
            </w:pPr>
            <w:r w:rsidRPr="00F60682">
              <w:rPr>
                <w:sz w:val="20"/>
                <w:szCs w:val="20"/>
              </w:rPr>
              <w:t>3,973,796</w:t>
            </w:r>
          </w:p>
          <w:p w14:paraId="020B1A7A" w14:textId="77777777" w:rsidR="00925A24" w:rsidRPr="00F60682" w:rsidRDefault="00925A24" w:rsidP="00BD64F6">
            <w:pPr>
              <w:spacing w:after="0" w:line="240" w:lineRule="auto"/>
              <w:jc w:val="right"/>
              <w:rPr>
                <w:sz w:val="20"/>
                <w:szCs w:val="20"/>
              </w:rPr>
            </w:pPr>
          </w:p>
          <w:p w14:paraId="7F03657A" w14:textId="467C0FB2" w:rsidR="00925A24" w:rsidRPr="003C7D3F" w:rsidRDefault="00F60682" w:rsidP="003C7D3F">
            <w:pPr>
              <w:spacing w:after="0" w:line="240" w:lineRule="auto"/>
              <w:jc w:val="right"/>
              <w:rPr>
                <w:sz w:val="20"/>
                <w:szCs w:val="20"/>
              </w:rPr>
            </w:pPr>
            <w:r w:rsidRPr="00F60682">
              <w:rPr>
                <w:sz w:val="20"/>
                <w:szCs w:val="20"/>
              </w:rPr>
              <w:t>3,509,002</w:t>
            </w:r>
          </w:p>
        </w:tc>
      </w:tr>
      <w:tr w:rsidR="00B1106B" w:rsidRPr="00283732" w14:paraId="74FF967F" w14:textId="77777777" w:rsidTr="00BC2597">
        <w:trPr>
          <w:trHeight w:val="548"/>
          <w:jc w:val="center"/>
        </w:trPr>
        <w:tc>
          <w:tcPr>
            <w:tcW w:w="2695" w:type="dxa"/>
            <w:vMerge/>
            <w:tcBorders>
              <w:left w:val="single" w:sz="4" w:space="0" w:color="auto"/>
              <w:right w:val="single" w:sz="4" w:space="0" w:color="auto"/>
            </w:tcBorders>
            <w:shd w:val="clear" w:color="auto" w:fill="auto"/>
            <w:vAlign w:val="center"/>
          </w:tcPr>
          <w:p w14:paraId="2E418B30" w14:textId="0E876A37" w:rsidR="00B1106B" w:rsidRPr="00A512C1" w:rsidRDefault="00B1106B" w:rsidP="005E0294">
            <w:pPr>
              <w:spacing w:after="0" w:line="240" w:lineRule="auto"/>
              <w:rPr>
                <w:rFonts w:eastAsia="Calibri"/>
                <w:b/>
                <w:sz w:val="20"/>
                <w:szCs w:val="20"/>
              </w:rPr>
            </w:pPr>
          </w:p>
        </w:tc>
        <w:tc>
          <w:tcPr>
            <w:tcW w:w="860" w:type="dxa"/>
            <w:vMerge/>
            <w:tcBorders>
              <w:left w:val="single" w:sz="4" w:space="0" w:color="auto"/>
              <w:right w:val="single" w:sz="4" w:space="0" w:color="auto"/>
            </w:tcBorders>
            <w:shd w:val="clear" w:color="auto" w:fill="FFFFFF"/>
          </w:tcPr>
          <w:p w14:paraId="23857260" w14:textId="77777777" w:rsidR="00B1106B" w:rsidRPr="00A512C1" w:rsidRDefault="00B1106B" w:rsidP="005E0294">
            <w:pPr>
              <w:spacing w:after="0" w:line="240" w:lineRule="auto"/>
              <w:rPr>
                <w:rFonts w:eastAsia="Calibri"/>
                <w:b/>
                <w:sz w:val="20"/>
                <w:szCs w:val="20"/>
              </w:rPr>
            </w:pPr>
          </w:p>
        </w:tc>
        <w:tc>
          <w:tcPr>
            <w:tcW w:w="11293" w:type="dxa"/>
            <w:gridSpan w:val="5"/>
            <w:tcBorders>
              <w:left w:val="single" w:sz="4" w:space="0" w:color="auto"/>
              <w:right w:val="single" w:sz="4" w:space="0" w:color="auto"/>
            </w:tcBorders>
            <w:shd w:val="clear" w:color="auto" w:fill="D9D9D9" w:themeFill="background1" w:themeFillShade="D9"/>
          </w:tcPr>
          <w:p w14:paraId="3317091A" w14:textId="05CA8D70" w:rsidR="00B1106B" w:rsidRPr="00106580" w:rsidRDefault="00B1106B" w:rsidP="007D2602">
            <w:pPr>
              <w:spacing w:after="0" w:line="240" w:lineRule="auto"/>
              <w:rPr>
                <w:rFonts w:eastAsia="Calibri"/>
                <w:sz w:val="18"/>
                <w:szCs w:val="18"/>
              </w:rPr>
            </w:pPr>
            <w:r w:rsidRPr="00106580">
              <w:rPr>
                <w:rFonts w:ascii="Calibri" w:eastAsia="Calibri" w:hAnsi="Calibri" w:cs="Times New Roman"/>
                <w:b/>
                <w:sz w:val="18"/>
                <w:szCs w:val="18"/>
                <w:lang w:eastAsia="en-US"/>
              </w:rPr>
              <w:t>Indicator 1.3.2 Note</w:t>
            </w:r>
            <w:r w:rsidRPr="00106580">
              <w:rPr>
                <w:rFonts w:ascii="Calibri" w:eastAsia="Calibri" w:hAnsi="Calibri" w:cs="Times New Roman"/>
                <w:sz w:val="18"/>
                <w:szCs w:val="18"/>
                <w:lang w:eastAsia="en-US"/>
              </w:rPr>
              <w:t xml:space="preserve">: </w:t>
            </w:r>
            <w:r w:rsidRPr="00106580">
              <w:rPr>
                <w:rFonts w:ascii="Calibri" w:eastAsia="Calibri" w:hAnsi="Calibri"/>
                <w:sz w:val="18"/>
                <w:szCs w:val="18"/>
              </w:rPr>
              <w:t xml:space="preserve">Tracks the number of new jobs created and additional people benefitting from strengthened livelihoods through management of natural resources, ecosystems services, chemicals and waste, with UNDP support (on demand </w:t>
            </w:r>
            <w:r w:rsidRPr="00106580">
              <w:rPr>
                <w:sz w:val="18"/>
                <w:szCs w:val="18"/>
              </w:rPr>
              <w:t>from programme countries</w:t>
            </w:r>
            <w:r w:rsidRPr="00106580">
              <w:rPr>
                <w:rFonts w:ascii="Calibri" w:eastAsia="Calibri" w:hAnsi="Calibri"/>
                <w:sz w:val="18"/>
                <w:szCs w:val="18"/>
              </w:rPr>
              <w:t>) from January 2014 onward. Where data disaggregated by sex was not available, data were provided for the total number of people</w:t>
            </w:r>
            <w:r w:rsidR="00201981" w:rsidRPr="00106580">
              <w:rPr>
                <w:rFonts w:ascii="Calibri" w:eastAsia="Calibri" w:hAnsi="Calibri"/>
                <w:sz w:val="18"/>
                <w:szCs w:val="18"/>
              </w:rPr>
              <w:t>. A</w:t>
            </w:r>
            <w:r w:rsidRPr="00106580">
              <w:rPr>
                <w:rFonts w:ascii="Calibri" w:eastAsia="Calibri" w:hAnsi="Calibri"/>
                <w:sz w:val="18"/>
                <w:szCs w:val="18"/>
              </w:rPr>
              <w:t xml:space="preserve">n </w:t>
            </w:r>
            <w:r w:rsidRPr="00106580">
              <w:rPr>
                <w:rFonts w:ascii="Calibri" w:eastAsia="Calibri" w:hAnsi="Calibri"/>
                <w:b/>
                <w:sz w:val="18"/>
                <w:szCs w:val="18"/>
              </w:rPr>
              <w:t>additional 3</w:t>
            </w:r>
            <w:r w:rsidR="00201981" w:rsidRPr="00106580">
              <w:rPr>
                <w:rFonts w:ascii="Calibri" w:eastAsia="Calibri" w:hAnsi="Calibri"/>
                <w:b/>
                <w:sz w:val="18"/>
                <w:szCs w:val="18"/>
              </w:rPr>
              <w:t>7,718</w:t>
            </w:r>
            <w:r w:rsidRPr="00106580">
              <w:rPr>
                <w:rFonts w:ascii="Calibri" w:eastAsia="Calibri" w:hAnsi="Calibri"/>
                <w:b/>
                <w:sz w:val="18"/>
                <w:szCs w:val="18"/>
              </w:rPr>
              <w:t xml:space="preserve"> people</w:t>
            </w:r>
            <w:r w:rsidRPr="00106580">
              <w:rPr>
                <w:rFonts w:ascii="Calibri" w:eastAsia="Calibri" w:hAnsi="Calibri"/>
                <w:sz w:val="18"/>
                <w:szCs w:val="18"/>
              </w:rPr>
              <w:t xml:space="preserve"> benefitt</w:t>
            </w:r>
            <w:r w:rsidR="00201981" w:rsidRPr="00106580">
              <w:rPr>
                <w:rFonts w:ascii="Calibri" w:eastAsia="Calibri" w:hAnsi="Calibri"/>
                <w:sz w:val="18"/>
                <w:szCs w:val="18"/>
              </w:rPr>
              <w:t>ed</w:t>
            </w:r>
            <w:r w:rsidRPr="00106580">
              <w:rPr>
                <w:rFonts w:ascii="Calibri" w:eastAsia="Calibri" w:hAnsi="Calibri"/>
                <w:sz w:val="18"/>
                <w:szCs w:val="18"/>
              </w:rPr>
              <w:t xml:space="preserve"> from strengthened livelihoods </w:t>
            </w:r>
            <w:r w:rsidR="00201981" w:rsidRPr="00106580">
              <w:rPr>
                <w:rFonts w:ascii="Calibri" w:eastAsia="Calibri" w:hAnsi="Calibri"/>
                <w:sz w:val="18"/>
                <w:szCs w:val="18"/>
              </w:rPr>
              <w:t>in 2014 for which sex disaggregation is not available</w:t>
            </w:r>
            <w:r w:rsidRPr="00106580">
              <w:rPr>
                <w:rFonts w:ascii="Calibri" w:eastAsia="Calibri" w:hAnsi="Calibri"/>
                <w:sz w:val="18"/>
                <w:szCs w:val="18"/>
              </w:rPr>
              <w:t xml:space="preserve">. </w:t>
            </w:r>
            <w:r w:rsidRPr="00106580">
              <w:rPr>
                <w:rFonts w:eastAsia="Calibri"/>
                <w:sz w:val="18"/>
                <w:szCs w:val="18"/>
              </w:rPr>
              <w:t>For complementary jobs and livelihoods</w:t>
            </w:r>
            <w:r w:rsidR="00201981" w:rsidRPr="00106580">
              <w:rPr>
                <w:rFonts w:eastAsia="Calibri"/>
                <w:sz w:val="18"/>
                <w:szCs w:val="18"/>
              </w:rPr>
              <w:t xml:space="preserve"> re</w:t>
            </w:r>
            <w:r w:rsidR="00D7514E" w:rsidRPr="00106580">
              <w:rPr>
                <w:rFonts w:eastAsia="Calibri"/>
                <w:sz w:val="18"/>
                <w:szCs w:val="18"/>
              </w:rPr>
              <w:t>s</w:t>
            </w:r>
            <w:r w:rsidR="00201981" w:rsidRPr="00106580">
              <w:rPr>
                <w:rFonts w:eastAsia="Calibri"/>
                <w:sz w:val="18"/>
                <w:szCs w:val="18"/>
              </w:rPr>
              <w:t xml:space="preserve">ults, </w:t>
            </w:r>
            <w:r w:rsidRPr="00106580">
              <w:rPr>
                <w:rFonts w:eastAsia="Calibri"/>
                <w:sz w:val="18"/>
                <w:szCs w:val="18"/>
              </w:rPr>
              <w:t xml:space="preserve">see </w:t>
            </w:r>
            <w:r w:rsidRPr="00106580">
              <w:rPr>
                <w:rFonts w:eastAsia="Calibri"/>
                <w:b/>
                <w:sz w:val="18"/>
                <w:szCs w:val="18"/>
              </w:rPr>
              <w:t>indicator</w:t>
            </w:r>
            <w:r w:rsidR="00201981" w:rsidRPr="00106580">
              <w:rPr>
                <w:rFonts w:eastAsia="Calibri"/>
                <w:b/>
                <w:sz w:val="18"/>
                <w:szCs w:val="18"/>
              </w:rPr>
              <w:t>s</w:t>
            </w:r>
            <w:r w:rsidRPr="00106580">
              <w:rPr>
                <w:rFonts w:eastAsia="Calibri"/>
                <w:b/>
                <w:sz w:val="18"/>
                <w:szCs w:val="18"/>
              </w:rPr>
              <w:t xml:space="preserve"> 1.1.1</w:t>
            </w:r>
            <w:r w:rsidRPr="00106580">
              <w:rPr>
                <w:rFonts w:eastAsia="Calibri"/>
                <w:sz w:val="18"/>
                <w:szCs w:val="18"/>
              </w:rPr>
              <w:t xml:space="preserve"> and </w:t>
            </w:r>
            <w:r w:rsidRPr="00106580">
              <w:rPr>
                <w:rFonts w:eastAsia="Calibri"/>
                <w:b/>
                <w:sz w:val="18"/>
                <w:szCs w:val="18"/>
              </w:rPr>
              <w:t>6.1.1</w:t>
            </w:r>
            <w:r w:rsidRPr="00106580">
              <w:rPr>
                <w:rFonts w:eastAsia="Calibri"/>
                <w:sz w:val="18"/>
                <w:szCs w:val="18"/>
              </w:rPr>
              <w:t>.</w:t>
            </w:r>
            <w:r w:rsidR="00201981" w:rsidRPr="00106580">
              <w:rPr>
                <w:rFonts w:eastAsia="Calibri"/>
                <w:sz w:val="18"/>
                <w:szCs w:val="18"/>
              </w:rPr>
              <w:t xml:space="preserve"> </w:t>
            </w:r>
          </w:p>
          <w:p w14:paraId="5181A0B8" w14:textId="0271F79D" w:rsidR="00356F55" w:rsidRPr="00106580" w:rsidRDefault="00B1106B" w:rsidP="00954D65">
            <w:pPr>
              <w:spacing w:after="0" w:line="240" w:lineRule="auto"/>
              <w:rPr>
                <w:rFonts w:eastAsia="Calibri"/>
                <w:sz w:val="18"/>
                <w:szCs w:val="18"/>
              </w:rPr>
            </w:pPr>
            <w:r w:rsidRPr="00106580">
              <w:rPr>
                <w:rFonts w:eastAsia="Calibri"/>
                <w:b/>
                <w:sz w:val="18"/>
                <w:szCs w:val="18"/>
              </w:rPr>
              <w:t xml:space="preserve">2014 Reporting Note: </w:t>
            </w:r>
            <w:r w:rsidRPr="00106580">
              <w:rPr>
                <w:rFonts w:eastAsia="Calibri"/>
                <w:sz w:val="18"/>
                <w:szCs w:val="18"/>
              </w:rPr>
              <w:t xml:space="preserve">2014 </w:t>
            </w:r>
            <w:r w:rsidR="00A25A6D" w:rsidRPr="00106580">
              <w:rPr>
                <w:rFonts w:eastAsia="Calibri"/>
                <w:sz w:val="18"/>
                <w:szCs w:val="18"/>
              </w:rPr>
              <w:t>m</w:t>
            </w:r>
            <w:r w:rsidRPr="00106580">
              <w:rPr>
                <w:rFonts w:eastAsia="Calibri"/>
                <w:sz w:val="18"/>
                <w:szCs w:val="18"/>
              </w:rPr>
              <w:t xml:space="preserve">ilestones </w:t>
            </w:r>
            <w:r w:rsidR="00A25A6D" w:rsidRPr="00106580">
              <w:rPr>
                <w:rFonts w:eastAsia="Calibri"/>
                <w:sz w:val="18"/>
                <w:szCs w:val="18"/>
              </w:rPr>
              <w:t xml:space="preserve">and 2017 targets </w:t>
            </w:r>
            <w:r w:rsidRPr="00106580">
              <w:rPr>
                <w:rFonts w:eastAsia="Calibri"/>
                <w:sz w:val="18"/>
                <w:szCs w:val="18"/>
              </w:rPr>
              <w:t>updated to reflect more complete reporting from country offices. For reference, previous 2014 milestone</w:t>
            </w:r>
            <w:r w:rsidR="00B502DC" w:rsidRPr="00106580">
              <w:rPr>
                <w:rFonts w:eastAsia="Calibri"/>
                <w:sz w:val="18"/>
                <w:szCs w:val="18"/>
              </w:rPr>
              <w:t>s</w:t>
            </w:r>
            <w:r w:rsidRPr="00106580">
              <w:rPr>
                <w:rFonts w:eastAsia="Calibri"/>
                <w:sz w:val="18"/>
                <w:szCs w:val="18"/>
              </w:rPr>
              <w:t xml:space="preserve"> were: a) 41,873, b) 23,609, c)</w:t>
            </w:r>
            <w:r w:rsidR="00A25A6D" w:rsidRPr="00106580">
              <w:rPr>
                <w:rFonts w:eastAsia="Calibri"/>
                <w:sz w:val="18"/>
                <w:szCs w:val="18"/>
              </w:rPr>
              <w:t xml:space="preserve"> </w:t>
            </w:r>
            <w:r w:rsidR="00994505" w:rsidRPr="00106580">
              <w:rPr>
                <w:rFonts w:eastAsia="Calibri"/>
                <w:sz w:val="18"/>
                <w:szCs w:val="18"/>
              </w:rPr>
              <w:t>761,298, d) 596,714</w:t>
            </w:r>
            <w:r w:rsidR="00A25A6D" w:rsidRPr="00106580">
              <w:rPr>
                <w:rFonts w:eastAsia="Calibri"/>
                <w:sz w:val="18"/>
                <w:szCs w:val="18"/>
              </w:rPr>
              <w:t>; previous targets were: a) 179,871</w:t>
            </w:r>
            <w:r w:rsidR="00954D65" w:rsidRPr="00106580">
              <w:rPr>
                <w:rFonts w:eastAsia="Calibri"/>
                <w:sz w:val="18"/>
                <w:szCs w:val="18"/>
              </w:rPr>
              <w:t>,</w:t>
            </w:r>
            <w:r w:rsidR="00A25A6D" w:rsidRPr="00106580">
              <w:rPr>
                <w:rFonts w:eastAsia="Calibri"/>
                <w:sz w:val="18"/>
                <w:szCs w:val="18"/>
              </w:rPr>
              <w:t xml:space="preserve"> b) 85,516</w:t>
            </w:r>
            <w:r w:rsidR="00954D65" w:rsidRPr="00106580">
              <w:rPr>
                <w:rFonts w:eastAsia="Calibri"/>
                <w:sz w:val="18"/>
                <w:szCs w:val="18"/>
              </w:rPr>
              <w:t>,</w:t>
            </w:r>
            <w:r w:rsidR="00A25A6D" w:rsidRPr="00106580">
              <w:rPr>
                <w:rFonts w:eastAsia="Calibri"/>
                <w:sz w:val="18"/>
                <w:szCs w:val="18"/>
              </w:rPr>
              <w:t xml:space="preserve"> c) 3,958,988</w:t>
            </w:r>
            <w:r w:rsidR="00954D65" w:rsidRPr="00106580">
              <w:rPr>
                <w:rFonts w:eastAsia="Calibri"/>
                <w:sz w:val="18"/>
                <w:szCs w:val="18"/>
              </w:rPr>
              <w:t>,</w:t>
            </w:r>
            <w:r w:rsidR="00A25A6D" w:rsidRPr="00106580">
              <w:rPr>
                <w:rFonts w:eastAsia="Calibri"/>
                <w:sz w:val="18"/>
                <w:szCs w:val="18"/>
              </w:rPr>
              <w:t xml:space="preserve"> d) 3,487,836. </w:t>
            </w:r>
          </w:p>
        </w:tc>
      </w:tr>
      <w:tr w:rsidR="00925A24" w:rsidRPr="00283732" w14:paraId="7E5CEBDF" w14:textId="77777777" w:rsidTr="00040DDC">
        <w:trPr>
          <w:trHeight w:val="449"/>
          <w:jc w:val="center"/>
        </w:trPr>
        <w:tc>
          <w:tcPr>
            <w:tcW w:w="2695" w:type="dxa"/>
            <w:vMerge w:val="restart"/>
            <w:tcBorders>
              <w:top w:val="single" w:sz="4" w:space="0" w:color="auto"/>
              <w:left w:val="single" w:sz="4" w:space="0" w:color="auto"/>
              <w:right w:val="single" w:sz="4" w:space="0" w:color="auto"/>
            </w:tcBorders>
            <w:shd w:val="clear" w:color="auto" w:fill="FFFFFF"/>
            <w:hideMark/>
          </w:tcPr>
          <w:p w14:paraId="0C3D764F" w14:textId="686BC649" w:rsidR="00925A24" w:rsidRDefault="00925A24" w:rsidP="005E0294">
            <w:pPr>
              <w:spacing w:after="0" w:line="240" w:lineRule="auto"/>
              <w:rPr>
                <w:rFonts w:eastAsia="Calibri"/>
                <w:sz w:val="20"/>
                <w:szCs w:val="20"/>
              </w:rPr>
            </w:pPr>
            <w:r w:rsidRPr="00A512C1">
              <w:rPr>
                <w:rFonts w:eastAsia="Calibri"/>
                <w:b/>
                <w:sz w:val="20"/>
                <w:szCs w:val="20"/>
              </w:rPr>
              <w:t xml:space="preserve">Output 1.4. </w:t>
            </w:r>
            <w:r w:rsidRPr="00A512C1">
              <w:rPr>
                <w:rFonts w:eastAsia="Calibri"/>
                <w:sz w:val="20"/>
                <w:szCs w:val="20"/>
              </w:rPr>
              <w:t>Scaled up action on climate change adaptation and mitigation across sectors which is</w:t>
            </w:r>
            <w:r w:rsidR="00E869D0">
              <w:rPr>
                <w:rFonts w:eastAsia="Calibri"/>
                <w:sz w:val="20"/>
                <w:szCs w:val="20"/>
              </w:rPr>
              <w:t xml:space="preserve"> funded and implemented</w:t>
            </w:r>
          </w:p>
          <w:p w14:paraId="2CF06508" w14:textId="77777777" w:rsidR="00925A24" w:rsidRPr="00A512C1" w:rsidRDefault="00925A24" w:rsidP="005E0294">
            <w:pPr>
              <w:spacing w:after="0" w:line="240" w:lineRule="auto"/>
              <w:rPr>
                <w:rFonts w:eastAsia="Calibri"/>
                <w:sz w:val="20"/>
                <w:szCs w:val="20"/>
              </w:rPr>
            </w:pPr>
          </w:p>
          <w:p w14:paraId="1D609D74" w14:textId="13FEC05B" w:rsidR="00925A24" w:rsidRPr="00A512C1" w:rsidRDefault="00925A24" w:rsidP="00C21858">
            <w:pPr>
              <w:spacing w:after="0" w:line="240" w:lineRule="auto"/>
              <w:rPr>
                <w:rFonts w:eastAsia="Calibri"/>
                <w:i/>
                <w:color w:val="000000"/>
                <w:sz w:val="20"/>
                <w:szCs w:val="20"/>
              </w:rPr>
            </w:pPr>
            <w:r w:rsidRPr="00B359E7">
              <w:rPr>
                <w:rFonts w:ascii="Calibri" w:eastAsia="Calibri" w:hAnsi="Calibri"/>
                <w:b/>
                <w:i/>
                <w:color w:val="000000"/>
                <w:sz w:val="18"/>
                <w:szCs w:val="18"/>
              </w:rPr>
              <w:t>Number of countries linked:</w:t>
            </w:r>
            <w:r>
              <w:rPr>
                <w:rFonts w:ascii="Calibri" w:eastAsia="Calibri" w:hAnsi="Calibri"/>
                <w:b/>
                <w:color w:val="000000"/>
                <w:sz w:val="18"/>
                <w:szCs w:val="18"/>
              </w:rPr>
              <w:t xml:space="preserve"> 11</w:t>
            </w:r>
            <w:r w:rsidR="00C21858">
              <w:rPr>
                <w:rFonts w:ascii="Calibri" w:eastAsia="Calibri" w:hAnsi="Calibri"/>
                <w:b/>
                <w:color w:val="000000"/>
                <w:sz w:val="18"/>
                <w:szCs w:val="18"/>
              </w:rPr>
              <w:t>4</w:t>
            </w:r>
            <w:r>
              <w:rPr>
                <w:rFonts w:ascii="Calibri" w:eastAsia="Calibri" w:hAnsi="Calibri"/>
                <w:b/>
                <w:color w:val="000000"/>
                <w:sz w:val="18"/>
                <w:szCs w:val="18"/>
              </w:rPr>
              <w:t xml:space="preserve"> </w:t>
            </w:r>
            <w:r w:rsidR="00FA2A11">
              <w:rPr>
                <w:rFonts w:ascii="Calibri" w:eastAsia="Calibri" w:hAnsi="Calibri"/>
                <w:b/>
                <w:color w:val="000000"/>
                <w:sz w:val="18"/>
                <w:szCs w:val="18"/>
              </w:rPr>
              <w:t>(February 2015</w:t>
            </w:r>
            <w:r w:rsidR="00FA2A11" w:rsidRPr="00B359E7">
              <w:rPr>
                <w:rFonts w:ascii="Calibri" w:eastAsia="Calibri" w:hAnsi="Calibri"/>
                <w:b/>
                <w:color w:val="000000"/>
                <w:sz w:val="18"/>
                <w:szCs w:val="18"/>
              </w:rPr>
              <w:t>)</w:t>
            </w:r>
          </w:p>
        </w:tc>
        <w:tc>
          <w:tcPr>
            <w:tcW w:w="860" w:type="dxa"/>
            <w:vMerge w:val="restart"/>
            <w:tcBorders>
              <w:top w:val="single" w:sz="4" w:space="0" w:color="auto"/>
              <w:left w:val="single" w:sz="4" w:space="0" w:color="auto"/>
              <w:right w:val="single" w:sz="4" w:space="0" w:color="auto"/>
            </w:tcBorders>
            <w:shd w:val="clear" w:color="auto" w:fill="FFFFFF"/>
            <w:hideMark/>
          </w:tcPr>
          <w:p w14:paraId="1E8531CD" w14:textId="77777777" w:rsidR="00925A24" w:rsidRPr="00A512C1" w:rsidRDefault="00925A24" w:rsidP="008B17D6">
            <w:pPr>
              <w:spacing w:after="0" w:line="240" w:lineRule="auto"/>
              <w:rPr>
                <w:rFonts w:eastAsia="Calibri"/>
                <w:b/>
                <w:sz w:val="20"/>
                <w:szCs w:val="20"/>
              </w:rPr>
            </w:pPr>
            <w:r w:rsidRPr="00A512C1">
              <w:rPr>
                <w:rFonts w:eastAsia="Calibri"/>
                <w:b/>
                <w:sz w:val="20"/>
                <w:szCs w:val="20"/>
              </w:rPr>
              <w:t>1.4.1</w:t>
            </w:r>
          </w:p>
        </w:tc>
        <w:tc>
          <w:tcPr>
            <w:tcW w:w="5437" w:type="dxa"/>
            <w:tcBorders>
              <w:top w:val="single" w:sz="4" w:space="0" w:color="auto"/>
              <w:left w:val="single" w:sz="4" w:space="0" w:color="auto"/>
              <w:bottom w:val="single" w:sz="4" w:space="0" w:color="auto"/>
              <w:right w:val="single" w:sz="4" w:space="0" w:color="auto"/>
            </w:tcBorders>
            <w:shd w:val="clear" w:color="auto" w:fill="FFFFFF"/>
            <w:hideMark/>
          </w:tcPr>
          <w:p w14:paraId="76D443F6" w14:textId="77777777" w:rsidR="00925A24" w:rsidRPr="00412C47" w:rsidRDefault="00925A24" w:rsidP="005E0294">
            <w:pPr>
              <w:spacing w:after="0" w:line="240" w:lineRule="auto"/>
              <w:rPr>
                <w:rFonts w:eastAsia="Calibri"/>
                <w:b/>
                <w:sz w:val="20"/>
                <w:szCs w:val="20"/>
              </w:rPr>
            </w:pPr>
            <w:r w:rsidRPr="00412C47">
              <w:rPr>
                <w:rFonts w:eastAsia="Calibri"/>
                <w:sz w:val="20"/>
                <w:szCs w:val="20"/>
              </w:rPr>
              <w:t xml:space="preserve">Number of countries with strengthened systems in place to </w:t>
            </w:r>
            <w:r w:rsidRPr="00412C47">
              <w:rPr>
                <w:rFonts w:eastAsia="Calibri"/>
                <w:b/>
                <w:sz w:val="20"/>
                <w:szCs w:val="20"/>
              </w:rPr>
              <w:t>access, deliver, monitor, and report on and verify use of climate finance.</w:t>
            </w:r>
          </w:p>
          <w:p w14:paraId="484020F0" w14:textId="77777777" w:rsidR="00925A24" w:rsidRPr="00412C47" w:rsidRDefault="00925A24" w:rsidP="006F161D">
            <w:pPr>
              <w:pStyle w:val="ListParagraph"/>
              <w:numPr>
                <w:ilvl w:val="0"/>
                <w:numId w:val="13"/>
              </w:numPr>
              <w:rPr>
                <w:rFonts w:eastAsia="Calibri"/>
                <w:sz w:val="20"/>
                <w:szCs w:val="20"/>
              </w:rPr>
            </w:pPr>
            <w:r w:rsidRPr="00412C47">
              <w:rPr>
                <w:rFonts w:eastAsia="Calibri"/>
                <w:sz w:val="20"/>
                <w:szCs w:val="20"/>
              </w:rPr>
              <w:t>Extent to which climate finance is being accessed (by government and non-government institutions)</w:t>
            </w:r>
          </w:p>
          <w:p w14:paraId="7684F47F" w14:textId="77777777" w:rsidR="00925A24" w:rsidRPr="00412C47" w:rsidRDefault="00925A24" w:rsidP="006F161D">
            <w:pPr>
              <w:pStyle w:val="ListParagraph"/>
              <w:numPr>
                <w:ilvl w:val="0"/>
                <w:numId w:val="13"/>
              </w:numPr>
              <w:rPr>
                <w:rFonts w:eastAsia="Calibri"/>
                <w:sz w:val="20"/>
                <w:szCs w:val="20"/>
              </w:rPr>
            </w:pPr>
            <w:r w:rsidRPr="00412C47">
              <w:rPr>
                <w:rFonts w:eastAsia="Calibri"/>
                <w:sz w:val="20"/>
                <w:szCs w:val="20"/>
              </w:rPr>
              <w:t>Extent to which there is a strengthened system in place to access, deliver, monitor, report on and verify climate finance</w:t>
            </w:r>
          </w:p>
          <w:p w14:paraId="5F3C78AB" w14:textId="30E999F9" w:rsidR="00AD6458" w:rsidRPr="00412C47" w:rsidRDefault="00AD6458" w:rsidP="00AD6458">
            <w:pPr>
              <w:spacing w:before="240" w:after="0"/>
              <w:rPr>
                <w:rFonts w:eastAsia="Calibri"/>
                <w:sz w:val="20"/>
                <w:szCs w:val="20"/>
              </w:rPr>
            </w:pPr>
            <w:r w:rsidRPr="00412C47">
              <w:rPr>
                <w:rFonts w:eastAsia="Calibri"/>
                <w:b/>
                <w:i/>
                <w:sz w:val="18"/>
                <w:szCs w:val="18"/>
              </w:rPr>
              <w:t>Number of coun</w:t>
            </w:r>
            <w:r w:rsidR="009C72CF" w:rsidRPr="00412C47">
              <w:rPr>
                <w:rFonts w:eastAsia="Calibri"/>
                <w:b/>
                <w:i/>
                <w:sz w:val="18"/>
                <w:szCs w:val="18"/>
              </w:rPr>
              <w:t xml:space="preserve">tries </w:t>
            </w:r>
            <w:r w:rsidR="002B62B4" w:rsidRPr="00412C47">
              <w:rPr>
                <w:rFonts w:eastAsia="Calibri"/>
                <w:b/>
                <w:i/>
                <w:sz w:val="18"/>
                <w:szCs w:val="18"/>
              </w:rPr>
              <w:t>for which a 2017 target has currently been set under this indicator</w:t>
            </w:r>
            <w:r w:rsidR="009C72CF" w:rsidRPr="00412C47">
              <w:rPr>
                <w:rFonts w:eastAsia="Calibri"/>
                <w:b/>
                <w:i/>
                <w:sz w:val="18"/>
                <w:szCs w:val="18"/>
              </w:rPr>
              <w:t>: a) 80, b) 78</w:t>
            </w:r>
          </w:p>
        </w:tc>
        <w:tc>
          <w:tcPr>
            <w:tcW w:w="1525" w:type="dxa"/>
            <w:tcBorders>
              <w:top w:val="single" w:sz="4" w:space="0" w:color="auto"/>
              <w:left w:val="single" w:sz="4" w:space="0" w:color="auto"/>
              <w:right w:val="single" w:sz="4" w:space="0" w:color="auto"/>
            </w:tcBorders>
            <w:shd w:val="clear" w:color="auto" w:fill="FFFFFF"/>
          </w:tcPr>
          <w:p w14:paraId="2DEE1E06" w14:textId="77777777" w:rsidR="00925A24" w:rsidRDefault="00925A24" w:rsidP="005E0294">
            <w:pPr>
              <w:spacing w:after="0" w:line="240" w:lineRule="auto"/>
              <w:jc w:val="center"/>
              <w:rPr>
                <w:sz w:val="20"/>
                <w:szCs w:val="20"/>
              </w:rPr>
            </w:pPr>
          </w:p>
          <w:p w14:paraId="2302A738" w14:textId="77777777" w:rsidR="00925A24" w:rsidRDefault="00925A24" w:rsidP="005E0294">
            <w:pPr>
              <w:spacing w:after="0" w:line="240" w:lineRule="auto"/>
              <w:jc w:val="center"/>
              <w:rPr>
                <w:sz w:val="20"/>
                <w:szCs w:val="20"/>
              </w:rPr>
            </w:pPr>
          </w:p>
          <w:p w14:paraId="0804BF06" w14:textId="77777777" w:rsidR="00D0380A" w:rsidRDefault="00D0380A" w:rsidP="005E0294">
            <w:pPr>
              <w:spacing w:after="0" w:line="240" w:lineRule="auto"/>
              <w:jc w:val="center"/>
              <w:rPr>
                <w:sz w:val="20"/>
                <w:szCs w:val="20"/>
              </w:rPr>
            </w:pPr>
          </w:p>
          <w:p w14:paraId="229C360D" w14:textId="6AD29755" w:rsidR="00925A24" w:rsidRDefault="00925A24" w:rsidP="005E0294">
            <w:pPr>
              <w:spacing w:after="0" w:line="240" w:lineRule="auto"/>
              <w:jc w:val="center"/>
              <w:rPr>
                <w:sz w:val="20"/>
                <w:szCs w:val="20"/>
              </w:rPr>
            </w:pPr>
            <w:r>
              <w:rPr>
                <w:sz w:val="20"/>
                <w:szCs w:val="20"/>
              </w:rPr>
              <w:t>0</w:t>
            </w:r>
          </w:p>
          <w:p w14:paraId="5DD264F1" w14:textId="77777777" w:rsidR="00925A24" w:rsidRDefault="00925A24" w:rsidP="005E0294">
            <w:pPr>
              <w:spacing w:after="0" w:line="240" w:lineRule="auto"/>
              <w:jc w:val="center"/>
              <w:rPr>
                <w:sz w:val="20"/>
                <w:szCs w:val="20"/>
              </w:rPr>
            </w:pPr>
          </w:p>
          <w:p w14:paraId="6B7751AE" w14:textId="0A8B19DD" w:rsidR="00925A24" w:rsidRPr="00A512C1" w:rsidRDefault="00667D7F" w:rsidP="00824DB0">
            <w:pPr>
              <w:spacing w:after="0" w:line="240" w:lineRule="auto"/>
              <w:jc w:val="center"/>
              <w:rPr>
                <w:sz w:val="20"/>
                <w:szCs w:val="20"/>
              </w:rPr>
            </w:pPr>
            <w:r>
              <w:rPr>
                <w:sz w:val="20"/>
                <w:szCs w:val="20"/>
              </w:rPr>
              <w:t>0</w:t>
            </w:r>
          </w:p>
        </w:tc>
        <w:tc>
          <w:tcPr>
            <w:tcW w:w="1265" w:type="dxa"/>
            <w:tcBorders>
              <w:top w:val="single" w:sz="4" w:space="0" w:color="auto"/>
              <w:left w:val="single" w:sz="4" w:space="0" w:color="auto"/>
              <w:right w:val="single" w:sz="4" w:space="0" w:color="auto"/>
            </w:tcBorders>
            <w:shd w:val="clear" w:color="auto" w:fill="FFFFFF"/>
          </w:tcPr>
          <w:p w14:paraId="5B858223" w14:textId="206C7306" w:rsidR="00925A24" w:rsidRDefault="00925A24" w:rsidP="005E0294">
            <w:pPr>
              <w:spacing w:after="0" w:line="240" w:lineRule="auto"/>
              <w:jc w:val="center"/>
              <w:rPr>
                <w:sz w:val="20"/>
                <w:szCs w:val="20"/>
              </w:rPr>
            </w:pPr>
          </w:p>
          <w:p w14:paraId="2BDE515B" w14:textId="77777777" w:rsidR="00925A24" w:rsidRDefault="00925A24" w:rsidP="005E0294">
            <w:pPr>
              <w:spacing w:after="0" w:line="240" w:lineRule="auto"/>
              <w:jc w:val="center"/>
              <w:rPr>
                <w:sz w:val="20"/>
                <w:szCs w:val="20"/>
              </w:rPr>
            </w:pPr>
          </w:p>
          <w:p w14:paraId="19FCC241" w14:textId="77777777" w:rsidR="00D0380A" w:rsidRDefault="00D0380A" w:rsidP="005E0294">
            <w:pPr>
              <w:spacing w:after="0" w:line="240" w:lineRule="auto"/>
              <w:jc w:val="center"/>
              <w:rPr>
                <w:sz w:val="20"/>
                <w:szCs w:val="20"/>
              </w:rPr>
            </w:pPr>
          </w:p>
          <w:p w14:paraId="63E1961D" w14:textId="500A3142" w:rsidR="00925A24" w:rsidRDefault="00994505" w:rsidP="005E0294">
            <w:pPr>
              <w:spacing w:after="0" w:line="240" w:lineRule="auto"/>
              <w:jc w:val="center"/>
              <w:rPr>
                <w:sz w:val="20"/>
                <w:szCs w:val="20"/>
              </w:rPr>
            </w:pPr>
            <w:r>
              <w:rPr>
                <w:sz w:val="20"/>
                <w:szCs w:val="20"/>
              </w:rPr>
              <w:t>21</w:t>
            </w:r>
          </w:p>
          <w:p w14:paraId="6048C521" w14:textId="77777777" w:rsidR="00925A24" w:rsidRDefault="00925A24" w:rsidP="005E0294">
            <w:pPr>
              <w:spacing w:after="0" w:line="240" w:lineRule="auto"/>
              <w:jc w:val="center"/>
              <w:rPr>
                <w:sz w:val="20"/>
                <w:szCs w:val="20"/>
              </w:rPr>
            </w:pPr>
          </w:p>
          <w:p w14:paraId="62BF60B9" w14:textId="77777777" w:rsidR="00925A24" w:rsidRPr="00A512C1" w:rsidRDefault="00925A24" w:rsidP="00785471">
            <w:pPr>
              <w:spacing w:after="0" w:line="240" w:lineRule="auto"/>
              <w:jc w:val="center"/>
              <w:rPr>
                <w:sz w:val="20"/>
                <w:szCs w:val="20"/>
              </w:rPr>
            </w:pPr>
            <w:r>
              <w:rPr>
                <w:sz w:val="20"/>
                <w:szCs w:val="20"/>
              </w:rPr>
              <w:t>15</w:t>
            </w:r>
          </w:p>
        </w:tc>
        <w:tc>
          <w:tcPr>
            <w:tcW w:w="1263" w:type="dxa"/>
            <w:tcBorders>
              <w:top w:val="single" w:sz="4" w:space="0" w:color="auto"/>
              <w:left w:val="single" w:sz="4" w:space="0" w:color="auto"/>
              <w:right w:val="single" w:sz="4" w:space="0" w:color="auto"/>
            </w:tcBorders>
            <w:shd w:val="clear" w:color="auto" w:fill="FFFFFF"/>
          </w:tcPr>
          <w:p w14:paraId="3A986222" w14:textId="77777777" w:rsidR="00040DDC" w:rsidRDefault="00040DDC" w:rsidP="00040DDC">
            <w:pPr>
              <w:spacing w:after="0" w:line="240" w:lineRule="auto"/>
              <w:jc w:val="center"/>
              <w:rPr>
                <w:sz w:val="20"/>
                <w:szCs w:val="20"/>
              </w:rPr>
            </w:pPr>
          </w:p>
          <w:p w14:paraId="02F98347" w14:textId="77777777" w:rsidR="00040DDC" w:rsidRDefault="00040DDC" w:rsidP="00040DDC">
            <w:pPr>
              <w:spacing w:after="0" w:line="240" w:lineRule="auto"/>
              <w:jc w:val="center"/>
              <w:rPr>
                <w:sz w:val="20"/>
                <w:szCs w:val="20"/>
              </w:rPr>
            </w:pPr>
          </w:p>
          <w:p w14:paraId="392DF4DD" w14:textId="77777777" w:rsidR="00040DDC" w:rsidRDefault="00040DDC" w:rsidP="00040DDC">
            <w:pPr>
              <w:spacing w:after="0" w:line="240" w:lineRule="auto"/>
              <w:jc w:val="center"/>
              <w:rPr>
                <w:sz w:val="20"/>
                <w:szCs w:val="20"/>
              </w:rPr>
            </w:pPr>
          </w:p>
          <w:p w14:paraId="62EE7BF6" w14:textId="09E2213E" w:rsidR="00925A24" w:rsidRDefault="00994505" w:rsidP="00040DDC">
            <w:pPr>
              <w:spacing w:after="0" w:line="240" w:lineRule="auto"/>
              <w:jc w:val="center"/>
              <w:rPr>
                <w:sz w:val="20"/>
                <w:szCs w:val="20"/>
              </w:rPr>
            </w:pPr>
            <w:r>
              <w:rPr>
                <w:sz w:val="20"/>
                <w:szCs w:val="20"/>
              </w:rPr>
              <w:t>2</w:t>
            </w:r>
            <w:r w:rsidR="00D0380A">
              <w:rPr>
                <w:sz w:val="20"/>
                <w:szCs w:val="20"/>
              </w:rPr>
              <w:t>1</w:t>
            </w:r>
          </w:p>
          <w:p w14:paraId="4198AF5B" w14:textId="77777777" w:rsidR="00925A24" w:rsidRDefault="00925A24" w:rsidP="00040DDC">
            <w:pPr>
              <w:spacing w:after="0" w:line="240" w:lineRule="auto"/>
              <w:jc w:val="center"/>
              <w:rPr>
                <w:sz w:val="20"/>
                <w:szCs w:val="20"/>
              </w:rPr>
            </w:pPr>
          </w:p>
          <w:p w14:paraId="7A1422F6" w14:textId="6079C571" w:rsidR="00D0380A" w:rsidRPr="00A512C1" w:rsidRDefault="00040DDC" w:rsidP="00040DDC">
            <w:pPr>
              <w:spacing w:after="0" w:line="240" w:lineRule="auto"/>
              <w:jc w:val="center"/>
              <w:rPr>
                <w:sz w:val="20"/>
                <w:szCs w:val="20"/>
              </w:rPr>
            </w:pPr>
            <w:r>
              <w:rPr>
                <w:sz w:val="20"/>
                <w:szCs w:val="20"/>
              </w:rPr>
              <w:t>15</w:t>
            </w:r>
          </w:p>
        </w:tc>
        <w:tc>
          <w:tcPr>
            <w:tcW w:w="1803" w:type="dxa"/>
            <w:tcBorders>
              <w:top w:val="single" w:sz="4" w:space="0" w:color="auto"/>
              <w:left w:val="single" w:sz="4" w:space="0" w:color="auto"/>
              <w:right w:val="single" w:sz="4" w:space="0" w:color="auto"/>
            </w:tcBorders>
            <w:shd w:val="clear" w:color="auto" w:fill="FFFFFF"/>
          </w:tcPr>
          <w:p w14:paraId="718E2C67" w14:textId="77777777" w:rsidR="00925A24" w:rsidRPr="00573867" w:rsidRDefault="00925A24" w:rsidP="005E0294">
            <w:pPr>
              <w:spacing w:after="0" w:line="240" w:lineRule="auto"/>
              <w:jc w:val="center"/>
              <w:rPr>
                <w:sz w:val="20"/>
                <w:szCs w:val="20"/>
              </w:rPr>
            </w:pPr>
          </w:p>
          <w:p w14:paraId="1E7D169E" w14:textId="77777777" w:rsidR="00925A24" w:rsidRDefault="00925A24" w:rsidP="005E0294">
            <w:pPr>
              <w:spacing w:after="0" w:line="240" w:lineRule="auto"/>
              <w:jc w:val="center"/>
              <w:rPr>
                <w:sz w:val="20"/>
                <w:szCs w:val="20"/>
              </w:rPr>
            </w:pPr>
          </w:p>
          <w:p w14:paraId="10B4ED6A" w14:textId="77777777" w:rsidR="00D0380A" w:rsidRDefault="00D0380A" w:rsidP="005E0294">
            <w:pPr>
              <w:spacing w:after="0" w:line="240" w:lineRule="auto"/>
              <w:jc w:val="center"/>
              <w:rPr>
                <w:sz w:val="20"/>
                <w:szCs w:val="20"/>
              </w:rPr>
            </w:pPr>
          </w:p>
          <w:p w14:paraId="3FD966F7" w14:textId="3F928156" w:rsidR="00925A24" w:rsidRPr="00486C23" w:rsidRDefault="00925A24" w:rsidP="005E0294">
            <w:pPr>
              <w:spacing w:after="0" w:line="240" w:lineRule="auto"/>
              <w:jc w:val="center"/>
              <w:rPr>
                <w:sz w:val="20"/>
                <w:szCs w:val="20"/>
              </w:rPr>
            </w:pPr>
            <w:r w:rsidRPr="00486C23">
              <w:rPr>
                <w:sz w:val="20"/>
                <w:szCs w:val="20"/>
              </w:rPr>
              <w:t>4</w:t>
            </w:r>
            <w:r w:rsidR="00D0380A" w:rsidRPr="00486C23">
              <w:rPr>
                <w:sz w:val="20"/>
                <w:szCs w:val="20"/>
              </w:rPr>
              <w:t>7</w:t>
            </w:r>
          </w:p>
          <w:p w14:paraId="124FFB15" w14:textId="77777777" w:rsidR="00925A24" w:rsidRPr="00486C23" w:rsidRDefault="00925A24" w:rsidP="005E0294">
            <w:pPr>
              <w:spacing w:after="0" w:line="240" w:lineRule="auto"/>
              <w:jc w:val="center"/>
              <w:rPr>
                <w:sz w:val="20"/>
                <w:szCs w:val="20"/>
              </w:rPr>
            </w:pPr>
          </w:p>
          <w:p w14:paraId="216016F1" w14:textId="16829766" w:rsidR="00925A24" w:rsidRPr="00015A57" w:rsidRDefault="00925A24" w:rsidP="00D0380A">
            <w:pPr>
              <w:spacing w:after="0" w:line="240" w:lineRule="auto"/>
              <w:jc w:val="center"/>
            </w:pPr>
            <w:r w:rsidRPr="00486C23">
              <w:rPr>
                <w:sz w:val="20"/>
                <w:szCs w:val="20"/>
              </w:rPr>
              <w:t>4</w:t>
            </w:r>
            <w:r w:rsidR="00D0380A" w:rsidRPr="00486C23">
              <w:rPr>
                <w:sz w:val="20"/>
                <w:szCs w:val="20"/>
              </w:rPr>
              <w:t>7</w:t>
            </w:r>
          </w:p>
        </w:tc>
      </w:tr>
      <w:tr w:rsidR="00994505" w:rsidRPr="00283732" w14:paraId="13EF735F" w14:textId="77777777" w:rsidTr="00BC2597">
        <w:trPr>
          <w:trHeight w:val="449"/>
          <w:jc w:val="center"/>
        </w:trPr>
        <w:tc>
          <w:tcPr>
            <w:tcW w:w="2695" w:type="dxa"/>
            <w:vMerge/>
            <w:tcBorders>
              <w:top w:val="single" w:sz="4" w:space="0" w:color="auto"/>
              <w:left w:val="single" w:sz="4" w:space="0" w:color="auto"/>
              <w:right w:val="single" w:sz="4" w:space="0" w:color="auto"/>
            </w:tcBorders>
            <w:shd w:val="clear" w:color="auto" w:fill="FFFFFF"/>
          </w:tcPr>
          <w:p w14:paraId="4DD1BF6D" w14:textId="77777777" w:rsidR="00994505" w:rsidRPr="00A512C1" w:rsidRDefault="00994505" w:rsidP="005E0294">
            <w:pPr>
              <w:spacing w:after="0" w:line="240" w:lineRule="auto"/>
              <w:rPr>
                <w:rFonts w:eastAsia="Calibri"/>
                <w:b/>
                <w:sz w:val="20"/>
                <w:szCs w:val="20"/>
              </w:rPr>
            </w:pPr>
          </w:p>
        </w:tc>
        <w:tc>
          <w:tcPr>
            <w:tcW w:w="860" w:type="dxa"/>
            <w:vMerge/>
            <w:tcBorders>
              <w:left w:val="single" w:sz="4" w:space="0" w:color="auto"/>
              <w:right w:val="single" w:sz="4" w:space="0" w:color="auto"/>
            </w:tcBorders>
            <w:shd w:val="clear" w:color="auto" w:fill="FFFFFF"/>
            <w:vAlign w:val="center"/>
          </w:tcPr>
          <w:p w14:paraId="02A9845B" w14:textId="77777777" w:rsidR="00994505" w:rsidRPr="00A512C1" w:rsidRDefault="00994505" w:rsidP="005E0294">
            <w:pPr>
              <w:spacing w:after="0" w:line="240" w:lineRule="auto"/>
              <w:rPr>
                <w:rFonts w:eastAsia="Calibri"/>
                <w:b/>
                <w:sz w:val="20"/>
                <w:szCs w:val="20"/>
              </w:rPr>
            </w:pPr>
          </w:p>
        </w:tc>
        <w:tc>
          <w:tcPr>
            <w:tcW w:w="11293" w:type="dxa"/>
            <w:gridSpan w:val="5"/>
            <w:tcBorders>
              <w:left w:val="single" w:sz="4" w:space="0" w:color="auto"/>
              <w:right w:val="single" w:sz="4" w:space="0" w:color="auto"/>
            </w:tcBorders>
            <w:shd w:val="clear" w:color="auto" w:fill="D9D9D9" w:themeFill="background1" w:themeFillShade="D9"/>
          </w:tcPr>
          <w:p w14:paraId="6C60E866" w14:textId="3A66ADC7" w:rsidR="00994505" w:rsidRPr="00412C47" w:rsidRDefault="00994505" w:rsidP="00595E32">
            <w:pPr>
              <w:spacing w:after="0" w:line="240" w:lineRule="auto"/>
              <w:rPr>
                <w:rFonts w:eastAsia="Calibri"/>
                <w:sz w:val="18"/>
                <w:szCs w:val="18"/>
              </w:rPr>
            </w:pPr>
            <w:r w:rsidRPr="00412C47">
              <w:rPr>
                <w:rFonts w:ascii="Calibri" w:eastAsia="Calibri" w:hAnsi="Calibri"/>
                <w:b/>
                <w:sz w:val="18"/>
                <w:szCs w:val="18"/>
              </w:rPr>
              <w:t xml:space="preserve">Indicator 1.4.1. Note: </w:t>
            </w:r>
            <w:r w:rsidRPr="00412C47">
              <w:rPr>
                <w:rFonts w:ascii="Calibri" w:eastAsia="Calibri" w:hAnsi="Calibri"/>
                <w:sz w:val="18"/>
                <w:szCs w:val="18"/>
              </w:rPr>
              <w:t xml:space="preserve">Qualitative indicator through which the effectiveness of UNDP’s support (on demand </w:t>
            </w:r>
            <w:r w:rsidRPr="00412C47">
              <w:rPr>
                <w:sz w:val="18"/>
                <w:szCs w:val="18"/>
              </w:rPr>
              <w:t>from programme countries</w:t>
            </w:r>
            <w:r w:rsidRPr="00412C47">
              <w:rPr>
                <w:rFonts w:ascii="Calibri" w:eastAsia="Calibri" w:hAnsi="Calibri"/>
                <w:sz w:val="18"/>
                <w:szCs w:val="18"/>
              </w:rPr>
              <w:t xml:space="preserve">) for putting in place systems to access, deliver, monitor, report and/or verify use of climate finance, is </w:t>
            </w:r>
            <w:r w:rsidRPr="00412C47">
              <w:rPr>
                <w:rFonts w:eastAsia="Calibri"/>
                <w:sz w:val="18"/>
                <w:szCs w:val="18"/>
              </w:rPr>
              <w:t xml:space="preserve">tracked using a qualitative rating scale (extent to which climate finance is being accessed, and/or that system is strengthened: 1- Not adequately, 2- Very partially, 3- Partially, and 4-Largely), counting the number of countries </w:t>
            </w:r>
            <w:r w:rsidR="00667D7F" w:rsidRPr="00412C47">
              <w:rPr>
                <w:rFonts w:eastAsia="Calibri"/>
                <w:sz w:val="18"/>
                <w:szCs w:val="18"/>
              </w:rPr>
              <w:t>where there is objective evidence that</w:t>
            </w:r>
            <w:r w:rsidRPr="00412C47">
              <w:rPr>
                <w:rFonts w:eastAsia="Calibri"/>
                <w:sz w:val="18"/>
                <w:szCs w:val="18"/>
              </w:rPr>
              <w:t xml:space="preserve"> UNDP support</w:t>
            </w:r>
            <w:r w:rsidR="00667D7F" w:rsidRPr="00412C47">
              <w:rPr>
                <w:rFonts w:eastAsia="Calibri"/>
                <w:sz w:val="18"/>
                <w:szCs w:val="18"/>
              </w:rPr>
              <w:t xml:space="preserve"> has led to</w:t>
            </w:r>
            <w:r w:rsidRPr="00412C47">
              <w:rPr>
                <w:rFonts w:eastAsia="Calibri"/>
                <w:sz w:val="18"/>
                <w:szCs w:val="18"/>
              </w:rPr>
              <w:t xml:space="preserve"> improve</w:t>
            </w:r>
            <w:r w:rsidR="00667D7F" w:rsidRPr="00412C47">
              <w:rPr>
                <w:rFonts w:eastAsia="Calibri"/>
                <w:sz w:val="18"/>
                <w:szCs w:val="18"/>
              </w:rPr>
              <w:t>d</w:t>
            </w:r>
            <w:r w:rsidRPr="00412C47">
              <w:rPr>
                <w:rFonts w:eastAsia="Calibri"/>
                <w:sz w:val="18"/>
                <w:szCs w:val="18"/>
              </w:rPr>
              <w:t xml:space="preserve"> access and/or systems</w:t>
            </w:r>
            <w:r w:rsidR="00486C23" w:rsidRPr="00412C47">
              <w:rPr>
                <w:rFonts w:eastAsia="Calibri"/>
                <w:sz w:val="18"/>
                <w:szCs w:val="18"/>
              </w:rPr>
              <w:t xml:space="preserve"> in each year</w:t>
            </w:r>
            <w:r w:rsidRPr="00412C47">
              <w:rPr>
                <w:rFonts w:eastAsia="Calibri"/>
                <w:sz w:val="18"/>
                <w:szCs w:val="18"/>
              </w:rPr>
              <w:t>.</w:t>
            </w:r>
          </w:p>
          <w:p w14:paraId="3C473CAC" w14:textId="736DDA5D" w:rsidR="00994505" w:rsidRPr="00412C47" w:rsidRDefault="00994505" w:rsidP="00595E32">
            <w:pPr>
              <w:spacing w:after="0" w:line="240" w:lineRule="auto"/>
              <w:rPr>
                <w:rFonts w:ascii="Calibri" w:eastAsia="Calibri" w:hAnsi="Calibri" w:cs="Times New Roman"/>
                <w:sz w:val="18"/>
                <w:szCs w:val="18"/>
                <w:lang w:eastAsia="en-US"/>
              </w:rPr>
            </w:pPr>
            <w:r w:rsidRPr="00412C47">
              <w:rPr>
                <w:rFonts w:eastAsia="Calibri"/>
                <w:b/>
                <w:sz w:val="18"/>
                <w:szCs w:val="18"/>
              </w:rPr>
              <w:t xml:space="preserve">2014 Reporting Note: </w:t>
            </w:r>
            <w:r w:rsidRPr="00412C47">
              <w:rPr>
                <w:rFonts w:eastAsia="Calibri"/>
                <w:sz w:val="18"/>
                <w:szCs w:val="18"/>
              </w:rPr>
              <w:t xml:space="preserve">2014 </w:t>
            </w:r>
            <w:r w:rsidR="00AD6458" w:rsidRPr="00412C47">
              <w:rPr>
                <w:rFonts w:eastAsia="Calibri"/>
                <w:sz w:val="18"/>
                <w:szCs w:val="18"/>
              </w:rPr>
              <w:t>milestones and 2017 targets u</w:t>
            </w:r>
            <w:r w:rsidRPr="00412C47">
              <w:rPr>
                <w:rFonts w:eastAsia="Calibri"/>
                <w:sz w:val="18"/>
                <w:szCs w:val="18"/>
              </w:rPr>
              <w:t>pdated to reflect more complete reporting from country offices. For reference, previous 2014 milestones were: a) 19, b) 15</w:t>
            </w:r>
            <w:r w:rsidR="00D0380A" w:rsidRPr="00412C47">
              <w:rPr>
                <w:rFonts w:eastAsia="Calibri"/>
                <w:sz w:val="18"/>
                <w:szCs w:val="18"/>
              </w:rPr>
              <w:t>; previous targets were</w:t>
            </w:r>
            <w:r w:rsidR="00954D65" w:rsidRPr="00412C47">
              <w:rPr>
                <w:rFonts w:eastAsia="Calibri"/>
                <w:sz w:val="18"/>
                <w:szCs w:val="18"/>
              </w:rPr>
              <w:t>:</w:t>
            </w:r>
            <w:r w:rsidR="00D0380A" w:rsidRPr="00412C47">
              <w:rPr>
                <w:rFonts w:eastAsia="Calibri"/>
                <w:sz w:val="18"/>
                <w:szCs w:val="18"/>
              </w:rPr>
              <w:t xml:space="preserve"> a) 41, </w:t>
            </w:r>
            <w:r w:rsidR="00AD6458" w:rsidRPr="00412C47">
              <w:rPr>
                <w:rFonts w:eastAsia="Calibri"/>
                <w:sz w:val="18"/>
                <w:szCs w:val="18"/>
              </w:rPr>
              <w:t xml:space="preserve">b) 40. </w:t>
            </w:r>
          </w:p>
        </w:tc>
      </w:tr>
      <w:tr w:rsidR="00925A24" w:rsidRPr="00283732" w14:paraId="26C7AD04" w14:textId="77777777" w:rsidTr="00D843A5">
        <w:trPr>
          <w:trHeight w:val="656"/>
          <w:jc w:val="center"/>
        </w:trPr>
        <w:tc>
          <w:tcPr>
            <w:tcW w:w="2695" w:type="dxa"/>
            <w:vMerge/>
            <w:tcBorders>
              <w:left w:val="single" w:sz="4" w:space="0" w:color="auto"/>
              <w:right w:val="single" w:sz="4" w:space="0" w:color="auto"/>
            </w:tcBorders>
            <w:shd w:val="clear" w:color="auto" w:fill="auto"/>
            <w:vAlign w:val="center"/>
            <w:hideMark/>
          </w:tcPr>
          <w:p w14:paraId="6429C8AB" w14:textId="77777777" w:rsidR="00925A24" w:rsidRPr="00A512C1" w:rsidRDefault="00925A24" w:rsidP="005E0294">
            <w:pPr>
              <w:spacing w:after="0" w:line="240" w:lineRule="auto"/>
              <w:rPr>
                <w:rFonts w:eastAsia="Calibri"/>
                <w:b/>
                <w:sz w:val="20"/>
                <w:szCs w:val="20"/>
              </w:rPr>
            </w:pPr>
          </w:p>
        </w:tc>
        <w:tc>
          <w:tcPr>
            <w:tcW w:w="860" w:type="dxa"/>
            <w:vMerge w:val="restart"/>
            <w:tcBorders>
              <w:top w:val="single" w:sz="4" w:space="0" w:color="auto"/>
              <w:left w:val="single" w:sz="4" w:space="0" w:color="auto"/>
              <w:right w:val="single" w:sz="4" w:space="0" w:color="auto"/>
            </w:tcBorders>
            <w:shd w:val="clear" w:color="auto" w:fill="FFFFFF"/>
            <w:hideMark/>
          </w:tcPr>
          <w:p w14:paraId="32043B10" w14:textId="77777777" w:rsidR="00925A24" w:rsidRPr="00F61972" w:rsidRDefault="00925A24" w:rsidP="005E0294">
            <w:pPr>
              <w:spacing w:after="0" w:line="240" w:lineRule="auto"/>
              <w:rPr>
                <w:rFonts w:eastAsia="Calibri"/>
                <w:b/>
                <w:sz w:val="20"/>
                <w:szCs w:val="20"/>
              </w:rPr>
            </w:pPr>
            <w:r w:rsidRPr="00F61972">
              <w:rPr>
                <w:rFonts w:eastAsia="Calibri"/>
                <w:b/>
                <w:sz w:val="20"/>
                <w:szCs w:val="20"/>
              </w:rPr>
              <w:t>1.4.2</w:t>
            </w:r>
          </w:p>
        </w:tc>
        <w:tc>
          <w:tcPr>
            <w:tcW w:w="5437" w:type="dxa"/>
            <w:tcBorders>
              <w:top w:val="single" w:sz="4" w:space="0" w:color="auto"/>
              <w:left w:val="single" w:sz="4" w:space="0" w:color="auto"/>
              <w:bottom w:val="single" w:sz="4" w:space="0" w:color="auto"/>
              <w:right w:val="single" w:sz="4" w:space="0" w:color="auto"/>
            </w:tcBorders>
            <w:shd w:val="clear" w:color="auto" w:fill="FFFFFF"/>
            <w:hideMark/>
          </w:tcPr>
          <w:p w14:paraId="0BDE25B9" w14:textId="77777777" w:rsidR="00925A24" w:rsidRPr="00412C47" w:rsidRDefault="00925A24" w:rsidP="00CB2C25">
            <w:pPr>
              <w:spacing w:after="0" w:line="240" w:lineRule="auto"/>
              <w:rPr>
                <w:sz w:val="20"/>
                <w:szCs w:val="20"/>
              </w:rPr>
            </w:pPr>
            <w:r w:rsidRPr="00412C47">
              <w:rPr>
                <w:rFonts w:eastAsia="Calibri"/>
                <w:sz w:val="20"/>
                <w:szCs w:val="20"/>
              </w:rPr>
              <w:t xml:space="preserve">Number of countries where </w:t>
            </w:r>
            <w:r w:rsidRPr="00412C47">
              <w:rPr>
                <w:rFonts w:eastAsia="Calibri"/>
                <w:b/>
                <w:sz w:val="20"/>
                <w:szCs w:val="20"/>
              </w:rPr>
              <w:t>implementation of</w:t>
            </w:r>
            <w:r w:rsidRPr="00412C47">
              <w:rPr>
                <w:rFonts w:eastAsia="Calibri"/>
                <w:sz w:val="20"/>
                <w:szCs w:val="20"/>
              </w:rPr>
              <w:t xml:space="preserve"> </w:t>
            </w:r>
            <w:r w:rsidRPr="00412C47">
              <w:rPr>
                <w:rFonts w:eastAsia="Calibri"/>
                <w:b/>
                <w:sz w:val="20"/>
                <w:szCs w:val="20"/>
              </w:rPr>
              <w:t>comprehensive measures</w:t>
            </w:r>
            <w:r w:rsidRPr="00412C47">
              <w:rPr>
                <w:rFonts w:eastAsia="Calibri"/>
                <w:sz w:val="20"/>
                <w:szCs w:val="20"/>
              </w:rPr>
              <w:t xml:space="preserve"> – plans, strategies, policies, programmes and budgets –to achieve </w:t>
            </w:r>
            <w:r w:rsidRPr="00412C47">
              <w:rPr>
                <w:rFonts w:eastAsia="Calibri"/>
                <w:b/>
                <w:sz w:val="20"/>
                <w:szCs w:val="20"/>
              </w:rPr>
              <w:t>low-emission and climate-resilient</w:t>
            </w:r>
            <w:r w:rsidRPr="00412C47">
              <w:rPr>
                <w:rFonts w:eastAsia="Calibri"/>
                <w:sz w:val="20"/>
                <w:szCs w:val="20"/>
              </w:rPr>
              <w:t xml:space="preserve"> development objectives has </w:t>
            </w:r>
            <w:r w:rsidRPr="00412C47">
              <w:rPr>
                <w:rFonts w:eastAsia="Calibri"/>
                <w:b/>
                <w:sz w:val="20"/>
                <w:szCs w:val="20"/>
              </w:rPr>
              <w:t>improved</w:t>
            </w:r>
          </w:p>
          <w:p w14:paraId="675AA0B6" w14:textId="089187A5" w:rsidR="00AD6458" w:rsidRPr="00412C47" w:rsidRDefault="00AD6458" w:rsidP="00BD12E8">
            <w:pPr>
              <w:spacing w:before="240" w:after="0" w:line="240" w:lineRule="auto"/>
              <w:rPr>
                <w:rFonts w:eastAsia="Calibri"/>
                <w:sz w:val="20"/>
                <w:szCs w:val="20"/>
              </w:rPr>
            </w:pPr>
            <w:r w:rsidRPr="00412C47">
              <w:rPr>
                <w:rFonts w:eastAsia="Calibri"/>
                <w:b/>
                <w:i/>
                <w:sz w:val="18"/>
                <w:szCs w:val="18"/>
              </w:rPr>
              <w:t>Number of coun</w:t>
            </w:r>
            <w:r w:rsidR="00BD12E8" w:rsidRPr="00412C47">
              <w:rPr>
                <w:rFonts w:eastAsia="Calibri"/>
                <w:b/>
                <w:i/>
                <w:sz w:val="18"/>
                <w:szCs w:val="18"/>
              </w:rPr>
              <w:t xml:space="preserve">tries </w:t>
            </w:r>
            <w:r w:rsidR="00667D7F" w:rsidRPr="00412C47">
              <w:rPr>
                <w:rFonts w:eastAsia="Calibri"/>
                <w:b/>
                <w:i/>
                <w:sz w:val="18"/>
                <w:szCs w:val="18"/>
              </w:rPr>
              <w:t>for which a 2017 target has currently been set under this indicator</w:t>
            </w:r>
            <w:r w:rsidR="00BD12E8" w:rsidRPr="00412C47">
              <w:rPr>
                <w:rFonts w:eastAsia="Calibri"/>
                <w:b/>
                <w:i/>
                <w:sz w:val="18"/>
                <w:szCs w:val="18"/>
              </w:rPr>
              <w:t>: 106</w:t>
            </w:r>
          </w:p>
        </w:tc>
        <w:tc>
          <w:tcPr>
            <w:tcW w:w="1525" w:type="dxa"/>
            <w:tcBorders>
              <w:left w:val="single" w:sz="4" w:space="0" w:color="auto"/>
              <w:bottom w:val="single" w:sz="4" w:space="0" w:color="auto"/>
              <w:right w:val="single" w:sz="4" w:space="0" w:color="auto"/>
            </w:tcBorders>
            <w:shd w:val="clear" w:color="auto" w:fill="FFFFFF"/>
            <w:vAlign w:val="center"/>
          </w:tcPr>
          <w:p w14:paraId="1AD46666" w14:textId="282C3CA9" w:rsidR="00925A24" w:rsidRPr="00F61972" w:rsidRDefault="00824DB0" w:rsidP="00824DB0">
            <w:pPr>
              <w:spacing w:after="0" w:line="240" w:lineRule="auto"/>
              <w:jc w:val="center"/>
              <w:rPr>
                <w:rFonts w:eastAsia="Calibri"/>
                <w:sz w:val="20"/>
                <w:szCs w:val="20"/>
              </w:rPr>
            </w:pPr>
            <w:r>
              <w:rPr>
                <w:rFonts w:eastAsia="Calibri"/>
                <w:sz w:val="20"/>
                <w:szCs w:val="20"/>
              </w:rPr>
              <w:t xml:space="preserve">0 </w:t>
            </w:r>
          </w:p>
        </w:tc>
        <w:tc>
          <w:tcPr>
            <w:tcW w:w="1265" w:type="dxa"/>
            <w:tcBorders>
              <w:left w:val="single" w:sz="4" w:space="0" w:color="auto"/>
              <w:bottom w:val="single" w:sz="4" w:space="0" w:color="auto"/>
              <w:right w:val="single" w:sz="4" w:space="0" w:color="auto"/>
            </w:tcBorders>
            <w:shd w:val="clear" w:color="auto" w:fill="FFFFFF"/>
            <w:vAlign w:val="center"/>
          </w:tcPr>
          <w:p w14:paraId="61690954" w14:textId="19E5DF70" w:rsidR="00925A24" w:rsidRPr="00F61972" w:rsidRDefault="00E21B17" w:rsidP="003925DB">
            <w:pPr>
              <w:spacing w:after="0" w:line="240" w:lineRule="auto"/>
              <w:jc w:val="center"/>
              <w:rPr>
                <w:rFonts w:eastAsia="Calibri"/>
                <w:sz w:val="20"/>
                <w:szCs w:val="20"/>
              </w:rPr>
            </w:pPr>
            <w:r>
              <w:rPr>
                <w:rFonts w:eastAsia="Calibri"/>
                <w:sz w:val="20"/>
                <w:szCs w:val="20"/>
              </w:rPr>
              <w:t>37</w:t>
            </w:r>
          </w:p>
        </w:tc>
        <w:tc>
          <w:tcPr>
            <w:tcW w:w="1263" w:type="dxa"/>
            <w:tcBorders>
              <w:left w:val="single" w:sz="4" w:space="0" w:color="auto"/>
              <w:bottom w:val="single" w:sz="4" w:space="0" w:color="auto"/>
              <w:right w:val="single" w:sz="4" w:space="0" w:color="auto"/>
            </w:tcBorders>
            <w:shd w:val="clear" w:color="auto" w:fill="FFFFFF"/>
            <w:vAlign w:val="center"/>
          </w:tcPr>
          <w:p w14:paraId="1597D726" w14:textId="22B9963E" w:rsidR="00925A24" w:rsidRPr="00F61972" w:rsidRDefault="00E21B17" w:rsidP="003925DB">
            <w:pPr>
              <w:spacing w:after="0" w:line="240" w:lineRule="auto"/>
              <w:jc w:val="center"/>
              <w:rPr>
                <w:rFonts w:eastAsia="Calibri"/>
                <w:sz w:val="20"/>
                <w:szCs w:val="20"/>
              </w:rPr>
            </w:pPr>
            <w:r>
              <w:rPr>
                <w:rFonts w:eastAsia="Calibri"/>
                <w:sz w:val="20"/>
                <w:szCs w:val="20"/>
              </w:rPr>
              <w:t>39</w:t>
            </w:r>
          </w:p>
        </w:tc>
        <w:tc>
          <w:tcPr>
            <w:tcW w:w="1803" w:type="dxa"/>
            <w:tcBorders>
              <w:left w:val="single" w:sz="4" w:space="0" w:color="auto"/>
              <w:bottom w:val="single" w:sz="4" w:space="0" w:color="auto"/>
              <w:right w:val="single" w:sz="4" w:space="0" w:color="auto"/>
            </w:tcBorders>
            <w:shd w:val="clear" w:color="auto" w:fill="auto"/>
            <w:vAlign w:val="center"/>
          </w:tcPr>
          <w:p w14:paraId="7D259B67" w14:textId="07975338" w:rsidR="00925A24" w:rsidRPr="00F61972" w:rsidRDefault="00A21D59" w:rsidP="00D843A5">
            <w:pPr>
              <w:spacing w:after="0" w:line="240" w:lineRule="auto"/>
              <w:jc w:val="center"/>
              <w:rPr>
                <w:rFonts w:eastAsia="Calibri"/>
              </w:rPr>
            </w:pPr>
            <w:r>
              <w:rPr>
                <w:rFonts w:eastAsia="Calibri"/>
                <w:sz w:val="20"/>
                <w:szCs w:val="20"/>
              </w:rPr>
              <w:t>96</w:t>
            </w:r>
          </w:p>
        </w:tc>
      </w:tr>
      <w:tr w:rsidR="00994505" w:rsidRPr="00283732" w14:paraId="1CD333CB" w14:textId="77777777" w:rsidTr="00BC2597">
        <w:trPr>
          <w:trHeight w:val="656"/>
          <w:jc w:val="center"/>
        </w:trPr>
        <w:tc>
          <w:tcPr>
            <w:tcW w:w="2695" w:type="dxa"/>
            <w:vMerge/>
            <w:tcBorders>
              <w:left w:val="single" w:sz="4" w:space="0" w:color="auto"/>
              <w:bottom w:val="single" w:sz="4" w:space="0" w:color="auto"/>
              <w:right w:val="single" w:sz="4" w:space="0" w:color="auto"/>
            </w:tcBorders>
            <w:shd w:val="clear" w:color="auto" w:fill="auto"/>
            <w:vAlign w:val="center"/>
          </w:tcPr>
          <w:p w14:paraId="554529D3" w14:textId="77777777" w:rsidR="00994505" w:rsidRPr="00A512C1" w:rsidRDefault="00994505" w:rsidP="005E0294">
            <w:pPr>
              <w:spacing w:after="0" w:line="240" w:lineRule="auto"/>
              <w:rPr>
                <w:rFonts w:eastAsia="Calibri"/>
                <w:b/>
                <w:sz w:val="20"/>
                <w:szCs w:val="20"/>
              </w:rPr>
            </w:pPr>
          </w:p>
        </w:tc>
        <w:tc>
          <w:tcPr>
            <w:tcW w:w="860" w:type="dxa"/>
            <w:vMerge/>
            <w:tcBorders>
              <w:left w:val="single" w:sz="4" w:space="0" w:color="auto"/>
              <w:bottom w:val="single" w:sz="4" w:space="0" w:color="auto"/>
              <w:right w:val="single" w:sz="4" w:space="0" w:color="auto"/>
            </w:tcBorders>
            <w:shd w:val="clear" w:color="auto" w:fill="FFFFFF"/>
          </w:tcPr>
          <w:p w14:paraId="59626668" w14:textId="77777777" w:rsidR="00994505" w:rsidRPr="00916C74" w:rsidRDefault="00994505" w:rsidP="005E0294">
            <w:pPr>
              <w:spacing w:after="0" w:line="240" w:lineRule="auto"/>
              <w:rPr>
                <w:rFonts w:eastAsia="Calibri"/>
                <w:b/>
                <w:sz w:val="20"/>
                <w:szCs w:val="20"/>
                <w:highlight w:val="yellow"/>
              </w:rPr>
            </w:pPr>
          </w:p>
        </w:tc>
        <w:tc>
          <w:tcPr>
            <w:tcW w:w="11293" w:type="dxa"/>
            <w:gridSpan w:val="5"/>
            <w:tcBorders>
              <w:left w:val="single" w:sz="4" w:space="0" w:color="auto"/>
              <w:bottom w:val="single" w:sz="4" w:space="0" w:color="auto"/>
              <w:right w:val="single" w:sz="4" w:space="0" w:color="auto"/>
            </w:tcBorders>
            <w:shd w:val="clear" w:color="auto" w:fill="D9D9D9" w:themeFill="background1" w:themeFillShade="D9"/>
          </w:tcPr>
          <w:p w14:paraId="44C59819" w14:textId="17A4E16A" w:rsidR="00994505" w:rsidRPr="00667D7F" w:rsidRDefault="00994505" w:rsidP="00576C0B">
            <w:pPr>
              <w:spacing w:after="0" w:line="240" w:lineRule="auto"/>
              <w:rPr>
                <w:rFonts w:eastAsia="Calibri"/>
                <w:sz w:val="18"/>
                <w:szCs w:val="18"/>
              </w:rPr>
            </w:pPr>
            <w:r w:rsidRPr="00667D7F">
              <w:rPr>
                <w:rFonts w:ascii="Calibri" w:eastAsia="Calibri" w:hAnsi="Calibri"/>
                <w:b/>
                <w:sz w:val="18"/>
                <w:szCs w:val="18"/>
              </w:rPr>
              <w:t xml:space="preserve">Indicator 1.4.2 Note: </w:t>
            </w:r>
            <w:r w:rsidRPr="00667D7F">
              <w:rPr>
                <w:rFonts w:ascii="Calibri" w:eastAsia="Calibri" w:hAnsi="Calibri"/>
                <w:sz w:val="18"/>
                <w:szCs w:val="18"/>
              </w:rPr>
              <w:t xml:space="preserve">Qualitative indicator, through which the effectiveness of UNDP’s support (on demand </w:t>
            </w:r>
            <w:r w:rsidRPr="00667D7F">
              <w:rPr>
                <w:sz w:val="18"/>
                <w:szCs w:val="18"/>
              </w:rPr>
              <w:t>from programme countries</w:t>
            </w:r>
            <w:r w:rsidRPr="00667D7F">
              <w:rPr>
                <w:rFonts w:ascii="Calibri" w:eastAsia="Calibri" w:hAnsi="Calibri"/>
                <w:sz w:val="18"/>
                <w:szCs w:val="18"/>
              </w:rPr>
              <w:t xml:space="preserve">) to improve implementation of comprehensive measures (defined as plans, strategies, policies, programmes and/or budgets) for low-emission and climate resilient development, is </w:t>
            </w:r>
            <w:r w:rsidR="00983FF8">
              <w:rPr>
                <w:rFonts w:eastAsia="Calibri"/>
                <w:sz w:val="18"/>
                <w:szCs w:val="18"/>
              </w:rPr>
              <w:t>tracked through</w:t>
            </w:r>
            <w:r w:rsidRPr="00667D7F">
              <w:rPr>
                <w:rFonts w:eastAsia="Calibri"/>
                <w:sz w:val="18"/>
                <w:szCs w:val="18"/>
              </w:rPr>
              <w:t xml:space="preserve"> a qualitative rating scale (extent to which climate finance is being accessed, and/or that system is strengthened: 1- Not adequately, 2- Very partially, 3- Partially, and 4-Largely), counting the number of countries </w:t>
            </w:r>
            <w:r w:rsidR="00983FF8">
              <w:rPr>
                <w:rFonts w:eastAsia="Calibri"/>
                <w:sz w:val="18"/>
                <w:szCs w:val="18"/>
              </w:rPr>
              <w:t>where there is objective evidence that</w:t>
            </w:r>
            <w:r w:rsidRPr="00667D7F">
              <w:rPr>
                <w:rFonts w:eastAsia="Calibri"/>
                <w:sz w:val="18"/>
                <w:szCs w:val="18"/>
              </w:rPr>
              <w:t xml:space="preserve"> UNDP support</w:t>
            </w:r>
            <w:r w:rsidR="00983FF8">
              <w:rPr>
                <w:rFonts w:eastAsia="Calibri"/>
                <w:sz w:val="18"/>
                <w:szCs w:val="18"/>
              </w:rPr>
              <w:t xml:space="preserve"> has</w:t>
            </w:r>
            <w:r w:rsidRPr="00667D7F">
              <w:rPr>
                <w:rFonts w:eastAsia="Calibri"/>
                <w:sz w:val="18"/>
                <w:szCs w:val="18"/>
              </w:rPr>
              <w:t xml:space="preserve"> </w:t>
            </w:r>
            <w:r w:rsidR="00983FF8">
              <w:rPr>
                <w:rFonts w:eastAsia="Calibri"/>
                <w:sz w:val="18"/>
                <w:szCs w:val="18"/>
              </w:rPr>
              <w:t xml:space="preserve">led to </w:t>
            </w:r>
            <w:r w:rsidRPr="00667D7F">
              <w:rPr>
                <w:rFonts w:eastAsia="Calibri"/>
                <w:sz w:val="18"/>
                <w:szCs w:val="18"/>
              </w:rPr>
              <w:t>improved implementation of measures</w:t>
            </w:r>
            <w:r w:rsidR="00983FF8">
              <w:rPr>
                <w:rFonts w:eastAsia="Calibri"/>
                <w:sz w:val="18"/>
                <w:szCs w:val="18"/>
              </w:rPr>
              <w:t>,</w:t>
            </w:r>
            <w:r w:rsidRPr="00667D7F">
              <w:rPr>
                <w:rFonts w:eastAsia="Calibri"/>
                <w:sz w:val="18"/>
                <w:szCs w:val="18"/>
              </w:rPr>
              <w:t xml:space="preserve"> from January 2014 onwards.</w:t>
            </w:r>
          </w:p>
          <w:p w14:paraId="2EFF8D0F" w14:textId="42BE5953" w:rsidR="00E21B17" w:rsidRPr="00667D7F" w:rsidRDefault="00E21B17" w:rsidP="006D7071">
            <w:pPr>
              <w:spacing w:after="0" w:line="240" w:lineRule="auto"/>
              <w:rPr>
                <w:rFonts w:eastAsia="Calibri"/>
              </w:rPr>
            </w:pPr>
            <w:r w:rsidRPr="00667D7F">
              <w:rPr>
                <w:rFonts w:eastAsia="Calibri"/>
                <w:b/>
                <w:sz w:val="18"/>
                <w:szCs w:val="18"/>
              </w:rPr>
              <w:t xml:space="preserve">2014 Reporting Note: </w:t>
            </w:r>
            <w:r w:rsidRPr="00667D7F">
              <w:rPr>
                <w:rFonts w:eastAsia="Calibri"/>
                <w:sz w:val="18"/>
                <w:szCs w:val="18"/>
              </w:rPr>
              <w:t xml:space="preserve">2014 </w:t>
            </w:r>
            <w:r w:rsidR="00AD6458" w:rsidRPr="00667D7F">
              <w:rPr>
                <w:rFonts w:eastAsia="Calibri"/>
                <w:sz w:val="18"/>
                <w:szCs w:val="18"/>
              </w:rPr>
              <w:t>milestones and 2017 targets</w:t>
            </w:r>
            <w:r w:rsidRPr="00667D7F">
              <w:rPr>
                <w:rFonts w:eastAsia="Calibri"/>
                <w:sz w:val="18"/>
                <w:szCs w:val="18"/>
              </w:rPr>
              <w:t xml:space="preserve"> updated to reflect more complete reporting from country offices. For reference, previous 2014 milestone was 28</w:t>
            </w:r>
            <w:r w:rsidR="00AD6458" w:rsidRPr="00667D7F">
              <w:rPr>
                <w:rFonts w:eastAsia="Calibri"/>
                <w:sz w:val="18"/>
                <w:szCs w:val="18"/>
              </w:rPr>
              <w:t xml:space="preserve">, previous target was 87. </w:t>
            </w:r>
          </w:p>
        </w:tc>
      </w:tr>
    </w:tbl>
    <w:p w14:paraId="674EB571" w14:textId="77777777" w:rsidR="00983FF8" w:rsidRDefault="00983FF8">
      <w:r>
        <w:br w:type="page"/>
      </w:r>
    </w:p>
    <w:tbl>
      <w:tblPr>
        <w:tblW w:w="14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860"/>
        <w:gridCol w:w="5437"/>
        <w:gridCol w:w="1525"/>
        <w:gridCol w:w="1265"/>
        <w:gridCol w:w="1263"/>
        <w:gridCol w:w="1803"/>
      </w:tblGrid>
      <w:tr w:rsidR="00925A24" w:rsidRPr="00283732" w14:paraId="738417B8" w14:textId="77777777" w:rsidTr="008376B6">
        <w:trPr>
          <w:trHeight w:val="413"/>
          <w:jc w:val="center"/>
        </w:trPr>
        <w:tc>
          <w:tcPr>
            <w:tcW w:w="2695" w:type="dxa"/>
            <w:vMerge w:val="restart"/>
            <w:tcBorders>
              <w:top w:val="single" w:sz="4" w:space="0" w:color="auto"/>
              <w:left w:val="single" w:sz="4" w:space="0" w:color="auto"/>
              <w:right w:val="single" w:sz="4" w:space="0" w:color="auto"/>
            </w:tcBorders>
            <w:shd w:val="clear" w:color="auto" w:fill="FFFFFF"/>
            <w:hideMark/>
          </w:tcPr>
          <w:p w14:paraId="6D76C730" w14:textId="280873C9" w:rsidR="00925A24" w:rsidRPr="00983FF8" w:rsidRDefault="00925A24" w:rsidP="00983FF8">
            <w:pPr>
              <w:spacing w:after="0" w:line="240" w:lineRule="auto"/>
              <w:rPr>
                <w:rFonts w:eastAsia="Calibri"/>
                <w:i/>
                <w:color w:val="000000"/>
                <w:sz w:val="20"/>
                <w:szCs w:val="20"/>
              </w:rPr>
            </w:pPr>
            <w:r w:rsidRPr="00983FF8">
              <w:rPr>
                <w:rFonts w:eastAsia="Calibri"/>
                <w:b/>
                <w:sz w:val="20"/>
                <w:szCs w:val="20"/>
              </w:rPr>
              <w:t>Output 1.5.</w:t>
            </w:r>
            <w:r w:rsidRPr="00983FF8">
              <w:rPr>
                <w:rFonts w:eastAsia="Calibri"/>
                <w:sz w:val="20"/>
                <w:szCs w:val="20"/>
              </w:rPr>
              <w:t xml:space="preserve"> </w:t>
            </w:r>
            <w:r w:rsidRPr="00983FF8">
              <w:rPr>
                <w:rFonts w:eastAsia="Calibri"/>
                <w:color w:val="000000"/>
                <w:sz w:val="20"/>
                <w:szCs w:val="20"/>
              </w:rPr>
              <w:t>Inclusive and sustainable solutions adopted to achieve increased energy efficiency and universal modern energy access (especially off-grid sources of renewable energy)</w:t>
            </w:r>
          </w:p>
          <w:p w14:paraId="00C4717B" w14:textId="77777777" w:rsidR="00925A24" w:rsidRPr="00983FF8" w:rsidRDefault="00925A24" w:rsidP="00983FF8">
            <w:pPr>
              <w:spacing w:after="0" w:line="240" w:lineRule="auto"/>
              <w:rPr>
                <w:rFonts w:eastAsia="Calibri"/>
                <w:i/>
                <w:color w:val="000000"/>
                <w:sz w:val="20"/>
                <w:szCs w:val="20"/>
              </w:rPr>
            </w:pPr>
          </w:p>
          <w:p w14:paraId="0B4224AC" w14:textId="156A1A31" w:rsidR="00925A24" w:rsidRPr="00983FF8" w:rsidRDefault="00925A24" w:rsidP="00983FF8">
            <w:pPr>
              <w:spacing w:after="0" w:line="240" w:lineRule="auto"/>
              <w:rPr>
                <w:rFonts w:eastAsia="Calibri"/>
                <w:color w:val="000000"/>
                <w:sz w:val="20"/>
                <w:szCs w:val="20"/>
              </w:rPr>
            </w:pPr>
            <w:r w:rsidRPr="00983FF8">
              <w:rPr>
                <w:rFonts w:ascii="Calibri" w:eastAsia="Calibri" w:hAnsi="Calibri"/>
                <w:b/>
                <w:i/>
                <w:color w:val="000000"/>
                <w:sz w:val="20"/>
                <w:szCs w:val="20"/>
              </w:rPr>
              <w:t>Number of countries linked:</w:t>
            </w:r>
            <w:r w:rsidRPr="00983FF8">
              <w:rPr>
                <w:rFonts w:ascii="Calibri" w:eastAsia="Calibri" w:hAnsi="Calibri"/>
                <w:b/>
                <w:color w:val="000000"/>
                <w:sz w:val="20"/>
                <w:szCs w:val="20"/>
              </w:rPr>
              <w:t xml:space="preserve"> </w:t>
            </w:r>
            <w:r w:rsidR="00FA2A11" w:rsidRPr="00983FF8">
              <w:rPr>
                <w:rFonts w:ascii="Calibri" w:eastAsia="Calibri" w:hAnsi="Calibri"/>
                <w:b/>
                <w:color w:val="000000"/>
                <w:sz w:val="20"/>
                <w:szCs w:val="20"/>
              </w:rPr>
              <w:t>9</w:t>
            </w:r>
            <w:r w:rsidR="002E04DB" w:rsidRPr="00983FF8">
              <w:rPr>
                <w:rFonts w:ascii="Calibri" w:eastAsia="Calibri" w:hAnsi="Calibri"/>
                <w:b/>
                <w:color w:val="000000"/>
                <w:sz w:val="20"/>
                <w:szCs w:val="20"/>
              </w:rPr>
              <w:t>5</w:t>
            </w:r>
            <w:r w:rsidRPr="00983FF8">
              <w:rPr>
                <w:rFonts w:ascii="Calibri" w:eastAsia="Calibri" w:hAnsi="Calibri"/>
                <w:b/>
                <w:color w:val="000000"/>
                <w:sz w:val="20"/>
                <w:szCs w:val="20"/>
              </w:rPr>
              <w:t xml:space="preserve"> </w:t>
            </w:r>
            <w:r w:rsidR="00FA2A11" w:rsidRPr="00983FF8">
              <w:rPr>
                <w:rFonts w:ascii="Calibri" w:eastAsia="Calibri" w:hAnsi="Calibri"/>
                <w:b/>
                <w:color w:val="000000"/>
                <w:sz w:val="20"/>
                <w:szCs w:val="20"/>
              </w:rPr>
              <w:t>(February 2015)</w:t>
            </w:r>
          </w:p>
        </w:tc>
        <w:tc>
          <w:tcPr>
            <w:tcW w:w="860" w:type="dxa"/>
            <w:vMerge w:val="restart"/>
            <w:tcBorders>
              <w:top w:val="single" w:sz="4" w:space="0" w:color="auto"/>
              <w:left w:val="single" w:sz="4" w:space="0" w:color="auto"/>
              <w:right w:val="single" w:sz="4" w:space="0" w:color="auto"/>
            </w:tcBorders>
            <w:shd w:val="clear" w:color="auto" w:fill="FFFFFF"/>
            <w:hideMark/>
          </w:tcPr>
          <w:p w14:paraId="03859BAD" w14:textId="77777777" w:rsidR="00925A24" w:rsidRPr="0032657A" w:rsidRDefault="00925A24" w:rsidP="005E0294">
            <w:pPr>
              <w:spacing w:after="0" w:line="240" w:lineRule="auto"/>
              <w:rPr>
                <w:rFonts w:eastAsia="Calibri"/>
                <w:b/>
                <w:sz w:val="20"/>
                <w:szCs w:val="20"/>
              </w:rPr>
            </w:pPr>
            <w:r w:rsidRPr="0032657A">
              <w:rPr>
                <w:rFonts w:eastAsia="Calibri"/>
                <w:b/>
                <w:sz w:val="20"/>
                <w:szCs w:val="20"/>
              </w:rPr>
              <w:t>1.5.1</w:t>
            </w:r>
          </w:p>
        </w:tc>
        <w:tc>
          <w:tcPr>
            <w:tcW w:w="5437" w:type="dxa"/>
            <w:tcBorders>
              <w:top w:val="single" w:sz="4" w:space="0" w:color="auto"/>
              <w:left w:val="single" w:sz="4" w:space="0" w:color="auto"/>
              <w:bottom w:val="single" w:sz="4" w:space="0" w:color="auto"/>
              <w:right w:val="single" w:sz="4" w:space="0" w:color="auto"/>
            </w:tcBorders>
            <w:shd w:val="clear" w:color="auto" w:fill="FFFFFF"/>
            <w:hideMark/>
          </w:tcPr>
          <w:p w14:paraId="396E6608" w14:textId="77777777" w:rsidR="00925A24" w:rsidRPr="00412C47" w:rsidRDefault="00925A24" w:rsidP="005E0294">
            <w:pPr>
              <w:spacing w:after="0" w:line="240" w:lineRule="auto"/>
              <w:rPr>
                <w:rFonts w:eastAsia="Calibri"/>
                <w:sz w:val="20"/>
                <w:szCs w:val="20"/>
              </w:rPr>
            </w:pPr>
            <w:r w:rsidRPr="00412C47">
              <w:rPr>
                <w:rFonts w:eastAsia="Calibri"/>
                <w:sz w:val="20"/>
                <w:szCs w:val="20"/>
              </w:rPr>
              <w:t xml:space="preserve">Number of </w:t>
            </w:r>
            <w:r w:rsidRPr="00412C47">
              <w:rPr>
                <w:rFonts w:eastAsia="Calibri"/>
                <w:b/>
                <w:sz w:val="20"/>
                <w:szCs w:val="20"/>
              </w:rPr>
              <w:t>new development partnerships</w:t>
            </w:r>
            <w:r w:rsidRPr="00412C47">
              <w:rPr>
                <w:rFonts w:eastAsia="Calibri"/>
                <w:sz w:val="20"/>
                <w:szCs w:val="20"/>
              </w:rPr>
              <w:t xml:space="preserve"> with funding for improved </w:t>
            </w:r>
            <w:r w:rsidRPr="00412C47">
              <w:rPr>
                <w:rFonts w:eastAsia="Calibri"/>
                <w:b/>
                <w:sz w:val="20"/>
                <w:szCs w:val="20"/>
              </w:rPr>
              <w:t>energy efficiency and/or sustainable energy solutions</w:t>
            </w:r>
            <w:r w:rsidRPr="00412C47">
              <w:rPr>
                <w:rFonts w:eastAsia="Calibri"/>
                <w:sz w:val="20"/>
                <w:szCs w:val="20"/>
              </w:rPr>
              <w:t xml:space="preserve"> targeting underserved communities/groups and women</w:t>
            </w:r>
          </w:p>
          <w:p w14:paraId="37B1FBE0" w14:textId="04788D2C" w:rsidR="001A7CE3" w:rsidRPr="00412C47" w:rsidRDefault="001A7CE3" w:rsidP="001A7CE3">
            <w:pPr>
              <w:spacing w:before="240" w:after="0" w:line="240" w:lineRule="auto"/>
              <w:rPr>
                <w:rFonts w:eastAsia="Calibri"/>
                <w:sz w:val="20"/>
                <w:szCs w:val="20"/>
              </w:rPr>
            </w:pPr>
            <w:r w:rsidRPr="00412C47">
              <w:rPr>
                <w:rFonts w:eastAsia="Calibri"/>
                <w:b/>
                <w:i/>
                <w:sz w:val="18"/>
                <w:szCs w:val="18"/>
              </w:rPr>
              <w:t>Number of coun</w:t>
            </w:r>
            <w:r w:rsidR="002B6FCD" w:rsidRPr="00412C47">
              <w:rPr>
                <w:rFonts w:eastAsia="Calibri"/>
                <w:b/>
                <w:i/>
                <w:sz w:val="18"/>
                <w:szCs w:val="18"/>
              </w:rPr>
              <w:t xml:space="preserve">tries </w:t>
            </w:r>
            <w:r w:rsidR="00983FF8" w:rsidRPr="00412C47">
              <w:rPr>
                <w:rFonts w:eastAsia="Calibri"/>
                <w:b/>
                <w:i/>
                <w:sz w:val="18"/>
                <w:szCs w:val="18"/>
              </w:rPr>
              <w:t>for which a 2017 target has currently been set under this indicator</w:t>
            </w:r>
            <w:r w:rsidR="002B6FCD" w:rsidRPr="00412C47">
              <w:rPr>
                <w:rFonts w:eastAsia="Calibri"/>
                <w:b/>
                <w:i/>
                <w:sz w:val="18"/>
                <w:szCs w:val="18"/>
              </w:rPr>
              <w:t>: 65</w:t>
            </w:r>
          </w:p>
        </w:tc>
        <w:tc>
          <w:tcPr>
            <w:tcW w:w="1525" w:type="dxa"/>
            <w:tcBorders>
              <w:top w:val="single" w:sz="4" w:space="0" w:color="auto"/>
              <w:left w:val="single" w:sz="4" w:space="0" w:color="auto"/>
              <w:right w:val="single" w:sz="4" w:space="0" w:color="auto"/>
            </w:tcBorders>
            <w:shd w:val="clear" w:color="auto" w:fill="FFFFFF"/>
            <w:vAlign w:val="center"/>
          </w:tcPr>
          <w:p w14:paraId="42188F2A" w14:textId="7A06E93A" w:rsidR="00925A24" w:rsidRPr="00670D72" w:rsidRDefault="00925A24" w:rsidP="00847ABD">
            <w:pPr>
              <w:spacing w:before="120" w:after="0" w:line="240" w:lineRule="auto"/>
              <w:jc w:val="center"/>
              <w:rPr>
                <w:rFonts w:eastAsia="Calibri"/>
                <w:color w:val="000000"/>
                <w:sz w:val="20"/>
                <w:szCs w:val="20"/>
              </w:rPr>
            </w:pPr>
            <w:r w:rsidRPr="00670D72">
              <w:rPr>
                <w:rFonts w:eastAsia="Calibri"/>
                <w:color w:val="000000"/>
                <w:sz w:val="20"/>
                <w:szCs w:val="20"/>
              </w:rPr>
              <w:t>0</w:t>
            </w:r>
          </w:p>
        </w:tc>
        <w:tc>
          <w:tcPr>
            <w:tcW w:w="1265" w:type="dxa"/>
            <w:tcBorders>
              <w:top w:val="single" w:sz="4" w:space="0" w:color="auto"/>
              <w:left w:val="single" w:sz="4" w:space="0" w:color="auto"/>
              <w:right w:val="single" w:sz="4" w:space="0" w:color="auto"/>
            </w:tcBorders>
            <w:shd w:val="clear" w:color="auto" w:fill="FFFFFF"/>
            <w:vAlign w:val="center"/>
          </w:tcPr>
          <w:p w14:paraId="433904B1" w14:textId="650BC311" w:rsidR="00925A24" w:rsidRPr="00670D72" w:rsidRDefault="00925A24" w:rsidP="00E21B17">
            <w:pPr>
              <w:spacing w:after="0" w:line="240" w:lineRule="auto"/>
              <w:jc w:val="center"/>
              <w:rPr>
                <w:rFonts w:eastAsia="Calibri"/>
                <w:color w:val="000000"/>
                <w:sz w:val="20"/>
                <w:szCs w:val="20"/>
              </w:rPr>
            </w:pPr>
            <w:r w:rsidRPr="00670D72">
              <w:rPr>
                <w:rFonts w:eastAsia="Calibri"/>
                <w:color w:val="000000"/>
                <w:sz w:val="20"/>
                <w:szCs w:val="20"/>
              </w:rPr>
              <w:t>1</w:t>
            </w:r>
            <w:r w:rsidR="00E21B17">
              <w:rPr>
                <w:rFonts w:eastAsia="Calibri"/>
                <w:color w:val="000000"/>
                <w:sz w:val="20"/>
                <w:szCs w:val="20"/>
              </w:rPr>
              <w:t>51</w:t>
            </w:r>
          </w:p>
        </w:tc>
        <w:tc>
          <w:tcPr>
            <w:tcW w:w="1263" w:type="dxa"/>
            <w:tcBorders>
              <w:top w:val="single" w:sz="4" w:space="0" w:color="auto"/>
              <w:left w:val="single" w:sz="4" w:space="0" w:color="auto"/>
              <w:right w:val="single" w:sz="4" w:space="0" w:color="auto"/>
            </w:tcBorders>
            <w:shd w:val="clear" w:color="auto" w:fill="FFFFFF"/>
            <w:vAlign w:val="center"/>
          </w:tcPr>
          <w:p w14:paraId="7D75CA3F" w14:textId="0F475DFD" w:rsidR="00925A24" w:rsidRPr="00670D72" w:rsidRDefault="00E21B17" w:rsidP="005E0294">
            <w:pPr>
              <w:spacing w:after="0" w:line="240" w:lineRule="auto"/>
              <w:jc w:val="center"/>
              <w:rPr>
                <w:rFonts w:eastAsia="Calibri"/>
                <w:color w:val="000000"/>
                <w:sz w:val="20"/>
                <w:szCs w:val="20"/>
              </w:rPr>
            </w:pPr>
            <w:r>
              <w:rPr>
                <w:rFonts w:eastAsia="Calibri"/>
                <w:color w:val="000000"/>
                <w:sz w:val="20"/>
                <w:szCs w:val="20"/>
              </w:rPr>
              <w:t>139</w:t>
            </w:r>
          </w:p>
        </w:tc>
        <w:tc>
          <w:tcPr>
            <w:tcW w:w="1803" w:type="dxa"/>
            <w:tcBorders>
              <w:top w:val="single" w:sz="4" w:space="0" w:color="auto"/>
              <w:left w:val="single" w:sz="4" w:space="0" w:color="auto"/>
              <w:right w:val="single" w:sz="4" w:space="0" w:color="auto"/>
            </w:tcBorders>
            <w:shd w:val="clear" w:color="auto" w:fill="FFFFFF"/>
            <w:vAlign w:val="center"/>
          </w:tcPr>
          <w:p w14:paraId="2ADCCBD3" w14:textId="4D42E1DF" w:rsidR="00925A24" w:rsidRPr="00670D72" w:rsidRDefault="00925A24" w:rsidP="00DA3857">
            <w:pPr>
              <w:spacing w:after="0" w:line="240" w:lineRule="auto"/>
              <w:jc w:val="center"/>
              <w:rPr>
                <w:rFonts w:eastAsia="Calibri"/>
                <w:color w:val="000000"/>
                <w:sz w:val="18"/>
                <w:szCs w:val="18"/>
              </w:rPr>
            </w:pPr>
            <w:r w:rsidRPr="002B6FCD">
              <w:rPr>
                <w:rFonts w:eastAsia="Calibri"/>
                <w:color w:val="000000"/>
                <w:sz w:val="20"/>
                <w:szCs w:val="18"/>
              </w:rPr>
              <w:t>5</w:t>
            </w:r>
            <w:r w:rsidR="00DA3857">
              <w:rPr>
                <w:rFonts w:eastAsia="Calibri"/>
                <w:color w:val="000000"/>
                <w:sz w:val="20"/>
                <w:szCs w:val="18"/>
              </w:rPr>
              <w:t>4</w:t>
            </w:r>
            <w:r w:rsidR="002B6FCD" w:rsidRPr="002B6FCD">
              <w:rPr>
                <w:rFonts w:eastAsia="Calibri"/>
                <w:color w:val="000000"/>
                <w:sz w:val="20"/>
                <w:szCs w:val="18"/>
              </w:rPr>
              <w:t>5</w:t>
            </w:r>
          </w:p>
        </w:tc>
      </w:tr>
      <w:tr w:rsidR="00E21B17" w:rsidRPr="00283732" w14:paraId="02816DE5" w14:textId="77777777" w:rsidTr="00BC2597">
        <w:trPr>
          <w:trHeight w:val="413"/>
          <w:jc w:val="center"/>
        </w:trPr>
        <w:tc>
          <w:tcPr>
            <w:tcW w:w="2695" w:type="dxa"/>
            <w:vMerge/>
            <w:tcBorders>
              <w:left w:val="single" w:sz="4" w:space="0" w:color="auto"/>
              <w:right w:val="single" w:sz="4" w:space="0" w:color="auto"/>
            </w:tcBorders>
            <w:shd w:val="clear" w:color="auto" w:fill="FFFFFF"/>
            <w:vAlign w:val="center"/>
          </w:tcPr>
          <w:p w14:paraId="2D8EE548" w14:textId="77777777" w:rsidR="00E21B17" w:rsidRPr="00A512C1" w:rsidRDefault="00E21B17" w:rsidP="005E0294">
            <w:pPr>
              <w:spacing w:after="0" w:line="240" w:lineRule="auto"/>
              <w:rPr>
                <w:rFonts w:eastAsia="Calibri"/>
                <w:b/>
                <w:sz w:val="20"/>
                <w:szCs w:val="20"/>
              </w:rPr>
            </w:pPr>
          </w:p>
        </w:tc>
        <w:tc>
          <w:tcPr>
            <w:tcW w:w="860" w:type="dxa"/>
            <w:vMerge/>
            <w:tcBorders>
              <w:left w:val="single" w:sz="4" w:space="0" w:color="auto"/>
              <w:bottom w:val="single" w:sz="4" w:space="0" w:color="auto"/>
              <w:right w:val="single" w:sz="4" w:space="0" w:color="auto"/>
            </w:tcBorders>
            <w:shd w:val="clear" w:color="auto" w:fill="FFFFFF"/>
          </w:tcPr>
          <w:p w14:paraId="5DFEC350" w14:textId="77777777" w:rsidR="00E21B17" w:rsidRPr="00916C74" w:rsidRDefault="00E21B17" w:rsidP="005E0294">
            <w:pPr>
              <w:spacing w:after="0" w:line="240" w:lineRule="auto"/>
              <w:rPr>
                <w:rFonts w:eastAsia="Calibri"/>
                <w:b/>
                <w:sz w:val="20"/>
                <w:szCs w:val="20"/>
                <w:highlight w:val="yellow"/>
              </w:rPr>
            </w:pPr>
          </w:p>
        </w:tc>
        <w:tc>
          <w:tcPr>
            <w:tcW w:w="11293" w:type="dxa"/>
            <w:gridSpan w:val="5"/>
            <w:tcBorders>
              <w:left w:val="single" w:sz="4" w:space="0" w:color="auto"/>
              <w:bottom w:val="single" w:sz="4" w:space="0" w:color="auto"/>
              <w:right w:val="single" w:sz="4" w:space="0" w:color="auto"/>
            </w:tcBorders>
            <w:shd w:val="clear" w:color="auto" w:fill="D9D9D9" w:themeFill="background1" w:themeFillShade="D9"/>
          </w:tcPr>
          <w:p w14:paraId="3F99609E" w14:textId="083686D7" w:rsidR="00E21B17" w:rsidRPr="00412C47" w:rsidRDefault="00E21B17" w:rsidP="005E0294">
            <w:pPr>
              <w:spacing w:after="0" w:line="240" w:lineRule="auto"/>
              <w:rPr>
                <w:rFonts w:ascii="Calibri" w:eastAsia="Calibri" w:hAnsi="Calibri"/>
                <w:sz w:val="18"/>
                <w:szCs w:val="18"/>
              </w:rPr>
            </w:pPr>
            <w:r w:rsidRPr="00412C47">
              <w:rPr>
                <w:rFonts w:ascii="Calibri" w:eastAsia="Calibri" w:hAnsi="Calibri"/>
                <w:b/>
                <w:sz w:val="18"/>
                <w:szCs w:val="18"/>
              </w:rPr>
              <w:t xml:space="preserve">Indicator 1.5.1 Note: </w:t>
            </w:r>
            <w:r w:rsidRPr="00412C47">
              <w:rPr>
                <w:rFonts w:ascii="Calibri" w:eastAsia="Calibri" w:hAnsi="Calibri"/>
                <w:sz w:val="18"/>
                <w:szCs w:val="18"/>
              </w:rPr>
              <w:t xml:space="preserve">Tracks the number of new partnerships with funding established (on demand </w:t>
            </w:r>
            <w:r w:rsidRPr="00412C47">
              <w:rPr>
                <w:sz w:val="18"/>
                <w:szCs w:val="18"/>
              </w:rPr>
              <w:t>from programme countries</w:t>
            </w:r>
            <w:r w:rsidRPr="00412C47">
              <w:rPr>
                <w:rFonts w:ascii="Calibri" w:eastAsia="Calibri" w:hAnsi="Calibri"/>
                <w:sz w:val="18"/>
                <w:szCs w:val="18"/>
              </w:rPr>
              <w:t>) from January 2014 onwards.</w:t>
            </w:r>
          </w:p>
          <w:p w14:paraId="1197AAD5" w14:textId="458133D3" w:rsidR="00E21B17" w:rsidRPr="00412C47" w:rsidRDefault="00E21B17" w:rsidP="006D7071">
            <w:pPr>
              <w:spacing w:after="0" w:line="240" w:lineRule="auto"/>
              <w:rPr>
                <w:rFonts w:eastAsia="Calibri"/>
                <w:i/>
                <w:sz w:val="18"/>
                <w:szCs w:val="18"/>
              </w:rPr>
            </w:pPr>
            <w:r w:rsidRPr="00412C47">
              <w:rPr>
                <w:rFonts w:eastAsia="Calibri"/>
                <w:b/>
                <w:sz w:val="18"/>
                <w:szCs w:val="18"/>
              </w:rPr>
              <w:t xml:space="preserve">2014 Reporting Note: </w:t>
            </w:r>
            <w:r w:rsidRPr="00412C47">
              <w:rPr>
                <w:rFonts w:eastAsia="Calibri"/>
                <w:sz w:val="18"/>
                <w:szCs w:val="18"/>
              </w:rPr>
              <w:t xml:space="preserve">2014 </w:t>
            </w:r>
            <w:r w:rsidR="001A7CE3" w:rsidRPr="00412C47">
              <w:rPr>
                <w:rFonts w:eastAsia="Calibri"/>
                <w:sz w:val="18"/>
                <w:szCs w:val="18"/>
              </w:rPr>
              <w:t xml:space="preserve">milestones and 2017 targets </w:t>
            </w:r>
            <w:r w:rsidRPr="00412C47">
              <w:rPr>
                <w:rFonts w:eastAsia="Calibri"/>
                <w:sz w:val="18"/>
                <w:szCs w:val="18"/>
              </w:rPr>
              <w:t>updated to reflect more complete reporting from country offices. For reference, previous 2014 milestone was 113</w:t>
            </w:r>
            <w:r w:rsidR="001A7CE3" w:rsidRPr="00412C47">
              <w:rPr>
                <w:rFonts w:eastAsia="Calibri"/>
                <w:sz w:val="18"/>
                <w:szCs w:val="18"/>
              </w:rPr>
              <w:t xml:space="preserve">, previous target was 509. </w:t>
            </w:r>
          </w:p>
        </w:tc>
      </w:tr>
      <w:tr w:rsidR="00925A24" w:rsidRPr="00283732" w14:paraId="3E0AE354" w14:textId="77777777" w:rsidTr="00D815E3">
        <w:trPr>
          <w:trHeight w:val="350"/>
          <w:jc w:val="center"/>
        </w:trPr>
        <w:tc>
          <w:tcPr>
            <w:tcW w:w="2695" w:type="dxa"/>
            <w:vMerge/>
            <w:tcBorders>
              <w:left w:val="single" w:sz="4" w:space="0" w:color="auto"/>
              <w:right w:val="single" w:sz="4" w:space="0" w:color="auto"/>
            </w:tcBorders>
            <w:shd w:val="clear" w:color="auto" w:fill="auto"/>
            <w:vAlign w:val="center"/>
            <w:hideMark/>
          </w:tcPr>
          <w:p w14:paraId="3A61ACBA" w14:textId="77777777" w:rsidR="00925A24" w:rsidRPr="00A512C1" w:rsidRDefault="00925A24" w:rsidP="005E0294">
            <w:pPr>
              <w:spacing w:after="0" w:line="240" w:lineRule="auto"/>
              <w:rPr>
                <w:rFonts w:eastAsia="Calibri"/>
                <w:b/>
                <w:sz w:val="20"/>
                <w:szCs w:val="20"/>
                <w:u w:val="single"/>
              </w:rPr>
            </w:pPr>
          </w:p>
        </w:tc>
        <w:tc>
          <w:tcPr>
            <w:tcW w:w="860" w:type="dxa"/>
            <w:vMerge w:val="restart"/>
            <w:tcBorders>
              <w:top w:val="single" w:sz="4" w:space="0" w:color="auto"/>
              <w:left w:val="single" w:sz="4" w:space="0" w:color="auto"/>
              <w:right w:val="single" w:sz="4" w:space="0" w:color="auto"/>
            </w:tcBorders>
            <w:shd w:val="clear" w:color="auto" w:fill="FFFFFF"/>
            <w:hideMark/>
          </w:tcPr>
          <w:p w14:paraId="502C40CD" w14:textId="77777777" w:rsidR="00925A24" w:rsidRPr="00A512C1" w:rsidRDefault="00925A24" w:rsidP="005E0294">
            <w:pPr>
              <w:spacing w:after="0" w:line="240" w:lineRule="auto"/>
              <w:rPr>
                <w:rFonts w:eastAsia="Calibri"/>
                <w:b/>
                <w:sz w:val="20"/>
                <w:szCs w:val="20"/>
              </w:rPr>
            </w:pPr>
            <w:r w:rsidRPr="00A512C1">
              <w:rPr>
                <w:rFonts w:eastAsia="Calibri"/>
                <w:b/>
                <w:sz w:val="20"/>
                <w:szCs w:val="20"/>
              </w:rPr>
              <w:t>1.5.2</w:t>
            </w:r>
          </w:p>
        </w:tc>
        <w:tc>
          <w:tcPr>
            <w:tcW w:w="5437" w:type="dxa"/>
            <w:tcBorders>
              <w:top w:val="single" w:sz="4" w:space="0" w:color="auto"/>
              <w:left w:val="single" w:sz="4" w:space="0" w:color="auto"/>
              <w:bottom w:val="single" w:sz="4" w:space="0" w:color="auto"/>
              <w:right w:val="single" w:sz="4" w:space="0" w:color="auto"/>
            </w:tcBorders>
            <w:shd w:val="clear" w:color="auto" w:fill="FFFFFF"/>
            <w:hideMark/>
          </w:tcPr>
          <w:p w14:paraId="374FEB56" w14:textId="5DB62A74" w:rsidR="00925A24" w:rsidRPr="00412C47" w:rsidRDefault="00925A24" w:rsidP="00566237">
            <w:pPr>
              <w:spacing w:after="0" w:line="240" w:lineRule="auto"/>
              <w:rPr>
                <w:rFonts w:eastAsia="Calibri"/>
                <w:color w:val="000000"/>
                <w:sz w:val="20"/>
                <w:szCs w:val="20"/>
              </w:rPr>
            </w:pPr>
            <w:r w:rsidRPr="00412C47">
              <w:rPr>
                <w:rFonts w:eastAsia="Calibri"/>
                <w:color w:val="000000"/>
                <w:sz w:val="20"/>
                <w:szCs w:val="20"/>
              </w:rPr>
              <w:t xml:space="preserve">Number of </w:t>
            </w:r>
            <w:r w:rsidR="008A27CB" w:rsidRPr="000B5DED">
              <w:rPr>
                <w:rFonts w:eastAsia="Calibri"/>
                <w:b/>
                <w:color w:val="000000"/>
                <w:sz w:val="20"/>
                <w:szCs w:val="20"/>
              </w:rPr>
              <w:t>additional</w:t>
            </w:r>
            <w:r w:rsidR="008A27CB" w:rsidRPr="00412C47">
              <w:rPr>
                <w:rFonts w:eastAsia="Calibri"/>
                <w:color w:val="000000"/>
                <w:sz w:val="20"/>
                <w:szCs w:val="20"/>
              </w:rPr>
              <w:t xml:space="preserve"> </w:t>
            </w:r>
            <w:r w:rsidRPr="00412C47">
              <w:rPr>
                <w:rFonts w:eastAsia="Calibri"/>
                <w:color w:val="000000"/>
                <w:sz w:val="20"/>
                <w:szCs w:val="20"/>
              </w:rPr>
              <w:t>peo</w:t>
            </w:r>
            <w:r w:rsidR="001A7CE3" w:rsidRPr="00412C47">
              <w:rPr>
                <w:rFonts w:eastAsia="Calibri"/>
                <w:color w:val="000000"/>
                <w:sz w:val="20"/>
                <w:szCs w:val="20"/>
              </w:rPr>
              <w:t xml:space="preserve">ple with </w:t>
            </w:r>
            <w:r w:rsidR="001A7CE3" w:rsidRPr="00412C47">
              <w:rPr>
                <w:rFonts w:eastAsia="Calibri"/>
                <w:b/>
                <w:color w:val="000000"/>
                <w:sz w:val="20"/>
                <w:szCs w:val="20"/>
              </w:rPr>
              <w:t>improved energy access</w:t>
            </w:r>
          </w:p>
          <w:p w14:paraId="4CBED229" w14:textId="65480997" w:rsidR="001A7CE3" w:rsidRPr="00412C47" w:rsidRDefault="001A7CE3" w:rsidP="001A7CE3">
            <w:pPr>
              <w:spacing w:before="240" w:after="0" w:line="240" w:lineRule="auto"/>
              <w:rPr>
                <w:rFonts w:eastAsia="Calibri"/>
                <w:color w:val="000000"/>
                <w:sz w:val="20"/>
                <w:szCs w:val="20"/>
              </w:rPr>
            </w:pPr>
            <w:r w:rsidRPr="00412C47">
              <w:rPr>
                <w:rFonts w:eastAsia="Calibri"/>
                <w:b/>
                <w:i/>
                <w:sz w:val="18"/>
                <w:szCs w:val="18"/>
              </w:rPr>
              <w:t xml:space="preserve">Number of countries </w:t>
            </w:r>
            <w:r w:rsidR="00983FF8" w:rsidRPr="00412C47">
              <w:rPr>
                <w:rFonts w:eastAsia="Calibri"/>
                <w:b/>
                <w:i/>
                <w:sz w:val="18"/>
                <w:szCs w:val="18"/>
              </w:rPr>
              <w:t>for which a 2017 target has currently been set under this indicator</w:t>
            </w:r>
            <w:r w:rsidR="00256102" w:rsidRPr="00412C47">
              <w:rPr>
                <w:rFonts w:eastAsia="Calibri"/>
                <w:b/>
                <w:i/>
                <w:sz w:val="18"/>
                <w:szCs w:val="18"/>
              </w:rPr>
              <w:t>: 52</w:t>
            </w:r>
          </w:p>
        </w:tc>
        <w:tc>
          <w:tcPr>
            <w:tcW w:w="1525" w:type="dxa"/>
            <w:tcBorders>
              <w:left w:val="single" w:sz="4" w:space="0" w:color="auto"/>
              <w:right w:val="single" w:sz="4" w:space="0" w:color="auto"/>
            </w:tcBorders>
            <w:shd w:val="clear" w:color="auto" w:fill="FFFFFF"/>
            <w:vAlign w:val="center"/>
          </w:tcPr>
          <w:p w14:paraId="4F9158FE" w14:textId="193089E7" w:rsidR="00925A24" w:rsidRPr="002F6017" w:rsidRDefault="00925A24" w:rsidP="00D815E3">
            <w:pPr>
              <w:spacing w:after="0" w:line="240" w:lineRule="auto"/>
              <w:jc w:val="center"/>
              <w:rPr>
                <w:sz w:val="20"/>
                <w:szCs w:val="20"/>
              </w:rPr>
            </w:pPr>
            <w:r w:rsidRPr="002F6017">
              <w:rPr>
                <w:sz w:val="20"/>
                <w:szCs w:val="20"/>
              </w:rPr>
              <w:t>0</w:t>
            </w:r>
          </w:p>
        </w:tc>
        <w:tc>
          <w:tcPr>
            <w:tcW w:w="1265" w:type="dxa"/>
            <w:tcBorders>
              <w:left w:val="single" w:sz="4" w:space="0" w:color="auto"/>
              <w:right w:val="single" w:sz="4" w:space="0" w:color="auto"/>
            </w:tcBorders>
            <w:shd w:val="clear" w:color="auto" w:fill="FFFFFF"/>
            <w:vAlign w:val="center"/>
          </w:tcPr>
          <w:p w14:paraId="160FE9E8" w14:textId="4C911446" w:rsidR="00925A24" w:rsidRPr="002F6017" w:rsidRDefault="001262B4" w:rsidP="00D815E3">
            <w:pPr>
              <w:spacing w:after="0" w:line="240" w:lineRule="auto"/>
              <w:jc w:val="center"/>
              <w:rPr>
                <w:sz w:val="20"/>
                <w:szCs w:val="20"/>
              </w:rPr>
            </w:pPr>
            <w:r>
              <w:rPr>
                <w:sz w:val="20"/>
                <w:szCs w:val="20"/>
              </w:rPr>
              <w:t>1,051,722</w:t>
            </w:r>
          </w:p>
        </w:tc>
        <w:tc>
          <w:tcPr>
            <w:tcW w:w="1263" w:type="dxa"/>
            <w:tcBorders>
              <w:left w:val="single" w:sz="4" w:space="0" w:color="auto"/>
              <w:right w:val="single" w:sz="4" w:space="0" w:color="auto"/>
            </w:tcBorders>
            <w:shd w:val="clear" w:color="auto" w:fill="FFFFFF"/>
            <w:vAlign w:val="center"/>
          </w:tcPr>
          <w:p w14:paraId="7B8D36C1" w14:textId="74C3A90D" w:rsidR="00925A24" w:rsidRPr="002F6017" w:rsidRDefault="001262B4" w:rsidP="00D815E3">
            <w:pPr>
              <w:spacing w:after="0" w:line="240" w:lineRule="auto"/>
              <w:jc w:val="center"/>
              <w:rPr>
                <w:sz w:val="20"/>
                <w:szCs w:val="20"/>
              </w:rPr>
            </w:pPr>
            <w:r>
              <w:rPr>
                <w:sz w:val="20"/>
                <w:szCs w:val="20"/>
              </w:rPr>
              <w:t>1,336,476</w:t>
            </w:r>
          </w:p>
        </w:tc>
        <w:tc>
          <w:tcPr>
            <w:tcW w:w="1803" w:type="dxa"/>
            <w:tcBorders>
              <w:left w:val="single" w:sz="4" w:space="0" w:color="auto"/>
              <w:right w:val="single" w:sz="4" w:space="0" w:color="auto"/>
            </w:tcBorders>
            <w:shd w:val="clear" w:color="auto" w:fill="FFFFFF"/>
            <w:vAlign w:val="center"/>
          </w:tcPr>
          <w:p w14:paraId="737A8345" w14:textId="13519DAA" w:rsidR="00925A24" w:rsidRPr="002F6017" w:rsidRDefault="00256102" w:rsidP="00D815E3">
            <w:pPr>
              <w:spacing w:after="0" w:line="240" w:lineRule="auto"/>
              <w:jc w:val="center"/>
              <w:rPr>
                <w:sz w:val="20"/>
                <w:szCs w:val="20"/>
              </w:rPr>
            </w:pPr>
            <w:r w:rsidRPr="0081538B">
              <w:rPr>
                <w:sz w:val="20"/>
                <w:szCs w:val="20"/>
              </w:rPr>
              <w:t>5,372,048</w:t>
            </w:r>
          </w:p>
        </w:tc>
      </w:tr>
      <w:tr w:rsidR="00E21B17" w:rsidRPr="00283732" w14:paraId="4BD0145C" w14:textId="77777777" w:rsidTr="00BC2597">
        <w:trPr>
          <w:trHeight w:val="350"/>
          <w:jc w:val="center"/>
        </w:trPr>
        <w:tc>
          <w:tcPr>
            <w:tcW w:w="2695" w:type="dxa"/>
            <w:vMerge/>
            <w:tcBorders>
              <w:left w:val="single" w:sz="4" w:space="0" w:color="auto"/>
              <w:bottom w:val="single" w:sz="4" w:space="0" w:color="auto"/>
              <w:right w:val="single" w:sz="4" w:space="0" w:color="auto"/>
            </w:tcBorders>
            <w:shd w:val="clear" w:color="auto" w:fill="auto"/>
            <w:vAlign w:val="center"/>
          </w:tcPr>
          <w:p w14:paraId="42BFF1B2" w14:textId="77777777" w:rsidR="00E21B17" w:rsidRPr="00A512C1" w:rsidRDefault="00E21B17" w:rsidP="005E0294">
            <w:pPr>
              <w:spacing w:after="0" w:line="240" w:lineRule="auto"/>
              <w:rPr>
                <w:rFonts w:eastAsia="Calibri"/>
                <w:b/>
                <w:sz w:val="20"/>
                <w:szCs w:val="20"/>
                <w:u w:val="single"/>
              </w:rPr>
            </w:pPr>
          </w:p>
        </w:tc>
        <w:tc>
          <w:tcPr>
            <w:tcW w:w="860" w:type="dxa"/>
            <w:vMerge/>
            <w:tcBorders>
              <w:left w:val="single" w:sz="4" w:space="0" w:color="auto"/>
              <w:bottom w:val="single" w:sz="4" w:space="0" w:color="auto"/>
              <w:right w:val="single" w:sz="4" w:space="0" w:color="auto"/>
            </w:tcBorders>
            <w:shd w:val="clear" w:color="auto" w:fill="FFFFFF"/>
          </w:tcPr>
          <w:p w14:paraId="58A80DE2" w14:textId="77777777" w:rsidR="00E21B17" w:rsidRPr="00A512C1" w:rsidRDefault="00E21B17" w:rsidP="005E0294">
            <w:pPr>
              <w:spacing w:after="0" w:line="240" w:lineRule="auto"/>
              <w:rPr>
                <w:rFonts w:eastAsia="Calibri"/>
                <w:b/>
                <w:sz w:val="20"/>
                <w:szCs w:val="20"/>
              </w:rPr>
            </w:pPr>
          </w:p>
        </w:tc>
        <w:tc>
          <w:tcPr>
            <w:tcW w:w="11293" w:type="dxa"/>
            <w:gridSpan w:val="5"/>
            <w:tcBorders>
              <w:left w:val="single" w:sz="4" w:space="0" w:color="auto"/>
              <w:bottom w:val="single" w:sz="4" w:space="0" w:color="auto"/>
              <w:right w:val="single" w:sz="4" w:space="0" w:color="auto"/>
            </w:tcBorders>
            <w:shd w:val="clear" w:color="auto" w:fill="D9D9D9" w:themeFill="background1" w:themeFillShade="D9"/>
          </w:tcPr>
          <w:p w14:paraId="6C8EB8D3" w14:textId="77777777" w:rsidR="00E21B17" w:rsidRPr="00983FF8" w:rsidRDefault="00E21B17" w:rsidP="007D39FA">
            <w:pPr>
              <w:spacing w:after="0" w:line="240" w:lineRule="auto"/>
              <w:rPr>
                <w:rFonts w:ascii="Calibri" w:eastAsia="Calibri" w:hAnsi="Calibri"/>
                <w:sz w:val="18"/>
                <w:szCs w:val="18"/>
              </w:rPr>
            </w:pPr>
            <w:r w:rsidRPr="00983FF8">
              <w:rPr>
                <w:rFonts w:ascii="Calibri" w:eastAsia="Calibri" w:hAnsi="Calibri"/>
                <w:b/>
                <w:sz w:val="18"/>
                <w:szCs w:val="18"/>
              </w:rPr>
              <w:t xml:space="preserve">Indicator 1.5.2 Note: </w:t>
            </w:r>
            <w:r w:rsidRPr="00983FF8">
              <w:rPr>
                <w:rFonts w:ascii="Calibri" w:eastAsia="Calibri" w:hAnsi="Calibri"/>
                <w:sz w:val="18"/>
                <w:szCs w:val="18"/>
              </w:rPr>
              <w:t xml:space="preserve">Tracks the number of people whose access to energy has improved as a result of UNDP support (on demand </w:t>
            </w:r>
            <w:r w:rsidRPr="00983FF8">
              <w:rPr>
                <w:sz w:val="18"/>
                <w:szCs w:val="18"/>
              </w:rPr>
              <w:t>from programme countries</w:t>
            </w:r>
            <w:r w:rsidRPr="00983FF8">
              <w:rPr>
                <w:rFonts w:ascii="Calibri" w:eastAsia="Calibri" w:hAnsi="Calibri"/>
                <w:sz w:val="18"/>
                <w:szCs w:val="18"/>
              </w:rPr>
              <w:t xml:space="preserve">), from January 2014 onwards. </w:t>
            </w:r>
          </w:p>
          <w:p w14:paraId="4229773C" w14:textId="169F7168" w:rsidR="00E21B17" w:rsidRPr="00983FF8" w:rsidRDefault="00E21B17" w:rsidP="006D7071">
            <w:pPr>
              <w:spacing w:after="0" w:line="240" w:lineRule="auto"/>
            </w:pPr>
            <w:r w:rsidRPr="00983FF8">
              <w:rPr>
                <w:rFonts w:eastAsia="Calibri"/>
                <w:b/>
                <w:sz w:val="18"/>
                <w:szCs w:val="18"/>
              </w:rPr>
              <w:t xml:space="preserve">2014 Reporting Note: </w:t>
            </w:r>
            <w:r w:rsidRPr="00983FF8">
              <w:rPr>
                <w:rFonts w:eastAsia="Calibri"/>
                <w:sz w:val="18"/>
                <w:szCs w:val="18"/>
              </w:rPr>
              <w:t xml:space="preserve">2014 </w:t>
            </w:r>
            <w:r w:rsidR="001A7CE3" w:rsidRPr="00983FF8">
              <w:rPr>
                <w:rFonts w:eastAsia="Calibri"/>
                <w:sz w:val="18"/>
                <w:szCs w:val="18"/>
              </w:rPr>
              <w:t>milestones and 2017 targets</w:t>
            </w:r>
            <w:r w:rsidRPr="00983FF8">
              <w:rPr>
                <w:rFonts w:eastAsia="Calibri"/>
                <w:sz w:val="18"/>
                <w:szCs w:val="18"/>
              </w:rPr>
              <w:t xml:space="preserve"> updated to reflect more complete reporting from country offices. For reference, previous 2014 milestone was 1,005,931</w:t>
            </w:r>
            <w:r w:rsidR="001A7CE3" w:rsidRPr="00983FF8">
              <w:rPr>
                <w:rFonts w:eastAsia="Calibri"/>
                <w:sz w:val="18"/>
                <w:szCs w:val="18"/>
              </w:rPr>
              <w:t xml:space="preserve">, previous target was 10,906,788. </w:t>
            </w:r>
          </w:p>
        </w:tc>
      </w:tr>
    </w:tbl>
    <w:p w14:paraId="4F750807" w14:textId="77777777" w:rsidR="004E2D72" w:rsidRDefault="004E2D72" w:rsidP="00724F77">
      <w:pPr>
        <w:rPr>
          <w:rFonts w:eastAsia="SimSun"/>
          <w:b/>
          <w:lang w:eastAsia="x-none"/>
        </w:rPr>
      </w:pPr>
    </w:p>
    <w:tbl>
      <w:tblPr>
        <w:tblW w:w="14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19"/>
        <w:gridCol w:w="2612"/>
        <w:gridCol w:w="990"/>
        <w:gridCol w:w="1980"/>
      </w:tblGrid>
      <w:tr w:rsidR="004E2D72" w:rsidRPr="00BB59E7" w14:paraId="2C012573" w14:textId="77777777" w:rsidTr="00EF7BF7">
        <w:trPr>
          <w:trHeight w:val="263"/>
          <w:jc w:val="center"/>
        </w:trPr>
        <w:tc>
          <w:tcPr>
            <w:tcW w:w="14935" w:type="dxa"/>
            <w:gridSpan w:val="5"/>
            <w:tcBorders>
              <w:top w:val="single" w:sz="4" w:space="0" w:color="auto"/>
              <w:left w:val="single" w:sz="4" w:space="0" w:color="auto"/>
              <w:bottom w:val="single" w:sz="4" w:space="0" w:color="auto"/>
              <w:right w:val="single" w:sz="4" w:space="0" w:color="auto"/>
            </w:tcBorders>
            <w:shd w:val="clear" w:color="auto" w:fill="0070C0"/>
          </w:tcPr>
          <w:p w14:paraId="78E60956" w14:textId="7F1D7DB2" w:rsidR="004E2D72" w:rsidRPr="00015A57" w:rsidRDefault="004E2D72" w:rsidP="003377AB">
            <w:pPr>
              <w:spacing w:after="0" w:line="240" w:lineRule="auto"/>
              <w:rPr>
                <w:rFonts w:eastAsia="Calibri"/>
                <w:b/>
              </w:rPr>
            </w:pPr>
            <w:r w:rsidRPr="00015A57">
              <w:rPr>
                <w:rFonts w:eastAsia="Calibri"/>
                <w:sz w:val="24"/>
                <w:szCs w:val="24"/>
              </w:rPr>
              <w:br w:type="page"/>
            </w:r>
            <w:r w:rsidRPr="00015A57">
              <w:rPr>
                <w:rFonts w:eastAsia="Calibri"/>
                <w:sz w:val="24"/>
                <w:szCs w:val="24"/>
              </w:rPr>
              <w:br w:type="page"/>
            </w:r>
            <w:r w:rsidRPr="00015A57">
              <w:rPr>
                <w:rFonts w:eastAsia="Calibri"/>
                <w:sz w:val="24"/>
                <w:szCs w:val="24"/>
              </w:rPr>
              <w:br w:type="page"/>
            </w:r>
            <w:r w:rsidRPr="00301E5B">
              <w:rPr>
                <w:rStyle w:val="Heading3Char"/>
                <w:rFonts w:asciiTheme="minorHAnsi" w:eastAsia="Calibri" w:hAnsiTheme="minorHAnsi"/>
                <w:color w:val="FFFF00"/>
                <w:u w:val="single"/>
              </w:rPr>
              <w:t>Outcome 2:</w:t>
            </w:r>
            <w:r w:rsidRPr="009C3C54">
              <w:rPr>
                <w:rFonts w:eastAsia="Calibri"/>
                <w:b/>
                <w:color w:val="FFFF00"/>
              </w:rPr>
              <w:t xml:space="preserve">  Citizen expectations for voice,  development, the rule of law and accountability are met by stronger systems of democratic governance</w:t>
            </w:r>
          </w:p>
        </w:tc>
      </w:tr>
      <w:tr w:rsidR="00AE7AB7" w:rsidRPr="00BB59E7" w14:paraId="75F6DB35" w14:textId="77777777" w:rsidTr="005B78CE">
        <w:trPr>
          <w:trHeight w:val="263"/>
          <w:jc w:val="center"/>
        </w:trPr>
        <w:tc>
          <w:tcPr>
            <w:tcW w:w="9353"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3067456" w14:textId="77777777" w:rsidR="00AE7AB7" w:rsidRPr="005A7A63" w:rsidRDefault="00AE7AB7" w:rsidP="003377AB">
            <w:pPr>
              <w:spacing w:after="0" w:line="240" w:lineRule="auto"/>
              <w:rPr>
                <w:rFonts w:eastAsia="Calibri"/>
                <w:sz w:val="20"/>
                <w:szCs w:val="20"/>
              </w:rPr>
            </w:pPr>
            <w:r w:rsidRPr="005A7A63">
              <w:rPr>
                <w:rFonts w:eastAsia="Calibri"/>
                <w:b/>
                <w:sz w:val="20"/>
                <w:szCs w:val="20"/>
              </w:rPr>
              <w:t>Outcome Indicators</w:t>
            </w:r>
            <w:r w:rsidRPr="005A7A63">
              <w:rPr>
                <w:rFonts w:eastAsia="Calibri"/>
                <w:sz w:val="20"/>
                <w:szCs w:val="20"/>
              </w:rPr>
              <w:t xml:space="preserve"> </w:t>
            </w:r>
            <w:r>
              <w:rPr>
                <w:rFonts w:eastAsia="Calibri"/>
                <w:sz w:val="20"/>
              </w:rPr>
              <w:t>(</w:t>
            </w:r>
            <w:r w:rsidRPr="009B5098">
              <w:rPr>
                <w:rFonts w:ascii="Calibri" w:eastAsia="SimSun" w:hAnsi="Calibri"/>
                <w:b/>
                <w:sz w:val="18"/>
                <w:szCs w:val="18"/>
                <w:lang w:eastAsia="zh-CN"/>
              </w:rPr>
              <w:t xml:space="preserve">* </w:t>
            </w:r>
            <w:r w:rsidRPr="009B5098">
              <w:rPr>
                <w:rFonts w:ascii="Calibri" w:eastAsia="SimSun" w:hAnsi="Calibri"/>
                <w:sz w:val="18"/>
                <w:szCs w:val="18"/>
                <w:lang w:eastAsia="zh-CN"/>
              </w:rPr>
              <w:t>Using lates</w:t>
            </w:r>
            <w:r>
              <w:rPr>
                <w:rFonts w:ascii="Calibri" w:eastAsia="SimSun" w:hAnsi="Calibri"/>
                <w:sz w:val="18"/>
                <w:szCs w:val="18"/>
                <w:lang w:eastAsia="zh-CN"/>
              </w:rPr>
              <w:t>t data up to the year specified)</w:t>
            </w:r>
          </w:p>
        </w:tc>
        <w:tc>
          <w:tcPr>
            <w:tcW w:w="2612" w:type="dxa"/>
            <w:tcBorders>
              <w:top w:val="single" w:sz="4" w:space="0" w:color="auto"/>
              <w:left w:val="single" w:sz="4" w:space="0" w:color="auto"/>
              <w:bottom w:val="single" w:sz="4" w:space="0" w:color="auto"/>
              <w:right w:val="single" w:sz="4" w:space="0" w:color="auto"/>
            </w:tcBorders>
            <w:shd w:val="clear" w:color="auto" w:fill="F2F2F2"/>
          </w:tcPr>
          <w:p w14:paraId="69A9CCA0" w14:textId="77777777" w:rsidR="00AE7AB7" w:rsidRPr="005A7A63" w:rsidRDefault="00AE7AB7" w:rsidP="003377AB">
            <w:pPr>
              <w:spacing w:after="0" w:line="240" w:lineRule="auto"/>
              <w:rPr>
                <w:rFonts w:eastAsia="Calibri"/>
                <w:b/>
                <w:sz w:val="20"/>
                <w:szCs w:val="20"/>
              </w:rPr>
            </w:pPr>
            <w:r w:rsidRPr="005A7A63">
              <w:rPr>
                <w:rFonts w:eastAsia="Calibri"/>
                <w:b/>
                <w:sz w:val="20"/>
                <w:szCs w:val="20"/>
              </w:rPr>
              <w:t xml:space="preserve">Baseline 2013 </w:t>
            </w:r>
          </w:p>
        </w:tc>
        <w:tc>
          <w:tcPr>
            <w:tcW w:w="990" w:type="dxa"/>
            <w:tcBorders>
              <w:top w:val="single" w:sz="4" w:space="0" w:color="auto"/>
              <w:left w:val="single" w:sz="4" w:space="0" w:color="auto"/>
              <w:bottom w:val="single" w:sz="4" w:space="0" w:color="auto"/>
              <w:right w:val="single" w:sz="4" w:space="0" w:color="auto"/>
            </w:tcBorders>
            <w:shd w:val="clear" w:color="auto" w:fill="F2F2F2"/>
          </w:tcPr>
          <w:p w14:paraId="093DCF77" w14:textId="2BEC215C" w:rsidR="00AE7AB7" w:rsidRPr="005A7A63" w:rsidRDefault="00AE7AB7" w:rsidP="003377AB">
            <w:pPr>
              <w:spacing w:after="0" w:line="240" w:lineRule="auto"/>
              <w:rPr>
                <w:rFonts w:eastAsia="Calibri"/>
                <w:b/>
                <w:sz w:val="20"/>
                <w:szCs w:val="20"/>
              </w:rPr>
            </w:pPr>
            <w:r>
              <w:rPr>
                <w:rFonts w:eastAsia="Calibri"/>
                <w:b/>
                <w:sz w:val="20"/>
                <w:szCs w:val="20"/>
              </w:rPr>
              <w:t>Actual 2014</w:t>
            </w:r>
          </w:p>
        </w:tc>
        <w:tc>
          <w:tcPr>
            <w:tcW w:w="1980" w:type="dxa"/>
            <w:tcBorders>
              <w:top w:val="single" w:sz="4" w:space="0" w:color="auto"/>
              <w:left w:val="single" w:sz="4" w:space="0" w:color="auto"/>
              <w:bottom w:val="single" w:sz="4" w:space="0" w:color="auto"/>
              <w:right w:val="single" w:sz="4" w:space="0" w:color="auto"/>
            </w:tcBorders>
            <w:shd w:val="clear" w:color="auto" w:fill="F2F2F2"/>
          </w:tcPr>
          <w:p w14:paraId="321BF79C" w14:textId="34786169" w:rsidR="00AE7AB7" w:rsidRPr="005A7A63" w:rsidRDefault="00AE7AB7" w:rsidP="003377AB">
            <w:pPr>
              <w:spacing w:after="0" w:line="240" w:lineRule="auto"/>
              <w:rPr>
                <w:rFonts w:eastAsia="Calibri"/>
                <w:b/>
                <w:sz w:val="20"/>
                <w:szCs w:val="20"/>
              </w:rPr>
            </w:pPr>
            <w:r w:rsidRPr="005A7A63">
              <w:rPr>
                <w:rFonts w:eastAsia="Calibri"/>
                <w:b/>
                <w:sz w:val="20"/>
                <w:szCs w:val="20"/>
              </w:rPr>
              <w:t xml:space="preserve">Target 2017 </w:t>
            </w:r>
          </w:p>
        </w:tc>
      </w:tr>
      <w:tr w:rsidR="00AE7AB7" w:rsidRPr="007F7B4C" w14:paraId="506A0753" w14:textId="77777777" w:rsidTr="005B78CE">
        <w:trPr>
          <w:trHeight w:val="296"/>
          <w:jc w:val="center"/>
        </w:trPr>
        <w:tc>
          <w:tcPr>
            <w:tcW w:w="534" w:type="dxa"/>
            <w:vMerge w:val="restart"/>
            <w:tcBorders>
              <w:top w:val="single" w:sz="4" w:space="0" w:color="auto"/>
              <w:left w:val="single" w:sz="4" w:space="0" w:color="auto"/>
              <w:right w:val="single" w:sz="4" w:space="0" w:color="auto"/>
            </w:tcBorders>
            <w:shd w:val="clear" w:color="auto" w:fill="FFFFFF" w:themeFill="background1"/>
            <w:hideMark/>
          </w:tcPr>
          <w:p w14:paraId="1A4481A8" w14:textId="77777777" w:rsidR="00AE7AB7" w:rsidRPr="0008459B" w:rsidRDefault="00AE7AB7" w:rsidP="00073A90">
            <w:pPr>
              <w:spacing w:after="0" w:line="240" w:lineRule="auto"/>
              <w:ind w:right="-105"/>
              <w:rPr>
                <w:sz w:val="20"/>
                <w:szCs w:val="20"/>
              </w:rPr>
            </w:pPr>
            <w:r w:rsidRPr="0008459B">
              <w:rPr>
                <w:b/>
                <w:sz w:val="20"/>
                <w:szCs w:val="20"/>
              </w:rPr>
              <w:t>2.1</w:t>
            </w:r>
          </w:p>
        </w:tc>
        <w:tc>
          <w:tcPr>
            <w:tcW w:w="8819" w:type="dxa"/>
            <w:tcBorders>
              <w:top w:val="single" w:sz="4" w:space="0" w:color="auto"/>
              <w:left w:val="single" w:sz="4" w:space="0" w:color="auto"/>
              <w:bottom w:val="single" w:sz="4" w:space="0" w:color="auto"/>
              <w:right w:val="single" w:sz="4" w:space="0" w:color="auto"/>
            </w:tcBorders>
            <w:shd w:val="clear" w:color="auto" w:fill="FFFFFF" w:themeFill="background1"/>
          </w:tcPr>
          <w:p w14:paraId="512ED82E" w14:textId="6017AC68" w:rsidR="00AE7AB7" w:rsidRPr="0008459B" w:rsidRDefault="00AE7AB7" w:rsidP="009F52EB">
            <w:pPr>
              <w:spacing w:after="0" w:line="240" w:lineRule="auto"/>
              <w:ind w:right="-105"/>
              <w:rPr>
                <w:sz w:val="20"/>
                <w:szCs w:val="20"/>
              </w:rPr>
            </w:pPr>
            <w:r w:rsidRPr="0008459B">
              <w:rPr>
                <w:sz w:val="20"/>
                <w:szCs w:val="20"/>
              </w:rPr>
              <w:t xml:space="preserve">Number of countries with </w:t>
            </w:r>
            <w:r w:rsidRPr="0008459B">
              <w:rPr>
                <w:b/>
                <w:sz w:val="20"/>
                <w:szCs w:val="20"/>
              </w:rPr>
              <w:t>open access to data</w:t>
            </w:r>
            <w:r w:rsidRPr="0008459B">
              <w:rPr>
                <w:sz w:val="20"/>
                <w:szCs w:val="20"/>
              </w:rPr>
              <w:t xml:space="preserve"> on government budgets, expenditures and public procurement</w:t>
            </w:r>
          </w:p>
        </w:tc>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0D2847DD" w14:textId="09AD7B50" w:rsidR="00AE7AB7" w:rsidRPr="002713BB" w:rsidRDefault="00804656" w:rsidP="009F52EB">
            <w:pPr>
              <w:spacing w:after="0" w:line="240" w:lineRule="auto"/>
              <w:rPr>
                <w:sz w:val="20"/>
                <w:szCs w:val="20"/>
              </w:rPr>
            </w:pPr>
            <w:r w:rsidRPr="002713BB">
              <w:rPr>
                <w:sz w:val="20"/>
                <w:szCs w:val="20"/>
              </w:rPr>
              <w:t>37</w:t>
            </w:r>
            <w:r w:rsidR="00AE7AB7" w:rsidRPr="002713BB">
              <w:rPr>
                <w:sz w:val="20"/>
                <w:szCs w:val="20"/>
              </w:rPr>
              <w:t xml:space="preserve"> (2012*)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5339CFDF" w14:textId="0715DE1B" w:rsidR="00AE7AB7" w:rsidRPr="002713BB" w:rsidRDefault="00BE75CD" w:rsidP="009F52EB">
            <w:pPr>
              <w:spacing w:after="0" w:line="240" w:lineRule="auto"/>
              <w:rPr>
                <w:sz w:val="20"/>
              </w:rPr>
            </w:pPr>
            <w:r w:rsidRPr="002713BB">
              <w:rPr>
                <w:sz w:val="20"/>
                <w:szCs w:val="20"/>
              </w:rPr>
              <w:t>Not yet available</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5D599305" w14:textId="234CC54D" w:rsidR="00AE7AB7" w:rsidRPr="002713BB" w:rsidRDefault="00AE7AB7" w:rsidP="009F52EB">
            <w:pPr>
              <w:spacing w:after="0" w:line="240" w:lineRule="auto"/>
              <w:rPr>
                <w:sz w:val="20"/>
                <w:szCs w:val="20"/>
              </w:rPr>
            </w:pPr>
            <w:r w:rsidRPr="002713BB">
              <w:rPr>
                <w:sz w:val="20"/>
              </w:rPr>
              <w:t>Direction of travel:</w:t>
            </w:r>
            <w:r w:rsidRPr="002713BB">
              <w:rPr>
                <w:b/>
                <w:sz w:val="20"/>
              </w:rPr>
              <w:t xml:space="preserve"> Increase</w:t>
            </w:r>
          </w:p>
        </w:tc>
      </w:tr>
      <w:tr w:rsidR="00381C5C" w:rsidRPr="00BB59E7" w14:paraId="48C260ED" w14:textId="77777777" w:rsidTr="00836C1D">
        <w:trPr>
          <w:trHeight w:val="161"/>
          <w:jc w:val="center"/>
        </w:trPr>
        <w:tc>
          <w:tcPr>
            <w:tcW w:w="534" w:type="dxa"/>
            <w:vMerge/>
            <w:tcBorders>
              <w:left w:val="single" w:sz="4" w:space="0" w:color="auto"/>
              <w:bottom w:val="single" w:sz="4" w:space="0" w:color="auto"/>
              <w:right w:val="single" w:sz="4" w:space="0" w:color="auto"/>
            </w:tcBorders>
            <w:shd w:val="clear" w:color="auto" w:fill="FFFFFF" w:themeFill="background1"/>
          </w:tcPr>
          <w:p w14:paraId="0EA7D332" w14:textId="77777777" w:rsidR="00381C5C" w:rsidRPr="0008459B" w:rsidRDefault="00381C5C" w:rsidP="009F52EB">
            <w:pPr>
              <w:spacing w:after="0" w:line="240" w:lineRule="auto"/>
              <w:ind w:right="-105"/>
              <w:rPr>
                <w:b/>
                <w:sz w:val="20"/>
                <w:szCs w:val="20"/>
              </w:rPr>
            </w:pPr>
          </w:p>
        </w:tc>
        <w:tc>
          <w:tcPr>
            <w:tcW w:w="14401" w:type="dxa"/>
            <w:gridSpan w:val="4"/>
            <w:tcBorders>
              <w:left w:val="single" w:sz="4" w:space="0" w:color="auto"/>
              <w:bottom w:val="single" w:sz="4" w:space="0" w:color="auto"/>
              <w:right w:val="single" w:sz="4" w:space="0" w:color="auto"/>
            </w:tcBorders>
            <w:shd w:val="clear" w:color="auto" w:fill="D9D9D9" w:themeFill="background1" w:themeFillShade="D9"/>
          </w:tcPr>
          <w:p w14:paraId="575DE90C" w14:textId="350229B6" w:rsidR="002421F6" w:rsidRPr="002713BB" w:rsidRDefault="00381C5C" w:rsidP="002421F6">
            <w:pPr>
              <w:spacing w:after="0" w:line="240" w:lineRule="auto"/>
              <w:rPr>
                <w:rFonts w:eastAsia="SimSun"/>
                <w:sz w:val="18"/>
                <w:szCs w:val="18"/>
                <w:lang w:eastAsia="zh-CN"/>
              </w:rPr>
            </w:pPr>
            <w:r w:rsidRPr="002713BB">
              <w:rPr>
                <w:rFonts w:eastAsia="SimSun"/>
                <w:b/>
                <w:sz w:val="18"/>
                <w:szCs w:val="18"/>
                <w:lang w:eastAsia="zh-CN"/>
              </w:rPr>
              <w:t>Source</w:t>
            </w:r>
            <w:r w:rsidRPr="002713BB">
              <w:rPr>
                <w:rFonts w:eastAsia="SimSun"/>
                <w:sz w:val="18"/>
                <w:szCs w:val="18"/>
                <w:lang w:eastAsia="zh-CN"/>
              </w:rPr>
              <w:t>: UNDP will utilize data from the International Budget Partnership to track progress in countries requesting support. The Open Budget Survey measures the state of budget transparency, participation, and oversight in countries around the world. The Open Budget Index (OBI), ranging between 0 and 100, is a simple average of the quantified responses for the 95 survey questions that are related to budget transparency. Survey data was collected in</w:t>
            </w:r>
            <w:r w:rsidR="00804656" w:rsidRPr="002713BB">
              <w:rPr>
                <w:rFonts w:eastAsia="SimSun"/>
                <w:sz w:val="18"/>
                <w:szCs w:val="18"/>
                <w:lang w:eastAsia="zh-CN"/>
              </w:rPr>
              <w:t xml:space="preserve"> 2012: the simple average for 85 programme countries is 37</w:t>
            </w:r>
            <w:r w:rsidRPr="002713BB">
              <w:rPr>
                <w:rFonts w:eastAsia="SimSun"/>
                <w:sz w:val="18"/>
                <w:szCs w:val="18"/>
                <w:lang w:eastAsia="zh-CN"/>
              </w:rPr>
              <w:t xml:space="preserve">. The OBI data show that in six years (from 2006 to 2012), 40 countries have made progress. For details, </w:t>
            </w:r>
            <w:hyperlink r:id="rId8" w:history="1">
              <w:r w:rsidRPr="002713BB">
                <w:rPr>
                  <w:rStyle w:val="Hyperlink"/>
                  <w:rFonts w:eastAsia="SimSun"/>
                  <w:color w:val="auto"/>
                  <w:sz w:val="18"/>
                  <w:szCs w:val="18"/>
                  <w:lang w:eastAsia="zh-CN"/>
                </w:rPr>
                <w:t>see Open Budget Survey 2012</w:t>
              </w:r>
            </w:hyperlink>
            <w:r w:rsidRPr="002713BB">
              <w:rPr>
                <w:rFonts w:eastAsia="SimSun"/>
                <w:sz w:val="18"/>
                <w:szCs w:val="18"/>
                <w:lang w:eastAsia="zh-CN"/>
              </w:rPr>
              <w:t>.</w:t>
            </w:r>
          </w:p>
        </w:tc>
      </w:tr>
      <w:tr w:rsidR="00AE7AB7" w:rsidRPr="00BB59E7" w14:paraId="7BFC91D3" w14:textId="77777777" w:rsidTr="005B78CE">
        <w:trPr>
          <w:trHeight w:val="161"/>
          <w:jc w:val="center"/>
        </w:trPr>
        <w:tc>
          <w:tcPr>
            <w:tcW w:w="534" w:type="dxa"/>
            <w:vMerge w:val="restart"/>
            <w:tcBorders>
              <w:top w:val="single" w:sz="4" w:space="0" w:color="auto"/>
              <w:left w:val="single" w:sz="4" w:space="0" w:color="auto"/>
              <w:right w:val="single" w:sz="4" w:space="0" w:color="auto"/>
            </w:tcBorders>
            <w:shd w:val="clear" w:color="auto" w:fill="FFFFFF" w:themeFill="background1"/>
            <w:hideMark/>
          </w:tcPr>
          <w:p w14:paraId="640D4FB1" w14:textId="77777777" w:rsidR="00AE7AB7" w:rsidRPr="0008459B" w:rsidRDefault="00AE7AB7" w:rsidP="00073A90">
            <w:pPr>
              <w:spacing w:after="0" w:line="240" w:lineRule="auto"/>
              <w:ind w:right="-105"/>
              <w:rPr>
                <w:sz w:val="20"/>
                <w:szCs w:val="20"/>
              </w:rPr>
            </w:pPr>
            <w:r w:rsidRPr="0008459B">
              <w:rPr>
                <w:b/>
                <w:sz w:val="20"/>
                <w:szCs w:val="20"/>
              </w:rPr>
              <w:t>2.2</w:t>
            </w:r>
          </w:p>
        </w:tc>
        <w:tc>
          <w:tcPr>
            <w:tcW w:w="8819" w:type="dxa"/>
            <w:tcBorders>
              <w:top w:val="single" w:sz="4" w:space="0" w:color="auto"/>
              <w:left w:val="single" w:sz="4" w:space="0" w:color="auto"/>
              <w:bottom w:val="single" w:sz="4" w:space="0" w:color="auto"/>
              <w:right w:val="single" w:sz="4" w:space="0" w:color="auto"/>
            </w:tcBorders>
            <w:shd w:val="clear" w:color="auto" w:fill="FFFFFF" w:themeFill="background1"/>
          </w:tcPr>
          <w:p w14:paraId="6DB73335" w14:textId="161A9C34" w:rsidR="00AE7AB7" w:rsidRPr="0008459B" w:rsidRDefault="00AE7AB7" w:rsidP="004D5D1D">
            <w:pPr>
              <w:spacing w:after="0" w:line="240" w:lineRule="auto"/>
              <w:ind w:right="-105"/>
              <w:rPr>
                <w:sz w:val="20"/>
                <w:szCs w:val="20"/>
              </w:rPr>
            </w:pPr>
            <w:r w:rsidRPr="0008459B">
              <w:rPr>
                <w:sz w:val="20"/>
                <w:szCs w:val="20"/>
              </w:rPr>
              <w:t xml:space="preserve">Voter </w:t>
            </w:r>
            <w:r w:rsidRPr="0008459B">
              <w:rPr>
                <w:b/>
                <w:sz w:val="20"/>
                <w:szCs w:val="20"/>
              </w:rPr>
              <w:t>turnout</w:t>
            </w:r>
            <w:r w:rsidRPr="0008459B">
              <w:rPr>
                <w:sz w:val="20"/>
                <w:szCs w:val="20"/>
              </w:rPr>
              <w:t xml:space="preserve"> </w:t>
            </w:r>
          </w:p>
        </w:tc>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28346666" w14:textId="4E8FAE39" w:rsidR="00AE7AB7" w:rsidRPr="002713BB" w:rsidRDefault="00AE7AB7" w:rsidP="00EA2F35">
            <w:pPr>
              <w:spacing w:after="0" w:line="240" w:lineRule="auto"/>
              <w:rPr>
                <w:sz w:val="20"/>
                <w:szCs w:val="20"/>
              </w:rPr>
            </w:pPr>
            <w:r w:rsidRPr="002713BB">
              <w:rPr>
                <w:sz w:val="20"/>
              </w:rPr>
              <w:t>6</w:t>
            </w:r>
            <w:r w:rsidR="00EA2F35" w:rsidRPr="002713BB">
              <w:rPr>
                <w:sz w:val="20"/>
              </w:rPr>
              <w:t>8.5%</w:t>
            </w:r>
            <w:r w:rsidRPr="002713BB">
              <w:rPr>
                <w:sz w:val="20"/>
              </w:rPr>
              <w:t xml:space="preserve"> (2013)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22661B99" w14:textId="32D100DC" w:rsidR="00AE7AB7" w:rsidRPr="002713BB" w:rsidRDefault="00EA2F35" w:rsidP="009F52EB">
            <w:pPr>
              <w:spacing w:after="0" w:line="240" w:lineRule="auto"/>
              <w:rPr>
                <w:sz w:val="20"/>
              </w:rPr>
            </w:pPr>
            <w:r w:rsidRPr="002713BB">
              <w:rPr>
                <w:sz w:val="20"/>
                <w:szCs w:val="20"/>
              </w:rPr>
              <w:t>68.8%</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7D49317D" w14:textId="6B0B0FB2" w:rsidR="00AE7AB7" w:rsidRPr="0008459B" w:rsidRDefault="00AE7AB7" w:rsidP="009F52EB">
            <w:pPr>
              <w:spacing w:after="0" w:line="240" w:lineRule="auto"/>
              <w:rPr>
                <w:sz w:val="20"/>
                <w:szCs w:val="20"/>
              </w:rPr>
            </w:pPr>
            <w:r w:rsidRPr="0008459B">
              <w:rPr>
                <w:sz w:val="20"/>
              </w:rPr>
              <w:t xml:space="preserve">Direction of travel based on past trend: </w:t>
            </w:r>
            <w:r w:rsidRPr="0008459B">
              <w:rPr>
                <w:b/>
                <w:sz w:val="20"/>
              </w:rPr>
              <w:t>Increase</w:t>
            </w:r>
            <w:r w:rsidRPr="0008459B">
              <w:rPr>
                <w:sz w:val="20"/>
              </w:rPr>
              <w:t>, 70.0%</w:t>
            </w:r>
          </w:p>
        </w:tc>
      </w:tr>
      <w:tr w:rsidR="00381C5C" w:rsidRPr="00BB59E7" w14:paraId="7477CB42" w14:textId="77777777" w:rsidTr="00836C1D">
        <w:trPr>
          <w:trHeight w:val="206"/>
          <w:jc w:val="center"/>
        </w:trPr>
        <w:tc>
          <w:tcPr>
            <w:tcW w:w="534" w:type="dxa"/>
            <w:vMerge/>
            <w:tcBorders>
              <w:left w:val="single" w:sz="4" w:space="0" w:color="auto"/>
              <w:bottom w:val="single" w:sz="4" w:space="0" w:color="auto"/>
              <w:right w:val="single" w:sz="4" w:space="0" w:color="auto"/>
            </w:tcBorders>
            <w:shd w:val="clear" w:color="auto" w:fill="FFFFFF" w:themeFill="background1"/>
          </w:tcPr>
          <w:p w14:paraId="237350F4" w14:textId="77777777" w:rsidR="00381C5C" w:rsidRPr="0008459B" w:rsidRDefault="00381C5C" w:rsidP="009F52EB">
            <w:pPr>
              <w:spacing w:after="0" w:line="240" w:lineRule="auto"/>
              <w:ind w:right="-105"/>
              <w:rPr>
                <w:b/>
                <w:sz w:val="20"/>
                <w:szCs w:val="20"/>
              </w:rPr>
            </w:pPr>
          </w:p>
        </w:tc>
        <w:tc>
          <w:tcPr>
            <w:tcW w:w="14401" w:type="dxa"/>
            <w:gridSpan w:val="4"/>
            <w:tcBorders>
              <w:left w:val="single" w:sz="4" w:space="0" w:color="auto"/>
              <w:bottom w:val="single" w:sz="4" w:space="0" w:color="auto"/>
              <w:right w:val="single" w:sz="4" w:space="0" w:color="auto"/>
            </w:tcBorders>
            <w:shd w:val="clear" w:color="auto" w:fill="D9D9D9" w:themeFill="background1" w:themeFillShade="D9"/>
          </w:tcPr>
          <w:p w14:paraId="4E6A8234" w14:textId="4A2ACFAE" w:rsidR="00AD16E0" w:rsidRPr="00983FF8" w:rsidRDefault="00381C5C" w:rsidP="00F63CBD">
            <w:pPr>
              <w:spacing w:after="0" w:line="240" w:lineRule="auto"/>
              <w:rPr>
                <w:rFonts w:eastAsia="SimSun"/>
                <w:sz w:val="18"/>
                <w:szCs w:val="18"/>
                <w:lang w:eastAsia="zh-CN"/>
              </w:rPr>
            </w:pPr>
            <w:r w:rsidRPr="00983FF8">
              <w:rPr>
                <w:rFonts w:eastAsia="SimSun"/>
                <w:b/>
                <w:sz w:val="18"/>
                <w:szCs w:val="18"/>
                <w:lang w:eastAsia="zh-CN"/>
              </w:rPr>
              <w:t>Source</w:t>
            </w:r>
            <w:r w:rsidRPr="00983FF8">
              <w:rPr>
                <w:rFonts w:eastAsia="SimSun"/>
                <w:sz w:val="18"/>
                <w:szCs w:val="18"/>
                <w:lang w:eastAsia="zh-CN"/>
              </w:rPr>
              <w:t xml:space="preserve">: UNDP </w:t>
            </w:r>
            <w:r w:rsidR="00983FF8">
              <w:rPr>
                <w:rFonts w:eastAsia="SimSun"/>
                <w:sz w:val="18"/>
                <w:szCs w:val="18"/>
                <w:lang w:eastAsia="zh-CN"/>
              </w:rPr>
              <w:t>estimate</w:t>
            </w:r>
            <w:r w:rsidRPr="00983FF8">
              <w:rPr>
                <w:rFonts w:eastAsia="SimSun"/>
                <w:sz w:val="18"/>
                <w:szCs w:val="18"/>
                <w:lang w:eastAsia="zh-CN"/>
              </w:rPr>
              <w:t>, based on data from the Inter-Parliamentary Union, on</w:t>
            </w:r>
            <w:r w:rsidR="002421F6" w:rsidRPr="00983FF8">
              <w:rPr>
                <w:rFonts w:eastAsia="SimSun"/>
                <w:sz w:val="18"/>
                <w:szCs w:val="18"/>
                <w:lang w:eastAsia="zh-CN"/>
              </w:rPr>
              <w:t xml:space="preserve"> the average voter turnout in 98 and 103 programme countries in 2013 and 2014 respectively</w:t>
            </w:r>
            <w:r w:rsidRPr="00983FF8">
              <w:rPr>
                <w:rFonts w:eastAsia="SimSun"/>
                <w:sz w:val="18"/>
                <w:szCs w:val="18"/>
                <w:lang w:eastAsia="zh-CN"/>
              </w:rPr>
              <w:t xml:space="preserve">. </w:t>
            </w:r>
            <w:r w:rsidR="002421F6" w:rsidRPr="00983FF8">
              <w:rPr>
                <w:rFonts w:eastAsia="SimSun"/>
                <w:sz w:val="18"/>
                <w:szCs w:val="18"/>
                <w:lang w:eastAsia="zh-CN"/>
              </w:rPr>
              <w:t>Using a comparable sample, there was</w:t>
            </w:r>
            <w:r w:rsidR="00F63CBD" w:rsidRPr="00983FF8">
              <w:rPr>
                <w:rFonts w:eastAsia="SimSun"/>
                <w:sz w:val="18"/>
                <w:szCs w:val="18"/>
                <w:lang w:eastAsia="zh-CN"/>
              </w:rPr>
              <w:t xml:space="preserve"> improvement (regression) in 8 (13) countries.</w:t>
            </w:r>
            <w:r w:rsidR="002421F6" w:rsidRPr="00983FF8">
              <w:rPr>
                <w:rFonts w:eastAsia="SimSun"/>
                <w:sz w:val="18"/>
                <w:szCs w:val="18"/>
                <w:lang w:eastAsia="zh-CN"/>
              </w:rPr>
              <w:t xml:space="preserve"> </w:t>
            </w:r>
            <w:r w:rsidRPr="00983FF8">
              <w:rPr>
                <w:rFonts w:eastAsia="SimSun"/>
                <w:sz w:val="18"/>
                <w:szCs w:val="18"/>
                <w:lang w:eastAsia="zh-CN"/>
              </w:rPr>
              <w:t>Direction of travel estimated by UNDP based on historical world trends.</w:t>
            </w:r>
            <w:r w:rsidR="00BD2EB7" w:rsidRPr="00983FF8">
              <w:rPr>
                <w:rFonts w:eastAsia="SimSun"/>
                <w:sz w:val="18"/>
                <w:szCs w:val="18"/>
                <w:lang w:eastAsia="zh-CN"/>
              </w:rPr>
              <w:t xml:space="preserve"> </w:t>
            </w:r>
          </w:p>
          <w:p w14:paraId="19F55984" w14:textId="6711E3E6" w:rsidR="00381C5C" w:rsidRPr="00983FF8" w:rsidRDefault="00BD2EB7" w:rsidP="00F63CBD">
            <w:pPr>
              <w:spacing w:after="0" w:line="240" w:lineRule="auto"/>
              <w:rPr>
                <w:b/>
              </w:rPr>
            </w:pPr>
            <w:r w:rsidRPr="00983FF8">
              <w:rPr>
                <w:rFonts w:ascii="Calibri" w:eastAsia="Calibri" w:hAnsi="Calibri"/>
                <w:b/>
                <w:sz w:val="18"/>
                <w:szCs w:val="18"/>
              </w:rPr>
              <w:t>2014 Reporting Note:</w:t>
            </w:r>
            <w:r w:rsidRPr="00983FF8">
              <w:rPr>
                <w:rFonts w:ascii="Calibri" w:eastAsia="Calibri" w:hAnsi="Calibri"/>
                <w:sz w:val="18"/>
                <w:szCs w:val="18"/>
              </w:rPr>
              <w:t xml:space="preserve"> Baseline </w:t>
            </w:r>
            <w:r w:rsidRPr="00983FF8">
              <w:rPr>
                <w:rFonts w:eastAsia="Calibri"/>
                <w:sz w:val="18"/>
                <w:szCs w:val="18"/>
              </w:rPr>
              <w:t xml:space="preserve">updated to reflect </w:t>
            </w:r>
            <w:r w:rsidR="00EA2F35" w:rsidRPr="00983FF8">
              <w:rPr>
                <w:rFonts w:eastAsia="Calibri"/>
                <w:sz w:val="18"/>
                <w:szCs w:val="18"/>
              </w:rPr>
              <w:t xml:space="preserve">final </w:t>
            </w:r>
            <w:r w:rsidRPr="00983FF8">
              <w:rPr>
                <w:rFonts w:eastAsia="Calibri"/>
                <w:sz w:val="18"/>
                <w:szCs w:val="18"/>
              </w:rPr>
              <w:t>2013 data now available from international sources. For reference, previous baseline w</w:t>
            </w:r>
            <w:r w:rsidR="00EA2F35" w:rsidRPr="00983FF8">
              <w:rPr>
                <w:rFonts w:eastAsia="Calibri"/>
                <w:sz w:val="18"/>
                <w:szCs w:val="18"/>
              </w:rPr>
              <w:t xml:space="preserve">as 67.9% (2013). </w:t>
            </w:r>
          </w:p>
        </w:tc>
      </w:tr>
    </w:tbl>
    <w:p w14:paraId="0917EA25" w14:textId="77777777" w:rsidR="00983FF8" w:rsidRDefault="00983FF8">
      <w:r>
        <w:br w:type="page"/>
      </w:r>
    </w:p>
    <w:tbl>
      <w:tblPr>
        <w:tblW w:w="14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09"/>
        <w:gridCol w:w="900"/>
        <w:gridCol w:w="5310"/>
        <w:gridCol w:w="1328"/>
        <w:gridCol w:w="22"/>
        <w:gridCol w:w="1262"/>
        <w:gridCol w:w="990"/>
        <w:gridCol w:w="360"/>
        <w:gridCol w:w="1620"/>
      </w:tblGrid>
      <w:tr w:rsidR="00AE7AB7" w:rsidRPr="00BB59E7" w14:paraId="45D8FA80" w14:textId="77777777" w:rsidTr="005B78CE">
        <w:trPr>
          <w:trHeight w:val="206"/>
          <w:jc w:val="center"/>
        </w:trPr>
        <w:tc>
          <w:tcPr>
            <w:tcW w:w="534" w:type="dxa"/>
            <w:vMerge w:val="restart"/>
            <w:tcBorders>
              <w:top w:val="single" w:sz="4" w:space="0" w:color="auto"/>
              <w:left w:val="single" w:sz="4" w:space="0" w:color="auto"/>
              <w:right w:val="single" w:sz="4" w:space="0" w:color="auto"/>
            </w:tcBorders>
            <w:shd w:val="clear" w:color="auto" w:fill="FFFFFF" w:themeFill="background1"/>
            <w:hideMark/>
          </w:tcPr>
          <w:p w14:paraId="32BD868F" w14:textId="676E2F42" w:rsidR="00AE7AB7" w:rsidRPr="0008459B" w:rsidRDefault="00AE7AB7" w:rsidP="00073A90">
            <w:pPr>
              <w:spacing w:after="0" w:line="240" w:lineRule="auto"/>
              <w:ind w:right="-105"/>
              <w:rPr>
                <w:sz w:val="20"/>
                <w:szCs w:val="20"/>
              </w:rPr>
            </w:pPr>
            <w:r w:rsidRPr="0008459B">
              <w:rPr>
                <w:b/>
                <w:sz w:val="20"/>
                <w:szCs w:val="20"/>
              </w:rPr>
              <w:t>2.3</w:t>
            </w:r>
          </w:p>
        </w:tc>
        <w:tc>
          <w:tcPr>
            <w:tcW w:w="881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BDFDEDD" w14:textId="5DA3E64F" w:rsidR="00AE7AB7" w:rsidRPr="0008459B" w:rsidRDefault="00AE7AB7" w:rsidP="009F52EB">
            <w:pPr>
              <w:spacing w:after="0" w:line="240" w:lineRule="auto"/>
              <w:ind w:right="-105"/>
              <w:rPr>
                <w:sz w:val="20"/>
                <w:szCs w:val="20"/>
              </w:rPr>
            </w:pPr>
            <w:r w:rsidRPr="0008459B">
              <w:rPr>
                <w:sz w:val="20"/>
                <w:szCs w:val="20"/>
              </w:rPr>
              <w:t xml:space="preserve">Percentage of </w:t>
            </w:r>
            <w:r w:rsidRPr="0008459B">
              <w:rPr>
                <w:b/>
                <w:sz w:val="20"/>
                <w:szCs w:val="20"/>
              </w:rPr>
              <w:t>women in national Parliaments</w:t>
            </w:r>
          </w:p>
        </w:tc>
        <w:tc>
          <w:tcPr>
            <w:tcW w:w="261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6757FA1" w14:textId="79AA4E39" w:rsidR="00AE7AB7" w:rsidRPr="002713BB" w:rsidRDefault="00836C1D" w:rsidP="009F52EB">
            <w:pPr>
              <w:spacing w:after="0" w:line="240" w:lineRule="auto"/>
              <w:rPr>
                <w:sz w:val="20"/>
                <w:szCs w:val="20"/>
              </w:rPr>
            </w:pPr>
            <w:r w:rsidRPr="002713BB">
              <w:rPr>
                <w:sz w:val="20"/>
                <w:szCs w:val="20"/>
              </w:rPr>
              <w:t>20.8% (2013)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40F5151" w14:textId="19B7D1CA" w:rsidR="00AE7AB7" w:rsidRPr="002713BB" w:rsidRDefault="00836C1D" w:rsidP="009F52EB">
            <w:pPr>
              <w:spacing w:after="0" w:line="240" w:lineRule="auto"/>
              <w:rPr>
                <w:b/>
              </w:rPr>
            </w:pPr>
            <w:r w:rsidRPr="002713BB">
              <w:rPr>
                <w:sz w:val="20"/>
                <w:szCs w:val="20"/>
              </w:rPr>
              <w:t>21.0%</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899E6E" w14:textId="77777777" w:rsidR="00AE7AB7" w:rsidRDefault="00836C1D" w:rsidP="009F52EB">
            <w:pPr>
              <w:spacing w:after="0" w:line="240" w:lineRule="auto"/>
              <w:rPr>
                <w:b/>
                <w:sz w:val="20"/>
              </w:rPr>
            </w:pPr>
            <w:r w:rsidRPr="00AD16E0">
              <w:rPr>
                <w:sz w:val="20"/>
              </w:rPr>
              <w:t>International target</w:t>
            </w:r>
            <w:r w:rsidRPr="00836C1D">
              <w:rPr>
                <w:b/>
                <w:sz w:val="20"/>
              </w:rPr>
              <w:t xml:space="preserve">: </w:t>
            </w:r>
            <w:r w:rsidR="00AE7AB7" w:rsidRPr="00836C1D">
              <w:rPr>
                <w:b/>
                <w:sz w:val="20"/>
              </w:rPr>
              <w:t>30%</w:t>
            </w:r>
          </w:p>
          <w:p w14:paraId="2A9CF5DA" w14:textId="23A9169F" w:rsidR="00AD16E0" w:rsidRPr="00A95307" w:rsidRDefault="00AD16E0" w:rsidP="009F52EB">
            <w:pPr>
              <w:spacing w:after="0" w:line="240" w:lineRule="auto"/>
              <w:rPr>
                <w:sz w:val="20"/>
              </w:rPr>
            </w:pPr>
            <w:r w:rsidRPr="00A95307">
              <w:rPr>
                <w:sz w:val="20"/>
              </w:rPr>
              <w:t>SP 2017 t</w:t>
            </w:r>
            <w:r w:rsidR="00D27255">
              <w:rPr>
                <w:sz w:val="20"/>
              </w:rPr>
              <w:t>rend</w:t>
            </w:r>
            <w:r w:rsidRPr="00A95307">
              <w:rPr>
                <w:sz w:val="20"/>
              </w:rPr>
              <w:t xml:space="preserve">: </w:t>
            </w:r>
          </w:p>
          <w:p w14:paraId="24AE17EF" w14:textId="2605BD10" w:rsidR="00AD16E0" w:rsidRPr="00D27255" w:rsidRDefault="00AD16E0" w:rsidP="009F52EB">
            <w:pPr>
              <w:spacing w:after="0" w:line="240" w:lineRule="auto"/>
              <w:rPr>
                <w:sz w:val="20"/>
                <w:szCs w:val="20"/>
              </w:rPr>
            </w:pPr>
            <w:r>
              <w:rPr>
                <w:b/>
                <w:sz w:val="20"/>
              </w:rPr>
              <w:t>22.7%</w:t>
            </w:r>
          </w:p>
        </w:tc>
      </w:tr>
      <w:tr w:rsidR="00381C5C" w:rsidRPr="00BB59E7" w14:paraId="778A79B5" w14:textId="77777777" w:rsidTr="00836C1D">
        <w:trPr>
          <w:trHeight w:val="206"/>
          <w:jc w:val="center"/>
        </w:trPr>
        <w:tc>
          <w:tcPr>
            <w:tcW w:w="534" w:type="dxa"/>
            <w:vMerge/>
            <w:tcBorders>
              <w:left w:val="single" w:sz="4" w:space="0" w:color="auto"/>
              <w:bottom w:val="single" w:sz="4" w:space="0" w:color="auto"/>
              <w:right w:val="single" w:sz="4" w:space="0" w:color="auto"/>
            </w:tcBorders>
            <w:shd w:val="clear" w:color="auto" w:fill="FFFFFF" w:themeFill="background1"/>
          </w:tcPr>
          <w:p w14:paraId="300ECFB3" w14:textId="77777777" w:rsidR="00381C5C" w:rsidRPr="0008459B" w:rsidRDefault="00381C5C" w:rsidP="009F52EB">
            <w:pPr>
              <w:spacing w:after="0" w:line="240" w:lineRule="auto"/>
              <w:ind w:right="-105"/>
              <w:rPr>
                <w:b/>
                <w:sz w:val="20"/>
                <w:szCs w:val="20"/>
              </w:rPr>
            </w:pPr>
          </w:p>
        </w:tc>
        <w:tc>
          <w:tcPr>
            <w:tcW w:w="14401" w:type="dxa"/>
            <w:gridSpan w:val="9"/>
            <w:tcBorders>
              <w:left w:val="single" w:sz="4" w:space="0" w:color="auto"/>
              <w:bottom w:val="single" w:sz="4" w:space="0" w:color="auto"/>
              <w:right w:val="single" w:sz="4" w:space="0" w:color="auto"/>
            </w:tcBorders>
            <w:shd w:val="clear" w:color="auto" w:fill="D9D9D9" w:themeFill="background1" w:themeFillShade="D9"/>
          </w:tcPr>
          <w:p w14:paraId="4764AA09" w14:textId="757E47E2" w:rsidR="00381C5C" w:rsidRPr="00983FF8" w:rsidRDefault="00381C5C" w:rsidP="009F52EB">
            <w:pPr>
              <w:spacing w:after="0" w:line="240" w:lineRule="auto"/>
              <w:rPr>
                <w:rFonts w:eastAsia="Calibri"/>
                <w:sz w:val="18"/>
                <w:szCs w:val="18"/>
              </w:rPr>
            </w:pPr>
            <w:r w:rsidRPr="00983FF8">
              <w:rPr>
                <w:rFonts w:eastAsia="SimSun"/>
                <w:b/>
                <w:sz w:val="18"/>
                <w:szCs w:val="18"/>
                <w:lang w:eastAsia="zh-CN"/>
              </w:rPr>
              <w:t>Source</w:t>
            </w:r>
            <w:r w:rsidRPr="00983FF8">
              <w:rPr>
                <w:rFonts w:eastAsia="SimSun"/>
                <w:sz w:val="18"/>
                <w:szCs w:val="18"/>
                <w:lang w:eastAsia="zh-CN"/>
              </w:rPr>
              <w:t>: UNDP calculation based on data from the Inter-Parliamentary Union (</w:t>
            </w:r>
            <w:r w:rsidRPr="00983FF8">
              <w:rPr>
                <w:rStyle w:val="h1541"/>
                <w:rFonts w:asciiTheme="minorHAnsi" w:hAnsiTheme="minorHAnsi"/>
                <w:color w:val="auto"/>
              </w:rPr>
              <w:t xml:space="preserve">PARLINE database: http://www.ipu.org/parline-e/parlinesearch.asp) </w:t>
            </w:r>
            <w:r w:rsidR="002421F6" w:rsidRPr="00983FF8">
              <w:rPr>
                <w:rFonts w:eastAsia="SimSun"/>
                <w:sz w:val="18"/>
                <w:szCs w:val="18"/>
                <w:lang w:eastAsia="zh-CN"/>
              </w:rPr>
              <w:t>for 146 and 147</w:t>
            </w:r>
            <w:r w:rsidRPr="00983FF8">
              <w:rPr>
                <w:rFonts w:eastAsia="SimSun"/>
                <w:sz w:val="18"/>
                <w:szCs w:val="18"/>
                <w:lang w:eastAsia="zh-CN"/>
              </w:rPr>
              <w:t xml:space="preserve"> programme countries</w:t>
            </w:r>
            <w:r w:rsidR="002421F6" w:rsidRPr="00983FF8">
              <w:rPr>
                <w:rFonts w:eastAsia="SimSun"/>
                <w:sz w:val="18"/>
                <w:szCs w:val="18"/>
                <w:lang w:eastAsia="zh-CN"/>
              </w:rPr>
              <w:t xml:space="preserve"> in 2013 and 2014 (January)</w:t>
            </w:r>
            <w:r w:rsidR="00983FF8">
              <w:rPr>
                <w:rFonts w:eastAsia="SimSun"/>
                <w:sz w:val="18"/>
                <w:szCs w:val="18"/>
                <w:lang w:eastAsia="zh-CN"/>
              </w:rPr>
              <w:t>, respectively</w:t>
            </w:r>
            <w:r w:rsidRPr="00983FF8">
              <w:rPr>
                <w:rFonts w:eastAsia="SimSun"/>
                <w:sz w:val="18"/>
                <w:szCs w:val="18"/>
                <w:lang w:eastAsia="zh-CN"/>
              </w:rPr>
              <w:t xml:space="preserve">. </w:t>
            </w:r>
            <w:r w:rsidR="00F63CBD" w:rsidRPr="00983FF8">
              <w:rPr>
                <w:rFonts w:eastAsia="SimSun"/>
                <w:sz w:val="18"/>
                <w:szCs w:val="18"/>
                <w:lang w:eastAsia="zh-CN"/>
              </w:rPr>
              <w:t xml:space="preserve">There was improvement (regression) in the indicator in 33 (26) countries. </w:t>
            </w:r>
            <w:r w:rsidRPr="00983FF8">
              <w:rPr>
                <w:rFonts w:eastAsia="SimSun"/>
                <w:sz w:val="18"/>
                <w:szCs w:val="18"/>
                <w:lang w:eastAsia="zh-CN"/>
              </w:rPr>
              <w:t xml:space="preserve">Figures represent the aggregate proportion (total number of women in parliaments divided by the total number of seats). </w:t>
            </w:r>
            <w:r w:rsidRPr="00983FF8">
              <w:rPr>
                <w:rFonts w:eastAsia="Calibri"/>
                <w:sz w:val="18"/>
                <w:szCs w:val="18"/>
              </w:rPr>
              <w:t xml:space="preserve">The international target of 30% of women in decision making positions (by 1995) comes from ECOSOC Report E/1990/90. </w:t>
            </w:r>
            <w:r w:rsidR="0015490C" w:rsidRPr="00983FF8">
              <w:rPr>
                <w:rFonts w:eastAsia="SimSun"/>
                <w:sz w:val="18"/>
                <w:szCs w:val="18"/>
                <w:lang w:eastAsia="zh-CN"/>
              </w:rPr>
              <w:t xml:space="preserve">UNDP estimated </w:t>
            </w:r>
            <w:r w:rsidR="00D27255" w:rsidRPr="00983FF8">
              <w:rPr>
                <w:rFonts w:eastAsia="SimSun"/>
                <w:sz w:val="18"/>
                <w:szCs w:val="18"/>
                <w:lang w:eastAsia="zh-CN"/>
              </w:rPr>
              <w:t xml:space="preserve">a </w:t>
            </w:r>
            <w:r w:rsidR="0015490C" w:rsidRPr="00983FF8">
              <w:rPr>
                <w:rFonts w:eastAsia="SimSun"/>
                <w:sz w:val="18"/>
                <w:szCs w:val="18"/>
                <w:lang w:eastAsia="zh-CN"/>
              </w:rPr>
              <w:t xml:space="preserve">2017 </w:t>
            </w:r>
            <w:r w:rsidR="00D27255" w:rsidRPr="00983FF8">
              <w:rPr>
                <w:rFonts w:eastAsia="SimSun"/>
                <w:sz w:val="18"/>
                <w:szCs w:val="18"/>
                <w:lang w:eastAsia="zh-CN"/>
              </w:rPr>
              <w:t xml:space="preserve">trend of 22.7% </w:t>
            </w:r>
            <w:r w:rsidR="0015490C" w:rsidRPr="00983FF8">
              <w:rPr>
                <w:rFonts w:eastAsia="SimSun"/>
                <w:sz w:val="18"/>
                <w:szCs w:val="18"/>
                <w:lang w:eastAsia="zh-CN"/>
              </w:rPr>
              <w:t>based on historical figures</w:t>
            </w:r>
            <w:r w:rsidR="0015490C" w:rsidRPr="00983FF8">
              <w:rPr>
                <w:rFonts w:eastAsia="Calibri"/>
                <w:sz w:val="18"/>
                <w:szCs w:val="18"/>
              </w:rPr>
              <w:t>.</w:t>
            </w:r>
            <w:r w:rsidR="00D27255" w:rsidRPr="00983FF8">
              <w:rPr>
                <w:rFonts w:eastAsia="Calibri"/>
                <w:sz w:val="18"/>
                <w:szCs w:val="18"/>
              </w:rPr>
              <w:t xml:space="preserve"> </w:t>
            </w:r>
          </w:p>
          <w:p w14:paraId="4342DFA4" w14:textId="2CBA9F9A" w:rsidR="002421F6" w:rsidRPr="00983FF8" w:rsidRDefault="00AD16E0" w:rsidP="009F52EB">
            <w:pPr>
              <w:spacing w:after="0" w:line="240" w:lineRule="auto"/>
              <w:rPr>
                <w:b/>
              </w:rPr>
            </w:pPr>
            <w:r w:rsidRPr="00983FF8">
              <w:rPr>
                <w:rFonts w:ascii="Calibri" w:eastAsia="Calibri" w:hAnsi="Calibri"/>
                <w:b/>
                <w:sz w:val="18"/>
                <w:szCs w:val="18"/>
              </w:rPr>
              <w:t>2014 Reporting Note:</w:t>
            </w:r>
            <w:r w:rsidR="002421F6" w:rsidRPr="00983FF8">
              <w:rPr>
                <w:rFonts w:ascii="Calibri" w:eastAsia="Calibri" w:hAnsi="Calibri"/>
                <w:sz w:val="18"/>
                <w:szCs w:val="18"/>
              </w:rPr>
              <w:t xml:space="preserve"> Baseline </w:t>
            </w:r>
            <w:r w:rsidR="002421F6" w:rsidRPr="00983FF8">
              <w:rPr>
                <w:rFonts w:eastAsia="Calibri"/>
                <w:sz w:val="18"/>
                <w:szCs w:val="18"/>
              </w:rPr>
              <w:t>updated to reflect final 2013 data available from international sources. For reference, previous baseline was 20.4% (2013).</w:t>
            </w:r>
          </w:p>
        </w:tc>
      </w:tr>
      <w:tr w:rsidR="00D76C20" w:rsidRPr="00283732" w14:paraId="753E501B" w14:textId="77777777" w:rsidTr="005B78CE">
        <w:trPr>
          <w:trHeight w:val="260"/>
          <w:jc w:val="center"/>
        </w:trPr>
        <w:tc>
          <w:tcPr>
            <w:tcW w:w="3143" w:type="dxa"/>
            <w:gridSpan w:val="2"/>
            <w:vMerge w:val="restart"/>
            <w:tcBorders>
              <w:top w:val="single" w:sz="4" w:space="0" w:color="auto"/>
              <w:left w:val="single" w:sz="4" w:space="0" w:color="auto"/>
              <w:right w:val="single" w:sz="4" w:space="0" w:color="auto"/>
            </w:tcBorders>
            <w:shd w:val="clear" w:color="auto" w:fill="DAEEF3"/>
            <w:hideMark/>
          </w:tcPr>
          <w:p w14:paraId="48EA4897" w14:textId="4926CD25" w:rsidR="00D76C20" w:rsidRPr="00A35EC6" w:rsidRDefault="00D76C20" w:rsidP="009F52EB">
            <w:pPr>
              <w:spacing w:after="0" w:line="240" w:lineRule="auto"/>
              <w:rPr>
                <w:rFonts w:eastAsia="Calibri"/>
                <w:b/>
                <w:sz w:val="20"/>
                <w:szCs w:val="20"/>
              </w:rPr>
            </w:pPr>
            <w:r w:rsidRPr="0008459B">
              <w:rPr>
                <w:rFonts w:eastAsia="Calibri"/>
                <w:sz w:val="20"/>
                <w:szCs w:val="20"/>
              </w:rPr>
              <w:br w:type="page"/>
            </w:r>
            <w:r w:rsidRPr="0008459B">
              <w:rPr>
                <w:rFonts w:ascii="Calibri" w:eastAsia="Calibri" w:hAnsi="Calibri"/>
                <w:b/>
              </w:rPr>
              <w:t>Outputs</w:t>
            </w:r>
            <w:r w:rsidRPr="0008459B">
              <w:rPr>
                <w:rFonts w:ascii="Calibri" w:eastAsia="Calibri" w:hAnsi="Calibri"/>
                <w:i/>
              </w:rPr>
              <w:t xml:space="preserve"> </w:t>
            </w:r>
            <w:r w:rsidRPr="0008459B">
              <w:rPr>
                <w:rFonts w:ascii="Calibri" w:eastAsia="Calibri" w:hAnsi="Calibri"/>
                <w:i/>
                <w:sz w:val="18"/>
                <w:szCs w:val="18"/>
              </w:rPr>
              <w:t>(UNDP provides specific support for the following results, based on national demand)</w:t>
            </w:r>
          </w:p>
        </w:tc>
        <w:tc>
          <w:tcPr>
            <w:tcW w:w="6210" w:type="dxa"/>
            <w:gridSpan w:val="2"/>
            <w:vMerge w:val="restart"/>
            <w:tcBorders>
              <w:top w:val="single" w:sz="4" w:space="0" w:color="auto"/>
              <w:left w:val="single" w:sz="4" w:space="0" w:color="auto"/>
              <w:right w:val="single" w:sz="4" w:space="0" w:color="auto"/>
            </w:tcBorders>
            <w:shd w:val="clear" w:color="auto" w:fill="DAEEF3"/>
            <w:hideMark/>
          </w:tcPr>
          <w:p w14:paraId="5EEFA4DE" w14:textId="77777777" w:rsidR="00D76C20" w:rsidRPr="0008459B" w:rsidRDefault="00D76C20" w:rsidP="009F52EB">
            <w:pPr>
              <w:spacing w:after="0" w:line="240" w:lineRule="auto"/>
              <w:rPr>
                <w:rFonts w:eastAsia="Calibri"/>
                <w:i/>
                <w:sz w:val="20"/>
                <w:szCs w:val="20"/>
              </w:rPr>
            </w:pPr>
            <w:r w:rsidRPr="0008459B">
              <w:rPr>
                <w:rFonts w:eastAsia="Calibri"/>
                <w:b/>
                <w:sz w:val="20"/>
                <w:szCs w:val="20"/>
              </w:rPr>
              <w:t xml:space="preserve">Output Indicator </w:t>
            </w:r>
            <w:r w:rsidRPr="0008459B">
              <w:rPr>
                <w:rFonts w:ascii="Calibri" w:eastAsia="Calibri" w:hAnsi="Calibri"/>
                <w:i/>
                <w:sz w:val="18"/>
                <w:szCs w:val="18"/>
              </w:rPr>
              <w:t xml:space="preserve">(output indicators measure only those results which are specifically </w:t>
            </w:r>
            <w:r w:rsidRPr="0008459B">
              <w:rPr>
                <w:rFonts w:ascii="Calibri" w:eastAsia="Calibri" w:hAnsi="Calibri"/>
                <w:i/>
                <w:sz w:val="18"/>
                <w:szCs w:val="18"/>
                <w:u w:val="single"/>
              </w:rPr>
              <w:t>supported</w:t>
            </w:r>
            <w:r w:rsidRPr="0008459B">
              <w:rPr>
                <w:rFonts w:ascii="Calibri" w:eastAsia="Calibri" w:hAnsi="Calibri"/>
                <w:i/>
                <w:sz w:val="18"/>
                <w:szCs w:val="18"/>
              </w:rPr>
              <w:t xml:space="preserve"> by UNDP, in response to demand from programme countries)</w:t>
            </w:r>
          </w:p>
        </w:tc>
        <w:tc>
          <w:tcPr>
            <w:tcW w:w="1350" w:type="dxa"/>
            <w:gridSpan w:val="2"/>
            <w:vMerge w:val="restart"/>
            <w:tcBorders>
              <w:top w:val="single" w:sz="4" w:space="0" w:color="auto"/>
              <w:left w:val="single" w:sz="4" w:space="0" w:color="auto"/>
              <w:right w:val="single" w:sz="4" w:space="0" w:color="auto"/>
            </w:tcBorders>
            <w:shd w:val="clear" w:color="auto" w:fill="DAEEF3"/>
          </w:tcPr>
          <w:p w14:paraId="2A94B496" w14:textId="15350B87" w:rsidR="00D76C20" w:rsidRPr="0008459B" w:rsidRDefault="00A35EC6" w:rsidP="00A35EC6">
            <w:pPr>
              <w:spacing w:after="0" w:line="240" w:lineRule="auto"/>
              <w:jc w:val="center"/>
              <w:rPr>
                <w:rFonts w:eastAsia="Calibri"/>
                <w:b/>
                <w:sz w:val="20"/>
                <w:szCs w:val="20"/>
              </w:rPr>
            </w:pPr>
            <w:r>
              <w:rPr>
                <w:rFonts w:eastAsia="Calibri"/>
                <w:b/>
                <w:sz w:val="20"/>
                <w:szCs w:val="20"/>
              </w:rPr>
              <w:t>Baseline</w:t>
            </w:r>
          </w:p>
        </w:tc>
        <w:tc>
          <w:tcPr>
            <w:tcW w:w="2612" w:type="dxa"/>
            <w:gridSpan w:val="3"/>
            <w:tcBorders>
              <w:top w:val="single" w:sz="4" w:space="0" w:color="auto"/>
              <w:left w:val="single" w:sz="4" w:space="0" w:color="auto"/>
              <w:bottom w:val="single" w:sz="4" w:space="0" w:color="auto"/>
              <w:right w:val="single" w:sz="4" w:space="0" w:color="auto"/>
            </w:tcBorders>
            <w:shd w:val="clear" w:color="auto" w:fill="DAEEF3"/>
          </w:tcPr>
          <w:p w14:paraId="38518EF5" w14:textId="2CAF661B" w:rsidR="00D76C20" w:rsidRPr="0008459B" w:rsidRDefault="00D76C20" w:rsidP="00A35EC6">
            <w:pPr>
              <w:spacing w:after="0" w:line="240" w:lineRule="auto"/>
              <w:jc w:val="center"/>
              <w:rPr>
                <w:rFonts w:eastAsia="Calibri"/>
                <w:b/>
                <w:sz w:val="20"/>
                <w:szCs w:val="20"/>
              </w:rPr>
            </w:pPr>
            <w:r w:rsidRPr="0008459B">
              <w:rPr>
                <w:rFonts w:eastAsia="Calibri"/>
                <w:b/>
                <w:sz w:val="20"/>
                <w:szCs w:val="20"/>
              </w:rPr>
              <w:t>Milestones</w:t>
            </w:r>
          </w:p>
        </w:tc>
        <w:tc>
          <w:tcPr>
            <w:tcW w:w="1620" w:type="dxa"/>
            <w:vMerge w:val="restart"/>
            <w:tcBorders>
              <w:top w:val="single" w:sz="4" w:space="0" w:color="auto"/>
              <w:left w:val="single" w:sz="4" w:space="0" w:color="auto"/>
              <w:right w:val="single" w:sz="4" w:space="0" w:color="auto"/>
            </w:tcBorders>
            <w:shd w:val="clear" w:color="auto" w:fill="DAEEF3"/>
          </w:tcPr>
          <w:p w14:paraId="3741E015" w14:textId="0AAB8628" w:rsidR="00D76C20" w:rsidRPr="005A7A63" w:rsidRDefault="00D76C20" w:rsidP="00A35EC6">
            <w:pPr>
              <w:spacing w:after="0" w:line="240" w:lineRule="auto"/>
              <w:jc w:val="center"/>
              <w:rPr>
                <w:rFonts w:eastAsia="Calibri"/>
                <w:b/>
                <w:sz w:val="20"/>
                <w:szCs w:val="20"/>
              </w:rPr>
            </w:pPr>
            <w:r w:rsidRPr="005A7A63">
              <w:rPr>
                <w:rFonts w:eastAsia="Calibri"/>
                <w:b/>
                <w:sz w:val="20"/>
                <w:szCs w:val="20"/>
              </w:rPr>
              <w:t>Target</w:t>
            </w:r>
          </w:p>
        </w:tc>
      </w:tr>
      <w:tr w:rsidR="00D76C20" w:rsidRPr="00283732" w14:paraId="0F284FAC" w14:textId="77777777" w:rsidTr="005B78CE">
        <w:trPr>
          <w:trHeight w:val="260"/>
          <w:jc w:val="center"/>
        </w:trPr>
        <w:tc>
          <w:tcPr>
            <w:tcW w:w="3143" w:type="dxa"/>
            <w:gridSpan w:val="2"/>
            <w:vMerge/>
            <w:tcBorders>
              <w:left w:val="single" w:sz="4" w:space="0" w:color="auto"/>
              <w:right w:val="single" w:sz="4" w:space="0" w:color="auto"/>
            </w:tcBorders>
            <w:shd w:val="clear" w:color="auto" w:fill="DAEEF3"/>
          </w:tcPr>
          <w:p w14:paraId="76523635" w14:textId="77777777" w:rsidR="00D76C20" w:rsidRPr="0008459B" w:rsidRDefault="00D76C20" w:rsidP="009F52EB">
            <w:pPr>
              <w:spacing w:after="0" w:line="240" w:lineRule="auto"/>
              <w:rPr>
                <w:rFonts w:eastAsia="Calibri"/>
                <w:sz w:val="20"/>
                <w:szCs w:val="20"/>
              </w:rPr>
            </w:pPr>
          </w:p>
        </w:tc>
        <w:tc>
          <w:tcPr>
            <w:tcW w:w="6210" w:type="dxa"/>
            <w:gridSpan w:val="2"/>
            <w:vMerge/>
            <w:tcBorders>
              <w:left w:val="single" w:sz="4" w:space="0" w:color="auto"/>
              <w:right w:val="single" w:sz="4" w:space="0" w:color="auto"/>
            </w:tcBorders>
            <w:shd w:val="clear" w:color="auto" w:fill="DAEEF3"/>
          </w:tcPr>
          <w:p w14:paraId="4AF6850A" w14:textId="77777777" w:rsidR="00D76C20" w:rsidRPr="0008459B" w:rsidRDefault="00D76C20" w:rsidP="009F52EB">
            <w:pPr>
              <w:spacing w:after="0" w:line="240" w:lineRule="auto"/>
              <w:rPr>
                <w:rFonts w:eastAsia="Calibri"/>
                <w:b/>
                <w:sz w:val="20"/>
                <w:szCs w:val="20"/>
              </w:rPr>
            </w:pPr>
          </w:p>
        </w:tc>
        <w:tc>
          <w:tcPr>
            <w:tcW w:w="1350" w:type="dxa"/>
            <w:gridSpan w:val="2"/>
            <w:vMerge/>
            <w:tcBorders>
              <w:left w:val="single" w:sz="4" w:space="0" w:color="auto"/>
              <w:bottom w:val="single" w:sz="4" w:space="0" w:color="auto"/>
              <w:right w:val="single" w:sz="4" w:space="0" w:color="auto"/>
            </w:tcBorders>
            <w:shd w:val="clear" w:color="auto" w:fill="DAEEF3"/>
          </w:tcPr>
          <w:p w14:paraId="6E5ABF26" w14:textId="77777777" w:rsidR="00D76C20" w:rsidRPr="0008459B" w:rsidRDefault="00D76C20" w:rsidP="009F52EB">
            <w:pPr>
              <w:spacing w:after="0" w:line="240" w:lineRule="auto"/>
              <w:jc w:val="center"/>
              <w:rPr>
                <w:rFonts w:eastAsia="Calibri"/>
                <w:b/>
                <w:sz w:val="20"/>
                <w:szCs w:val="20"/>
              </w:rPr>
            </w:pPr>
          </w:p>
        </w:tc>
        <w:tc>
          <w:tcPr>
            <w:tcW w:w="1262" w:type="dxa"/>
            <w:tcBorders>
              <w:top w:val="single" w:sz="4" w:space="0" w:color="auto"/>
              <w:left w:val="single" w:sz="4" w:space="0" w:color="auto"/>
              <w:bottom w:val="single" w:sz="4" w:space="0" w:color="auto"/>
              <w:right w:val="single" w:sz="4" w:space="0" w:color="auto"/>
            </w:tcBorders>
            <w:shd w:val="clear" w:color="auto" w:fill="DAEEF3"/>
            <w:vAlign w:val="center"/>
          </w:tcPr>
          <w:p w14:paraId="4FBF87B3" w14:textId="19ECE4B3" w:rsidR="00D76C20" w:rsidRPr="0008459B" w:rsidRDefault="00D76C20" w:rsidP="00C935C5">
            <w:pPr>
              <w:spacing w:after="0" w:line="240" w:lineRule="auto"/>
              <w:jc w:val="center"/>
              <w:rPr>
                <w:rFonts w:eastAsia="Calibri"/>
                <w:b/>
                <w:sz w:val="20"/>
                <w:szCs w:val="20"/>
              </w:rPr>
            </w:pPr>
            <w:r>
              <w:rPr>
                <w:rFonts w:eastAsia="Calibri"/>
                <w:b/>
                <w:sz w:val="20"/>
                <w:szCs w:val="20"/>
              </w:rPr>
              <w:t>Planned</w:t>
            </w:r>
          </w:p>
        </w:tc>
        <w:tc>
          <w:tcPr>
            <w:tcW w:w="1350"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14:paraId="2A6411F0" w14:textId="04BAF893" w:rsidR="00D76C20" w:rsidRPr="0008459B" w:rsidRDefault="00D76C20" w:rsidP="00C935C5">
            <w:pPr>
              <w:spacing w:after="0" w:line="240" w:lineRule="auto"/>
              <w:jc w:val="center"/>
              <w:rPr>
                <w:rFonts w:eastAsia="Calibri"/>
                <w:b/>
                <w:sz w:val="20"/>
                <w:szCs w:val="20"/>
              </w:rPr>
            </w:pPr>
            <w:r>
              <w:rPr>
                <w:rFonts w:eastAsia="Calibri"/>
                <w:b/>
                <w:sz w:val="20"/>
                <w:szCs w:val="20"/>
              </w:rPr>
              <w:t>Actual</w:t>
            </w:r>
          </w:p>
        </w:tc>
        <w:tc>
          <w:tcPr>
            <w:tcW w:w="1620" w:type="dxa"/>
            <w:vMerge/>
            <w:tcBorders>
              <w:left w:val="single" w:sz="4" w:space="0" w:color="auto"/>
              <w:bottom w:val="single" w:sz="4" w:space="0" w:color="auto"/>
              <w:right w:val="single" w:sz="4" w:space="0" w:color="auto"/>
            </w:tcBorders>
            <w:shd w:val="clear" w:color="auto" w:fill="DAEEF3"/>
          </w:tcPr>
          <w:p w14:paraId="5C10E4D9" w14:textId="77777777" w:rsidR="00D76C20" w:rsidRPr="005A7A63" w:rsidRDefault="00D76C20" w:rsidP="009F52EB">
            <w:pPr>
              <w:spacing w:after="0" w:line="240" w:lineRule="auto"/>
              <w:jc w:val="center"/>
              <w:rPr>
                <w:rFonts w:eastAsia="Calibri"/>
                <w:b/>
                <w:sz w:val="20"/>
                <w:szCs w:val="20"/>
              </w:rPr>
            </w:pPr>
          </w:p>
        </w:tc>
      </w:tr>
      <w:tr w:rsidR="00AE7AB7" w:rsidRPr="00283732" w14:paraId="5F008B28" w14:textId="77777777" w:rsidTr="005B78CE">
        <w:trPr>
          <w:trHeight w:val="305"/>
          <w:jc w:val="center"/>
        </w:trPr>
        <w:tc>
          <w:tcPr>
            <w:tcW w:w="3143" w:type="dxa"/>
            <w:gridSpan w:val="2"/>
            <w:vMerge/>
            <w:tcBorders>
              <w:left w:val="single" w:sz="4" w:space="0" w:color="auto"/>
              <w:bottom w:val="single" w:sz="4" w:space="0" w:color="auto"/>
              <w:right w:val="single" w:sz="4" w:space="0" w:color="auto"/>
            </w:tcBorders>
            <w:shd w:val="clear" w:color="auto" w:fill="DAEEF3"/>
          </w:tcPr>
          <w:p w14:paraId="72940AC6" w14:textId="77777777" w:rsidR="00AE7AB7" w:rsidRPr="005A7A63" w:rsidRDefault="00AE7AB7" w:rsidP="009F52EB">
            <w:pPr>
              <w:spacing w:after="0" w:line="240" w:lineRule="auto"/>
              <w:rPr>
                <w:rFonts w:eastAsia="Calibri"/>
                <w:sz w:val="20"/>
                <w:szCs w:val="20"/>
              </w:rPr>
            </w:pPr>
          </w:p>
        </w:tc>
        <w:tc>
          <w:tcPr>
            <w:tcW w:w="6210" w:type="dxa"/>
            <w:gridSpan w:val="2"/>
            <w:vMerge/>
            <w:tcBorders>
              <w:left w:val="single" w:sz="4" w:space="0" w:color="auto"/>
              <w:bottom w:val="single" w:sz="4" w:space="0" w:color="auto"/>
              <w:right w:val="single" w:sz="4" w:space="0" w:color="auto"/>
            </w:tcBorders>
            <w:shd w:val="clear" w:color="auto" w:fill="DAEEF3"/>
          </w:tcPr>
          <w:p w14:paraId="346E4E95" w14:textId="77777777" w:rsidR="00AE7AB7" w:rsidRPr="005A7A63" w:rsidRDefault="00AE7AB7" w:rsidP="009F52EB">
            <w:pPr>
              <w:spacing w:after="0" w:line="240" w:lineRule="auto"/>
              <w:rPr>
                <w:rFonts w:eastAsia="Calibri"/>
                <w:b/>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DAEEF3"/>
          </w:tcPr>
          <w:p w14:paraId="06C97F54" w14:textId="77777777" w:rsidR="00AE7AB7" w:rsidRPr="005A11EF" w:rsidRDefault="00AE7AB7" w:rsidP="009F52EB">
            <w:pPr>
              <w:spacing w:after="0" w:line="240" w:lineRule="auto"/>
              <w:jc w:val="center"/>
              <w:rPr>
                <w:rFonts w:eastAsia="Calibri"/>
                <w:b/>
                <w:sz w:val="20"/>
                <w:szCs w:val="20"/>
              </w:rPr>
            </w:pPr>
            <w:r w:rsidRPr="005A11EF">
              <w:rPr>
                <w:rFonts w:eastAsia="Calibri"/>
                <w:b/>
                <w:sz w:val="20"/>
                <w:szCs w:val="20"/>
              </w:rPr>
              <w:t>2013</w:t>
            </w:r>
          </w:p>
        </w:tc>
        <w:tc>
          <w:tcPr>
            <w:tcW w:w="1262" w:type="dxa"/>
            <w:tcBorders>
              <w:top w:val="single" w:sz="4" w:space="0" w:color="auto"/>
              <w:left w:val="single" w:sz="4" w:space="0" w:color="auto"/>
              <w:bottom w:val="single" w:sz="4" w:space="0" w:color="auto"/>
              <w:right w:val="single" w:sz="4" w:space="0" w:color="auto"/>
            </w:tcBorders>
            <w:shd w:val="clear" w:color="auto" w:fill="DAEEF3"/>
          </w:tcPr>
          <w:p w14:paraId="7B265AC8" w14:textId="77777777" w:rsidR="00AE7AB7" w:rsidRPr="005A11EF" w:rsidRDefault="00AE7AB7" w:rsidP="009F52EB">
            <w:pPr>
              <w:spacing w:after="0" w:line="240" w:lineRule="auto"/>
              <w:jc w:val="center"/>
              <w:rPr>
                <w:rFonts w:eastAsia="Calibri"/>
                <w:b/>
                <w:sz w:val="20"/>
                <w:szCs w:val="20"/>
              </w:rPr>
            </w:pPr>
            <w:r w:rsidRPr="005A11EF">
              <w:rPr>
                <w:rFonts w:eastAsia="Calibri"/>
                <w:b/>
                <w:sz w:val="20"/>
                <w:szCs w:val="20"/>
              </w:rPr>
              <w:t>2014</w:t>
            </w:r>
          </w:p>
        </w:tc>
        <w:tc>
          <w:tcPr>
            <w:tcW w:w="1350" w:type="dxa"/>
            <w:gridSpan w:val="2"/>
            <w:tcBorders>
              <w:top w:val="single" w:sz="4" w:space="0" w:color="auto"/>
              <w:left w:val="single" w:sz="4" w:space="0" w:color="auto"/>
              <w:bottom w:val="single" w:sz="4" w:space="0" w:color="auto"/>
              <w:right w:val="single" w:sz="4" w:space="0" w:color="auto"/>
            </w:tcBorders>
            <w:shd w:val="clear" w:color="auto" w:fill="DAEEF3"/>
          </w:tcPr>
          <w:p w14:paraId="09759D60" w14:textId="680A5F5D" w:rsidR="00AE7AB7" w:rsidRPr="005A11EF" w:rsidRDefault="00AE7AB7" w:rsidP="009F52EB">
            <w:pPr>
              <w:spacing w:after="0" w:line="240" w:lineRule="auto"/>
              <w:jc w:val="center"/>
              <w:rPr>
                <w:rFonts w:eastAsia="Calibri"/>
                <w:b/>
                <w:sz w:val="20"/>
                <w:szCs w:val="20"/>
              </w:rPr>
            </w:pPr>
            <w:r>
              <w:rPr>
                <w:rFonts w:eastAsia="Calibri"/>
                <w:b/>
                <w:sz w:val="20"/>
                <w:szCs w:val="20"/>
              </w:rPr>
              <w:t>2014</w:t>
            </w:r>
          </w:p>
        </w:tc>
        <w:tc>
          <w:tcPr>
            <w:tcW w:w="1620" w:type="dxa"/>
            <w:tcBorders>
              <w:top w:val="single" w:sz="4" w:space="0" w:color="auto"/>
              <w:left w:val="single" w:sz="4" w:space="0" w:color="auto"/>
              <w:bottom w:val="single" w:sz="4" w:space="0" w:color="auto"/>
              <w:right w:val="single" w:sz="4" w:space="0" w:color="auto"/>
            </w:tcBorders>
            <w:shd w:val="clear" w:color="auto" w:fill="DAEEF3"/>
          </w:tcPr>
          <w:p w14:paraId="002322F4" w14:textId="77777777" w:rsidR="00AE7AB7" w:rsidRPr="005A11EF" w:rsidRDefault="00AE7AB7" w:rsidP="009F52EB">
            <w:pPr>
              <w:spacing w:after="0" w:line="240" w:lineRule="auto"/>
              <w:jc w:val="center"/>
              <w:rPr>
                <w:rFonts w:eastAsia="Calibri"/>
                <w:b/>
                <w:sz w:val="20"/>
                <w:szCs w:val="20"/>
              </w:rPr>
            </w:pPr>
            <w:r w:rsidRPr="005A11EF">
              <w:rPr>
                <w:rFonts w:eastAsia="Calibri"/>
                <w:b/>
                <w:sz w:val="20"/>
                <w:szCs w:val="20"/>
              </w:rPr>
              <w:t>2017</w:t>
            </w:r>
          </w:p>
        </w:tc>
      </w:tr>
      <w:tr w:rsidR="00405EF5" w:rsidRPr="00283732" w14:paraId="40CCC1ED" w14:textId="77777777" w:rsidTr="005B78CE">
        <w:trPr>
          <w:trHeight w:val="215"/>
          <w:jc w:val="center"/>
        </w:trPr>
        <w:tc>
          <w:tcPr>
            <w:tcW w:w="3143" w:type="dxa"/>
            <w:gridSpan w:val="2"/>
            <w:vMerge w:val="restart"/>
            <w:tcBorders>
              <w:top w:val="single" w:sz="4" w:space="0" w:color="auto"/>
              <w:left w:val="single" w:sz="4" w:space="0" w:color="auto"/>
              <w:right w:val="single" w:sz="4" w:space="0" w:color="auto"/>
            </w:tcBorders>
            <w:shd w:val="clear" w:color="auto" w:fill="FFFFFF"/>
            <w:hideMark/>
          </w:tcPr>
          <w:p w14:paraId="32E7774B" w14:textId="77777777" w:rsidR="00405EF5" w:rsidRDefault="00405EF5" w:rsidP="009F52EB">
            <w:pPr>
              <w:spacing w:after="0" w:line="240" w:lineRule="auto"/>
              <w:rPr>
                <w:rFonts w:eastAsia="Calibri"/>
                <w:sz w:val="20"/>
                <w:szCs w:val="20"/>
              </w:rPr>
            </w:pPr>
            <w:r w:rsidRPr="005A7A63">
              <w:rPr>
                <w:rFonts w:eastAsia="Calibri"/>
                <w:b/>
                <w:sz w:val="20"/>
                <w:szCs w:val="20"/>
              </w:rPr>
              <w:t xml:space="preserve">Output 2.1. </w:t>
            </w:r>
            <w:r w:rsidRPr="005A7A63">
              <w:rPr>
                <w:rFonts w:eastAsia="Calibri"/>
                <w:sz w:val="20"/>
                <w:szCs w:val="20"/>
              </w:rPr>
              <w:t>Parliaments,</w:t>
            </w:r>
            <w:r w:rsidRPr="005A7A63">
              <w:rPr>
                <w:rFonts w:eastAsia="Calibri"/>
                <w:b/>
                <w:sz w:val="20"/>
                <w:szCs w:val="20"/>
              </w:rPr>
              <w:t xml:space="preserve"> </w:t>
            </w:r>
            <w:r w:rsidRPr="005A7A63">
              <w:rPr>
                <w:rFonts w:eastAsia="Calibri"/>
                <w:sz w:val="20"/>
                <w:szCs w:val="20"/>
              </w:rPr>
              <w:t xml:space="preserve">constitution making bodies and electoral institutions enabled to perform core functions for improved accountability, participation and representation, including for peaceful transitions </w:t>
            </w:r>
          </w:p>
          <w:p w14:paraId="74D84079" w14:textId="77777777" w:rsidR="00405EF5" w:rsidRDefault="00405EF5" w:rsidP="009F52EB">
            <w:pPr>
              <w:spacing w:after="0" w:line="240" w:lineRule="auto"/>
              <w:rPr>
                <w:rFonts w:eastAsia="Calibri"/>
                <w:sz w:val="20"/>
                <w:szCs w:val="20"/>
              </w:rPr>
            </w:pPr>
          </w:p>
          <w:p w14:paraId="272E660F" w14:textId="694C3DE5" w:rsidR="00405EF5" w:rsidRPr="005A7A63" w:rsidRDefault="00F74343" w:rsidP="0036226E">
            <w:pPr>
              <w:spacing w:after="0" w:line="240" w:lineRule="auto"/>
              <w:rPr>
                <w:rFonts w:eastAsia="Calibri"/>
                <w:sz w:val="20"/>
                <w:szCs w:val="20"/>
              </w:rPr>
            </w:pPr>
            <w:r w:rsidRPr="00B359E7">
              <w:rPr>
                <w:rFonts w:ascii="Calibri" w:eastAsia="Calibri" w:hAnsi="Calibri"/>
                <w:b/>
                <w:i/>
                <w:color w:val="000000"/>
                <w:sz w:val="18"/>
                <w:szCs w:val="18"/>
              </w:rPr>
              <w:t>Number of countries linked:</w:t>
            </w:r>
            <w:r>
              <w:rPr>
                <w:rFonts w:ascii="Calibri" w:eastAsia="Calibri" w:hAnsi="Calibri"/>
                <w:b/>
                <w:color w:val="000000"/>
                <w:sz w:val="18"/>
                <w:szCs w:val="18"/>
              </w:rPr>
              <w:t xml:space="preserve"> 9</w:t>
            </w:r>
            <w:r w:rsidR="0036226E">
              <w:rPr>
                <w:rFonts w:ascii="Calibri" w:eastAsia="Calibri" w:hAnsi="Calibri"/>
                <w:b/>
                <w:color w:val="000000"/>
                <w:sz w:val="18"/>
                <w:szCs w:val="18"/>
              </w:rPr>
              <w:t>7</w:t>
            </w:r>
            <w:r>
              <w:rPr>
                <w:rFonts w:ascii="Calibri" w:eastAsia="Calibri" w:hAnsi="Calibri"/>
                <w:b/>
                <w:color w:val="000000"/>
                <w:sz w:val="18"/>
                <w:szCs w:val="18"/>
              </w:rPr>
              <w:t xml:space="preserve"> (February 2015</w:t>
            </w:r>
            <w:r w:rsidRPr="00B359E7">
              <w:rPr>
                <w:rFonts w:ascii="Calibri" w:eastAsia="Calibri" w:hAnsi="Calibri"/>
                <w:b/>
                <w:color w:val="000000"/>
                <w:sz w:val="18"/>
                <w:szCs w:val="18"/>
              </w:rPr>
              <w:t>)</w:t>
            </w:r>
          </w:p>
        </w:tc>
        <w:tc>
          <w:tcPr>
            <w:tcW w:w="900" w:type="dxa"/>
            <w:vMerge w:val="restart"/>
            <w:tcBorders>
              <w:top w:val="single" w:sz="4" w:space="0" w:color="auto"/>
              <w:left w:val="single" w:sz="4" w:space="0" w:color="auto"/>
              <w:right w:val="single" w:sz="4" w:space="0" w:color="auto"/>
            </w:tcBorders>
            <w:shd w:val="clear" w:color="auto" w:fill="FFFFFF"/>
            <w:hideMark/>
          </w:tcPr>
          <w:p w14:paraId="3A0E09EB" w14:textId="77777777" w:rsidR="00405EF5" w:rsidRPr="00F0201C" w:rsidRDefault="00405EF5" w:rsidP="009F52EB">
            <w:pPr>
              <w:spacing w:after="0" w:line="240" w:lineRule="auto"/>
              <w:jc w:val="center"/>
              <w:rPr>
                <w:rFonts w:eastAsia="Calibri"/>
                <w:b/>
                <w:sz w:val="20"/>
                <w:szCs w:val="20"/>
              </w:rPr>
            </w:pPr>
            <w:r w:rsidRPr="00F0201C">
              <w:rPr>
                <w:rFonts w:eastAsia="Calibri"/>
                <w:b/>
                <w:sz w:val="20"/>
                <w:szCs w:val="20"/>
              </w:rPr>
              <w:t>2.1.1a</w:t>
            </w:r>
          </w:p>
        </w:tc>
        <w:tc>
          <w:tcPr>
            <w:tcW w:w="5310" w:type="dxa"/>
            <w:tcBorders>
              <w:top w:val="single" w:sz="4" w:space="0" w:color="auto"/>
              <w:left w:val="single" w:sz="4" w:space="0" w:color="auto"/>
              <w:bottom w:val="single" w:sz="4" w:space="0" w:color="auto"/>
              <w:right w:val="single" w:sz="4" w:space="0" w:color="auto"/>
            </w:tcBorders>
            <w:shd w:val="clear" w:color="auto" w:fill="FFFFFF"/>
            <w:hideMark/>
          </w:tcPr>
          <w:p w14:paraId="340EEA36" w14:textId="77777777" w:rsidR="00405EF5" w:rsidRPr="00F0201C" w:rsidRDefault="00405EF5" w:rsidP="00D3444A">
            <w:pPr>
              <w:spacing w:after="0" w:line="240" w:lineRule="auto"/>
              <w:rPr>
                <w:rFonts w:eastAsia="Calibri"/>
                <w:sz w:val="20"/>
                <w:szCs w:val="20"/>
              </w:rPr>
            </w:pPr>
            <w:r w:rsidRPr="00F0201C">
              <w:rPr>
                <w:sz w:val="20"/>
                <w:szCs w:val="20"/>
              </w:rPr>
              <w:t xml:space="preserve">Number of </w:t>
            </w:r>
            <w:r w:rsidRPr="00F0201C">
              <w:rPr>
                <w:b/>
                <w:sz w:val="20"/>
                <w:szCs w:val="20"/>
              </w:rPr>
              <w:t>parliaments</w:t>
            </w:r>
            <w:r w:rsidRPr="00F0201C">
              <w:rPr>
                <w:sz w:val="20"/>
                <w:szCs w:val="20"/>
              </w:rPr>
              <w:t xml:space="preserve"> with </w:t>
            </w:r>
            <w:r w:rsidRPr="00F0201C">
              <w:rPr>
                <w:b/>
                <w:sz w:val="20"/>
                <w:szCs w:val="20"/>
              </w:rPr>
              <w:t>improved administrative and human resources capacities</w:t>
            </w:r>
            <w:r w:rsidRPr="00F0201C">
              <w:rPr>
                <w:sz w:val="20"/>
                <w:szCs w:val="20"/>
              </w:rPr>
              <w:t xml:space="preserve"> to discharge their mandates in relation to law-making, oversight and representation</w:t>
            </w:r>
          </w:p>
          <w:p w14:paraId="479F4640" w14:textId="75B6B922" w:rsidR="008376B6" w:rsidRPr="00F0201C" w:rsidRDefault="008376B6" w:rsidP="00E11504">
            <w:pPr>
              <w:spacing w:before="240" w:after="0" w:line="240" w:lineRule="auto"/>
              <w:rPr>
                <w:rFonts w:eastAsia="Calibri"/>
                <w:sz w:val="20"/>
                <w:szCs w:val="20"/>
              </w:rPr>
            </w:pPr>
            <w:r w:rsidRPr="00F0201C">
              <w:rPr>
                <w:rFonts w:eastAsia="Calibri"/>
                <w:b/>
                <w:i/>
                <w:sz w:val="18"/>
                <w:szCs w:val="18"/>
              </w:rPr>
              <w:t xml:space="preserve">Number of countries </w:t>
            </w:r>
            <w:r w:rsidR="00983FF8" w:rsidRPr="00F0201C">
              <w:rPr>
                <w:rFonts w:eastAsia="Calibri"/>
                <w:b/>
                <w:i/>
                <w:sz w:val="18"/>
                <w:szCs w:val="18"/>
              </w:rPr>
              <w:t>for which a 2017 target has currently been set under this indicator</w:t>
            </w:r>
            <w:r w:rsidR="008B5B5D" w:rsidRPr="00F0201C">
              <w:rPr>
                <w:rFonts w:eastAsia="Calibri"/>
                <w:b/>
                <w:i/>
                <w:sz w:val="18"/>
                <w:szCs w:val="18"/>
              </w:rPr>
              <w:t>: 61</w:t>
            </w:r>
          </w:p>
        </w:tc>
        <w:tc>
          <w:tcPr>
            <w:tcW w:w="1350" w:type="dxa"/>
            <w:gridSpan w:val="2"/>
            <w:tcBorders>
              <w:top w:val="single" w:sz="4" w:space="0" w:color="auto"/>
              <w:left w:val="single" w:sz="4" w:space="0" w:color="auto"/>
              <w:right w:val="single" w:sz="4" w:space="0" w:color="auto"/>
            </w:tcBorders>
            <w:shd w:val="clear" w:color="auto" w:fill="FFFFFF"/>
            <w:vAlign w:val="center"/>
          </w:tcPr>
          <w:p w14:paraId="4456E2D6" w14:textId="36DEEAF9" w:rsidR="00405EF5" w:rsidRPr="00F0201C" w:rsidRDefault="007E66CF" w:rsidP="007E66CF">
            <w:pPr>
              <w:spacing w:after="0" w:line="240" w:lineRule="auto"/>
              <w:jc w:val="center"/>
              <w:rPr>
                <w:sz w:val="20"/>
                <w:szCs w:val="20"/>
              </w:rPr>
            </w:pPr>
            <w:r w:rsidRPr="00F0201C">
              <w:rPr>
                <w:sz w:val="20"/>
                <w:szCs w:val="20"/>
              </w:rPr>
              <w:t>0</w:t>
            </w:r>
          </w:p>
        </w:tc>
        <w:tc>
          <w:tcPr>
            <w:tcW w:w="1262" w:type="dxa"/>
            <w:tcBorders>
              <w:top w:val="single" w:sz="4" w:space="0" w:color="auto"/>
              <w:left w:val="single" w:sz="4" w:space="0" w:color="auto"/>
              <w:right w:val="single" w:sz="4" w:space="0" w:color="auto"/>
            </w:tcBorders>
            <w:shd w:val="clear" w:color="auto" w:fill="FFFFFF"/>
            <w:vAlign w:val="center"/>
          </w:tcPr>
          <w:p w14:paraId="5449008F" w14:textId="475C13B6" w:rsidR="00405EF5" w:rsidRPr="00F0201C" w:rsidRDefault="00376833" w:rsidP="00CB28F7">
            <w:pPr>
              <w:spacing w:after="0" w:line="240" w:lineRule="auto"/>
              <w:jc w:val="center"/>
              <w:rPr>
                <w:sz w:val="20"/>
                <w:szCs w:val="20"/>
              </w:rPr>
            </w:pPr>
            <w:r w:rsidRPr="00F0201C">
              <w:rPr>
                <w:sz w:val="20"/>
                <w:szCs w:val="20"/>
              </w:rPr>
              <w:t>24</w:t>
            </w:r>
          </w:p>
        </w:tc>
        <w:tc>
          <w:tcPr>
            <w:tcW w:w="1350" w:type="dxa"/>
            <w:gridSpan w:val="2"/>
            <w:tcBorders>
              <w:top w:val="single" w:sz="4" w:space="0" w:color="auto"/>
              <w:left w:val="single" w:sz="4" w:space="0" w:color="auto"/>
              <w:right w:val="single" w:sz="4" w:space="0" w:color="auto"/>
            </w:tcBorders>
            <w:shd w:val="clear" w:color="auto" w:fill="FFFFFF"/>
            <w:vAlign w:val="center"/>
          </w:tcPr>
          <w:p w14:paraId="0FA75F78" w14:textId="1A0A29B0" w:rsidR="00405EF5" w:rsidRPr="00F0201C" w:rsidRDefault="00376833" w:rsidP="00CB28F7">
            <w:pPr>
              <w:spacing w:after="0" w:line="240" w:lineRule="auto"/>
              <w:jc w:val="center"/>
              <w:rPr>
                <w:sz w:val="20"/>
                <w:szCs w:val="20"/>
              </w:rPr>
            </w:pPr>
            <w:r w:rsidRPr="00F0201C">
              <w:rPr>
                <w:sz w:val="20"/>
                <w:szCs w:val="20"/>
              </w:rPr>
              <w:t>29</w:t>
            </w:r>
          </w:p>
        </w:tc>
        <w:tc>
          <w:tcPr>
            <w:tcW w:w="1620" w:type="dxa"/>
            <w:tcBorders>
              <w:top w:val="single" w:sz="4" w:space="0" w:color="auto"/>
              <w:left w:val="single" w:sz="4" w:space="0" w:color="auto"/>
              <w:right w:val="single" w:sz="4" w:space="0" w:color="auto"/>
            </w:tcBorders>
            <w:shd w:val="clear" w:color="auto" w:fill="FFFFFF"/>
            <w:vAlign w:val="center"/>
          </w:tcPr>
          <w:p w14:paraId="23063931" w14:textId="52DAB894" w:rsidR="00405EF5" w:rsidRPr="00F0201C" w:rsidRDefault="00405EF5" w:rsidP="008B5B5D">
            <w:pPr>
              <w:spacing w:after="0" w:line="240" w:lineRule="auto"/>
              <w:jc w:val="center"/>
              <w:rPr>
                <w:sz w:val="20"/>
                <w:szCs w:val="20"/>
              </w:rPr>
            </w:pPr>
            <w:r w:rsidRPr="00F0201C">
              <w:rPr>
                <w:sz w:val="20"/>
                <w:szCs w:val="20"/>
              </w:rPr>
              <w:t>5</w:t>
            </w:r>
            <w:r w:rsidR="00376833" w:rsidRPr="00F0201C">
              <w:rPr>
                <w:sz w:val="20"/>
                <w:szCs w:val="20"/>
              </w:rPr>
              <w:t>5</w:t>
            </w:r>
          </w:p>
        </w:tc>
      </w:tr>
      <w:tr w:rsidR="00DF3AA2" w:rsidRPr="00283732" w14:paraId="4F0C5BC8" w14:textId="77777777" w:rsidTr="004C3CB2">
        <w:trPr>
          <w:trHeight w:val="530"/>
          <w:jc w:val="center"/>
        </w:trPr>
        <w:tc>
          <w:tcPr>
            <w:tcW w:w="3143" w:type="dxa"/>
            <w:gridSpan w:val="2"/>
            <w:vMerge/>
            <w:tcBorders>
              <w:left w:val="single" w:sz="4" w:space="0" w:color="auto"/>
              <w:right w:val="single" w:sz="4" w:space="0" w:color="auto"/>
            </w:tcBorders>
            <w:shd w:val="clear" w:color="auto" w:fill="FFFFFF"/>
          </w:tcPr>
          <w:p w14:paraId="0A3872A0" w14:textId="77777777" w:rsidR="00DF3AA2" w:rsidRPr="005A7A63" w:rsidRDefault="00DF3AA2" w:rsidP="009F52EB">
            <w:pPr>
              <w:spacing w:after="0" w:line="240" w:lineRule="auto"/>
              <w:rPr>
                <w:rFonts w:eastAsia="Calibri"/>
                <w:b/>
                <w:sz w:val="20"/>
                <w:szCs w:val="20"/>
              </w:rPr>
            </w:pPr>
          </w:p>
        </w:tc>
        <w:tc>
          <w:tcPr>
            <w:tcW w:w="900" w:type="dxa"/>
            <w:vMerge/>
            <w:tcBorders>
              <w:left w:val="single" w:sz="4" w:space="0" w:color="auto"/>
              <w:bottom w:val="single" w:sz="4" w:space="0" w:color="auto"/>
              <w:right w:val="single" w:sz="4" w:space="0" w:color="auto"/>
            </w:tcBorders>
            <w:shd w:val="clear" w:color="auto" w:fill="FFFFFF"/>
          </w:tcPr>
          <w:p w14:paraId="32920937" w14:textId="77777777" w:rsidR="00DF3AA2" w:rsidRPr="00F0201C" w:rsidRDefault="00DF3AA2" w:rsidP="009F52EB">
            <w:pPr>
              <w:spacing w:after="0" w:line="240" w:lineRule="auto"/>
              <w:jc w:val="center"/>
              <w:rPr>
                <w:rFonts w:eastAsia="Calibri"/>
                <w:b/>
                <w:sz w:val="20"/>
                <w:szCs w:val="20"/>
              </w:rPr>
            </w:pPr>
          </w:p>
        </w:tc>
        <w:tc>
          <w:tcPr>
            <w:tcW w:w="10892" w:type="dxa"/>
            <w:gridSpan w:val="7"/>
            <w:tcBorders>
              <w:left w:val="single" w:sz="4" w:space="0" w:color="auto"/>
              <w:bottom w:val="single" w:sz="4" w:space="0" w:color="auto"/>
              <w:right w:val="single" w:sz="4" w:space="0" w:color="auto"/>
            </w:tcBorders>
            <w:shd w:val="clear" w:color="auto" w:fill="D9D9D9" w:themeFill="background1" w:themeFillShade="D9"/>
          </w:tcPr>
          <w:p w14:paraId="6D20E0A4" w14:textId="49D5D91D" w:rsidR="00DF3AA2" w:rsidRPr="00F0201C" w:rsidRDefault="00DF3AA2" w:rsidP="004F2ED0">
            <w:pPr>
              <w:spacing w:after="0" w:line="240" w:lineRule="auto"/>
              <w:rPr>
                <w:rFonts w:ascii="Calibri" w:eastAsia="Calibri" w:hAnsi="Calibri"/>
                <w:sz w:val="18"/>
                <w:szCs w:val="18"/>
              </w:rPr>
            </w:pPr>
            <w:r w:rsidRPr="00F0201C">
              <w:rPr>
                <w:rFonts w:eastAsia="Calibri"/>
                <w:b/>
                <w:sz w:val="18"/>
                <w:szCs w:val="18"/>
              </w:rPr>
              <w:t xml:space="preserve">Indicator 2.1.1 Note: </w:t>
            </w:r>
            <w:r w:rsidRPr="00F0201C">
              <w:rPr>
                <w:rFonts w:ascii="Calibri" w:eastAsia="Calibri" w:hAnsi="Calibri"/>
                <w:sz w:val="18"/>
                <w:szCs w:val="18"/>
              </w:rPr>
              <w:t xml:space="preserve">Qualitative indicator, through which the effectiveness of UNDP’s support (on demand </w:t>
            </w:r>
            <w:r w:rsidRPr="00F0201C">
              <w:rPr>
                <w:sz w:val="18"/>
                <w:szCs w:val="18"/>
              </w:rPr>
              <w:t>from programme countries</w:t>
            </w:r>
            <w:r w:rsidRPr="00F0201C">
              <w:rPr>
                <w:rFonts w:ascii="Calibri" w:eastAsia="Calibri" w:hAnsi="Calibri"/>
                <w:sz w:val="18"/>
                <w:szCs w:val="18"/>
              </w:rPr>
              <w:t xml:space="preserve">) to strengthen parliaments’ </w:t>
            </w:r>
            <w:r w:rsidRPr="00F0201C">
              <w:rPr>
                <w:rFonts w:ascii="Calibri" w:eastAsia="Calibri" w:hAnsi="Calibri" w:cs="Times New Roman"/>
                <w:sz w:val="18"/>
                <w:szCs w:val="18"/>
                <w:lang w:eastAsia="en-US"/>
              </w:rPr>
              <w:t xml:space="preserve">administrative and human resources capacities </w:t>
            </w:r>
            <w:r w:rsidRPr="00F0201C">
              <w:rPr>
                <w:sz w:val="18"/>
                <w:szCs w:val="18"/>
              </w:rPr>
              <w:t>is</w:t>
            </w:r>
            <w:r w:rsidRPr="00F0201C">
              <w:rPr>
                <w:rFonts w:eastAsia="Calibri"/>
                <w:sz w:val="18"/>
                <w:szCs w:val="18"/>
              </w:rPr>
              <w:t xml:space="preserve"> tracked using a qualitative rating scale (extent to which administrative and HR capacities have improved: 1- Not improved, 2- Very partially, 3- Partially, and 4-Largely), counti</w:t>
            </w:r>
            <w:r w:rsidR="002A6F6B" w:rsidRPr="00F0201C">
              <w:rPr>
                <w:rFonts w:eastAsia="Calibri"/>
                <w:sz w:val="18"/>
                <w:szCs w:val="18"/>
              </w:rPr>
              <w:t>ng the number of countries where objective evidence exists that</w:t>
            </w:r>
            <w:r w:rsidRPr="00F0201C">
              <w:rPr>
                <w:rFonts w:eastAsia="Calibri"/>
                <w:sz w:val="18"/>
                <w:szCs w:val="18"/>
              </w:rPr>
              <w:t xml:space="preserve"> UNDP support</w:t>
            </w:r>
            <w:r w:rsidR="002A6F6B" w:rsidRPr="00F0201C">
              <w:rPr>
                <w:rFonts w:eastAsia="Calibri"/>
                <w:sz w:val="18"/>
                <w:szCs w:val="18"/>
              </w:rPr>
              <w:t xml:space="preserve"> has improved </w:t>
            </w:r>
            <w:r w:rsidRPr="00F0201C">
              <w:rPr>
                <w:rFonts w:eastAsia="Calibri"/>
                <w:sz w:val="18"/>
                <w:szCs w:val="18"/>
              </w:rPr>
              <w:t>parliaments</w:t>
            </w:r>
            <w:r w:rsidR="002A6F6B" w:rsidRPr="00F0201C">
              <w:rPr>
                <w:rFonts w:eastAsia="Calibri"/>
                <w:sz w:val="18"/>
                <w:szCs w:val="18"/>
              </w:rPr>
              <w:t>’</w:t>
            </w:r>
            <w:r w:rsidRPr="00F0201C">
              <w:rPr>
                <w:rFonts w:eastAsia="Calibri"/>
                <w:sz w:val="18"/>
                <w:szCs w:val="18"/>
              </w:rPr>
              <w:t xml:space="preserve"> capacities</w:t>
            </w:r>
            <w:r w:rsidRPr="00F0201C">
              <w:rPr>
                <w:rFonts w:ascii="Calibri" w:eastAsia="Calibri" w:hAnsi="Calibri"/>
                <w:sz w:val="18"/>
                <w:szCs w:val="18"/>
              </w:rPr>
              <w:t xml:space="preserve"> from January 2014 onwards. </w:t>
            </w:r>
          </w:p>
          <w:p w14:paraId="27785973" w14:textId="25D8F70E" w:rsidR="00DF3AA2" w:rsidRPr="00F0201C" w:rsidRDefault="00DF3AA2" w:rsidP="00CE08A7">
            <w:pPr>
              <w:spacing w:after="0" w:line="240" w:lineRule="auto"/>
              <w:rPr>
                <w:sz w:val="20"/>
                <w:szCs w:val="20"/>
              </w:rPr>
            </w:pPr>
            <w:r w:rsidRPr="00F0201C">
              <w:rPr>
                <w:rFonts w:eastAsia="Calibri"/>
                <w:b/>
                <w:sz w:val="18"/>
                <w:szCs w:val="18"/>
              </w:rPr>
              <w:t xml:space="preserve">2014 Reporting Note: </w:t>
            </w:r>
            <w:r w:rsidRPr="00F0201C">
              <w:rPr>
                <w:rFonts w:eastAsia="Calibri"/>
                <w:sz w:val="18"/>
                <w:szCs w:val="18"/>
              </w:rPr>
              <w:t xml:space="preserve">2014 </w:t>
            </w:r>
            <w:r w:rsidR="008B5B5D" w:rsidRPr="00F0201C">
              <w:rPr>
                <w:rFonts w:eastAsia="Calibri"/>
                <w:sz w:val="18"/>
                <w:szCs w:val="18"/>
              </w:rPr>
              <w:t>m</w:t>
            </w:r>
            <w:r w:rsidRPr="00F0201C">
              <w:rPr>
                <w:rFonts w:eastAsia="Calibri"/>
                <w:sz w:val="18"/>
                <w:szCs w:val="18"/>
              </w:rPr>
              <w:t xml:space="preserve">ilestone </w:t>
            </w:r>
            <w:r w:rsidR="008B5B5D" w:rsidRPr="00F0201C">
              <w:rPr>
                <w:rFonts w:eastAsia="Calibri"/>
                <w:sz w:val="18"/>
                <w:szCs w:val="18"/>
              </w:rPr>
              <w:t xml:space="preserve">and 2017 target </w:t>
            </w:r>
            <w:r w:rsidRPr="00F0201C">
              <w:rPr>
                <w:rFonts w:eastAsia="Calibri"/>
                <w:sz w:val="18"/>
                <w:szCs w:val="18"/>
              </w:rPr>
              <w:t>updated to reflect more complete reporting from country offices. For reference, previous 2014 milestone was 28</w:t>
            </w:r>
            <w:r w:rsidR="008B5B5D" w:rsidRPr="00F0201C">
              <w:rPr>
                <w:rFonts w:eastAsia="Calibri"/>
                <w:sz w:val="18"/>
                <w:szCs w:val="18"/>
              </w:rPr>
              <w:t xml:space="preserve">, previous target was 58. </w:t>
            </w:r>
          </w:p>
        </w:tc>
      </w:tr>
      <w:tr w:rsidR="00405EF5" w:rsidRPr="00283732" w14:paraId="79E365D1" w14:textId="77777777" w:rsidTr="005B78CE">
        <w:trPr>
          <w:cantSplit/>
          <w:trHeight w:val="809"/>
          <w:jc w:val="center"/>
        </w:trPr>
        <w:tc>
          <w:tcPr>
            <w:tcW w:w="3143" w:type="dxa"/>
            <w:gridSpan w:val="2"/>
            <w:vMerge/>
            <w:tcBorders>
              <w:left w:val="single" w:sz="4" w:space="0" w:color="auto"/>
              <w:right w:val="single" w:sz="4" w:space="0" w:color="auto"/>
            </w:tcBorders>
            <w:shd w:val="clear" w:color="auto" w:fill="auto"/>
            <w:vAlign w:val="center"/>
            <w:hideMark/>
          </w:tcPr>
          <w:p w14:paraId="2829DAAE" w14:textId="77777777" w:rsidR="00405EF5" w:rsidRPr="005A7A63" w:rsidRDefault="00405EF5" w:rsidP="00434EF6">
            <w:pPr>
              <w:spacing w:after="0" w:line="240" w:lineRule="auto"/>
              <w:rPr>
                <w:rFonts w:eastAsia="Calibri"/>
                <w:sz w:val="20"/>
                <w:szCs w:val="20"/>
              </w:rPr>
            </w:pPr>
          </w:p>
        </w:tc>
        <w:tc>
          <w:tcPr>
            <w:tcW w:w="900" w:type="dxa"/>
            <w:vMerge w:val="restart"/>
            <w:tcBorders>
              <w:top w:val="single" w:sz="4" w:space="0" w:color="auto"/>
              <w:left w:val="single" w:sz="4" w:space="0" w:color="auto"/>
              <w:right w:val="single" w:sz="4" w:space="0" w:color="auto"/>
            </w:tcBorders>
            <w:shd w:val="clear" w:color="auto" w:fill="FFFFFF"/>
          </w:tcPr>
          <w:p w14:paraId="68B70293" w14:textId="77777777" w:rsidR="00405EF5" w:rsidRPr="00F0201C" w:rsidRDefault="00405EF5" w:rsidP="00434EF6">
            <w:pPr>
              <w:spacing w:after="0" w:line="240" w:lineRule="auto"/>
              <w:jc w:val="center"/>
              <w:rPr>
                <w:rFonts w:eastAsia="Calibri"/>
                <w:b/>
                <w:sz w:val="20"/>
                <w:szCs w:val="20"/>
              </w:rPr>
            </w:pPr>
            <w:r w:rsidRPr="00F0201C">
              <w:rPr>
                <w:rFonts w:eastAsia="Calibri"/>
                <w:b/>
                <w:sz w:val="20"/>
                <w:szCs w:val="20"/>
              </w:rPr>
              <w:t>2.1.1b</w:t>
            </w:r>
          </w:p>
        </w:tc>
        <w:tc>
          <w:tcPr>
            <w:tcW w:w="5310" w:type="dxa"/>
            <w:tcBorders>
              <w:top w:val="single" w:sz="4" w:space="0" w:color="auto"/>
              <w:left w:val="single" w:sz="4" w:space="0" w:color="auto"/>
              <w:bottom w:val="single" w:sz="4" w:space="0" w:color="auto"/>
              <w:right w:val="single" w:sz="4" w:space="0" w:color="auto"/>
            </w:tcBorders>
            <w:shd w:val="clear" w:color="auto" w:fill="FFFFFF"/>
            <w:vAlign w:val="center"/>
          </w:tcPr>
          <w:p w14:paraId="05A724CD" w14:textId="79F60A64" w:rsidR="00405EF5" w:rsidRPr="00F0201C" w:rsidRDefault="00405EF5" w:rsidP="0004174C">
            <w:pPr>
              <w:spacing w:after="0" w:line="240" w:lineRule="auto"/>
              <w:rPr>
                <w:sz w:val="20"/>
                <w:szCs w:val="20"/>
              </w:rPr>
            </w:pPr>
            <w:r w:rsidRPr="00F0201C">
              <w:rPr>
                <w:sz w:val="20"/>
                <w:szCs w:val="20"/>
              </w:rPr>
              <w:t xml:space="preserve">Number of </w:t>
            </w:r>
            <w:r w:rsidRPr="00F0201C">
              <w:rPr>
                <w:b/>
                <w:sz w:val="20"/>
                <w:szCs w:val="20"/>
              </w:rPr>
              <w:t>constitution-making bodies</w:t>
            </w:r>
            <w:r w:rsidRPr="00F0201C">
              <w:rPr>
                <w:sz w:val="20"/>
                <w:szCs w:val="20"/>
              </w:rPr>
              <w:t xml:space="preserve"> </w:t>
            </w:r>
            <w:r w:rsidR="002A6F6B" w:rsidRPr="00F0201C">
              <w:rPr>
                <w:b/>
                <w:sz w:val="20"/>
                <w:szCs w:val="20"/>
              </w:rPr>
              <w:t>(CMBs)</w:t>
            </w:r>
            <w:r w:rsidR="002A6F6B" w:rsidRPr="00F0201C">
              <w:rPr>
                <w:sz w:val="20"/>
                <w:szCs w:val="20"/>
              </w:rPr>
              <w:t xml:space="preserve"> </w:t>
            </w:r>
            <w:r w:rsidRPr="00F0201C">
              <w:rPr>
                <w:sz w:val="20"/>
                <w:szCs w:val="20"/>
              </w:rPr>
              <w:t xml:space="preserve">with </w:t>
            </w:r>
            <w:r w:rsidRPr="00F0201C">
              <w:rPr>
                <w:b/>
                <w:sz w:val="20"/>
                <w:szCs w:val="20"/>
              </w:rPr>
              <w:t>improved</w:t>
            </w:r>
            <w:r w:rsidRPr="00F0201C">
              <w:rPr>
                <w:sz w:val="20"/>
                <w:szCs w:val="20"/>
              </w:rPr>
              <w:t xml:space="preserve"> </w:t>
            </w:r>
            <w:r w:rsidRPr="00F0201C">
              <w:rPr>
                <w:b/>
                <w:sz w:val="20"/>
                <w:szCs w:val="20"/>
              </w:rPr>
              <w:t>administrative and human resources capacities</w:t>
            </w:r>
            <w:r w:rsidRPr="00F0201C">
              <w:rPr>
                <w:sz w:val="20"/>
                <w:szCs w:val="20"/>
              </w:rPr>
              <w:t xml:space="preserve"> to undertake drafting, public outreach and consultation and with mechanisms to ensure the participation of women and marginalized groups</w:t>
            </w:r>
          </w:p>
          <w:p w14:paraId="4FEAB88A" w14:textId="7B22E8D0" w:rsidR="008376B6" w:rsidRPr="00F0201C" w:rsidRDefault="008376B6" w:rsidP="00E11504">
            <w:pPr>
              <w:spacing w:before="240" w:after="0" w:line="240" w:lineRule="auto"/>
              <w:rPr>
                <w:rFonts w:eastAsia="Calibri"/>
                <w:sz w:val="20"/>
                <w:szCs w:val="20"/>
              </w:rPr>
            </w:pPr>
            <w:r w:rsidRPr="00F0201C">
              <w:rPr>
                <w:rFonts w:eastAsia="Calibri"/>
                <w:b/>
                <w:i/>
                <w:sz w:val="18"/>
                <w:szCs w:val="18"/>
              </w:rPr>
              <w:t xml:space="preserve">Number of countries </w:t>
            </w:r>
            <w:r w:rsidR="00983FF8" w:rsidRPr="00F0201C">
              <w:rPr>
                <w:rFonts w:eastAsia="Calibri"/>
                <w:b/>
                <w:i/>
                <w:sz w:val="18"/>
                <w:szCs w:val="18"/>
              </w:rPr>
              <w:t>for which a 2017 target has currently been set under this indicator</w:t>
            </w:r>
            <w:r w:rsidR="008B5B5D" w:rsidRPr="00F0201C">
              <w:rPr>
                <w:rFonts w:eastAsia="Calibri"/>
                <w:b/>
                <w:i/>
                <w:sz w:val="18"/>
                <w:szCs w:val="18"/>
              </w:rPr>
              <w:t>: 40</w:t>
            </w:r>
          </w:p>
        </w:tc>
        <w:tc>
          <w:tcPr>
            <w:tcW w:w="1328" w:type="dxa"/>
            <w:tcBorders>
              <w:left w:val="single" w:sz="4" w:space="0" w:color="auto"/>
              <w:bottom w:val="single" w:sz="4" w:space="0" w:color="auto"/>
              <w:right w:val="single" w:sz="4" w:space="0" w:color="auto"/>
            </w:tcBorders>
            <w:shd w:val="clear" w:color="auto" w:fill="FFFFFF"/>
            <w:vAlign w:val="center"/>
          </w:tcPr>
          <w:p w14:paraId="7AB658A0" w14:textId="0A2EA35A" w:rsidR="00405EF5" w:rsidRPr="00F0201C" w:rsidRDefault="007E66CF" w:rsidP="007E66CF">
            <w:pPr>
              <w:spacing w:after="0" w:line="240" w:lineRule="auto"/>
              <w:jc w:val="center"/>
              <w:rPr>
                <w:sz w:val="20"/>
                <w:szCs w:val="20"/>
              </w:rPr>
            </w:pPr>
            <w:r w:rsidRPr="00F0201C">
              <w:rPr>
                <w:sz w:val="20"/>
                <w:szCs w:val="20"/>
              </w:rPr>
              <w:t>0</w:t>
            </w:r>
          </w:p>
        </w:tc>
        <w:tc>
          <w:tcPr>
            <w:tcW w:w="1284" w:type="dxa"/>
            <w:gridSpan w:val="2"/>
            <w:tcBorders>
              <w:left w:val="single" w:sz="4" w:space="0" w:color="auto"/>
              <w:bottom w:val="single" w:sz="4" w:space="0" w:color="auto"/>
              <w:right w:val="single" w:sz="4" w:space="0" w:color="auto"/>
            </w:tcBorders>
            <w:shd w:val="clear" w:color="auto" w:fill="FFFFFF"/>
            <w:vAlign w:val="center"/>
          </w:tcPr>
          <w:p w14:paraId="4072F1CE" w14:textId="1E684818" w:rsidR="00405EF5" w:rsidRPr="00F0201C" w:rsidRDefault="00DF3AA2" w:rsidP="00434EF6">
            <w:pPr>
              <w:spacing w:after="0" w:line="240" w:lineRule="auto"/>
              <w:jc w:val="center"/>
              <w:rPr>
                <w:rFonts w:eastAsia="Calibri"/>
                <w:sz w:val="20"/>
                <w:szCs w:val="20"/>
              </w:rPr>
            </w:pPr>
            <w:r w:rsidRPr="00F0201C">
              <w:rPr>
                <w:rFonts w:eastAsia="Calibri"/>
                <w:sz w:val="20"/>
                <w:szCs w:val="20"/>
              </w:rPr>
              <w:t>1</w:t>
            </w:r>
            <w:r w:rsidR="00065F61" w:rsidRPr="00F0201C">
              <w:rPr>
                <w:rFonts w:eastAsia="Calibri"/>
                <w:sz w:val="20"/>
                <w:szCs w:val="20"/>
              </w:rPr>
              <w:t>5</w:t>
            </w:r>
          </w:p>
        </w:tc>
        <w:tc>
          <w:tcPr>
            <w:tcW w:w="1350" w:type="dxa"/>
            <w:gridSpan w:val="2"/>
            <w:tcBorders>
              <w:left w:val="single" w:sz="4" w:space="0" w:color="auto"/>
              <w:bottom w:val="single" w:sz="4" w:space="0" w:color="auto"/>
              <w:right w:val="single" w:sz="4" w:space="0" w:color="auto"/>
            </w:tcBorders>
            <w:shd w:val="clear" w:color="auto" w:fill="FFFFFF"/>
            <w:vAlign w:val="center"/>
          </w:tcPr>
          <w:p w14:paraId="14B33319" w14:textId="20ABD95B" w:rsidR="00405EF5" w:rsidRPr="00F0201C" w:rsidRDefault="00065F61" w:rsidP="00065F61">
            <w:pPr>
              <w:spacing w:after="0" w:line="240" w:lineRule="auto"/>
              <w:jc w:val="center"/>
              <w:rPr>
                <w:rFonts w:eastAsia="Calibri"/>
                <w:sz w:val="20"/>
                <w:szCs w:val="20"/>
              </w:rPr>
            </w:pPr>
            <w:r w:rsidRPr="00F0201C">
              <w:rPr>
                <w:rFonts w:eastAsia="Calibri"/>
                <w:sz w:val="20"/>
                <w:szCs w:val="20"/>
              </w:rPr>
              <w:t>22</w:t>
            </w:r>
          </w:p>
        </w:tc>
        <w:tc>
          <w:tcPr>
            <w:tcW w:w="1620" w:type="dxa"/>
            <w:tcBorders>
              <w:left w:val="single" w:sz="4" w:space="0" w:color="auto"/>
              <w:bottom w:val="single" w:sz="4" w:space="0" w:color="auto"/>
              <w:right w:val="single" w:sz="4" w:space="0" w:color="auto"/>
            </w:tcBorders>
            <w:shd w:val="clear" w:color="auto" w:fill="FFFFFF"/>
            <w:vAlign w:val="center"/>
          </w:tcPr>
          <w:p w14:paraId="39BBEF98" w14:textId="6683089B" w:rsidR="00405EF5" w:rsidRPr="00F0201C" w:rsidRDefault="00065F61" w:rsidP="00434EF6">
            <w:pPr>
              <w:spacing w:after="0" w:line="240" w:lineRule="auto"/>
              <w:jc w:val="center"/>
              <w:rPr>
                <w:rFonts w:eastAsia="Calibri"/>
                <w:sz w:val="20"/>
                <w:szCs w:val="20"/>
              </w:rPr>
            </w:pPr>
            <w:r w:rsidRPr="00F0201C">
              <w:rPr>
                <w:rFonts w:eastAsia="Calibri"/>
                <w:sz w:val="20"/>
                <w:szCs w:val="20"/>
              </w:rPr>
              <w:t>36</w:t>
            </w:r>
          </w:p>
        </w:tc>
      </w:tr>
      <w:tr w:rsidR="00DF3AA2" w:rsidRPr="00283732" w14:paraId="2CB83FD6" w14:textId="77777777" w:rsidTr="004C3CB2">
        <w:trPr>
          <w:cantSplit/>
          <w:trHeight w:val="548"/>
          <w:jc w:val="center"/>
        </w:trPr>
        <w:tc>
          <w:tcPr>
            <w:tcW w:w="3143" w:type="dxa"/>
            <w:gridSpan w:val="2"/>
            <w:vMerge/>
            <w:tcBorders>
              <w:left w:val="single" w:sz="4" w:space="0" w:color="auto"/>
              <w:right w:val="single" w:sz="4" w:space="0" w:color="auto"/>
            </w:tcBorders>
            <w:shd w:val="clear" w:color="auto" w:fill="auto"/>
            <w:vAlign w:val="center"/>
          </w:tcPr>
          <w:p w14:paraId="23C60DB2" w14:textId="77777777" w:rsidR="00DF3AA2" w:rsidRPr="005A7A63" w:rsidRDefault="00DF3AA2" w:rsidP="00434EF6">
            <w:pPr>
              <w:spacing w:after="0" w:line="240" w:lineRule="auto"/>
              <w:rPr>
                <w:rFonts w:eastAsia="Calibri"/>
                <w:sz w:val="20"/>
                <w:szCs w:val="20"/>
              </w:rPr>
            </w:pPr>
          </w:p>
        </w:tc>
        <w:tc>
          <w:tcPr>
            <w:tcW w:w="900" w:type="dxa"/>
            <w:vMerge/>
            <w:tcBorders>
              <w:left w:val="single" w:sz="4" w:space="0" w:color="auto"/>
              <w:bottom w:val="single" w:sz="4" w:space="0" w:color="auto"/>
              <w:right w:val="single" w:sz="4" w:space="0" w:color="auto"/>
            </w:tcBorders>
            <w:shd w:val="clear" w:color="auto" w:fill="FFFFFF"/>
          </w:tcPr>
          <w:p w14:paraId="0008286E" w14:textId="77777777" w:rsidR="00DF3AA2" w:rsidRPr="00F0201C" w:rsidRDefault="00DF3AA2" w:rsidP="00434EF6">
            <w:pPr>
              <w:spacing w:after="0" w:line="240" w:lineRule="auto"/>
              <w:jc w:val="center"/>
              <w:rPr>
                <w:rFonts w:eastAsia="Calibri"/>
                <w:b/>
                <w:sz w:val="20"/>
                <w:szCs w:val="20"/>
              </w:rPr>
            </w:pPr>
          </w:p>
        </w:tc>
        <w:tc>
          <w:tcPr>
            <w:tcW w:w="10892" w:type="dxa"/>
            <w:gridSpan w:val="7"/>
            <w:tcBorders>
              <w:left w:val="single" w:sz="4" w:space="0" w:color="auto"/>
              <w:bottom w:val="single" w:sz="4" w:space="0" w:color="auto"/>
              <w:right w:val="single" w:sz="4" w:space="0" w:color="auto"/>
            </w:tcBorders>
            <w:shd w:val="clear" w:color="auto" w:fill="D9D9D9" w:themeFill="background1" w:themeFillShade="D9"/>
          </w:tcPr>
          <w:p w14:paraId="095995B8" w14:textId="7A248A19" w:rsidR="00DF3AA2" w:rsidRPr="00F0201C" w:rsidRDefault="00DF3AA2" w:rsidP="00000309">
            <w:pPr>
              <w:spacing w:after="0" w:line="240" w:lineRule="auto"/>
              <w:rPr>
                <w:rFonts w:ascii="Calibri" w:eastAsia="Calibri" w:hAnsi="Calibri"/>
                <w:sz w:val="18"/>
                <w:szCs w:val="18"/>
              </w:rPr>
            </w:pPr>
            <w:r w:rsidRPr="00F0201C">
              <w:rPr>
                <w:rFonts w:ascii="Calibri" w:eastAsia="Calibri" w:hAnsi="Calibri" w:cs="Times New Roman"/>
                <w:b/>
                <w:sz w:val="18"/>
                <w:szCs w:val="18"/>
                <w:lang w:eastAsia="en-US"/>
              </w:rPr>
              <w:t xml:space="preserve">Indicator 2.1.1b Note: </w:t>
            </w:r>
            <w:r w:rsidRPr="00F0201C">
              <w:rPr>
                <w:rFonts w:ascii="Calibri" w:eastAsia="Calibri" w:hAnsi="Calibri"/>
                <w:sz w:val="18"/>
                <w:szCs w:val="18"/>
              </w:rPr>
              <w:t xml:space="preserve">Qualitative indicator, through which the effectiveness of UNDP’s support (on demand </w:t>
            </w:r>
            <w:r w:rsidRPr="00F0201C">
              <w:rPr>
                <w:sz w:val="18"/>
                <w:szCs w:val="18"/>
              </w:rPr>
              <w:t>from programme countries</w:t>
            </w:r>
            <w:r w:rsidRPr="00F0201C">
              <w:rPr>
                <w:rFonts w:ascii="Calibri" w:eastAsia="Calibri" w:hAnsi="Calibri"/>
                <w:sz w:val="18"/>
                <w:szCs w:val="18"/>
              </w:rPr>
              <w:t xml:space="preserve">) to strengthen </w:t>
            </w:r>
            <w:r w:rsidR="002A6F6B" w:rsidRPr="00F0201C">
              <w:rPr>
                <w:rFonts w:ascii="Calibri" w:eastAsia="Calibri" w:hAnsi="Calibri"/>
                <w:sz w:val="18"/>
                <w:szCs w:val="18"/>
              </w:rPr>
              <w:t>CMBs</w:t>
            </w:r>
            <w:r w:rsidRPr="00F0201C">
              <w:rPr>
                <w:rFonts w:ascii="Calibri" w:eastAsia="Calibri" w:hAnsi="Calibri"/>
                <w:sz w:val="18"/>
                <w:szCs w:val="18"/>
              </w:rPr>
              <w:t xml:space="preserve">’ </w:t>
            </w:r>
            <w:r w:rsidRPr="00F0201C">
              <w:rPr>
                <w:rFonts w:ascii="Calibri" w:eastAsia="Calibri" w:hAnsi="Calibri" w:cs="Times New Roman"/>
                <w:sz w:val="18"/>
                <w:szCs w:val="18"/>
                <w:lang w:eastAsia="en-US"/>
              </w:rPr>
              <w:t xml:space="preserve">administrative and human resources capacities </w:t>
            </w:r>
            <w:r w:rsidRPr="00F0201C">
              <w:rPr>
                <w:sz w:val="18"/>
                <w:szCs w:val="18"/>
              </w:rPr>
              <w:t>is</w:t>
            </w:r>
            <w:r w:rsidRPr="00F0201C">
              <w:rPr>
                <w:rFonts w:eastAsia="Calibri"/>
                <w:sz w:val="18"/>
                <w:szCs w:val="18"/>
              </w:rPr>
              <w:t xml:space="preserve"> tracked using a qualitative rating scale (extent to which administrative and HR capacities have improved: 1- Not improved, 2- Very partially, 3- Partially, and 4-Largely), </w:t>
            </w:r>
            <w:r w:rsidR="002A6F6B" w:rsidRPr="00F0201C">
              <w:rPr>
                <w:rFonts w:eastAsia="Calibri"/>
                <w:sz w:val="18"/>
                <w:szCs w:val="18"/>
              </w:rPr>
              <w:t>counting the number of countries where objective evidence exists that UNDP support has improved CMBs’</w:t>
            </w:r>
            <w:r w:rsidRPr="00F0201C">
              <w:rPr>
                <w:rFonts w:eastAsia="Calibri"/>
                <w:sz w:val="18"/>
                <w:szCs w:val="18"/>
              </w:rPr>
              <w:t xml:space="preserve"> capacities</w:t>
            </w:r>
            <w:r w:rsidRPr="00F0201C">
              <w:rPr>
                <w:rFonts w:ascii="Calibri" w:eastAsia="Calibri" w:hAnsi="Calibri"/>
                <w:sz w:val="18"/>
                <w:szCs w:val="18"/>
              </w:rPr>
              <w:t xml:space="preserve"> from January 2014 onwards.</w:t>
            </w:r>
          </w:p>
          <w:p w14:paraId="5403B15E" w14:textId="304807FE" w:rsidR="00DF3AA2" w:rsidRPr="00F0201C" w:rsidRDefault="00DF3AA2" w:rsidP="002A6F6B">
            <w:pPr>
              <w:spacing w:after="0" w:line="240" w:lineRule="auto"/>
              <w:rPr>
                <w:rFonts w:ascii="Calibri" w:eastAsia="Calibri" w:hAnsi="Calibri" w:cs="Times New Roman"/>
                <w:b/>
                <w:sz w:val="18"/>
                <w:szCs w:val="18"/>
                <w:lang w:eastAsia="en-US"/>
              </w:rPr>
            </w:pPr>
            <w:r w:rsidRPr="00F0201C">
              <w:rPr>
                <w:rFonts w:eastAsia="Calibri"/>
                <w:b/>
                <w:sz w:val="18"/>
                <w:szCs w:val="18"/>
              </w:rPr>
              <w:t xml:space="preserve">2014 Reporting Note: </w:t>
            </w:r>
            <w:r w:rsidRPr="00F0201C">
              <w:rPr>
                <w:rFonts w:eastAsia="Calibri"/>
                <w:sz w:val="18"/>
                <w:szCs w:val="18"/>
              </w:rPr>
              <w:t xml:space="preserve">2014 </w:t>
            </w:r>
            <w:r w:rsidR="002A6F6B" w:rsidRPr="00F0201C">
              <w:rPr>
                <w:rFonts w:eastAsia="Calibri"/>
                <w:sz w:val="18"/>
                <w:szCs w:val="18"/>
              </w:rPr>
              <w:t>m</w:t>
            </w:r>
            <w:r w:rsidRPr="00F0201C">
              <w:rPr>
                <w:rFonts w:eastAsia="Calibri"/>
                <w:sz w:val="18"/>
                <w:szCs w:val="18"/>
              </w:rPr>
              <w:t>ilestone updated to reflect more complete reporting from country offices. For reference, previous 2014 milestone was 8</w:t>
            </w:r>
            <w:r w:rsidR="00065F61" w:rsidRPr="00F0201C">
              <w:rPr>
                <w:rFonts w:eastAsia="Calibri"/>
                <w:sz w:val="18"/>
                <w:szCs w:val="18"/>
              </w:rPr>
              <w:t>, previous target was 20</w:t>
            </w:r>
            <w:r w:rsidR="00744A09" w:rsidRPr="00F0201C">
              <w:rPr>
                <w:rFonts w:eastAsia="Calibri"/>
                <w:sz w:val="18"/>
                <w:szCs w:val="18"/>
              </w:rPr>
              <w:t>.</w:t>
            </w:r>
          </w:p>
        </w:tc>
      </w:tr>
      <w:tr w:rsidR="00405EF5" w:rsidRPr="00283732" w14:paraId="2FCF77A4" w14:textId="77777777" w:rsidTr="005B78CE">
        <w:trPr>
          <w:cantSplit/>
          <w:trHeight w:val="386"/>
          <w:jc w:val="center"/>
        </w:trPr>
        <w:tc>
          <w:tcPr>
            <w:tcW w:w="3143" w:type="dxa"/>
            <w:gridSpan w:val="2"/>
            <w:vMerge/>
            <w:tcBorders>
              <w:left w:val="single" w:sz="4" w:space="0" w:color="auto"/>
              <w:right w:val="single" w:sz="4" w:space="0" w:color="auto"/>
            </w:tcBorders>
            <w:shd w:val="clear" w:color="auto" w:fill="FFFFFF"/>
            <w:hideMark/>
          </w:tcPr>
          <w:p w14:paraId="3375D04E" w14:textId="77777777" w:rsidR="00405EF5" w:rsidRPr="005A7A63" w:rsidRDefault="00405EF5" w:rsidP="00434EF6">
            <w:pPr>
              <w:spacing w:after="0" w:line="240" w:lineRule="auto"/>
              <w:rPr>
                <w:rFonts w:eastAsia="Calibri"/>
                <w:b/>
                <w:sz w:val="20"/>
                <w:szCs w:val="20"/>
              </w:rPr>
            </w:pPr>
          </w:p>
        </w:tc>
        <w:tc>
          <w:tcPr>
            <w:tcW w:w="900" w:type="dxa"/>
            <w:vMerge w:val="restart"/>
            <w:tcBorders>
              <w:top w:val="single" w:sz="4" w:space="0" w:color="auto"/>
              <w:left w:val="single" w:sz="4" w:space="0" w:color="auto"/>
              <w:right w:val="single" w:sz="4" w:space="0" w:color="auto"/>
            </w:tcBorders>
            <w:shd w:val="clear" w:color="auto" w:fill="FFFFFF"/>
          </w:tcPr>
          <w:p w14:paraId="49C518D3" w14:textId="77777777" w:rsidR="00405EF5" w:rsidRPr="004A7F4D" w:rsidRDefault="00405EF5" w:rsidP="00434EF6">
            <w:pPr>
              <w:spacing w:after="0" w:line="240" w:lineRule="auto"/>
              <w:jc w:val="center"/>
              <w:rPr>
                <w:rFonts w:eastAsia="Calibri"/>
                <w:b/>
                <w:sz w:val="20"/>
                <w:szCs w:val="20"/>
              </w:rPr>
            </w:pPr>
            <w:r w:rsidRPr="004A7F4D">
              <w:rPr>
                <w:rFonts w:eastAsia="Calibri"/>
                <w:b/>
                <w:sz w:val="20"/>
                <w:szCs w:val="20"/>
              </w:rPr>
              <w:t>2.1.1c</w:t>
            </w:r>
          </w:p>
        </w:tc>
        <w:tc>
          <w:tcPr>
            <w:tcW w:w="5310" w:type="dxa"/>
            <w:tcBorders>
              <w:top w:val="single" w:sz="4" w:space="0" w:color="auto"/>
              <w:left w:val="single" w:sz="4" w:space="0" w:color="auto"/>
              <w:bottom w:val="single" w:sz="4" w:space="0" w:color="auto"/>
              <w:right w:val="single" w:sz="4" w:space="0" w:color="auto"/>
            </w:tcBorders>
            <w:shd w:val="clear" w:color="auto" w:fill="FFFFFF"/>
            <w:vAlign w:val="center"/>
          </w:tcPr>
          <w:p w14:paraId="1DA29F36" w14:textId="77777777" w:rsidR="00405EF5" w:rsidRPr="00F0201C" w:rsidRDefault="00405EF5" w:rsidP="00434EF6">
            <w:pPr>
              <w:spacing w:after="0" w:line="240" w:lineRule="auto"/>
              <w:rPr>
                <w:sz w:val="20"/>
                <w:szCs w:val="20"/>
              </w:rPr>
            </w:pPr>
            <w:r w:rsidRPr="00F0201C">
              <w:rPr>
                <w:sz w:val="20"/>
                <w:szCs w:val="20"/>
              </w:rPr>
              <w:t xml:space="preserve">Number of </w:t>
            </w:r>
            <w:r w:rsidRPr="00F0201C">
              <w:rPr>
                <w:rFonts w:eastAsia="Calibri"/>
                <w:b/>
                <w:sz w:val="20"/>
                <w:szCs w:val="20"/>
              </w:rPr>
              <w:t>Electoral Management Bodies (EMBs)</w:t>
            </w:r>
            <w:r w:rsidRPr="00F0201C">
              <w:rPr>
                <w:sz w:val="20"/>
                <w:szCs w:val="20"/>
              </w:rPr>
              <w:t xml:space="preserve"> with </w:t>
            </w:r>
            <w:r w:rsidRPr="00F0201C">
              <w:rPr>
                <w:b/>
                <w:sz w:val="20"/>
                <w:szCs w:val="20"/>
              </w:rPr>
              <w:t>strengthened capacity</w:t>
            </w:r>
            <w:r w:rsidRPr="00F0201C">
              <w:rPr>
                <w:sz w:val="20"/>
                <w:szCs w:val="20"/>
              </w:rPr>
              <w:t xml:space="preserve"> to perform their functions, including; financial and operational planning, conducting operations for elections and referenda, voter information and stakeholder outreach top hold credible and inclusive elections</w:t>
            </w:r>
          </w:p>
          <w:p w14:paraId="29564459" w14:textId="15226E20" w:rsidR="008376B6" w:rsidRPr="00F0201C" w:rsidRDefault="008376B6" w:rsidP="00E11504">
            <w:pPr>
              <w:spacing w:before="240" w:after="0" w:line="240" w:lineRule="auto"/>
              <w:rPr>
                <w:rFonts w:eastAsia="Calibri"/>
                <w:sz w:val="20"/>
                <w:szCs w:val="20"/>
              </w:rPr>
            </w:pPr>
            <w:r w:rsidRPr="00F0201C">
              <w:rPr>
                <w:rFonts w:eastAsia="Calibri"/>
                <w:b/>
                <w:i/>
                <w:sz w:val="18"/>
                <w:szCs w:val="18"/>
              </w:rPr>
              <w:t xml:space="preserve">Number of countries </w:t>
            </w:r>
            <w:r w:rsidR="00983FF8" w:rsidRPr="00F0201C">
              <w:rPr>
                <w:rFonts w:eastAsia="Calibri"/>
                <w:b/>
                <w:i/>
                <w:sz w:val="18"/>
                <w:szCs w:val="18"/>
              </w:rPr>
              <w:t>for which a 2017 target has currently been set under this indicator</w:t>
            </w:r>
            <w:r w:rsidR="008B5B5D" w:rsidRPr="00F0201C">
              <w:rPr>
                <w:rFonts w:eastAsia="Calibri"/>
                <w:b/>
                <w:i/>
                <w:sz w:val="18"/>
                <w:szCs w:val="18"/>
              </w:rPr>
              <w:t>: 56</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14:paraId="6D88E12C" w14:textId="6FCF0A44" w:rsidR="00405EF5" w:rsidRPr="00F0201C" w:rsidRDefault="00405EF5" w:rsidP="007E66CF">
            <w:pPr>
              <w:spacing w:after="0" w:line="240" w:lineRule="auto"/>
              <w:jc w:val="center"/>
              <w:rPr>
                <w:sz w:val="20"/>
                <w:szCs w:val="20"/>
              </w:rPr>
            </w:pPr>
            <w:r w:rsidRPr="00F0201C">
              <w:rPr>
                <w:sz w:val="20"/>
                <w:szCs w:val="20"/>
              </w:rPr>
              <w:t xml:space="preserve">0 </w:t>
            </w:r>
          </w:p>
        </w:tc>
        <w:tc>
          <w:tcPr>
            <w:tcW w:w="12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3342D5" w14:textId="69903209" w:rsidR="00405EF5" w:rsidRPr="00F0201C" w:rsidRDefault="00974F5A" w:rsidP="00CC46CD">
            <w:pPr>
              <w:spacing w:after="0" w:line="240" w:lineRule="auto"/>
              <w:jc w:val="center"/>
              <w:rPr>
                <w:rFonts w:eastAsia="Calibri"/>
                <w:sz w:val="20"/>
                <w:szCs w:val="20"/>
              </w:rPr>
            </w:pPr>
            <w:r w:rsidRPr="00F0201C">
              <w:rPr>
                <w:rFonts w:eastAsia="Calibri"/>
                <w:sz w:val="20"/>
                <w:szCs w:val="20"/>
              </w:rPr>
              <w:t>22</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97A3F2" w14:textId="34003DE6" w:rsidR="00405EF5" w:rsidRPr="00F0201C" w:rsidRDefault="00974F5A" w:rsidP="00CC46CD">
            <w:pPr>
              <w:spacing w:after="0" w:line="240" w:lineRule="auto"/>
              <w:jc w:val="center"/>
              <w:rPr>
                <w:rFonts w:eastAsia="Calibri"/>
                <w:sz w:val="20"/>
                <w:szCs w:val="20"/>
              </w:rPr>
            </w:pPr>
            <w:r w:rsidRPr="00F0201C">
              <w:rPr>
                <w:rFonts w:eastAsia="Calibri"/>
                <w:sz w:val="20"/>
                <w:szCs w:val="20"/>
              </w:rPr>
              <w:t>30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08794818" w14:textId="0582A6C1" w:rsidR="00405EF5" w:rsidRPr="00F0201C" w:rsidRDefault="00974F5A" w:rsidP="00CC46CD">
            <w:pPr>
              <w:spacing w:after="0" w:line="240" w:lineRule="auto"/>
              <w:jc w:val="center"/>
              <w:rPr>
                <w:rFonts w:eastAsia="Calibri"/>
                <w:sz w:val="20"/>
                <w:szCs w:val="20"/>
              </w:rPr>
            </w:pPr>
            <w:r w:rsidRPr="00F0201C">
              <w:rPr>
                <w:rFonts w:eastAsia="Calibri"/>
                <w:sz w:val="20"/>
                <w:szCs w:val="20"/>
              </w:rPr>
              <w:t>4</w:t>
            </w:r>
            <w:r w:rsidR="00405EF5" w:rsidRPr="00F0201C">
              <w:rPr>
                <w:rFonts w:eastAsia="Calibri"/>
                <w:sz w:val="20"/>
                <w:szCs w:val="20"/>
              </w:rPr>
              <w:t>6</w:t>
            </w:r>
          </w:p>
        </w:tc>
      </w:tr>
      <w:tr w:rsidR="00DF3AA2" w:rsidRPr="00283732" w14:paraId="2098FC7F" w14:textId="77777777" w:rsidTr="004C3CB2">
        <w:trPr>
          <w:cantSplit/>
          <w:trHeight w:val="386"/>
          <w:jc w:val="center"/>
        </w:trPr>
        <w:tc>
          <w:tcPr>
            <w:tcW w:w="3143" w:type="dxa"/>
            <w:gridSpan w:val="2"/>
            <w:vMerge/>
            <w:tcBorders>
              <w:left w:val="single" w:sz="4" w:space="0" w:color="auto"/>
              <w:right w:val="single" w:sz="4" w:space="0" w:color="auto"/>
            </w:tcBorders>
            <w:shd w:val="clear" w:color="auto" w:fill="FFFFFF"/>
          </w:tcPr>
          <w:p w14:paraId="452DADE3" w14:textId="77777777" w:rsidR="00DF3AA2" w:rsidRPr="005A7A63" w:rsidRDefault="00DF3AA2" w:rsidP="00434EF6">
            <w:pPr>
              <w:spacing w:after="0" w:line="240" w:lineRule="auto"/>
              <w:rPr>
                <w:rFonts w:eastAsia="Calibri"/>
                <w:b/>
                <w:sz w:val="20"/>
                <w:szCs w:val="20"/>
              </w:rPr>
            </w:pPr>
          </w:p>
        </w:tc>
        <w:tc>
          <w:tcPr>
            <w:tcW w:w="900" w:type="dxa"/>
            <w:vMerge/>
            <w:tcBorders>
              <w:left w:val="single" w:sz="4" w:space="0" w:color="auto"/>
              <w:bottom w:val="single" w:sz="4" w:space="0" w:color="auto"/>
              <w:right w:val="single" w:sz="4" w:space="0" w:color="auto"/>
            </w:tcBorders>
            <w:shd w:val="clear" w:color="auto" w:fill="FFFFFF"/>
          </w:tcPr>
          <w:p w14:paraId="0474B91B" w14:textId="77777777" w:rsidR="00DF3AA2" w:rsidRPr="004A7F4D" w:rsidRDefault="00DF3AA2" w:rsidP="00434EF6">
            <w:pPr>
              <w:spacing w:after="0" w:line="240" w:lineRule="auto"/>
              <w:jc w:val="center"/>
              <w:rPr>
                <w:rFonts w:eastAsia="Calibri"/>
                <w:b/>
                <w:sz w:val="20"/>
                <w:szCs w:val="20"/>
              </w:rPr>
            </w:pPr>
          </w:p>
        </w:tc>
        <w:tc>
          <w:tcPr>
            <w:tcW w:w="10892" w:type="dxa"/>
            <w:gridSpan w:val="7"/>
            <w:tcBorders>
              <w:left w:val="single" w:sz="4" w:space="0" w:color="auto"/>
              <w:bottom w:val="single" w:sz="4" w:space="0" w:color="auto"/>
              <w:right w:val="single" w:sz="4" w:space="0" w:color="auto"/>
            </w:tcBorders>
            <w:shd w:val="clear" w:color="auto" w:fill="D9D9D9" w:themeFill="background1" w:themeFillShade="D9"/>
          </w:tcPr>
          <w:p w14:paraId="2B4AAE7D" w14:textId="38FDC186" w:rsidR="00DF3AA2" w:rsidRPr="00F0201C" w:rsidRDefault="00DF3AA2" w:rsidP="00C82EB3">
            <w:pPr>
              <w:spacing w:after="0" w:line="240" w:lineRule="auto"/>
              <w:rPr>
                <w:rFonts w:ascii="Calibri" w:eastAsia="Calibri" w:hAnsi="Calibri"/>
                <w:sz w:val="18"/>
                <w:szCs w:val="18"/>
              </w:rPr>
            </w:pPr>
            <w:r w:rsidRPr="00F0201C">
              <w:rPr>
                <w:rFonts w:ascii="Calibri" w:eastAsia="Calibri" w:hAnsi="Calibri" w:cs="Times New Roman"/>
                <w:b/>
                <w:sz w:val="18"/>
                <w:szCs w:val="18"/>
                <w:lang w:eastAsia="en-US"/>
              </w:rPr>
              <w:t xml:space="preserve">Indicator 2.1.1c Note: </w:t>
            </w:r>
            <w:r w:rsidRPr="00F0201C">
              <w:rPr>
                <w:rFonts w:ascii="Calibri" w:eastAsia="Calibri" w:hAnsi="Calibri"/>
                <w:sz w:val="18"/>
                <w:szCs w:val="18"/>
              </w:rPr>
              <w:t xml:space="preserve">Qualitative indicator, through which the effectiveness of UNDP’s support (on demand </w:t>
            </w:r>
            <w:r w:rsidRPr="00F0201C">
              <w:rPr>
                <w:sz w:val="18"/>
                <w:szCs w:val="18"/>
              </w:rPr>
              <w:t>from programme countries</w:t>
            </w:r>
            <w:r w:rsidRPr="00F0201C">
              <w:rPr>
                <w:rFonts w:ascii="Calibri" w:eastAsia="Calibri" w:hAnsi="Calibri"/>
                <w:sz w:val="18"/>
                <w:szCs w:val="18"/>
              </w:rPr>
              <w:t xml:space="preserve">, within the scope of the UN’s electoral assistance normative framework) to strengthen capacities of EMBs </w:t>
            </w:r>
            <w:r w:rsidRPr="00F0201C">
              <w:rPr>
                <w:sz w:val="18"/>
                <w:szCs w:val="18"/>
              </w:rPr>
              <w:t>is</w:t>
            </w:r>
            <w:r w:rsidRPr="00F0201C">
              <w:rPr>
                <w:rFonts w:eastAsia="Calibri"/>
                <w:sz w:val="18"/>
                <w:szCs w:val="18"/>
              </w:rPr>
              <w:t xml:space="preserve"> tracked using a qualitative rating scale (extent to which capacities have improved: 1- Not improved, 2- Very partially, 3- Partially, and 4-Largely), counting the number of countries </w:t>
            </w:r>
            <w:r w:rsidR="002A6F6B" w:rsidRPr="00F0201C">
              <w:rPr>
                <w:rFonts w:eastAsia="Calibri"/>
                <w:sz w:val="18"/>
                <w:szCs w:val="18"/>
              </w:rPr>
              <w:t xml:space="preserve">where objective evidence exists that UNDP support has improved </w:t>
            </w:r>
            <w:r w:rsidRPr="00F0201C">
              <w:rPr>
                <w:rFonts w:eastAsia="Calibri"/>
                <w:sz w:val="18"/>
                <w:szCs w:val="18"/>
              </w:rPr>
              <w:t>EMBs</w:t>
            </w:r>
            <w:r w:rsidR="002A6F6B" w:rsidRPr="00F0201C">
              <w:rPr>
                <w:rFonts w:eastAsia="Calibri"/>
                <w:sz w:val="18"/>
                <w:szCs w:val="18"/>
              </w:rPr>
              <w:t>’</w:t>
            </w:r>
            <w:r w:rsidRPr="00F0201C">
              <w:rPr>
                <w:rFonts w:eastAsia="Calibri"/>
                <w:sz w:val="18"/>
                <w:szCs w:val="18"/>
              </w:rPr>
              <w:t xml:space="preserve"> capacities</w:t>
            </w:r>
            <w:r w:rsidRPr="00F0201C">
              <w:rPr>
                <w:rFonts w:ascii="Calibri" w:eastAsia="Calibri" w:hAnsi="Calibri"/>
                <w:sz w:val="18"/>
                <w:szCs w:val="18"/>
              </w:rPr>
              <w:t xml:space="preserve"> from January 2014 onwards. An additional 3 countries have requested clearance from the UN Department of Political Affairs to </w:t>
            </w:r>
            <w:r w:rsidR="002A6F6B" w:rsidRPr="00F0201C">
              <w:rPr>
                <w:rFonts w:ascii="Calibri" w:eastAsia="Calibri" w:hAnsi="Calibri"/>
                <w:sz w:val="18"/>
                <w:szCs w:val="18"/>
              </w:rPr>
              <w:t>receive</w:t>
            </w:r>
            <w:r w:rsidRPr="00F0201C">
              <w:rPr>
                <w:rFonts w:ascii="Calibri" w:eastAsia="Calibri" w:hAnsi="Calibri"/>
                <w:sz w:val="18"/>
                <w:szCs w:val="18"/>
              </w:rPr>
              <w:t xml:space="preserve"> electoral assistance, and will be included in milestones and target once appropriate.</w:t>
            </w:r>
          </w:p>
          <w:p w14:paraId="0CEDF9E8" w14:textId="4E8D199F" w:rsidR="00DF3AA2" w:rsidRPr="00F0201C" w:rsidRDefault="00DF3AA2" w:rsidP="00974F5A">
            <w:pPr>
              <w:spacing w:after="0" w:line="240" w:lineRule="auto"/>
              <w:rPr>
                <w:rFonts w:ascii="Calibri" w:eastAsia="Calibri" w:hAnsi="Calibri" w:cs="Times New Roman"/>
                <w:b/>
                <w:sz w:val="18"/>
                <w:szCs w:val="18"/>
                <w:lang w:eastAsia="en-US"/>
              </w:rPr>
            </w:pPr>
            <w:r w:rsidRPr="00F0201C">
              <w:rPr>
                <w:rFonts w:eastAsia="Calibri"/>
                <w:b/>
                <w:sz w:val="18"/>
                <w:szCs w:val="18"/>
              </w:rPr>
              <w:t xml:space="preserve">2014 Reporting Note: </w:t>
            </w:r>
            <w:r w:rsidRPr="00F0201C">
              <w:rPr>
                <w:rFonts w:eastAsia="Calibri"/>
                <w:sz w:val="18"/>
                <w:szCs w:val="18"/>
              </w:rPr>
              <w:t xml:space="preserve">2014 </w:t>
            </w:r>
            <w:r w:rsidR="00974F5A" w:rsidRPr="00F0201C">
              <w:rPr>
                <w:rFonts w:eastAsia="Calibri"/>
                <w:sz w:val="18"/>
                <w:szCs w:val="18"/>
              </w:rPr>
              <w:t>m</w:t>
            </w:r>
            <w:r w:rsidRPr="00F0201C">
              <w:rPr>
                <w:rFonts w:eastAsia="Calibri"/>
                <w:sz w:val="18"/>
                <w:szCs w:val="18"/>
              </w:rPr>
              <w:t xml:space="preserve">ilestone </w:t>
            </w:r>
            <w:r w:rsidR="00974F5A" w:rsidRPr="00F0201C">
              <w:rPr>
                <w:rFonts w:eastAsia="Calibri"/>
                <w:sz w:val="18"/>
                <w:szCs w:val="18"/>
              </w:rPr>
              <w:t xml:space="preserve">and 2017 target </w:t>
            </w:r>
            <w:r w:rsidRPr="00F0201C">
              <w:rPr>
                <w:rFonts w:eastAsia="Calibri"/>
                <w:sz w:val="18"/>
                <w:szCs w:val="18"/>
              </w:rPr>
              <w:t>updated to reflect more complete reporting from country offices. For reference, previous 2014 milestone was 19</w:t>
            </w:r>
            <w:r w:rsidR="00974F5A" w:rsidRPr="00F0201C">
              <w:rPr>
                <w:rFonts w:eastAsia="Calibri"/>
                <w:sz w:val="18"/>
                <w:szCs w:val="18"/>
              </w:rPr>
              <w:t xml:space="preserve">, previous target was 36. </w:t>
            </w:r>
          </w:p>
        </w:tc>
      </w:tr>
      <w:tr w:rsidR="00405EF5" w:rsidRPr="00283732" w14:paraId="3FA1DBFA" w14:textId="77777777" w:rsidTr="002F7FDC">
        <w:trPr>
          <w:cantSplit/>
          <w:trHeight w:val="386"/>
          <w:jc w:val="center"/>
        </w:trPr>
        <w:tc>
          <w:tcPr>
            <w:tcW w:w="3143" w:type="dxa"/>
            <w:gridSpan w:val="2"/>
            <w:vMerge/>
            <w:tcBorders>
              <w:left w:val="single" w:sz="4" w:space="0" w:color="auto"/>
              <w:right w:val="single" w:sz="4" w:space="0" w:color="auto"/>
            </w:tcBorders>
            <w:shd w:val="clear" w:color="auto" w:fill="FFFFFF"/>
          </w:tcPr>
          <w:p w14:paraId="281B44FE" w14:textId="77777777" w:rsidR="00405EF5" w:rsidRPr="005A7A63" w:rsidRDefault="00405EF5" w:rsidP="00434EF6">
            <w:pPr>
              <w:spacing w:after="0" w:line="240" w:lineRule="auto"/>
              <w:rPr>
                <w:rFonts w:eastAsia="Calibri"/>
                <w:b/>
                <w:sz w:val="20"/>
                <w:szCs w:val="20"/>
              </w:rPr>
            </w:pPr>
          </w:p>
        </w:tc>
        <w:tc>
          <w:tcPr>
            <w:tcW w:w="900" w:type="dxa"/>
            <w:vMerge w:val="restart"/>
            <w:tcBorders>
              <w:top w:val="single" w:sz="4" w:space="0" w:color="auto"/>
              <w:left w:val="single" w:sz="4" w:space="0" w:color="auto"/>
              <w:right w:val="single" w:sz="4" w:space="0" w:color="auto"/>
            </w:tcBorders>
            <w:shd w:val="clear" w:color="auto" w:fill="FFFFFF"/>
          </w:tcPr>
          <w:p w14:paraId="3932883C" w14:textId="77777777" w:rsidR="00405EF5" w:rsidRPr="004A7F4D" w:rsidRDefault="00405EF5" w:rsidP="00434EF6">
            <w:pPr>
              <w:spacing w:after="0" w:line="240" w:lineRule="auto"/>
              <w:jc w:val="center"/>
              <w:rPr>
                <w:rFonts w:eastAsia="Calibri"/>
                <w:b/>
                <w:sz w:val="20"/>
                <w:szCs w:val="20"/>
              </w:rPr>
            </w:pPr>
            <w:r w:rsidRPr="004A7F4D">
              <w:rPr>
                <w:rFonts w:eastAsia="Calibri"/>
                <w:b/>
                <w:sz w:val="20"/>
                <w:szCs w:val="20"/>
              </w:rPr>
              <w:t>2.1.2</w:t>
            </w:r>
          </w:p>
        </w:tc>
        <w:tc>
          <w:tcPr>
            <w:tcW w:w="5310" w:type="dxa"/>
            <w:tcBorders>
              <w:top w:val="single" w:sz="4" w:space="0" w:color="auto"/>
              <w:left w:val="single" w:sz="4" w:space="0" w:color="auto"/>
              <w:bottom w:val="single" w:sz="4" w:space="0" w:color="auto"/>
              <w:right w:val="single" w:sz="4" w:space="0" w:color="auto"/>
            </w:tcBorders>
            <w:shd w:val="clear" w:color="auto" w:fill="FFFFFF"/>
          </w:tcPr>
          <w:p w14:paraId="7DFCF2F0" w14:textId="189BC610" w:rsidR="00405EF5" w:rsidRPr="00412C47" w:rsidRDefault="00405EF5" w:rsidP="00434EF6">
            <w:pPr>
              <w:spacing w:after="0" w:line="240" w:lineRule="auto"/>
              <w:rPr>
                <w:rFonts w:eastAsia="Calibri"/>
                <w:b/>
                <w:sz w:val="20"/>
                <w:szCs w:val="20"/>
              </w:rPr>
            </w:pPr>
            <w:r w:rsidRPr="00412C47">
              <w:rPr>
                <w:rFonts w:eastAsia="Calibri"/>
                <w:sz w:val="20"/>
                <w:szCs w:val="20"/>
              </w:rPr>
              <w:t xml:space="preserve">Number of </w:t>
            </w:r>
            <w:r w:rsidR="00A56443" w:rsidRPr="000B5DED">
              <w:rPr>
                <w:rFonts w:eastAsia="Calibri"/>
                <w:b/>
                <w:sz w:val="20"/>
                <w:szCs w:val="20"/>
              </w:rPr>
              <w:t xml:space="preserve">new </w:t>
            </w:r>
            <w:r w:rsidRPr="00412C47">
              <w:rPr>
                <w:rFonts w:eastAsia="Calibri"/>
                <w:b/>
                <w:sz w:val="20"/>
                <w:szCs w:val="20"/>
              </w:rPr>
              <w:t>registered electors</w:t>
            </w:r>
          </w:p>
          <w:p w14:paraId="62A135F8" w14:textId="1E8CD7BB" w:rsidR="008376B6" w:rsidRPr="00412C47" w:rsidRDefault="008376B6" w:rsidP="00E11504">
            <w:pPr>
              <w:spacing w:before="240" w:after="0" w:line="240" w:lineRule="auto"/>
              <w:rPr>
                <w:rFonts w:eastAsia="Calibri"/>
                <w:sz w:val="20"/>
                <w:szCs w:val="20"/>
              </w:rPr>
            </w:pPr>
            <w:r w:rsidRPr="00412C47">
              <w:rPr>
                <w:rFonts w:eastAsia="Calibri"/>
                <w:b/>
                <w:i/>
                <w:sz w:val="18"/>
                <w:szCs w:val="18"/>
              </w:rPr>
              <w:t>Number of coun</w:t>
            </w:r>
            <w:r w:rsidR="00E531E0" w:rsidRPr="00412C47">
              <w:rPr>
                <w:rFonts w:eastAsia="Calibri"/>
                <w:b/>
                <w:i/>
                <w:sz w:val="18"/>
                <w:szCs w:val="18"/>
              </w:rPr>
              <w:t xml:space="preserve">tries </w:t>
            </w:r>
            <w:r w:rsidR="00983FF8" w:rsidRPr="00412C47">
              <w:rPr>
                <w:rFonts w:eastAsia="Calibri"/>
                <w:b/>
                <w:i/>
                <w:sz w:val="18"/>
                <w:szCs w:val="18"/>
              </w:rPr>
              <w:t>for which a 2017 target has currently been set under this indicator</w:t>
            </w:r>
            <w:r w:rsidR="00553EBC" w:rsidRPr="00412C47">
              <w:rPr>
                <w:rFonts w:eastAsia="Calibri"/>
                <w:b/>
                <w:i/>
                <w:sz w:val="18"/>
                <w:szCs w:val="18"/>
              </w:rPr>
              <w:t>: 46</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14:paraId="5DA05291" w14:textId="38E622BA" w:rsidR="00405EF5" w:rsidRPr="005A7A63" w:rsidRDefault="007E66CF" w:rsidP="007E66CF">
            <w:pPr>
              <w:spacing w:after="0" w:line="240" w:lineRule="auto"/>
              <w:jc w:val="center"/>
              <w:rPr>
                <w:rFonts w:eastAsia="Calibri"/>
                <w:b/>
                <w:color w:val="FFFFFF"/>
                <w:sz w:val="20"/>
                <w:szCs w:val="20"/>
              </w:rPr>
            </w:pPr>
            <w:r>
              <w:rPr>
                <w:rFonts w:eastAsia="Calibri"/>
                <w:sz w:val="20"/>
                <w:szCs w:val="20"/>
              </w:rPr>
              <w:t>0</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8C7EF5" w14:textId="3956FCFE" w:rsidR="00405EF5" w:rsidRPr="002F7FDC" w:rsidRDefault="00260F88" w:rsidP="00DC3AD8">
            <w:pPr>
              <w:spacing w:after="0" w:line="240" w:lineRule="auto"/>
              <w:jc w:val="center"/>
              <w:rPr>
                <w:rFonts w:ascii="Calibri" w:hAnsi="Calibri"/>
                <w:i/>
                <w:iCs/>
                <w:color w:val="000000"/>
              </w:rPr>
            </w:pPr>
            <w:r w:rsidRPr="002F7FDC">
              <w:rPr>
                <w:rFonts w:eastAsia="Calibri"/>
                <w:sz w:val="20"/>
                <w:szCs w:val="20"/>
              </w:rPr>
              <w:t>2</w:t>
            </w:r>
            <w:r w:rsidR="00DC3AD8" w:rsidRPr="002F7FDC">
              <w:rPr>
                <w:rFonts w:eastAsia="Calibri"/>
                <w:sz w:val="20"/>
                <w:szCs w:val="20"/>
              </w:rPr>
              <w:t>1</w:t>
            </w:r>
            <w:r w:rsidR="00405EF5" w:rsidRPr="002F7FDC">
              <w:rPr>
                <w:rFonts w:eastAsia="Calibri"/>
                <w:sz w:val="20"/>
                <w:szCs w:val="20"/>
              </w:rPr>
              <w:t>,</w:t>
            </w:r>
            <w:r w:rsidR="00DC3AD8" w:rsidRPr="002F7FDC">
              <w:rPr>
                <w:rFonts w:eastAsia="Calibri"/>
                <w:sz w:val="20"/>
                <w:szCs w:val="20"/>
              </w:rPr>
              <w:t>311</w:t>
            </w:r>
            <w:r w:rsidRPr="002F7FDC">
              <w:rPr>
                <w:rFonts w:eastAsia="Calibri"/>
                <w:sz w:val="20"/>
                <w:szCs w:val="20"/>
              </w:rPr>
              <w:t>,</w:t>
            </w:r>
            <w:r w:rsidR="00DC3AD8" w:rsidRPr="002F7FDC">
              <w:rPr>
                <w:rFonts w:eastAsia="Calibri"/>
                <w:sz w:val="20"/>
                <w:szCs w:val="20"/>
              </w:rPr>
              <w:t>515</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F67A1" w14:textId="1DFE217A" w:rsidR="00405EF5" w:rsidRPr="002A6F6B" w:rsidRDefault="00DC3AD8" w:rsidP="00DC3AD8">
            <w:pPr>
              <w:spacing w:after="0" w:line="240" w:lineRule="auto"/>
              <w:jc w:val="center"/>
              <w:rPr>
                <w:rFonts w:eastAsia="Calibri"/>
                <w:sz w:val="20"/>
                <w:szCs w:val="20"/>
              </w:rPr>
            </w:pPr>
            <w:r w:rsidRPr="002A6F6B">
              <w:rPr>
                <w:rFonts w:eastAsia="Calibri"/>
                <w:sz w:val="20"/>
                <w:szCs w:val="20"/>
              </w:rPr>
              <w:t>18</w:t>
            </w:r>
            <w:r w:rsidR="002841F8" w:rsidRPr="002A6F6B">
              <w:rPr>
                <w:rFonts w:eastAsia="Calibri"/>
                <w:sz w:val="20"/>
                <w:szCs w:val="20"/>
              </w:rPr>
              <w:t>,</w:t>
            </w:r>
            <w:r w:rsidRPr="002A6F6B">
              <w:rPr>
                <w:rFonts w:eastAsia="Calibri"/>
                <w:sz w:val="20"/>
                <w:szCs w:val="20"/>
              </w:rPr>
              <w:t>131</w:t>
            </w:r>
            <w:r w:rsidR="002841F8" w:rsidRPr="002A6F6B">
              <w:rPr>
                <w:rFonts w:eastAsia="Calibri"/>
                <w:sz w:val="20"/>
                <w:szCs w:val="20"/>
              </w:rPr>
              <w:t>,</w:t>
            </w:r>
            <w:r w:rsidRPr="002A6F6B">
              <w:rPr>
                <w:rFonts w:eastAsia="Calibri"/>
                <w:sz w:val="20"/>
                <w:szCs w:val="20"/>
              </w:rPr>
              <w:t>078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D67512C" w14:textId="6D7F1468" w:rsidR="00405EF5" w:rsidRPr="002F7FDC" w:rsidRDefault="00E11504" w:rsidP="00434EF6">
            <w:pPr>
              <w:spacing w:after="0" w:line="240" w:lineRule="auto"/>
              <w:jc w:val="center"/>
              <w:rPr>
                <w:rFonts w:eastAsia="Calibri"/>
                <w:sz w:val="20"/>
                <w:szCs w:val="20"/>
              </w:rPr>
            </w:pPr>
            <w:r w:rsidRPr="002F7FDC">
              <w:rPr>
                <w:rFonts w:eastAsia="Calibri"/>
                <w:sz w:val="20"/>
                <w:szCs w:val="20"/>
              </w:rPr>
              <w:t>TBC</w:t>
            </w:r>
            <w:r w:rsidR="002F7FDC">
              <w:rPr>
                <w:rFonts w:eastAsia="Calibri"/>
                <w:sz w:val="20"/>
                <w:szCs w:val="20"/>
              </w:rPr>
              <w:t>*</w:t>
            </w:r>
          </w:p>
        </w:tc>
      </w:tr>
      <w:tr w:rsidR="00DF3AA2" w:rsidRPr="00283732" w14:paraId="442225F0" w14:textId="77777777" w:rsidTr="004C3CB2">
        <w:trPr>
          <w:cantSplit/>
          <w:trHeight w:val="386"/>
          <w:jc w:val="center"/>
        </w:trPr>
        <w:tc>
          <w:tcPr>
            <w:tcW w:w="3143" w:type="dxa"/>
            <w:gridSpan w:val="2"/>
            <w:vMerge/>
            <w:tcBorders>
              <w:left w:val="single" w:sz="4" w:space="0" w:color="auto"/>
              <w:right w:val="single" w:sz="4" w:space="0" w:color="auto"/>
            </w:tcBorders>
            <w:shd w:val="clear" w:color="auto" w:fill="FFFFFF"/>
          </w:tcPr>
          <w:p w14:paraId="3F80DB3D" w14:textId="77777777" w:rsidR="00DF3AA2" w:rsidRPr="005A7A63" w:rsidRDefault="00DF3AA2" w:rsidP="00434EF6">
            <w:pPr>
              <w:spacing w:after="0" w:line="240" w:lineRule="auto"/>
              <w:rPr>
                <w:rFonts w:eastAsia="Calibri"/>
                <w:b/>
                <w:sz w:val="20"/>
                <w:szCs w:val="20"/>
              </w:rPr>
            </w:pPr>
          </w:p>
        </w:tc>
        <w:tc>
          <w:tcPr>
            <w:tcW w:w="900" w:type="dxa"/>
            <w:vMerge/>
            <w:tcBorders>
              <w:left w:val="single" w:sz="4" w:space="0" w:color="auto"/>
              <w:bottom w:val="single" w:sz="4" w:space="0" w:color="auto"/>
              <w:right w:val="single" w:sz="4" w:space="0" w:color="auto"/>
            </w:tcBorders>
            <w:shd w:val="clear" w:color="auto" w:fill="FFFFFF"/>
          </w:tcPr>
          <w:p w14:paraId="4D678FB2" w14:textId="77777777" w:rsidR="00DF3AA2" w:rsidRPr="004A7F4D" w:rsidRDefault="00DF3AA2" w:rsidP="00434EF6">
            <w:pPr>
              <w:spacing w:after="0" w:line="240" w:lineRule="auto"/>
              <w:jc w:val="center"/>
              <w:rPr>
                <w:rFonts w:eastAsia="Calibri"/>
                <w:b/>
                <w:sz w:val="20"/>
                <w:szCs w:val="20"/>
              </w:rPr>
            </w:pPr>
          </w:p>
        </w:tc>
        <w:tc>
          <w:tcPr>
            <w:tcW w:w="10892" w:type="dxa"/>
            <w:gridSpan w:val="7"/>
            <w:tcBorders>
              <w:left w:val="single" w:sz="4" w:space="0" w:color="auto"/>
              <w:bottom w:val="single" w:sz="4" w:space="0" w:color="auto"/>
            </w:tcBorders>
            <w:shd w:val="clear" w:color="auto" w:fill="D9D9D9" w:themeFill="background1" w:themeFillShade="D9"/>
          </w:tcPr>
          <w:p w14:paraId="1F3F8E03" w14:textId="1514D219" w:rsidR="00DF3AA2" w:rsidRPr="002A6F6B" w:rsidRDefault="00DF3AA2" w:rsidP="00697736">
            <w:pPr>
              <w:spacing w:after="0" w:line="240" w:lineRule="auto"/>
              <w:rPr>
                <w:rFonts w:eastAsia="Calibri"/>
                <w:sz w:val="18"/>
                <w:szCs w:val="18"/>
              </w:rPr>
            </w:pPr>
            <w:r w:rsidRPr="002A6F6B">
              <w:rPr>
                <w:rFonts w:ascii="Calibri" w:eastAsia="Calibri" w:hAnsi="Calibri" w:cs="Times New Roman"/>
                <w:b/>
                <w:sz w:val="18"/>
                <w:szCs w:val="18"/>
                <w:lang w:eastAsia="en-US"/>
              </w:rPr>
              <w:t xml:space="preserve">Indicator 2.1.2 Note: </w:t>
            </w:r>
            <w:r w:rsidRPr="002A6F6B">
              <w:rPr>
                <w:rFonts w:ascii="Calibri" w:eastAsia="Calibri" w:hAnsi="Calibri" w:cs="Times New Roman"/>
                <w:sz w:val="18"/>
                <w:szCs w:val="18"/>
                <w:lang w:eastAsia="en-US"/>
              </w:rPr>
              <w:t xml:space="preserve">Tracks the number of additional registered electors </w:t>
            </w:r>
            <w:r w:rsidRPr="002A6F6B">
              <w:rPr>
                <w:rFonts w:ascii="Calibri" w:eastAsia="Calibri" w:hAnsi="Calibri"/>
                <w:sz w:val="18"/>
                <w:szCs w:val="18"/>
              </w:rPr>
              <w:t xml:space="preserve">as a result of UNDP support (on demand </w:t>
            </w:r>
            <w:r w:rsidRPr="002A6F6B">
              <w:rPr>
                <w:sz w:val="18"/>
                <w:szCs w:val="18"/>
              </w:rPr>
              <w:t>from programme countries</w:t>
            </w:r>
            <w:r w:rsidRPr="002A6F6B">
              <w:rPr>
                <w:rFonts w:ascii="Calibri" w:eastAsia="Calibri" w:hAnsi="Calibri"/>
                <w:sz w:val="18"/>
                <w:szCs w:val="18"/>
              </w:rPr>
              <w:t>), from January 2014 onwards.</w:t>
            </w:r>
            <w:r w:rsidR="0039754A" w:rsidRPr="002A6F6B">
              <w:rPr>
                <w:rFonts w:ascii="Calibri" w:eastAsia="Calibri" w:hAnsi="Calibri"/>
                <w:sz w:val="18"/>
                <w:szCs w:val="18"/>
              </w:rPr>
              <w:t xml:space="preserve"> </w:t>
            </w:r>
          </w:p>
          <w:p w14:paraId="19008605" w14:textId="3F3ECDB2" w:rsidR="00413A23" w:rsidRPr="002A6F6B" w:rsidRDefault="00D7514E" w:rsidP="00413A23">
            <w:pPr>
              <w:spacing w:after="0" w:line="240" w:lineRule="auto"/>
              <w:rPr>
                <w:rFonts w:eastAsia="Calibri"/>
                <w:sz w:val="18"/>
                <w:szCs w:val="18"/>
              </w:rPr>
            </w:pPr>
            <w:r w:rsidRPr="002A6F6B">
              <w:rPr>
                <w:rFonts w:eastAsia="Calibri"/>
                <w:b/>
                <w:sz w:val="18"/>
                <w:szCs w:val="18"/>
              </w:rPr>
              <w:t xml:space="preserve">2014 Reporting Note: </w:t>
            </w:r>
            <w:r w:rsidRPr="002A6F6B">
              <w:rPr>
                <w:rFonts w:eastAsia="Calibri"/>
                <w:sz w:val="18"/>
                <w:szCs w:val="18"/>
              </w:rPr>
              <w:t xml:space="preserve">2014 </w:t>
            </w:r>
            <w:r w:rsidR="00E11504" w:rsidRPr="002A6F6B">
              <w:rPr>
                <w:rFonts w:eastAsia="Calibri"/>
                <w:sz w:val="18"/>
                <w:szCs w:val="18"/>
              </w:rPr>
              <w:t>m</w:t>
            </w:r>
            <w:r w:rsidRPr="002A6F6B">
              <w:rPr>
                <w:rFonts w:eastAsia="Calibri"/>
                <w:sz w:val="18"/>
                <w:szCs w:val="18"/>
              </w:rPr>
              <w:t>ilestone updated to reflect more complete reporting from country offices. For reference, previous 2014 milestone was 10,860,312.</w:t>
            </w:r>
            <w:r w:rsidR="00E11504" w:rsidRPr="002A6F6B">
              <w:rPr>
                <w:rFonts w:eastAsia="Calibri"/>
                <w:sz w:val="18"/>
                <w:szCs w:val="18"/>
              </w:rPr>
              <w:t xml:space="preserve"> </w:t>
            </w:r>
            <w:r w:rsidR="002F7FDC" w:rsidRPr="002A6F6B">
              <w:rPr>
                <w:rFonts w:eastAsia="Calibri"/>
                <w:sz w:val="18"/>
                <w:szCs w:val="18"/>
              </w:rPr>
              <w:t>*</w:t>
            </w:r>
            <w:r w:rsidR="00E11504" w:rsidRPr="002A6F6B">
              <w:rPr>
                <w:rFonts w:eastAsia="Calibri"/>
                <w:sz w:val="18"/>
                <w:szCs w:val="18"/>
              </w:rPr>
              <w:t xml:space="preserve">Updated target to be provided following further data verification with country offices. </w:t>
            </w:r>
          </w:p>
        </w:tc>
      </w:tr>
      <w:tr w:rsidR="00405EF5" w:rsidRPr="00283732" w14:paraId="58D850DB" w14:textId="77777777" w:rsidTr="005B78CE">
        <w:trPr>
          <w:cantSplit/>
          <w:trHeight w:val="386"/>
          <w:jc w:val="center"/>
        </w:trPr>
        <w:tc>
          <w:tcPr>
            <w:tcW w:w="3143" w:type="dxa"/>
            <w:gridSpan w:val="2"/>
            <w:vMerge/>
            <w:tcBorders>
              <w:left w:val="single" w:sz="4" w:space="0" w:color="auto"/>
              <w:right w:val="single" w:sz="4" w:space="0" w:color="auto"/>
            </w:tcBorders>
            <w:shd w:val="clear" w:color="auto" w:fill="FFFFFF"/>
          </w:tcPr>
          <w:p w14:paraId="6D1643E6" w14:textId="77777777" w:rsidR="00405EF5" w:rsidRPr="00015A57" w:rsidRDefault="00405EF5" w:rsidP="00434EF6">
            <w:pPr>
              <w:spacing w:after="0" w:line="240" w:lineRule="auto"/>
              <w:rPr>
                <w:rFonts w:eastAsia="Calibri"/>
                <w:b/>
              </w:rPr>
            </w:pPr>
          </w:p>
        </w:tc>
        <w:tc>
          <w:tcPr>
            <w:tcW w:w="900" w:type="dxa"/>
            <w:vMerge w:val="restart"/>
            <w:tcBorders>
              <w:top w:val="single" w:sz="4" w:space="0" w:color="auto"/>
              <w:left w:val="single" w:sz="4" w:space="0" w:color="auto"/>
              <w:right w:val="single" w:sz="4" w:space="0" w:color="auto"/>
            </w:tcBorders>
            <w:shd w:val="clear" w:color="auto" w:fill="FFFFFF"/>
          </w:tcPr>
          <w:p w14:paraId="0A37B4FC" w14:textId="77777777" w:rsidR="00405EF5" w:rsidRPr="004A7F4D" w:rsidRDefault="00405EF5" w:rsidP="00434EF6">
            <w:pPr>
              <w:spacing w:after="0" w:line="240" w:lineRule="auto"/>
              <w:jc w:val="center"/>
              <w:rPr>
                <w:rFonts w:eastAsia="Calibri"/>
                <w:b/>
                <w:sz w:val="20"/>
              </w:rPr>
            </w:pPr>
            <w:r w:rsidRPr="004A7F4D">
              <w:rPr>
                <w:rFonts w:eastAsia="Calibri"/>
                <w:b/>
                <w:sz w:val="20"/>
              </w:rPr>
              <w:t>2.1.3</w:t>
            </w:r>
          </w:p>
        </w:tc>
        <w:tc>
          <w:tcPr>
            <w:tcW w:w="5310" w:type="dxa"/>
            <w:tcBorders>
              <w:top w:val="single" w:sz="4" w:space="0" w:color="auto"/>
              <w:left w:val="single" w:sz="4" w:space="0" w:color="auto"/>
              <w:bottom w:val="single" w:sz="4" w:space="0" w:color="auto"/>
              <w:right w:val="single" w:sz="4" w:space="0" w:color="auto"/>
            </w:tcBorders>
            <w:shd w:val="clear" w:color="auto" w:fill="FFFFFF"/>
          </w:tcPr>
          <w:p w14:paraId="77C56E28" w14:textId="3D7B3463" w:rsidR="00405EF5" w:rsidRPr="00412C47" w:rsidRDefault="00405EF5" w:rsidP="00434EF6">
            <w:pPr>
              <w:spacing w:after="0" w:line="240" w:lineRule="auto"/>
              <w:rPr>
                <w:rFonts w:eastAsia="Calibri"/>
                <w:sz w:val="20"/>
              </w:rPr>
            </w:pPr>
            <w:r w:rsidRPr="00412C47">
              <w:rPr>
                <w:rFonts w:eastAsia="Calibri"/>
                <w:sz w:val="20"/>
              </w:rPr>
              <w:t xml:space="preserve">Number of </w:t>
            </w:r>
            <w:r w:rsidR="00A56443" w:rsidRPr="000B5DED">
              <w:rPr>
                <w:rFonts w:eastAsia="Calibri"/>
                <w:b/>
                <w:sz w:val="20"/>
              </w:rPr>
              <w:t xml:space="preserve">additional </w:t>
            </w:r>
            <w:r w:rsidRPr="00412C47">
              <w:rPr>
                <w:rFonts w:eastAsia="Calibri"/>
                <w:b/>
                <w:sz w:val="20"/>
              </w:rPr>
              <w:t>women participating as candidates</w:t>
            </w:r>
            <w:r w:rsidRPr="00412C47">
              <w:rPr>
                <w:rFonts w:eastAsia="Calibri"/>
                <w:sz w:val="20"/>
              </w:rPr>
              <w:t xml:space="preserve"> in national elections</w:t>
            </w:r>
          </w:p>
          <w:p w14:paraId="1626E6B7" w14:textId="6881C5B7" w:rsidR="008376B6" w:rsidRPr="00412C47" w:rsidRDefault="008376B6" w:rsidP="00E11504">
            <w:pPr>
              <w:spacing w:before="240" w:after="0" w:line="240" w:lineRule="auto"/>
              <w:rPr>
                <w:rFonts w:eastAsia="Calibri"/>
                <w:sz w:val="20"/>
              </w:rPr>
            </w:pPr>
            <w:r w:rsidRPr="00412C47">
              <w:rPr>
                <w:rFonts w:eastAsia="Calibri"/>
                <w:b/>
                <w:i/>
                <w:sz w:val="18"/>
                <w:szCs w:val="18"/>
              </w:rPr>
              <w:t xml:space="preserve">Number of countries </w:t>
            </w:r>
            <w:r w:rsidR="00983FF8" w:rsidRPr="00412C47">
              <w:rPr>
                <w:rFonts w:eastAsia="Calibri"/>
                <w:b/>
                <w:i/>
                <w:sz w:val="18"/>
                <w:szCs w:val="18"/>
              </w:rPr>
              <w:t>for which a 2017 target has currently been set under this indicator</w:t>
            </w:r>
            <w:r w:rsidR="002E6869" w:rsidRPr="00412C47">
              <w:rPr>
                <w:rFonts w:eastAsia="Calibri"/>
                <w:b/>
                <w:i/>
                <w:sz w:val="18"/>
                <w:szCs w:val="18"/>
              </w:rPr>
              <w:t>: 41</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14:paraId="6D6DB2AD" w14:textId="7F362D1F" w:rsidR="00405EF5" w:rsidRPr="00015A57" w:rsidRDefault="007E66CF" w:rsidP="007E66CF">
            <w:pPr>
              <w:spacing w:after="0" w:line="240" w:lineRule="auto"/>
              <w:jc w:val="center"/>
              <w:rPr>
                <w:rFonts w:eastAsia="Calibri"/>
                <w:b/>
                <w:color w:val="FFFFFF"/>
              </w:rPr>
            </w:pPr>
            <w:r>
              <w:rPr>
                <w:rFonts w:eastAsia="Calibri"/>
                <w:sz w:val="20"/>
                <w:szCs w:val="20"/>
              </w:rPr>
              <w:t xml:space="preserve">0 </w:t>
            </w:r>
          </w:p>
        </w:tc>
        <w:tc>
          <w:tcPr>
            <w:tcW w:w="12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6C7988" w14:textId="0F9003C0" w:rsidR="00405EF5" w:rsidRPr="00DC4E87" w:rsidRDefault="00740A51" w:rsidP="00434EF6">
            <w:pPr>
              <w:spacing w:after="0" w:line="240" w:lineRule="auto"/>
              <w:jc w:val="center"/>
              <w:rPr>
                <w:rFonts w:eastAsia="Calibri"/>
                <w:sz w:val="20"/>
                <w:szCs w:val="20"/>
              </w:rPr>
            </w:pPr>
            <w:r>
              <w:rPr>
                <w:rFonts w:eastAsia="Calibri"/>
                <w:sz w:val="20"/>
                <w:szCs w:val="20"/>
              </w:rPr>
              <w:t>3,010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7F126C" w14:textId="22EC93AD" w:rsidR="00405EF5" w:rsidRPr="00DC4E87" w:rsidRDefault="00740A51" w:rsidP="00434EF6">
            <w:pPr>
              <w:spacing w:after="0" w:line="240" w:lineRule="auto"/>
              <w:jc w:val="center"/>
              <w:rPr>
                <w:rFonts w:eastAsia="Calibri"/>
                <w:sz w:val="20"/>
                <w:szCs w:val="20"/>
              </w:rPr>
            </w:pPr>
            <w:r>
              <w:rPr>
                <w:rFonts w:eastAsia="Calibri"/>
                <w:sz w:val="20"/>
                <w:szCs w:val="20"/>
              </w:rPr>
              <w:t>2,848</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55F2A607" w14:textId="676681AB" w:rsidR="00405EF5" w:rsidRPr="00DC4E87" w:rsidRDefault="002E6869" w:rsidP="00434EF6">
            <w:pPr>
              <w:spacing w:after="0" w:line="240" w:lineRule="auto"/>
              <w:jc w:val="center"/>
              <w:rPr>
                <w:rFonts w:eastAsia="Calibri"/>
                <w:sz w:val="20"/>
                <w:szCs w:val="20"/>
              </w:rPr>
            </w:pPr>
            <w:r>
              <w:rPr>
                <w:rFonts w:eastAsia="Calibri"/>
                <w:sz w:val="20"/>
                <w:szCs w:val="20"/>
              </w:rPr>
              <w:t>10,</w:t>
            </w:r>
            <w:r w:rsidR="0032148B">
              <w:rPr>
                <w:rFonts w:eastAsia="Calibri"/>
                <w:sz w:val="20"/>
                <w:szCs w:val="20"/>
              </w:rPr>
              <w:t>706</w:t>
            </w:r>
          </w:p>
        </w:tc>
      </w:tr>
      <w:tr w:rsidR="00740A51" w:rsidRPr="00283732" w14:paraId="69ED10CB" w14:textId="77777777" w:rsidTr="004C3CB2">
        <w:trPr>
          <w:cantSplit/>
          <w:trHeight w:val="386"/>
          <w:jc w:val="center"/>
        </w:trPr>
        <w:tc>
          <w:tcPr>
            <w:tcW w:w="3143" w:type="dxa"/>
            <w:gridSpan w:val="2"/>
            <w:vMerge/>
            <w:tcBorders>
              <w:left w:val="single" w:sz="4" w:space="0" w:color="auto"/>
              <w:right w:val="single" w:sz="4" w:space="0" w:color="auto"/>
            </w:tcBorders>
            <w:shd w:val="clear" w:color="auto" w:fill="FFFFFF"/>
          </w:tcPr>
          <w:p w14:paraId="7DA2B420" w14:textId="77777777" w:rsidR="00740A51" w:rsidRPr="00015A57" w:rsidRDefault="00740A51" w:rsidP="00434EF6">
            <w:pPr>
              <w:spacing w:after="0" w:line="240" w:lineRule="auto"/>
              <w:rPr>
                <w:rFonts w:eastAsia="Calibri"/>
                <w:b/>
              </w:rPr>
            </w:pPr>
          </w:p>
        </w:tc>
        <w:tc>
          <w:tcPr>
            <w:tcW w:w="900" w:type="dxa"/>
            <w:vMerge/>
            <w:tcBorders>
              <w:left w:val="single" w:sz="4" w:space="0" w:color="auto"/>
              <w:bottom w:val="single" w:sz="4" w:space="0" w:color="auto"/>
              <w:right w:val="single" w:sz="4" w:space="0" w:color="auto"/>
            </w:tcBorders>
            <w:shd w:val="clear" w:color="auto" w:fill="FFFFFF"/>
          </w:tcPr>
          <w:p w14:paraId="65E53645" w14:textId="77777777" w:rsidR="00740A51" w:rsidRPr="004A7F4D" w:rsidRDefault="00740A51" w:rsidP="00434EF6">
            <w:pPr>
              <w:spacing w:after="0" w:line="240" w:lineRule="auto"/>
              <w:jc w:val="center"/>
              <w:rPr>
                <w:rFonts w:eastAsia="Calibri"/>
                <w:b/>
                <w:sz w:val="20"/>
              </w:rPr>
            </w:pPr>
          </w:p>
        </w:tc>
        <w:tc>
          <w:tcPr>
            <w:tcW w:w="10892" w:type="dxa"/>
            <w:gridSpan w:val="7"/>
            <w:tcBorders>
              <w:left w:val="single" w:sz="4" w:space="0" w:color="auto"/>
              <w:bottom w:val="single" w:sz="4" w:space="0" w:color="auto"/>
              <w:right w:val="single" w:sz="4" w:space="0" w:color="auto"/>
            </w:tcBorders>
            <w:shd w:val="clear" w:color="auto" w:fill="D9D9D9" w:themeFill="background1" w:themeFillShade="D9"/>
          </w:tcPr>
          <w:p w14:paraId="3019D824" w14:textId="77777777" w:rsidR="00740A51" w:rsidRPr="002A6F6B" w:rsidRDefault="00740A51" w:rsidP="00434EF6">
            <w:pPr>
              <w:spacing w:after="0" w:line="240" w:lineRule="auto"/>
              <w:rPr>
                <w:rFonts w:ascii="Calibri" w:eastAsia="Calibri" w:hAnsi="Calibri"/>
                <w:sz w:val="18"/>
                <w:szCs w:val="18"/>
              </w:rPr>
            </w:pPr>
            <w:r w:rsidRPr="002A6F6B">
              <w:rPr>
                <w:rFonts w:ascii="Calibri" w:eastAsia="Calibri" w:hAnsi="Calibri" w:cs="Times New Roman"/>
                <w:b/>
                <w:sz w:val="18"/>
                <w:szCs w:val="18"/>
                <w:lang w:eastAsia="en-US"/>
              </w:rPr>
              <w:t xml:space="preserve">Indicator 2.1.3 Note: </w:t>
            </w:r>
            <w:r w:rsidRPr="002A6F6B">
              <w:rPr>
                <w:rFonts w:ascii="Calibri" w:eastAsia="Calibri" w:hAnsi="Calibri" w:cs="Times New Roman"/>
                <w:sz w:val="18"/>
                <w:szCs w:val="18"/>
                <w:lang w:eastAsia="en-US"/>
              </w:rPr>
              <w:t xml:space="preserve">Tracks the number of additional women participating as candidates in national elections </w:t>
            </w:r>
            <w:r w:rsidRPr="002A6F6B">
              <w:rPr>
                <w:rFonts w:ascii="Calibri" w:eastAsia="Calibri" w:hAnsi="Calibri"/>
                <w:sz w:val="18"/>
                <w:szCs w:val="18"/>
              </w:rPr>
              <w:t xml:space="preserve">as a result of UNDP support (on demand </w:t>
            </w:r>
            <w:r w:rsidRPr="002A6F6B">
              <w:rPr>
                <w:sz w:val="18"/>
                <w:szCs w:val="18"/>
              </w:rPr>
              <w:t>from programme countries</w:t>
            </w:r>
            <w:r w:rsidRPr="002A6F6B">
              <w:rPr>
                <w:rFonts w:ascii="Calibri" w:eastAsia="Calibri" w:hAnsi="Calibri"/>
                <w:sz w:val="18"/>
                <w:szCs w:val="18"/>
              </w:rPr>
              <w:t>), from January 2014 onwards.</w:t>
            </w:r>
          </w:p>
          <w:p w14:paraId="255FDEA4" w14:textId="4397F993" w:rsidR="00740A51" w:rsidRPr="002A6F6B" w:rsidRDefault="00740A51" w:rsidP="002E6869">
            <w:pPr>
              <w:spacing w:after="0" w:line="240" w:lineRule="auto"/>
              <w:rPr>
                <w:rFonts w:ascii="Calibri" w:eastAsia="Calibri" w:hAnsi="Calibri" w:cs="Times New Roman"/>
                <w:b/>
                <w:sz w:val="18"/>
                <w:szCs w:val="18"/>
                <w:lang w:eastAsia="en-US"/>
              </w:rPr>
            </w:pPr>
            <w:r w:rsidRPr="002A6F6B">
              <w:rPr>
                <w:rFonts w:eastAsia="Calibri"/>
                <w:b/>
                <w:sz w:val="18"/>
                <w:szCs w:val="18"/>
              </w:rPr>
              <w:t xml:space="preserve">2014 Reporting Note: </w:t>
            </w:r>
            <w:r w:rsidR="002E6869" w:rsidRPr="002A6F6B">
              <w:rPr>
                <w:rFonts w:eastAsia="Calibri"/>
                <w:sz w:val="18"/>
                <w:szCs w:val="18"/>
              </w:rPr>
              <w:t>2014 m</w:t>
            </w:r>
            <w:r w:rsidRPr="002A6F6B">
              <w:rPr>
                <w:rFonts w:eastAsia="Calibri"/>
                <w:sz w:val="18"/>
                <w:szCs w:val="18"/>
              </w:rPr>
              <w:t xml:space="preserve">ilestone </w:t>
            </w:r>
            <w:r w:rsidR="002E6869" w:rsidRPr="002A6F6B">
              <w:rPr>
                <w:rFonts w:eastAsia="Calibri"/>
                <w:sz w:val="18"/>
                <w:szCs w:val="18"/>
              </w:rPr>
              <w:t xml:space="preserve">and 2017 target </w:t>
            </w:r>
            <w:r w:rsidRPr="002A6F6B">
              <w:rPr>
                <w:rFonts w:eastAsia="Calibri"/>
                <w:sz w:val="18"/>
                <w:szCs w:val="18"/>
              </w:rPr>
              <w:t>updated to reflect more complete reporting from country offices. For reference, previous 2014 milestone was 1</w:t>
            </w:r>
            <w:r w:rsidR="002A6F6B">
              <w:rPr>
                <w:rFonts w:eastAsia="Calibri"/>
                <w:sz w:val="18"/>
                <w:szCs w:val="18"/>
              </w:rPr>
              <w:t>,</w:t>
            </w:r>
            <w:r w:rsidRPr="002A6F6B">
              <w:rPr>
                <w:rFonts w:eastAsia="Calibri"/>
                <w:sz w:val="18"/>
                <w:szCs w:val="18"/>
              </w:rPr>
              <w:t>114</w:t>
            </w:r>
            <w:r w:rsidR="002E6869" w:rsidRPr="002A6F6B">
              <w:rPr>
                <w:rFonts w:eastAsia="Calibri"/>
                <w:sz w:val="18"/>
                <w:szCs w:val="18"/>
              </w:rPr>
              <w:t>, previous target was 8</w:t>
            </w:r>
            <w:r w:rsidR="002A6F6B">
              <w:rPr>
                <w:rFonts w:eastAsia="Calibri"/>
                <w:sz w:val="18"/>
                <w:szCs w:val="18"/>
              </w:rPr>
              <w:t>,</w:t>
            </w:r>
            <w:r w:rsidR="002E6869" w:rsidRPr="002A6F6B">
              <w:rPr>
                <w:rFonts w:eastAsia="Calibri"/>
                <w:sz w:val="18"/>
                <w:szCs w:val="18"/>
              </w:rPr>
              <w:t xml:space="preserve">298. </w:t>
            </w:r>
          </w:p>
        </w:tc>
      </w:tr>
    </w:tbl>
    <w:p w14:paraId="32DBDCD7" w14:textId="77777777" w:rsidR="002A6F6B" w:rsidRDefault="002A6F6B">
      <w:r>
        <w:br w:type="page"/>
      </w:r>
    </w:p>
    <w:tbl>
      <w:tblPr>
        <w:tblW w:w="14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3"/>
        <w:gridCol w:w="900"/>
        <w:gridCol w:w="5310"/>
        <w:gridCol w:w="1350"/>
        <w:gridCol w:w="1262"/>
        <w:gridCol w:w="1046"/>
        <w:gridCol w:w="304"/>
        <w:gridCol w:w="1620"/>
      </w:tblGrid>
      <w:tr w:rsidR="00405EF5" w:rsidRPr="00283732" w14:paraId="076A47FE" w14:textId="77777777" w:rsidTr="005B78CE">
        <w:trPr>
          <w:cantSplit/>
          <w:trHeight w:val="737"/>
          <w:jc w:val="center"/>
        </w:trPr>
        <w:tc>
          <w:tcPr>
            <w:tcW w:w="3143" w:type="dxa"/>
            <w:vMerge w:val="restart"/>
            <w:tcBorders>
              <w:top w:val="single" w:sz="4" w:space="0" w:color="auto"/>
              <w:left w:val="single" w:sz="4" w:space="0" w:color="auto"/>
              <w:right w:val="single" w:sz="4" w:space="0" w:color="auto"/>
            </w:tcBorders>
            <w:shd w:val="clear" w:color="auto" w:fill="FFFFFF"/>
            <w:hideMark/>
          </w:tcPr>
          <w:p w14:paraId="088350B7" w14:textId="384E6740" w:rsidR="00405EF5" w:rsidRPr="007F0C2F" w:rsidRDefault="00405EF5" w:rsidP="003D6A0B">
            <w:pPr>
              <w:spacing w:after="0" w:line="240" w:lineRule="auto"/>
              <w:rPr>
                <w:rFonts w:eastAsia="Calibri"/>
                <w:sz w:val="20"/>
              </w:rPr>
            </w:pPr>
            <w:r w:rsidRPr="005A7A63">
              <w:rPr>
                <w:rFonts w:eastAsia="Calibri"/>
                <w:b/>
                <w:sz w:val="20"/>
              </w:rPr>
              <w:t>Output 2.2</w:t>
            </w:r>
            <w:r w:rsidRPr="005A7A63">
              <w:rPr>
                <w:rFonts w:eastAsia="Calibri"/>
                <w:sz w:val="20"/>
              </w:rPr>
              <w:t>. Institutions and systems enabled to address awareness, prevention and enforcement of anti-corruption measures across sectors and  stakeholders</w:t>
            </w:r>
          </w:p>
          <w:p w14:paraId="30BC3D98" w14:textId="7768A6B1" w:rsidR="00405EF5" w:rsidRPr="005A7A63" w:rsidRDefault="007A4E99" w:rsidP="0036226E">
            <w:pPr>
              <w:spacing w:after="0" w:line="240" w:lineRule="auto"/>
              <w:rPr>
                <w:rFonts w:eastAsia="Calibri"/>
                <w:b/>
                <w:sz w:val="20"/>
              </w:rPr>
            </w:pPr>
            <w:r w:rsidRPr="00B359E7">
              <w:rPr>
                <w:rFonts w:ascii="Calibri" w:eastAsia="Calibri" w:hAnsi="Calibri"/>
                <w:b/>
                <w:i/>
                <w:color w:val="000000"/>
                <w:sz w:val="18"/>
                <w:szCs w:val="18"/>
              </w:rPr>
              <w:t>Number of countries linked:</w:t>
            </w:r>
            <w:r>
              <w:rPr>
                <w:rFonts w:ascii="Calibri" w:eastAsia="Calibri" w:hAnsi="Calibri"/>
                <w:b/>
                <w:color w:val="000000"/>
                <w:sz w:val="18"/>
                <w:szCs w:val="18"/>
              </w:rPr>
              <w:t xml:space="preserve"> 6</w:t>
            </w:r>
            <w:r w:rsidR="0036226E">
              <w:rPr>
                <w:rFonts w:ascii="Calibri" w:eastAsia="Calibri" w:hAnsi="Calibri"/>
                <w:b/>
                <w:color w:val="000000"/>
                <w:sz w:val="18"/>
                <w:szCs w:val="18"/>
              </w:rPr>
              <w:t>7</w:t>
            </w:r>
            <w:r>
              <w:rPr>
                <w:rFonts w:ascii="Calibri" w:eastAsia="Calibri" w:hAnsi="Calibri"/>
                <w:b/>
                <w:color w:val="000000"/>
                <w:sz w:val="18"/>
                <w:szCs w:val="18"/>
              </w:rPr>
              <w:t xml:space="preserve"> (February 2015</w:t>
            </w:r>
            <w:r w:rsidRPr="00B359E7">
              <w:rPr>
                <w:rFonts w:ascii="Calibri" w:eastAsia="Calibri" w:hAnsi="Calibri"/>
                <w:b/>
                <w:color w:val="000000"/>
                <w:sz w:val="18"/>
                <w:szCs w:val="18"/>
              </w:rPr>
              <w:t>)</w:t>
            </w:r>
          </w:p>
        </w:tc>
        <w:tc>
          <w:tcPr>
            <w:tcW w:w="900" w:type="dxa"/>
            <w:vMerge w:val="restart"/>
            <w:tcBorders>
              <w:top w:val="single" w:sz="4" w:space="0" w:color="auto"/>
              <w:left w:val="single" w:sz="4" w:space="0" w:color="auto"/>
              <w:right w:val="single" w:sz="4" w:space="0" w:color="auto"/>
            </w:tcBorders>
            <w:shd w:val="clear" w:color="auto" w:fill="FFFFFF"/>
          </w:tcPr>
          <w:p w14:paraId="4093C424" w14:textId="77777777" w:rsidR="00405EF5" w:rsidRPr="005A7A63" w:rsidRDefault="00405EF5" w:rsidP="00434EF6">
            <w:pPr>
              <w:spacing w:after="0" w:line="240" w:lineRule="auto"/>
              <w:jc w:val="center"/>
              <w:rPr>
                <w:rFonts w:eastAsia="Calibri"/>
                <w:b/>
                <w:sz w:val="20"/>
              </w:rPr>
            </w:pPr>
            <w:r w:rsidRPr="005A7A63">
              <w:rPr>
                <w:rFonts w:eastAsia="Calibri"/>
                <w:b/>
                <w:sz w:val="20"/>
              </w:rPr>
              <w:t>2.2.2</w:t>
            </w:r>
          </w:p>
        </w:tc>
        <w:tc>
          <w:tcPr>
            <w:tcW w:w="5310" w:type="dxa"/>
            <w:tcBorders>
              <w:top w:val="single" w:sz="4" w:space="0" w:color="auto"/>
              <w:left w:val="single" w:sz="4" w:space="0" w:color="auto"/>
              <w:right w:val="single" w:sz="4" w:space="0" w:color="auto"/>
            </w:tcBorders>
            <w:shd w:val="clear" w:color="auto" w:fill="FFFFFF"/>
          </w:tcPr>
          <w:p w14:paraId="59F9F0BD" w14:textId="17E6B0EA" w:rsidR="00405EF5" w:rsidRPr="00412C47" w:rsidRDefault="00405EF5" w:rsidP="00434EF6">
            <w:pPr>
              <w:spacing w:after="0" w:line="240" w:lineRule="auto"/>
              <w:rPr>
                <w:rFonts w:eastAsia="Calibri"/>
                <w:sz w:val="20"/>
              </w:rPr>
            </w:pPr>
            <w:r w:rsidRPr="00412C47">
              <w:rPr>
                <w:rFonts w:eastAsia="Calibri"/>
                <w:sz w:val="20"/>
              </w:rPr>
              <w:t xml:space="preserve">Number of </w:t>
            </w:r>
            <w:r w:rsidR="00A56443" w:rsidRPr="000B5DED">
              <w:rPr>
                <w:rFonts w:eastAsia="Calibri"/>
                <w:b/>
                <w:sz w:val="20"/>
              </w:rPr>
              <w:t xml:space="preserve">new </w:t>
            </w:r>
            <w:r w:rsidRPr="00412C47">
              <w:rPr>
                <w:rFonts w:eastAsia="Calibri"/>
                <w:b/>
                <w:sz w:val="20"/>
              </w:rPr>
              <w:t>proposals adopted</w:t>
            </w:r>
            <w:r w:rsidRPr="00412C47">
              <w:rPr>
                <w:rFonts w:eastAsia="Calibri"/>
                <w:sz w:val="20"/>
              </w:rPr>
              <w:t xml:space="preserve"> to </w:t>
            </w:r>
            <w:r w:rsidRPr="00412C47">
              <w:rPr>
                <w:rFonts w:eastAsia="Calibri"/>
                <w:b/>
                <w:sz w:val="20"/>
              </w:rPr>
              <w:t>mitigate sector specific corruption risks</w:t>
            </w:r>
            <w:r w:rsidRPr="00412C47">
              <w:rPr>
                <w:rFonts w:eastAsia="Calibri"/>
                <w:sz w:val="20"/>
              </w:rPr>
              <w:t xml:space="preserve"> (e.g. extractive industries, and public procurement in the health and other sectors)</w:t>
            </w:r>
          </w:p>
          <w:p w14:paraId="7FD85D56" w14:textId="69EF4EA4" w:rsidR="008376B6" w:rsidRPr="00412C47" w:rsidRDefault="008376B6" w:rsidP="001E0B13">
            <w:pPr>
              <w:spacing w:before="240" w:after="0" w:line="240" w:lineRule="auto"/>
              <w:rPr>
                <w:i/>
                <w:sz w:val="20"/>
              </w:rPr>
            </w:pPr>
            <w:r w:rsidRPr="00412C47">
              <w:rPr>
                <w:rFonts w:eastAsia="Calibri"/>
                <w:b/>
                <w:i/>
                <w:sz w:val="18"/>
                <w:szCs w:val="18"/>
              </w:rPr>
              <w:t xml:space="preserve">Number of countries </w:t>
            </w:r>
            <w:r w:rsidR="00983FF8" w:rsidRPr="00412C47">
              <w:rPr>
                <w:rFonts w:eastAsia="Calibri"/>
                <w:b/>
                <w:i/>
                <w:sz w:val="18"/>
                <w:szCs w:val="18"/>
              </w:rPr>
              <w:t>for which a 2017 target has currently been set under this indicator</w:t>
            </w:r>
            <w:r w:rsidR="00932138">
              <w:rPr>
                <w:rFonts w:eastAsia="Calibri"/>
                <w:b/>
                <w:i/>
                <w:sz w:val="18"/>
                <w:szCs w:val="18"/>
              </w:rPr>
              <w:t>: 29</w:t>
            </w:r>
          </w:p>
        </w:tc>
        <w:tc>
          <w:tcPr>
            <w:tcW w:w="1350" w:type="dxa"/>
            <w:tcBorders>
              <w:top w:val="single" w:sz="4" w:space="0" w:color="auto"/>
              <w:left w:val="single" w:sz="4" w:space="0" w:color="auto"/>
              <w:right w:val="single" w:sz="4" w:space="0" w:color="auto"/>
            </w:tcBorders>
            <w:shd w:val="clear" w:color="auto" w:fill="FFFFFF"/>
            <w:vAlign w:val="center"/>
          </w:tcPr>
          <w:p w14:paraId="2A81984A" w14:textId="1BD4FA6C" w:rsidR="00405EF5" w:rsidRPr="005A7A63" w:rsidRDefault="007E66CF" w:rsidP="007E66CF">
            <w:pPr>
              <w:spacing w:after="0" w:line="240" w:lineRule="auto"/>
              <w:jc w:val="center"/>
              <w:rPr>
                <w:sz w:val="20"/>
              </w:rPr>
            </w:pPr>
            <w:r>
              <w:rPr>
                <w:sz w:val="20"/>
              </w:rPr>
              <w:t xml:space="preserve">0 </w:t>
            </w:r>
          </w:p>
        </w:tc>
        <w:tc>
          <w:tcPr>
            <w:tcW w:w="1262" w:type="dxa"/>
            <w:tcBorders>
              <w:top w:val="single" w:sz="4" w:space="0" w:color="auto"/>
              <w:left w:val="single" w:sz="4" w:space="0" w:color="auto"/>
              <w:right w:val="single" w:sz="4" w:space="0" w:color="auto"/>
            </w:tcBorders>
            <w:shd w:val="clear" w:color="auto" w:fill="FFFFFF"/>
            <w:vAlign w:val="center"/>
          </w:tcPr>
          <w:p w14:paraId="48BC2606" w14:textId="0283927E" w:rsidR="00405EF5" w:rsidRPr="005A7A63" w:rsidRDefault="00740A51" w:rsidP="00434EF6">
            <w:pPr>
              <w:spacing w:after="0" w:line="240" w:lineRule="auto"/>
              <w:jc w:val="center"/>
              <w:rPr>
                <w:sz w:val="20"/>
              </w:rPr>
            </w:pPr>
            <w:r>
              <w:rPr>
                <w:sz w:val="20"/>
              </w:rPr>
              <w:t>20</w:t>
            </w:r>
          </w:p>
        </w:tc>
        <w:tc>
          <w:tcPr>
            <w:tcW w:w="1350" w:type="dxa"/>
            <w:gridSpan w:val="2"/>
            <w:tcBorders>
              <w:top w:val="single" w:sz="4" w:space="0" w:color="auto"/>
              <w:left w:val="single" w:sz="4" w:space="0" w:color="auto"/>
              <w:right w:val="single" w:sz="4" w:space="0" w:color="auto"/>
            </w:tcBorders>
            <w:shd w:val="clear" w:color="auto" w:fill="FFFFFF"/>
            <w:vAlign w:val="center"/>
          </w:tcPr>
          <w:p w14:paraId="750B9788" w14:textId="4F30A6DE" w:rsidR="00405EF5" w:rsidRPr="005A7A63" w:rsidRDefault="00740A51" w:rsidP="00434EF6">
            <w:pPr>
              <w:spacing w:after="0" w:line="240" w:lineRule="auto"/>
              <w:jc w:val="center"/>
              <w:rPr>
                <w:sz w:val="20"/>
              </w:rPr>
            </w:pPr>
            <w:r>
              <w:rPr>
                <w:sz w:val="20"/>
              </w:rPr>
              <w:t>16</w:t>
            </w:r>
            <w:r w:rsidR="00A95499">
              <w:rPr>
                <w:sz w:val="20"/>
              </w:rPr>
              <w:t>*</w:t>
            </w:r>
          </w:p>
        </w:tc>
        <w:tc>
          <w:tcPr>
            <w:tcW w:w="1620" w:type="dxa"/>
            <w:tcBorders>
              <w:top w:val="single" w:sz="4" w:space="0" w:color="auto"/>
              <w:left w:val="single" w:sz="4" w:space="0" w:color="auto"/>
              <w:right w:val="single" w:sz="4" w:space="0" w:color="auto"/>
            </w:tcBorders>
            <w:shd w:val="clear" w:color="auto" w:fill="FFFFFF"/>
            <w:vAlign w:val="center"/>
          </w:tcPr>
          <w:p w14:paraId="58C13710" w14:textId="32BD804E" w:rsidR="00405EF5" w:rsidRPr="005A7A63" w:rsidRDefault="00405EF5" w:rsidP="007F0C2F">
            <w:pPr>
              <w:spacing w:after="0" w:line="240" w:lineRule="auto"/>
              <w:jc w:val="center"/>
              <w:rPr>
                <w:sz w:val="20"/>
              </w:rPr>
            </w:pPr>
            <w:r>
              <w:rPr>
                <w:sz w:val="20"/>
              </w:rPr>
              <w:t>7</w:t>
            </w:r>
            <w:r w:rsidR="007F0C2F">
              <w:rPr>
                <w:sz w:val="20"/>
              </w:rPr>
              <w:t>0</w:t>
            </w:r>
          </w:p>
        </w:tc>
      </w:tr>
      <w:tr w:rsidR="00740A51" w:rsidRPr="00283732" w14:paraId="57DD21B8" w14:textId="77777777" w:rsidTr="004C3CB2">
        <w:trPr>
          <w:cantSplit/>
          <w:trHeight w:val="710"/>
          <w:jc w:val="center"/>
        </w:trPr>
        <w:tc>
          <w:tcPr>
            <w:tcW w:w="3143" w:type="dxa"/>
            <w:vMerge/>
            <w:tcBorders>
              <w:left w:val="single" w:sz="4" w:space="0" w:color="auto"/>
              <w:bottom w:val="single" w:sz="4" w:space="0" w:color="auto"/>
              <w:right w:val="single" w:sz="4" w:space="0" w:color="auto"/>
            </w:tcBorders>
            <w:shd w:val="clear" w:color="auto" w:fill="FFFFFF"/>
          </w:tcPr>
          <w:p w14:paraId="13589353" w14:textId="77777777" w:rsidR="00740A51" w:rsidRPr="005A7A63" w:rsidRDefault="00740A51" w:rsidP="00434EF6">
            <w:pPr>
              <w:spacing w:after="0" w:line="240" w:lineRule="auto"/>
              <w:rPr>
                <w:rFonts w:eastAsia="Calibri"/>
                <w:b/>
                <w:sz w:val="20"/>
              </w:rPr>
            </w:pPr>
          </w:p>
        </w:tc>
        <w:tc>
          <w:tcPr>
            <w:tcW w:w="900" w:type="dxa"/>
            <w:vMerge/>
            <w:tcBorders>
              <w:left w:val="single" w:sz="4" w:space="0" w:color="auto"/>
              <w:right w:val="single" w:sz="4" w:space="0" w:color="auto"/>
            </w:tcBorders>
            <w:shd w:val="clear" w:color="auto" w:fill="FFFFFF"/>
          </w:tcPr>
          <w:p w14:paraId="48188588" w14:textId="77777777" w:rsidR="00740A51" w:rsidRPr="005A7A63" w:rsidRDefault="00740A51" w:rsidP="00434EF6">
            <w:pPr>
              <w:spacing w:after="0" w:line="240" w:lineRule="auto"/>
              <w:jc w:val="center"/>
              <w:rPr>
                <w:rFonts w:eastAsia="Calibri"/>
                <w:b/>
                <w:sz w:val="20"/>
              </w:rPr>
            </w:pPr>
          </w:p>
        </w:tc>
        <w:tc>
          <w:tcPr>
            <w:tcW w:w="10892" w:type="dxa"/>
            <w:gridSpan w:val="6"/>
            <w:tcBorders>
              <w:left w:val="single" w:sz="4" w:space="0" w:color="auto"/>
            </w:tcBorders>
            <w:shd w:val="clear" w:color="auto" w:fill="D9D9D9" w:themeFill="background1" w:themeFillShade="D9"/>
          </w:tcPr>
          <w:p w14:paraId="2CD6EDAE" w14:textId="04E9BEAF" w:rsidR="00740A51" w:rsidRPr="00412C47" w:rsidRDefault="00740A51" w:rsidP="00485B48">
            <w:pPr>
              <w:spacing w:after="0" w:line="240" w:lineRule="auto"/>
              <w:rPr>
                <w:sz w:val="18"/>
                <w:szCs w:val="18"/>
              </w:rPr>
            </w:pPr>
            <w:r w:rsidRPr="00412C47">
              <w:rPr>
                <w:rFonts w:ascii="Calibri" w:eastAsia="Calibri" w:hAnsi="Calibri" w:cs="Times New Roman"/>
                <w:b/>
                <w:sz w:val="18"/>
                <w:szCs w:val="18"/>
                <w:lang w:eastAsia="en-US"/>
              </w:rPr>
              <w:t xml:space="preserve">Indicator 2.2.2 Note: </w:t>
            </w:r>
            <w:r w:rsidRPr="00412C47">
              <w:rPr>
                <w:sz w:val="18"/>
                <w:szCs w:val="18"/>
              </w:rPr>
              <w:t xml:space="preserve">Tracks the number of </w:t>
            </w:r>
            <w:r w:rsidR="00583C76">
              <w:rPr>
                <w:sz w:val="18"/>
                <w:szCs w:val="18"/>
              </w:rPr>
              <w:t xml:space="preserve">new </w:t>
            </w:r>
            <w:r w:rsidRPr="00412C47">
              <w:rPr>
                <w:sz w:val="18"/>
                <w:szCs w:val="18"/>
              </w:rPr>
              <w:t xml:space="preserve">proposals adopted to mitigate sector-specific corruption risks </w:t>
            </w:r>
            <w:r w:rsidRPr="00412C47">
              <w:rPr>
                <w:rFonts w:ascii="Calibri" w:eastAsia="Calibri" w:hAnsi="Calibri"/>
                <w:sz w:val="18"/>
                <w:szCs w:val="18"/>
              </w:rPr>
              <w:t xml:space="preserve">as a result of UNDP support (on demand </w:t>
            </w:r>
            <w:r w:rsidRPr="00412C47">
              <w:rPr>
                <w:sz w:val="18"/>
                <w:szCs w:val="18"/>
              </w:rPr>
              <w:t>from programme countries</w:t>
            </w:r>
            <w:r w:rsidRPr="00412C47">
              <w:rPr>
                <w:rFonts w:ascii="Calibri" w:eastAsia="Calibri" w:hAnsi="Calibri"/>
                <w:sz w:val="18"/>
                <w:szCs w:val="18"/>
              </w:rPr>
              <w:t>), from January 2014 onwards</w:t>
            </w:r>
            <w:r w:rsidRPr="00412C47">
              <w:rPr>
                <w:sz w:val="18"/>
                <w:szCs w:val="18"/>
              </w:rPr>
              <w:t>.</w:t>
            </w:r>
          </w:p>
          <w:p w14:paraId="6FC79CF4" w14:textId="0CDA78D8" w:rsidR="00A95499" w:rsidRPr="00412C47" w:rsidRDefault="00740A51" w:rsidP="002A6F6B">
            <w:pPr>
              <w:spacing w:after="0" w:line="240" w:lineRule="auto"/>
              <w:rPr>
                <w:rFonts w:ascii="Calibri" w:eastAsia="Calibri" w:hAnsi="Calibri" w:cs="Times New Roman"/>
                <w:b/>
                <w:sz w:val="18"/>
                <w:szCs w:val="18"/>
                <w:lang w:eastAsia="en-US"/>
              </w:rPr>
            </w:pPr>
            <w:r w:rsidRPr="00412C47">
              <w:rPr>
                <w:rFonts w:eastAsia="Calibri"/>
                <w:b/>
                <w:sz w:val="18"/>
                <w:szCs w:val="18"/>
              </w:rPr>
              <w:t xml:space="preserve">2014 Reporting Note: </w:t>
            </w:r>
            <w:r w:rsidRPr="00412C47">
              <w:rPr>
                <w:rFonts w:eastAsia="Calibri"/>
                <w:sz w:val="18"/>
                <w:szCs w:val="18"/>
              </w:rPr>
              <w:t xml:space="preserve">2014 </w:t>
            </w:r>
            <w:r w:rsidR="007F0C2F" w:rsidRPr="00412C47">
              <w:rPr>
                <w:rFonts w:eastAsia="Calibri"/>
                <w:sz w:val="18"/>
                <w:szCs w:val="18"/>
              </w:rPr>
              <w:t>m</w:t>
            </w:r>
            <w:r w:rsidRPr="00412C47">
              <w:rPr>
                <w:rFonts w:eastAsia="Calibri"/>
                <w:sz w:val="18"/>
                <w:szCs w:val="18"/>
              </w:rPr>
              <w:t xml:space="preserve">ilestone </w:t>
            </w:r>
            <w:r w:rsidR="007F0C2F" w:rsidRPr="00412C47">
              <w:rPr>
                <w:rFonts w:eastAsia="Calibri"/>
                <w:sz w:val="18"/>
                <w:szCs w:val="18"/>
              </w:rPr>
              <w:t xml:space="preserve">and 2017 target </w:t>
            </w:r>
            <w:r w:rsidRPr="00412C47">
              <w:rPr>
                <w:rFonts w:eastAsia="Calibri"/>
                <w:sz w:val="18"/>
                <w:szCs w:val="18"/>
              </w:rPr>
              <w:t>updated to reflect more complete reporting from country offices. For reference, previous 2014 milestone w</w:t>
            </w:r>
            <w:r w:rsidR="00744A09" w:rsidRPr="00412C47">
              <w:rPr>
                <w:rFonts w:eastAsia="Calibri"/>
                <w:sz w:val="18"/>
                <w:szCs w:val="18"/>
              </w:rPr>
              <w:t>as</w:t>
            </w:r>
            <w:r w:rsidRPr="00412C47">
              <w:rPr>
                <w:rFonts w:eastAsia="Calibri"/>
                <w:sz w:val="18"/>
                <w:szCs w:val="18"/>
              </w:rPr>
              <w:t xml:space="preserve"> 18</w:t>
            </w:r>
            <w:r w:rsidR="007F0C2F" w:rsidRPr="00412C47">
              <w:rPr>
                <w:rFonts w:eastAsia="Calibri"/>
                <w:sz w:val="18"/>
                <w:szCs w:val="18"/>
              </w:rPr>
              <w:t xml:space="preserve">, previous target was 72. </w:t>
            </w:r>
            <w:r w:rsidR="00A95499" w:rsidRPr="00412C47">
              <w:rPr>
                <w:rFonts w:eastAsia="Calibri"/>
                <w:sz w:val="18"/>
                <w:szCs w:val="18"/>
              </w:rPr>
              <w:t>2014 actual results data is missing for two countries expected to contribute to results, final results will be reported at a later date.</w:t>
            </w:r>
          </w:p>
        </w:tc>
      </w:tr>
      <w:tr w:rsidR="00405EF5" w:rsidRPr="00283732" w14:paraId="77B4D33C" w14:textId="77777777" w:rsidTr="005B78CE">
        <w:trPr>
          <w:cantSplit/>
          <w:trHeight w:val="458"/>
          <w:jc w:val="center"/>
        </w:trPr>
        <w:tc>
          <w:tcPr>
            <w:tcW w:w="3143" w:type="dxa"/>
            <w:vMerge w:val="restart"/>
            <w:tcBorders>
              <w:top w:val="single" w:sz="4" w:space="0" w:color="auto"/>
              <w:left w:val="single" w:sz="4" w:space="0" w:color="auto"/>
              <w:right w:val="single" w:sz="4" w:space="0" w:color="auto"/>
            </w:tcBorders>
            <w:shd w:val="clear" w:color="auto" w:fill="FFFFFF"/>
          </w:tcPr>
          <w:p w14:paraId="59636B08" w14:textId="1881F8B9" w:rsidR="00405EF5" w:rsidRDefault="00405EF5" w:rsidP="00434EF6">
            <w:pPr>
              <w:spacing w:after="0" w:line="240" w:lineRule="auto"/>
              <w:rPr>
                <w:rFonts w:eastAsia="Calibri"/>
                <w:color w:val="000000"/>
                <w:sz w:val="20"/>
              </w:rPr>
            </w:pPr>
            <w:r w:rsidRPr="005A7A63">
              <w:rPr>
                <w:rFonts w:eastAsia="Calibri"/>
                <w:b/>
                <w:sz w:val="20"/>
              </w:rPr>
              <w:t xml:space="preserve">Output 2.3 </w:t>
            </w:r>
            <w:r w:rsidRPr="005A7A63">
              <w:rPr>
                <w:rFonts w:eastAsia="Calibri"/>
                <w:color w:val="000000"/>
                <w:sz w:val="20"/>
              </w:rPr>
              <w:t>Capacities of human rights institutions strengthened</w:t>
            </w:r>
          </w:p>
          <w:p w14:paraId="560DEDEB" w14:textId="77777777" w:rsidR="00405EF5" w:rsidRDefault="00405EF5" w:rsidP="003D6A0B">
            <w:pPr>
              <w:spacing w:after="0" w:line="240" w:lineRule="auto"/>
              <w:rPr>
                <w:rFonts w:eastAsia="Calibri"/>
                <w:sz w:val="20"/>
                <w:szCs w:val="20"/>
              </w:rPr>
            </w:pPr>
          </w:p>
          <w:p w14:paraId="6F6D2C4E" w14:textId="5F11816D" w:rsidR="00405EF5" w:rsidRPr="005A7A63" w:rsidRDefault="007A4E99" w:rsidP="003D6A0B">
            <w:pPr>
              <w:spacing w:after="0" w:line="240" w:lineRule="auto"/>
              <w:rPr>
                <w:rFonts w:eastAsia="Calibri"/>
                <w:color w:val="000000"/>
                <w:sz w:val="20"/>
              </w:rPr>
            </w:pPr>
            <w:r w:rsidRPr="00B359E7">
              <w:rPr>
                <w:rFonts w:ascii="Calibri" w:eastAsia="Calibri" w:hAnsi="Calibri"/>
                <w:b/>
                <w:i/>
                <w:color w:val="000000"/>
                <w:sz w:val="18"/>
                <w:szCs w:val="18"/>
              </w:rPr>
              <w:t>Number of countries linked:</w:t>
            </w:r>
            <w:r>
              <w:rPr>
                <w:rFonts w:ascii="Calibri" w:eastAsia="Calibri" w:hAnsi="Calibri"/>
                <w:b/>
                <w:color w:val="000000"/>
                <w:sz w:val="18"/>
                <w:szCs w:val="18"/>
              </w:rPr>
              <w:t xml:space="preserve"> 75 (February 2015</w:t>
            </w:r>
            <w:r w:rsidRPr="00B359E7">
              <w:rPr>
                <w:rFonts w:ascii="Calibri" w:eastAsia="Calibri" w:hAnsi="Calibri"/>
                <w:b/>
                <w:color w:val="000000"/>
                <w:sz w:val="18"/>
                <w:szCs w:val="18"/>
              </w:rPr>
              <w:t>)</w:t>
            </w:r>
          </w:p>
        </w:tc>
        <w:tc>
          <w:tcPr>
            <w:tcW w:w="900" w:type="dxa"/>
            <w:vMerge w:val="restart"/>
            <w:tcBorders>
              <w:top w:val="single" w:sz="4" w:space="0" w:color="auto"/>
              <w:left w:val="single" w:sz="4" w:space="0" w:color="auto"/>
              <w:right w:val="single" w:sz="4" w:space="0" w:color="auto"/>
            </w:tcBorders>
            <w:shd w:val="clear" w:color="auto" w:fill="FFFFFF"/>
          </w:tcPr>
          <w:p w14:paraId="4A49A7AB" w14:textId="77777777" w:rsidR="00405EF5" w:rsidRPr="003667F4" w:rsidRDefault="00405EF5" w:rsidP="00BA4EFC">
            <w:pPr>
              <w:spacing w:after="0" w:line="240" w:lineRule="auto"/>
              <w:jc w:val="center"/>
              <w:rPr>
                <w:rFonts w:eastAsia="Calibri"/>
                <w:b/>
                <w:sz w:val="20"/>
              </w:rPr>
            </w:pPr>
            <w:r w:rsidRPr="003667F4">
              <w:rPr>
                <w:rFonts w:eastAsia="Calibri"/>
                <w:b/>
                <w:sz w:val="20"/>
              </w:rPr>
              <w:t>2.3.1</w:t>
            </w:r>
          </w:p>
          <w:p w14:paraId="06B2245D" w14:textId="77777777" w:rsidR="00405EF5" w:rsidRPr="003667F4" w:rsidRDefault="00405EF5" w:rsidP="00BA4EFC">
            <w:pPr>
              <w:spacing w:after="0" w:line="240" w:lineRule="auto"/>
              <w:jc w:val="center"/>
              <w:rPr>
                <w:rFonts w:eastAsia="Calibri"/>
                <w:b/>
                <w:sz w:val="20"/>
              </w:rPr>
            </w:pPr>
          </w:p>
        </w:tc>
        <w:tc>
          <w:tcPr>
            <w:tcW w:w="5310" w:type="dxa"/>
            <w:tcBorders>
              <w:top w:val="single" w:sz="4" w:space="0" w:color="auto"/>
              <w:left w:val="single" w:sz="4" w:space="0" w:color="auto"/>
              <w:bottom w:val="single" w:sz="4" w:space="0" w:color="auto"/>
              <w:right w:val="single" w:sz="4" w:space="0" w:color="auto"/>
            </w:tcBorders>
            <w:shd w:val="clear" w:color="auto" w:fill="FFFFFF"/>
          </w:tcPr>
          <w:p w14:paraId="51358A3B" w14:textId="77777777" w:rsidR="00405EF5" w:rsidRPr="00412C47" w:rsidRDefault="00405EF5" w:rsidP="00434EF6">
            <w:pPr>
              <w:spacing w:after="0" w:line="240" w:lineRule="auto"/>
              <w:rPr>
                <w:rFonts w:eastAsia="Calibri"/>
                <w:b/>
                <w:sz w:val="20"/>
              </w:rPr>
            </w:pPr>
            <w:r w:rsidRPr="00412C47">
              <w:rPr>
                <w:rFonts w:eastAsia="Calibri"/>
                <w:sz w:val="20"/>
              </w:rPr>
              <w:t xml:space="preserve">Number of countries with </w:t>
            </w:r>
            <w:r w:rsidRPr="00412C47">
              <w:rPr>
                <w:rFonts w:eastAsia="Calibri"/>
                <w:b/>
                <w:sz w:val="20"/>
              </w:rPr>
              <w:t>strengthened</w:t>
            </w:r>
            <w:r w:rsidRPr="00412C47">
              <w:rPr>
                <w:rFonts w:eastAsia="Calibri"/>
                <w:sz w:val="20"/>
              </w:rPr>
              <w:t xml:space="preserve"> </w:t>
            </w:r>
            <w:r w:rsidRPr="000B5DED">
              <w:rPr>
                <w:rFonts w:eastAsia="Calibri"/>
                <w:b/>
                <w:sz w:val="20"/>
              </w:rPr>
              <w:t>operational institutions</w:t>
            </w:r>
            <w:r w:rsidRPr="00412C47">
              <w:rPr>
                <w:rFonts w:eastAsia="Calibri"/>
                <w:sz w:val="20"/>
              </w:rPr>
              <w:t xml:space="preserve"> supporting the </w:t>
            </w:r>
            <w:r w:rsidRPr="00412C47">
              <w:rPr>
                <w:rFonts w:eastAsia="Calibri"/>
                <w:b/>
                <w:sz w:val="20"/>
              </w:rPr>
              <w:t>fulfillment</w:t>
            </w:r>
            <w:r w:rsidRPr="00412C47">
              <w:rPr>
                <w:rFonts w:eastAsia="Calibri"/>
                <w:sz w:val="20"/>
              </w:rPr>
              <w:t xml:space="preserve"> of nationally and internationally</w:t>
            </w:r>
            <w:r w:rsidRPr="00412C47">
              <w:rPr>
                <w:rFonts w:eastAsia="Calibri"/>
                <w:b/>
                <w:sz w:val="20"/>
              </w:rPr>
              <w:t xml:space="preserve"> ratified human rights obligations</w:t>
            </w:r>
          </w:p>
          <w:p w14:paraId="7B29C412" w14:textId="263ED54F" w:rsidR="008376B6" w:rsidRPr="00412C47" w:rsidRDefault="008376B6" w:rsidP="0046329F">
            <w:pPr>
              <w:spacing w:before="240" w:after="0" w:line="240" w:lineRule="auto"/>
              <w:rPr>
                <w:rFonts w:eastAsia="Calibri"/>
                <w:sz w:val="20"/>
              </w:rPr>
            </w:pPr>
            <w:r w:rsidRPr="00412C47">
              <w:rPr>
                <w:rFonts w:eastAsia="Calibri"/>
                <w:b/>
                <w:i/>
                <w:sz w:val="18"/>
                <w:szCs w:val="18"/>
              </w:rPr>
              <w:t xml:space="preserve">Number of countries </w:t>
            </w:r>
            <w:r w:rsidR="00983FF8" w:rsidRPr="00412C47">
              <w:rPr>
                <w:rFonts w:eastAsia="Calibri"/>
                <w:b/>
                <w:i/>
                <w:sz w:val="18"/>
                <w:szCs w:val="18"/>
              </w:rPr>
              <w:t>for which a 2017 target has currently been set under this indicator</w:t>
            </w:r>
            <w:r w:rsidR="001E0B13" w:rsidRPr="00412C47">
              <w:rPr>
                <w:rFonts w:eastAsia="Calibri"/>
                <w:b/>
                <w:i/>
                <w:sz w:val="18"/>
                <w:szCs w:val="18"/>
              </w:rPr>
              <w:t>: 63</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0C53E0E7" w14:textId="7DE8AE65" w:rsidR="00405EF5" w:rsidRPr="0040429F" w:rsidRDefault="00405EF5" w:rsidP="007E66CF">
            <w:pPr>
              <w:spacing w:after="0" w:line="240" w:lineRule="auto"/>
              <w:jc w:val="center"/>
              <w:rPr>
                <w:rFonts w:ascii="Calibri" w:eastAsia="Calibri" w:hAnsi="Calibri"/>
              </w:rPr>
            </w:pPr>
            <w:r>
              <w:rPr>
                <w:rFonts w:eastAsia="Calibri"/>
                <w:sz w:val="20"/>
                <w:szCs w:val="20"/>
              </w:rPr>
              <w:t xml:space="preserve">0 </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08E7A2DC" w14:textId="710C659A" w:rsidR="00405EF5" w:rsidRPr="005A7A63" w:rsidRDefault="00084D03" w:rsidP="00434EF6">
            <w:pPr>
              <w:spacing w:after="0" w:line="240" w:lineRule="auto"/>
              <w:jc w:val="center"/>
              <w:rPr>
                <w:rFonts w:eastAsia="Calibri"/>
                <w:i/>
                <w:color w:val="000000"/>
                <w:sz w:val="20"/>
                <w:szCs w:val="18"/>
              </w:rPr>
            </w:pPr>
            <w:r>
              <w:rPr>
                <w:rFonts w:eastAsia="Calibri"/>
                <w:sz w:val="20"/>
                <w:szCs w:val="20"/>
              </w:rPr>
              <w:t>22</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5F9A74" w14:textId="03A2C826" w:rsidR="00405EF5" w:rsidRPr="00744A09" w:rsidRDefault="00084D03" w:rsidP="00434EF6">
            <w:pPr>
              <w:spacing w:after="0" w:line="240" w:lineRule="auto"/>
              <w:jc w:val="center"/>
              <w:rPr>
                <w:rFonts w:eastAsia="Calibri"/>
                <w:color w:val="000000"/>
                <w:sz w:val="20"/>
                <w:szCs w:val="18"/>
              </w:rPr>
            </w:pPr>
            <w:r w:rsidRPr="00744A09">
              <w:rPr>
                <w:rFonts w:eastAsia="Calibri"/>
                <w:color w:val="000000"/>
                <w:sz w:val="20"/>
                <w:szCs w:val="18"/>
              </w:rPr>
              <w:t>23</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23B52763" w14:textId="65FF7835" w:rsidR="00405EF5" w:rsidRPr="005A7A63" w:rsidRDefault="0046329F" w:rsidP="00434EF6">
            <w:pPr>
              <w:spacing w:after="0" w:line="240" w:lineRule="auto"/>
              <w:jc w:val="center"/>
              <w:rPr>
                <w:rFonts w:eastAsia="Calibri"/>
                <w:i/>
                <w:color w:val="000000"/>
                <w:sz w:val="20"/>
                <w:szCs w:val="18"/>
              </w:rPr>
            </w:pPr>
            <w:r>
              <w:rPr>
                <w:rFonts w:eastAsia="Calibri"/>
                <w:sz w:val="20"/>
                <w:szCs w:val="20"/>
              </w:rPr>
              <w:t>50</w:t>
            </w:r>
          </w:p>
        </w:tc>
      </w:tr>
      <w:tr w:rsidR="00084D03" w:rsidRPr="00283732" w14:paraId="00982460" w14:textId="77777777" w:rsidTr="004C3CB2">
        <w:trPr>
          <w:cantSplit/>
          <w:trHeight w:val="458"/>
          <w:jc w:val="center"/>
        </w:trPr>
        <w:tc>
          <w:tcPr>
            <w:tcW w:w="3143" w:type="dxa"/>
            <w:vMerge/>
            <w:tcBorders>
              <w:left w:val="single" w:sz="4" w:space="0" w:color="auto"/>
              <w:bottom w:val="single" w:sz="4" w:space="0" w:color="auto"/>
              <w:right w:val="single" w:sz="4" w:space="0" w:color="auto"/>
            </w:tcBorders>
            <w:shd w:val="clear" w:color="auto" w:fill="FFFFFF"/>
          </w:tcPr>
          <w:p w14:paraId="6F188F91" w14:textId="77777777" w:rsidR="00084D03" w:rsidRPr="005A7A63" w:rsidRDefault="00084D03" w:rsidP="00434EF6">
            <w:pPr>
              <w:spacing w:after="0" w:line="240" w:lineRule="auto"/>
              <w:rPr>
                <w:rFonts w:eastAsia="Calibri"/>
                <w:b/>
                <w:sz w:val="20"/>
              </w:rPr>
            </w:pPr>
          </w:p>
        </w:tc>
        <w:tc>
          <w:tcPr>
            <w:tcW w:w="900" w:type="dxa"/>
            <w:vMerge/>
            <w:tcBorders>
              <w:left w:val="single" w:sz="4" w:space="0" w:color="auto"/>
              <w:bottom w:val="single" w:sz="4" w:space="0" w:color="auto"/>
              <w:right w:val="single" w:sz="4" w:space="0" w:color="auto"/>
            </w:tcBorders>
            <w:shd w:val="clear" w:color="auto" w:fill="FFFFFF"/>
          </w:tcPr>
          <w:p w14:paraId="1C48A7BD" w14:textId="77777777" w:rsidR="00084D03" w:rsidRPr="003667F4" w:rsidRDefault="00084D03" w:rsidP="00BA4EFC">
            <w:pPr>
              <w:spacing w:after="0" w:line="240" w:lineRule="auto"/>
              <w:jc w:val="center"/>
              <w:rPr>
                <w:rFonts w:eastAsia="Calibri"/>
                <w:b/>
                <w:sz w:val="20"/>
              </w:rPr>
            </w:pPr>
          </w:p>
        </w:tc>
        <w:tc>
          <w:tcPr>
            <w:tcW w:w="10892" w:type="dxa"/>
            <w:gridSpan w:val="6"/>
            <w:tcBorders>
              <w:left w:val="single" w:sz="4" w:space="0" w:color="auto"/>
              <w:bottom w:val="single" w:sz="4" w:space="0" w:color="auto"/>
              <w:right w:val="single" w:sz="4" w:space="0" w:color="auto"/>
            </w:tcBorders>
            <w:shd w:val="clear" w:color="auto" w:fill="D9D9D9" w:themeFill="background1" w:themeFillShade="D9"/>
          </w:tcPr>
          <w:p w14:paraId="40468CAF" w14:textId="64085465" w:rsidR="00084D03" w:rsidRPr="002A6F6B" w:rsidRDefault="00084D03" w:rsidP="00F8039A">
            <w:pPr>
              <w:spacing w:after="0" w:line="240" w:lineRule="auto"/>
              <w:rPr>
                <w:rFonts w:eastAsia="Calibri"/>
                <w:sz w:val="18"/>
                <w:szCs w:val="18"/>
              </w:rPr>
            </w:pPr>
            <w:r w:rsidRPr="002A6F6B">
              <w:rPr>
                <w:rFonts w:ascii="Calibri" w:eastAsia="Calibri" w:hAnsi="Calibri" w:cs="Times New Roman"/>
                <w:b/>
                <w:sz w:val="18"/>
                <w:szCs w:val="18"/>
                <w:lang w:eastAsia="en-US"/>
              </w:rPr>
              <w:t xml:space="preserve">Indicator 2.3.1 Note: </w:t>
            </w:r>
            <w:r w:rsidR="002A6F6B">
              <w:rPr>
                <w:rFonts w:ascii="Calibri" w:eastAsia="Calibri" w:hAnsi="Calibri"/>
                <w:sz w:val="18"/>
                <w:szCs w:val="18"/>
              </w:rPr>
              <w:t>Qualitative indicator</w:t>
            </w:r>
            <w:r w:rsidRPr="002A6F6B">
              <w:rPr>
                <w:rFonts w:ascii="Calibri" w:eastAsia="Calibri" w:hAnsi="Calibri"/>
                <w:sz w:val="18"/>
                <w:szCs w:val="18"/>
              </w:rPr>
              <w:t xml:space="preserve"> through which the effectiveness of UNDP’s support (on demand </w:t>
            </w:r>
            <w:r w:rsidRPr="002A6F6B">
              <w:rPr>
                <w:sz w:val="18"/>
                <w:szCs w:val="18"/>
              </w:rPr>
              <w:t>from programme countries</w:t>
            </w:r>
            <w:r w:rsidRPr="002A6F6B">
              <w:rPr>
                <w:rFonts w:ascii="Calibri" w:eastAsia="Calibri" w:hAnsi="Calibri"/>
                <w:sz w:val="18"/>
                <w:szCs w:val="18"/>
              </w:rPr>
              <w:t>) to strengthen operational</w:t>
            </w:r>
            <w:r w:rsidRPr="002A6F6B">
              <w:rPr>
                <w:sz w:val="18"/>
                <w:szCs w:val="18"/>
              </w:rPr>
              <w:t xml:space="preserve"> institutions’ capacities to fulfil nationally and internationally ratified human rights obligations is</w:t>
            </w:r>
            <w:r w:rsidRPr="002A6F6B">
              <w:rPr>
                <w:rFonts w:eastAsia="Calibri"/>
                <w:sz w:val="18"/>
                <w:szCs w:val="18"/>
              </w:rPr>
              <w:t xml:space="preserve"> tracked using a qualitative rating scale (1- Not adequately, 2- Very partially, 3- Partially, and 4-Largely), counting the number of countries where</w:t>
            </w:r>
            <w:r w:rsidR="002A6F6B">
              <w:rPr>
                <w:rFonts w:eastAsia="Calibri"/>
                <w:sz w:val="18"/>
                <w:szCs w:val="18"/>
              </w:rPr>
              <w:t xml:space="preserve"> objective evidence exists that</w:t>
            </w:r>
            <w:r w:rsidRPr="002A6F6B">
              <w:rPr>
                <w:rFonts w:eastAsia="Calibri"/>
                <w:sz w:val="18"/>
                <w:szCs w:val="18"/>
              </w:rPr>
              <w:t xml:space="preserve"> UNDP support</w:t>
            </w:r>
            <w:r w:rsidR="002A6F6B">
              <w:rPr>
                <w:rFonts w:eastAsia="Calibri"/>
                <w:sz w:val="18"/>
                <w:szCs w:val="18"/>
              </w:rPr>
              <w:t xml:space="preserve"> has </w:t>
            </w:r>
            <w:r w:rsidR="002A6F6B" w:rsidRPr="002A6F6B">
              <w:rPr>
                <w:rFonts w:eastAsia="Calibri"/>
                <w:sz w:val="18"/>
                <w:szCs w:val="18"/>
              </w:rPr>
              <w:t>strengthened capacities</w:t>
            </w:r>
            <w:r w:rsidR="002A6F6B">
              <w:rPr>
                <w:rFonts w:eastAsia="Calibri"/>
                <w:sz w:val="18"/>
                <w:szCs w:val="18"/>
              </w:rPr>
              <w:t xml:space="preserve"> of operational institutions.</w:t>
            </w:r>
          </w:p>
          <w:p w14:paraId="2A57AD17" w14:textId="21B10214" w:rsidR="00084D03" w:rsidRPr="002A6F6B" w:rsidRDefault="00084D03" w:rsidP="0046329F">
            <w:pPr>
              <w:spacing w:after="0" w:line="240" w:lineRule="auto"/>
              <w:rPr>
                <w:rFonts w:eastAsia="Calibri"/>
                <w:i/>
                <w:sz w:val="20"/>
                <w:szCs w:val="18"/>
              </w:rPr>
            </w:pPr>
            <w:r w:rsidRPr="002A6F6B">
              <w:rPr>
                <w:rFonts w:eastAsia="Calibri"/>
                <w:b/>
                <w:sz w:val="18"/>
                <w:szCs w:val="18"/>
              </w:rPr>
              <w:t xml:space="preserve">2014 Reporting Note: </w:t>
            </w:r>
            <w:r w:rsidRPr="002A6F6B">
              <w:rPr>
                <w:rFonts w:eastAsia="Calibri"/>
                <w:sz w:val="18"/>
                <w:szCs w:val="18"/>
              </w:rPr>
              <w:t xml:space="preserve">2014 </w:t>
            </w:r>
            <w:r w:rsidR="0046329F" w:rsidRPr="002A6F6B">
              <w:rPr>
                <w:rFonts w:eastAsia="Calibri"/>
                <w:sz w:val="18"/>
                <w:szCs w:val="18"/>
              </w:rPr>
              <w:t>m</w:t>
            </w:r>
            <w:r w:rsidRPr="002A6F6B">
              <w:rPr>
                <w:rFonts w:eastAsia="Calibri"/>
                <w:sz w:val="18"/>
                <w:szCs w:val="18"/>
              </w:rPr>
              <w:t xml:space="preserve">ilestone </w:t>
            </w:r>
            <w:r w:rsidR="0046329F" w:rsidRPr="002A6F6B">
              <w:rPr>
                <w:rFonts w:eastAsia="Calibri"/>
                <w:sz w:val="18"/>
                <w:szCs w:val="18"/>
              </w:rPr>
              <w:t xml:space="preserve">and 2017 target </w:t>
            </w:r>
            <w:r w:rsidRPr="002A6F6B">
              <w:rPr>
                <w:rFonts w:eastAsia="Calibri"/>
                <w:sz w:val="18"/>
                <w:szCs w:val="18"/>
              </w:rPr>
              <w:t>updated to reflect more complete reporting from country offices. For reference, previous 2014 milestone was 18</w:t>
            </w:r>
            <w:r w:rsidR="0046329F" w:rsidRPr="002A6F6B">
              <w:rPr>
                <w:rFonts w:eastAsia="Calibri"/>
                <w:sz w:val="18"/>
                <w:szCs w:val="18"/>
              </w:rPr>
              <w:t>, previous target was 46</w:t>
            </w:r>
            <w:r w:rsidR="00744A09" w:rsidRPr="002A6F6B">
              <w:rPr>
                <w:rFonts w:eastAsia="Calibri"/>
                <w:sz w:val="18"/>
                <w:szCs w:val="18"/>
              </w:rPr>
              <w:t>.</w:t>
            </w:r>
          </w:p>
        </w:tc>
      </w:tr>
      <w:tr w:rsidR="00405EF5" w:rsidRPr="00A70722" w14:paraId="48AE9D00" w14:textId="77777777" w:rsidTr="00A047C8">
        <w:trPr>
          <w:trHeight w:val="503"/>
          <w:jc w:val="center"/>
        </w:trPr>
        <w:tc>
          <w:tcPr>
            <w:tcW w:w="3143" w:type="dxa"/>
            <w:vMerge w:val="restart"/>
            <w:tcBorders>
              <w:top w:val="single" w:sz="4" w:space="0" w:color="auto"/>
              <w:left w:val="single" w:sz="4" w:space="0" w:color="auto"/>
              <w:right w:val="single" w:sz="4" w:space="0" w:color="auto"/>
            </w:tcBorders>
            <w:shd w:val="clear" w:color="auto" w:fill="FFFFFF"/>
            <w:hideMark/>
          </w:tcPr>
          <w:p w14:paraId="67B82242" w14:textId="0269848F" w:rsidR="00405EF5" w:rsidRDefault="00405EF5" w:rsidP="00434EF6">
            <w:pPr>
              <w:spacing w:after="0" w:line="240" w:lineRule="auto"/>
              <w:rPr>
                <w:rFonts w:eastAsia="Calibri"/>
                <w:sz w:val="20"/>
              </w:rPr>
            </w:pPr>
            <w:r w:rsidRPr="005A7A63">
              <w:rPr>
                <w:rFonts w:eastAsia="Calibri"/>
                <w:b/>
                <w:sz w:val="20"/>
              </w:rPr>
              <w:t xml:space="preserve">Output 2.4. </w:t>
            </w:r>
            <w:r w:rsidRPr="005A7A63">
              <w:rPr>
                <w:rFonts w:eastAsia="Calibri"/>
                <w:sz w:val="20"/>
              </w:rPr>
              <w:t>Frameworks and dialogue processes engaged for effective and transparent engagement of civil society in national development</w:t>
            </w:r>
          </w:p>
          <w:p w14:paraId="1E071E57" w14:textId="77777777" w:rsidR="00405EF5" w:rsidRDefault="00405EF5" w:rsidP="00310A9F">
            <w:pPr>
              <w:spacing w:after="0" w:line="240" w:lineRule="auto"/>
              <w:rPr>
                <w:rFonts w:eastAsia="Calibri"/>
                <w:sz w:val="20"/>
                <w:szCs w:val="20"/>
              </w:rPr>
            </w:pPr>
          </w:p>
          <w:p w14:paraId="12239ED0" w14:textId="4D5F7F60" w:rsidR="00405EF5" w:rsidRPr="005A7A63" w:rsidRDefault="007A4E99" w:rsidP="00C7089E">
            <w:pPr>
              <w:spacing w:after="0" w:line="240" w:lineRule="auto"/>
              <w:rPr>
                <w:rFonts w:eastAsia="Calibri"/>
                <w:sz w:val="20"/>
              </w:rPr>
            </w:pPr>
            <w:r w:rsidRPr="00B359E7">
              <w:rPr>
                <w:rFonts w:ascii="Calibri" w:eastAsia="Calibri" w:hAnsi="Calibri"/>
                <w:b/>
                <w:i/>
                <w:color w:val="000000"/>
                <w:sz w:val="18"/>
                <w:szCs w:val="18"/>
              </w:rPr>
              <w:t>Number of countries linked:</w:t>
            </w:r>
            <w:r>
              <w:rPr>
                <w:rFonts w:ascii="Calibri" w:eastAsia="Calibri" w:hAnsi="Calibri"/>
                <w:b/>
                <w:color w:val="000000"/>
                <w:sz w:val="18"/>
                <w:szCs w:val="18"/>
              </w:rPr>
              <w:t xml:space="preserve"> 8</w:t>
            </w:r>
            <w:r w:rsidR="00C7089E">
              <w:rPr>
                <w:rFonts w:ascii="Calibri" w:eastAsia="Calibri" w:hAnsi="Calibri"/>
                <w:b/>
                <w:color w:val="000000"/>
                <w:sz w:val="18"/>
                <w:szCs w:val="18"/>
              </w:rPr>
              <w:t>4</w:t>
            </w:r>
            <w:r>
              <w:rPr>
                <w:rFonts w:ascii="Calibri" w:eastAsia="Calibri" w:hAnsi="Calibri"/>
                <w:b/>
                <w:color w:val="000000"/>
                <w:sz w:val="18"/>
                <w:szCs w:val="18"/>
              </w:rPr>
              <w:t xml:space="preserve"> (February 2015</w:t>
            </w:r>
            <w:r w:rsidRPr="00B359E7">
              <w:rPr>
                <w:rFonts w:ascii="Calibri" w:eastAsia="Calibri" w:hAnsi="Calibri"/>
                <w:b/>
                <w:color w:val="000000"/>
                <w:sz w:val="18"/>
                <w:szCs w:val="18"/>
              </w:rPr>
              <w:t>)</w:t>
            </w:r>
          </w:p>
        </w:tc>
        <w:tc>
          <w:tcPr>
            <w:tcW w:w="900" w:type="dxa"/>
            <w:vMerge w:val="restart"/>
            <w:tcBorders>
              <w:top w:val="single" w:sz="4" w:space="0" w:color="auto"/>
              <w:left w:val="single" w:sz="4" w:space="0" w:color="auto"/>
              <w:right w:val="single" w:sz="4" w:space="0" w:color="auto"/>
            </w:tcBorders>
            <w:shd w:val="clear" w:color="auto" w:fill="FFFFFF"/>
            <w:hideMark/>
          </w:tcPr>
          <w:p w14:paraId="7B9055AB" w14:textId="77777777" w:rsidR="00405EF5" w:rsidRPr="003667F4" w:rsidRDefault="00405EF5" w:rsidP="00BA4EFC">
            <w:pPr>
              <w:spacing w:after="0" w:line="240" w:lineRule="auto"/>
              <w:jc w:val="center"/>
              <w:rPr>
                <w:rFonts w:eastAsia="Calibri"/>
                <w:b/>
                <w:sz w:val="20"/>
              </w:rPr>
            </w:pPr>
            <w:r w:rsidRPr="003667F4">
              <w:rPr>
                <w:rFonts w:eastAsia="Calibri"/>
                <w:b/>
                <w:sz w:val="20"/>
              </w:rPr>
              <w:t>2.4.1</w:t>
            </w:r>
          </w:p>
        </w:tc>
        <w:tc>
          <w:tcPr>
            <w:tcW w:w="5310" w:type="dxa"/>
            <w:tcBorders>
              <w:top w:val="single" w:sz="4" w:space="0" w:color="auto"/>
              <w:left w:val="single" w:sz="4" w:space="0" w:color="auto"/>
              <w:bottom w:val="single" w:sz="4" w:space="0" w:color="auto"/>
              <w:right w:val="single" w:sz="4" w:space="0" w:color="auto"/>
            </w:tcBorders>
            <w:shd w:val="clear" w:color="auto" w:fill="FFFFFF"/>
            <w:hideMark/>
          </w:tcPr>
          <w:p w14:paraId="6B338598" w14:textId="77777777" w:rsidR="00405EF5" w:rsidRPr="00412C47" w:rsidRDefault="00405EF5" w:rsidP="00434EF6">
            <w:pPr>
              <w:spacing w:after="0" w:line="240" w:lineRule="auto"/>
              <w:rPr>
                <w:rFonts w:eastAsia="Calibri"/>
                <w:sz w:val="20"/>
              </w:rPr>
            </w:pPr>
            <w:r w:rsidRPr="00412C47">
              <w:rPr>
                <w:rFonts w:eastAsia="Calibri"/>
                <w:sz w:val="20"/>
              </w:rPr>
              <w:t xml:space="preserve">Number of countries where relevant </w:t>
            </w:r>
            <w:r w:rsidRPr="00412C47">
              <w:rPr>
                <w:rFonts w:eastAsia="Calibri"/>
                <w:b/>
                <w:sz w:val="20"/>
              </w:rPr>
              <w:t>civil society groups</w:t>
            </w:r>
            <w:r w:rsidRPr="00412C47">
              <w:rPr>
                <w:rFonts w:eastAsia="Calibri"/>
                <w:sz w:val="20"/>
              </w:rPr>
              <w:t xml:space="preserve"> have </w:t>
            </w:r>
            <w:r w:rsidRPr="00412C47">
              <w:rPr>
                <w:rFonts w:eastAsia="Calibri"/>
                <w:b/>
                <w:sz w:val="20"/>
              </w:rPr>
              <w:t>strengthened capacity</w:t>
            </w:r>
            <w:r w:rsidRPr="00412C47">
              <w:rPr>
                <w:rFonts w:eastAsia="Calibri"/>
                <w:sz w:val="20"/>
              </w:rPr>
              <w:t xml:space="preserve"> to engage in </w:t>
            </w:r>
            <w:r w:rsidRPr="00412C47">
              <w:rPr>
                <w:rFonts w:eastAsia="Calibri"/>
                <w:b/>
                <w:sz w:val="20"/>
              </w:rPr>
              <w:t>critical development and crisis-related issues</w:t>
            </w:r>
            <w:r w:rsidRPr="00412C47">
              <w:rPr>
                <w:rFonts w:eastAsia="Calibri"/>
                <w:sz w:val="20"/>
              </w:rPr>
              <w:t>, disaggregated by women’s, youth, and other excluded groups.</w:t>
            </w:r>
          </w:p>
          <w:p w14:paraId="3298F774" w14:textId="468DCF7E" w:rsidR="00405EF5" w:rsidRPr="00412C47" w:rsidRDefault="00405EF5" w:rsidP="006F161D">
            <w:pPr>
              <w:pStyle w:val="ListParagraph"/>
              <w:numPr>
                <w:ilvl w:val="0"/>
                <w:numId w:val="24"/>
              </w:numPr>
              <w:rPr>
                <w:rFonts w:eastAsia="Calibri"/>
                <w:sz w:val="20"/>
              </w:rPr>
            </w:pPr>
            <w:r w:rsidRPr="00412C47">
              <w:rPr>
                <w:rFonts w:eastAsia="Calibri"/>
                <w:sz w:val="20"/>
              </w:rPr>
              <w:t>Women’s groups</w:t>
            </w:r>
          </w:p>
          <w:p w14:paraId="3159F1E3" w14:textId="13319B3B" w:rsidR="00405EF5" w:rsidRPr="00412C47" w:rsidRDefault="007E66CF" w:rsidP="006F161D">
            <w:pPr>
              <w:pStyle w:val="ListParagraph"/>
              <w:numPr>
                <w:ilvl w:val="0"/>
                <w:numId w:val="24"/>
              </w:numPr>
              <w:rPr>
                <w:rFonts w:eastAsia="Calibri"/>
                <w:sz w:val="20"/>
              </w:rPr>
            </w:pPr>
            <w:r w:rsidRPr="00412C47">
              <w:rPr>
                <w:rFonts w:eastAsia="Calibri"/>
                <w:sz w:val="20"/>
              </w:rPr>
              <w:t>Youth groups</w:t>
            </w:r>
          </w:p>
          <w:p w14:paraId="6C54BD24" w14:textId="77777777" w:rsidR="00405EF5" w:rsidRPr="00412C47" w:rsidRDefault="00405EF5" w:rsidP="006F161D">
            <w:pPr>
              <w:pStyle w:val="ListParagraph"/>
              <w:numPr>
                <w:ilvl w:val="0"/>
                <w:numId w:val="24"/>
              </w:numPr>
              <w:rPr>
                <w:rFonts w:eastAsia="Calibri"/>
                <w:sz w:val="20"/>
              </w:rPr>
            </w:pPr>
            <w:r w:rsidRPr="00412C47">
              <w:rPr>
                <w:rFonts w:eastAsia="Calibri"/>
                <w:sz w:val="20"/>
              </w:rPr>
              <w:t>Other excluded groups</w:t>
            </w:r>
          </w:p>
          <w:p w14:paraId="62A155A6" w14:textId="71DB57CB" w:rsidR="008376B6" w:rsidRPr="00412C47" w:rsidRDefault="008376B6" w:rsidP="00FD355B">
            <w:pPr>
              <w:spacing w:before="240" w:after="0"/>
              <w:rPr>
                <w:rFonts w:eastAsia="Calibri"/>
                <w:sz w:val="20"/>
              </w:rPr>
            </w:pPr>
            <w:r w:rsidRPr="00412C47">
              <w:rPr>
                <w:rFonts w:eastAsia="Calibri"/>
                <w:b/>
                <w:i/>
                <w:sz w:val="18"/>
                <w:szCs w:val="18"/>
              </w:rPr>
              <w:t xml:space="preserve">Number of countries </w:t>
            </w:r>
            <w:r w:rsidR="00983FF8" w:rsidRPr="00412C47">
              <w:rPr>
                <w:rFonts w:eastAsia="Calibri"/>
                <w:b/>
                <w:i/>
                <w:sz w:val="18"/>
                <w:szCs w:val="18"/>
              </w:rPr>
              <w:t>for which a 2017 target has currently been set under this indicator</w:t>
            </w:r>
            <w:r w:rsidR="0046329F" w:rsidRPr="00412C47">
              <w:rPr>
                <w:rFonts w:eastAsia="Calibri"/>
                <w:b/>
                <w:i/>
                <w:sz w:val="18"/>
                <w:szCs w:val="18"/>
              </w:rPr>
              <w:t>: a) 46, b) 51, c) 49</w:t>
            </w:r>
          </w:p>
        </w:tc>
        <w:tc>
          <w:tcPr>
            <w:tcW w:w="1350" w:type="dxa"/>
            <w:tcBorders>
              <w:top w:val="single" w:sz="4" w:space="0" w:color="auto"/>
              <w:left w:val="single" w:sz="4" w:space="0" w:color="auto"/>
              <w:right w:val="single" w:sz="4" w:space="0" w:color="auto"/>
            </w:tcBorders>
            <w:shd w:val="clear" w:color="auto" w:fill="FFFFFF"/>
          </w:tcPr>
          <w:p w14:paraId="7BDC166D" w14:textId="77777777" w:rsidR="00A047C8" w:rsidRDefault="00A047C8" w:rsidP="00A047C8">
            <w:pPr>
              <w:spacing w:after="0" w:line="240" w:lineRule="auto"/>
              <w:jc w:val="center"/>
              <w:rPr>
                <w:rFonts w:eastAsia="Calibri"/>
                <w:color w:val="000000"/>
                <w:sz w:val="20"/>
                <w:szCs w:val="18"/>
              </w:rPr>
            </w:pPr>
          </w:p>
          <w:p w14:paraId="45553BD3" w14:textId="77777777" w:rsidR="00A047C8" w:rsidRDefault="00A047C8" w:rsidP="00A047C8">
            <w:pPr>
              <w:spacing w:after="0" w:line="240" w:lineRule="auto"/>
              <w:jc w:val="center"/>
              <w:rPr>
                <w:rFonts w:eastAsia="Calibri"/>
                <w:color w:val="000000"/>
                <w:sz w:val="20"/>
                <w:szCs w:val="18"/>
              </w:rPr>
            </w:pPr>
          </w:p>
          <w:p w14:paraId="71E4DA9A" w14:textId="77777777" w:rsidR="00A047C8" w:rsidRDefault="00A047C8" w:rsidP="00A047C8">
            <w:pPr>
              <w:spacing w:after="0" w:line="240" w:lineRule="auto"/>
              <w:jc w:val="center"/>
              <w:rPr>
                <w:rFonts w:eastAsia="Calibri"/>
                <w:color w:val="000000"/>
                <w:sz w:val="20"/>
                <w:szCs w:val="18"/>
              </w:rPr>
            </w:pPr>
          </w:p>
          <w:p w14:paraId="73A334B0" w14:textId="77777777" w:rsidR="00A047C8" w:rsidRDefault="00A047C8" w:rsidP="00A047C8">
            <w:pPr>
              <w:spacing w:after="0" w:line="240" w:lineRule="auto"/>
              <w:jc w:val="center"/>
              <w:rPr>
                <w:rFonts w:eastAsia="Calibri"/>
                <w:color w:val="000000"/>
                <w:sz w:val="20"/>
                <w:szCs w:val="18"/>
              </w:rPr>
            </w:pPr>
          </w:p>
          <w:p w14:paraId="625FA662" w14:textId="77777777" w:rsidR="00405EF5" w:rsidRDefault="00405EF5" w:rsidP="00A047C8">
            <w:pPr>
              <w:spacing w:after="0" w:line="240" w:lineRule="auto"/>
              <w:jc w:val="center"/>
              <w:rPr>
                <w:rFonts w:eastAsia="Calibri"/>
                <w:color w:val="000000"/>
                <w:sz w:val="20"/>
                <w:szCs w:val="18"/>
              </w:rPr>
            </w:pPr>
            <w:r>
              <w:rPr>
                <w:rFonts w:eastAsia="Calibri"/>
                <w:color w:val="000000"/>
                <w:sz w:val="20"/>
                <w:szCs w:val="18"/>
              </w:rPr>
              <w:t>0</w:t>
            </w:r>
          </w:p>
          <w:p w14:paraId="0A7ED8B8" w14:textId="77777777" w:rsidR="00405EF5" w:rsidRPr="004A3E0D" w:rsidRDefault="00405EF5" w:rsidP="00A047C8">
            <w:pPr>
              <w:spacing w:after="0" w:line="240" w:lineRule="auto"/>
              <w:jc w:val="center"/>
              <w:rPr>
                <w:rFonts w:eastAsia="Calibri"/>
                <w:color w:val="000000"/>
                <w:sz w:val="20"/>
                <w:szCs w:val="18"/>
              </w:rPr>
            </w:pPr>
            <w:r>
              <w:rPr>
                <w:rFonts w:eastAsia="Calibri"/>
                <w:color w:val="000000"/>
                <w:sz w:val="20"/>
                <w:szCs w:val="18"/>
              </w:rPr>
              <w:t>0</w:t>
            </w:r>
          </w:p>
          <w:p w14:paraId="3F4CB986" w14:textId="71FC7521" w:rsidR="00942A9C" w:rsidRPr="00A047C8" w:rsidRDefault="00A047C8" w:rsidP="00A047C8">
            <w:pPr>
              <w:spacing w:after="0" w:line="240" w:lineRule="auto"/>
              <w:jc w:val="center"/>
              <w:rPr>
                <w:rFonts w:eastAsia="Calibri"/>
                <w:color w:val="000000"/>
                <w:sz w:val="20"/>
                <w:szCs w:val="18"/>
              </w:rPr>
            </w:pPr>
            <w:r>
              <w:rPr>
                <w:rFonts w:eastAsia="Calibri"/>
                <w:color w:val="000000"/>
                <w:sz w:val="20"/>
                <w:szCs w:val="18"/>
              </w:rPr>
              <w:t>0</w:t>
            </w:r>
          </w:p>
        </w:tc>
        <w:tc>
          <w:tcPr>
            <w:tcW w:w="1262" w:type="dxa"/>
            <w:tcBorders>
              <w:top w:val="single" w:sz="4" w:space="0" w:color="auto"/>
              <w:left w:val="single" w:sz="4" w:space="0" w:color="auto"/>
              <w:right w:val="single" w:sz="4" w:space="0" w:color="auto"/>
            </w:tcBorders>
            <w:shd w:val="clear" w:color="auto" w:fill="FFFFFF"/>
          </w:tcPr>
          <w:p w14:paraId="57292FC2" w14:textId="77777777" w:rsidR="00A047C8" w:rsidRDefault="00A047C8" w:rsidP="00A047C8">
            <w:pPr>
              <w:spacing w:after="0" w:line="240" w:lineRule="auto"/>
              <w:jc w:val="center"/>
              <w:rPr>
                <w:rFonts w:eastAsia="Calibri"/>
                <w:color w:val="000000"/>
                <w:sz w:val="20"/>
                <w:szCs w:val="18"/>
              </w:rPr>
            </w:pPr>
          </w:p>
          <w:p w14:paraId="621A0E00" w14:textId="77777777" w:rsidR="00A047C8" w:rsidRDefault="00A047C8" w:rsidP="00A047C8">
            <w:pPr>
              <w:spacing w:after="0" w:line="240" w:lineRule="auto"/>
              <w:jc w:val="center"/>
              <w:rPr>
                <w:rFonts w:eastAsia="Calibri"/>
                <w:color w:val="000000"/>
                <w:sz w:val="20"/>
                <w:szCs w:val="18"/>
              </w:rPr>
            </w:pPr>
          </w:p>
          <w:p w14:paraId="1C97FEC1" w14:textId="77777777" w:rsidR="00A047C8" w:rsidRDefault="00A047C8" w:rsidP="00A047C8">
            <w:pPr>
              <w:spacing w:after="0" w:line="240" w:lineRule="auto"/>
              <w:jc w:val="center"/>
              <w:rPr>
                <w:rFonts w:eastAsia="Calibri"/>
                <w:color w:val="000000"/>
                <w:sz w:val="20"/>
                <w:szCs w:val="18"/>
              </w:rPr>
            </w:pPr>
          </w:p>
          <w:p w14:paraId="0E14E30B" w14:textId="77777777" w:rsidR="00A047C8" w:rsidRDefault="00A047C8" w:rsidP="00A047C8">
            <w:pPr>
              <w:spacing w:after="0" w:line="240" w:lineRule="auto"/>
              <w:jc w:val="center"/>
              <w:rPr>
                <w:rFonts w:eastAsia="Calibri"/>
                <w:color w:val="000000"/>
                <w:sz w:val="20"/>
                <w:szCs w:val="18"/>
              </w:rPr>
            </w:pPr>
          </w:p>
          <w:p w14:paraId="3A718150" w14:textId="77777777" w:rsidR="00084D03" w:rsidRPr="008B5F1E" w:rsidRDefault="00084D03" w:rsidP="00A047C8">
            <w:pPr>
              <w:spacing w:after="0" w:line="240" w:lineRule="auto"/>
              <w:jc w:val="center"/>
              <w:rPr>
                <w:rFonts w:eastAsia="Calibri"/>
                <w:color w:val="000000"/>
                <w:sz w:val="20"/>
                <w:szCs w:val="18"/>
              </w:rPr>
            </w:pPr>
            <w:r w:rsidRPr="008B5F1E">
              <w:rPr>
                <w:rFonts w:eastAsia="Calibri"/>
                <w:color w:val="000000"/>
                <w:sz w:val="20"/>
                <w:szCs w:val="18"/>
              </w:rPr>
              <w:t>17</w:t>
            </w:r>
          </w:p>
          <w:p w14:paraId="1077208D" w14:textId="77777777" w:rsidR="00084D03" w:rsidRPr="008B5F1E" w:rsidRDefault="00084D03" w:rsidP="00A047C8">
            <w:pPr>
              <w:spacing w:after="0" w:line="240" w:lineRule="auto"/>
              <w:jc w:val="center"/>
              <w:rPr>
                <w:rFonts w:eastAsia="Calibri"/>
                <w:color w:val="000000"/>
                <w:sz w:val="20"/>
                <w:szCs w:val="18"/>
              </w:rPr>
            </w:pPr>
            <w:r w:rsidRPr="008B5F1E">
              <w:rPr>
                <w:rFonts w:eastAsia="Calibri"/>
                <w:color w:val="000000"/>
                <w:sz w:val="20"/>
                <w:szCs w:val="18"/>
              </w:rPr>
              <w:t>20</w:t>
            </w:r>
          </w:p>
          <w:p w14:paraId="69DEF64C" w14:textId="7D2658BD" w:rsidR="00942A9C" w:rsidRPr="008B5F1E" w:rsidRDefault="00084D03" w:rsidP="00A047C8">
            <w:pPr>
              <w:spacing w:after="0" w:line="240" w:lineRule="auto"/>
              <w:jc w:val="center"/>
              <w:rPr>
                <w:rFonts w:eastAsia="Calibri"/>
                <w:color w:val="000000"/>
                <w:sz w:val="20"/>
                <w:szCs w:val="18"/>
              </w:rPr>
            </w:pPr>
            <w:r w:rsidRPr="008B5F1E">
              <w:rPr>
                <w:rFonts w:eastAsia="Calibri"/>
                <w:color w:val="000000"/>
                <w:sz w:val="20"/>
                <w:szCs w:val="18"/>
              </w:rPr>
              <w:t>15</w:t>
            </w:r>
          </w:p>
        </w:tc>
        <w:tc>
          <w:tcPr>
            <w:tcW w:w="1350" w:type="dxa"/>
            <w:gridSpan w:val="2"/>
            <w:tcBorders>
              <w:top w:val="single" w:sz="4" w:space="0" w:color="auto"/>
              <w:left w:val="single" w:sz="4" w:space="0" w:color="auto"/>
              <w:right w:val="single" w:sz="4" w:space="0" w:color="auto"/>
            </w:tcBorders>
            <w:shd w:val="clear" w:color="auto" w:fill="FFFFFF"/>
          </w:tcPr>
          <w:p w14:paraId="5256E7EC" w14:textId="77777777" w:rsidR="00A047C8" w:rsidRDefault="00A047C8" w:rsidP="00A047C8">
            <w:pPr>
              <w:spacing w:after="0" w:line="240" w:lineRule="auto"/>
              <w:jc w:val="center"/>
              <w:rPr>
                <w:rFonts w:eastAsia="Calibri"/>
                <w:color w:val="000000"/>
                <w:sz w:val="20"/>
                <w:szCs w:val="18"/>
              </w:rPr>
            </w:pPr>
          </w:p>
          <w:p w14:paraId="6B0C3B26" w14:textId="77777777" w:rsidR="00A047C8" w:rsidRDefault="00A047C8" w:rsidP="00A047C8">
            <w:pPr>
              <w:spacing w:after="0" w:line="240" w:lineRule="auto"/>
              <w:jc w:val="center"/>
              <w:rPr>
                <w:rFonts w:eastAsia="Calibri"/>
                <w:color w:val="000000"/>
                <w:sz w:val="20"/>
                <w:szCs w:val="18"/>
              </w:rPr>
            </w:pPr>
          </w:p>
          <w:p w14:paraId="4F4608A8" w14:textId="77777777" w:rsidR="00A047C8" w:rsidRDefault="00A047C8" w:rsidP="00A047C8">
            <w:pPr>
              <w:spacing w:after="0" w:line="240" w:lineRule="auto"/>
              <w:jc w:val="center"/>
              <w:rPr>
                <w:rFonts w:eastAsia="Calibri"/>
                <w:color w:val="000000"/>
                <w:sz w:val="20"/>
                <w:szCs w:val="18"/>
              </w:rPr>
            </w:pPr>
          </w:p>
          <w:p w14:paraId="4CC6E594" w14:textId="77777777" w:rsidR="00A047C8" w:rsidRDefault="00A047C8" w:rsidP="00A047C8">
            <w:pPr>
              <w:spacing w:after="0" w:line="240" w:lineRule="auto"/>
              <w:jc w:val="center"/>
              <w:rPr>
                <w:rFonts w:eastAsia="Calibri"/>
                <w:color w:val="000000"/>
                <w:sz w:val="20"/>
                <w:szCs w:val="18"/>
              </w:rPr>
            </w:pPr>
          </w:p>
          <w:p w14:paraId="799FEA69" w14:textId="77777777" w:rsidR="00405EF5" w:rsidRPr="008B5F1E" w:rsidRDefault="00FA449A" w:rsidP="00A047C8">
            <w:pPr>
              <w:spacing w:after="0" w:line="240" w:lineRule="auto"/>
              <w:jc w:val="center"/>
              <w:rPr>
                <w:rFonts w:eastAsia="Calibri"/>
                <w:color w:val="000000"/>
                <w:sz w:val="20"/>
                <w:szCs w:val="18"/>
              </w:rPr>
            </w:pPr>
            <w:r w:rsidRPr="008B5F1E">
              <w:rPr>
                <w:rFonts w:eastAsia="Calibri"/>
                <w:color w:val="000000"/>
                <w:sz w:val="20"/>
                <w:szCs w:val="18"/>
              </w:rPr>
              <w:t>21</w:t>
            </w:r>
          </w:p>
          <w:p w14:paraId="5ACF0495" w14:textId="77777777" w:rsidR="00FA449A" w:rsidRPr="008B5F1E" w:rsidRDefault="00FA449A" w:rsidP="00A047C8">
            <w:pPr>
              <w:spacing w:after="0" w:line="240" w:lineRule="auto"/>
              <w:jc w:val="center"/>
              <w:rPr>
                <w:rFonts w:eastAsia="Calibri"/>
                <w:color w:val="000000"/>
                <w:sz w:val="20"/>
                <w:szCs w:val="18"/>
              </w:rPr>
            </w:pPr>
            <w:r w:rsidRPr="008B5F1E">
              <w:rPr>
                <w:rFonts w:eastAsia="Calibri"/>
                <w:color w:val="000000"/>
                <w:sz w:val="20"/>
                <w:szCs w:val="18"/>
              </w:rPr>
              <w:t>23</w:t>
            </w:r>
          </w:p>
          <w:p w14:paraId="2BAA8493" w14:textId="43273E46" w:rsidR="00942A9C" w:rsidRPr="008B5F1E" w:rsidRDefault="00FA449A" w:rsidP="00A047C8">
            <w:pPr>
              <w:spacing w:after="0" w:line="240" w:lineRule="auto"/>
              <w:jc w:val="center"/>
              <w:rPr>
                <w:rFonts w:eastAsia="Calibri"/>
                <w:color w:val="000000"/>
                <w:sz w:val="20"/>
                <w:szCs w:val="18"/>
              </w:rPr>
            </w:pPr>
            <w:r w:rsidRPr="008B5F1E">
              <w:rPr>
                <w:rFonts w:eastAsia="Calibri"/>
                <w:color w:val="000000"/>
                <w:sz w:val="20"/>
                <w:szCs w:val="18"/>
              </w:rPr>
              <w:t>18</w:t>
            </w:r>
          </w:p>
        </w:tc>
        <w:tc>
          <w:tcPr>
            <w:tcW w:w="1620" w:type="dxa"/>
            <w:tcBorders>
              <w:top w:val="single" w:sz="4" w:space="0" w:color="auto"/>
              <w:left w:val="single" w:sz="4" w:space="0" w:color="auto"/>
              <w:right w:val="single" w:sz="4" w:space="0" w:color="auto"/>
            </w:tcBorders>
            <w:shd w:val="clear" w:color="auto" w:fill="FFFFFF"/>
          </w:tcPr>
          <w:p w14:paraId="056242B9" w14:textId="77777777" w:rsidR="00A047C8" w:rsidRDefault="00A047C8" w:rsidP="00A047C8">
            <w:pPr>
              <w:spacing w:after="0" w:line="240" w:lineRule="auto"/>
              <w:jc w:val="center"/>
              <w:rPr>
                <w:rFonts w:eastAsia="Calibri"/>
                <w:color w:val="000000"/>
                <w:sz w:val="20"/>
                <w:szCs w:val="18"/>
              </w:rPr>
            </w:pPr>
          </w:p>
          <w:p w14:paraId="25A67286" w14:textId="77777777" w:rsidR="00A047C8" w:rsidRDefault="00A047C8" w:rsidP="00A047C8">
            <w:pPr>
              <w:spacing w:after="0" w:line="240" w:lineRule="auto"/>
              <w:jc w:val="center"/>
              <w:rPr>
                <w:rFonts w:eastAsia="Calibri"/>
                <w:color w:val="000000"/>
                <w:sz w:val="20"/>
                <w:szCs w:val="18"/>
              </w:rPr>
            </w:pPr>
          </w:p>
          <w:p w14:paraId="7D8444CF" w14:textId="77777777" w:rsidR="00A047C8" w:rsidRDefault="00A047C8" w:rsidP="00A047C8">
            <w:pPr>
              <w:spacing w:after="0" w:line="240" w:lineRule="auto"/>
              <w:jc w:val="center"/>
              <w:rPr>
                <w:rFonts w:eastAsia="Calibri"/>
                <w:color w:val="000000"/>
                <w:sz w:val="20"/>
                <w:szCs w:val="18"/>
              </w:rPr>
            </w:pPr>
          </w:p>
          <w:p w14:paraId="5650BA00" w14:textId="77777777" w:rsidR="00A047C8" w:rsidRDefault="00A047C8" w:rsidP="00A047C8">
            <w:pPr>
              <w:spacing w:after="0" w:line="240" w:lineRule="auto"/>
              <w:jc w:val="center"/>
              <w:rPr>
                <w:rFonts w:eastAsia="Calibri"/>
                <w:color w:val="000000"/>
                <w:sz w:val="20"/>
                <w:szCs w:val="18"/>
              </w:rPr>
            </w:pPr>
          </w:p>
          <w:p w14:paraId="47ACB46C" w14:textId="2DA946DC" w:rsidR="00405EF5" w:rsidRPr="008B5F1E" w:rsidRDefault="00E942C2" w:rsidP="00A047C8">
            <w:pPr>
              <w:spacing w:after="0" w:line="240" w:lineRule="auto"/>
              <w:jc w:val="center"/>
              <w:rPr>
                <w:rFonts w:eastAsia="Calibri"/>
                <w:color w:val="000000"/>
                <w:sz w:val="20"/>
                <w:szCs w:val="18"/>
              </w:rPr>
            </w:pPr>
            <w:r>
              <w:rPr>
                <w:rFonts w:eastAsia="Calibri"/>
                <w:color w:val="000000"/>
                <w:sz w:val="20"/>
                <w:szCs w:val="18"/>
              </w:rPr>
              <w:t>37</w:t>
            </w:r>
          </w:p>
          <w:p w14:paraId="479275D7" w14:textId="7018EEC1" w:rsidR="00405EF5" w:rsidRPr="008B5F1E" w:rsidRDefault="00E942C2" w:rsidP="00A047C8">
            <w:pPr>
              <w:spacing w:after="0" w:line="240" w:lineRule="auto"/>
              <w:jc w:val="center"/>
              <w:rPr>
                <w:rFonts w:eastAsia="Calibri"/>
                <w:color w:val="000000"/>
                <w:sz w:val="20"/>
                <w:szCs w:val="18"/>
              </w:rPr>
            </w:pPr>
            <w:r>
              <w:rPr>
                <w:rFonts w:eastAsia="Calibri"/>
                <w:color w:val="000000"/>
                <w:sz w:val="20"/>
                <w:szCs w:val="18"/>
              </w:rPr>
              <w:t>41</w:t>
            </w:r>
          </w:p>
          <w:p w14:paraId="58BF9471" w14:textId="538CE7C2" w:rsidR="00942A9C" w:rsidRPr="008B5F1E" w:rsidRDefault="00E942C2" w:rsidP="00A047C8">
            <w:pPr>
              <w:spacing w:after="0" w:line="240" w:lineRule="auto"/>
              <w:ind w:left="-44" w:right="-13"/>
              <w:jc w:val="center"/>
              <w:rPr>
                <w:rFonts w:eastAsia="Calibri"/>
                <w:color w:val="000000"/>
                <w:sz w:val="20"/>
                <w:szCs w:val="18"/>
              </w:rPr>
            </w:pPr>
            <w:r>
              <w:rPr>
                <w:rFonts w:eastAsia="Calibri"/>
                <w:color w:val="000000"/>
                <w:sz w:val="20"/>
                <w:szCs w:val="18"/>
              </w:rPr>
              <w:t>37</w:t>
            </w:r>
          </w:p>
        </w:tc>
      </w:tr>
      <w:tr w:rsidR="00FA449A" w:rsidRPr="00A70722" w14:paraId="3119F140" w14:textId="77777777" w:rsidTr="004C3CB2">
        <w:trPr>
          <w:trHeight w:val="503"/>
          <w:jc w:val="center"/>
        </w:trPr>
        <w:tc>
          <w:tcPr>
            <w:tcW w:w="3143" w:type="dxa"/>
            <w:vMerge/>
            <w:tcBorders>
              <w:left w:val="single" w:sz="4" w:space="0" w:color="auto"/>
              <w:right w:val="single" w:sz="4" w:space="0" w:color="auto"/>
            </w:tcBorders>
            <w:shd w:val="clear" w:color="auto" w:fill="FFFFFF"/>
          </w:tcPr>
          <w:p w14:paraId="6DC9DCB1" w14:textId="52EF9CA6" w:rsidR="00FA449A" w:rsidRPr="005A7A63" w:rsidRDefault="00FA449A" w:rsidP="00434EF6">
            <w:pPr>
              <w:spacing w:after="0" w:line="240" w:lineRule="auto"/>
              <w:rPr>
                <w:rFonts w:eastAsia="Calibri"/>
                <w:b/>
                <w:sz w:val="20"/>
              </w:rPr>
            </w:pPr>
          </w:p>
        </w:tc>
        <w:tc>
          <w:tcPr>
            <w:tcW w:w="900" w:type="dxa"/>
            <w:vMerge/>
            <w:tcBorders>
              <w:left w:val="single" w:sz="4" w:space="0" w:color="auto"/>
              <w:bottom w:val="single" w:sz="4" w:space="0" w:color="auto"/>
              <w:right w:val="single" w:sz="4" w:space="0" w:color="auto"/>
            </w:tcBorders>
            <w:shd w:val="clear" w:color="auto" w:fill="FFFFFF"/>
          </w:tcPr>
          <w:p w14:paraId="74246E61" w14:textId="77777777" w:rsidR="00FA449A" w:rsidRPr="005A7A63" w:rsidRDefault="00FA449A" w:rsidP="00434EF6">
            <w:pPr>
              <w:spacing w:after="0" w:line="240" w:lineRule="auto"/>
              <w:rPr>
                <w:rFonts w:eastAsia="Calibri"/>
                <w:b/>
                <w:sz w:val="20"/>
              </w:rPr>
            </w:pPr>
          </w:p>
        </w:tc>
        <w:tc>
          <w:tcPr>
            <w:tcW w:w="10892" w:type="dxa"/>
            <w:gridSpan w:val="6"/>
            <w:tcBorders>
              <w:left w:val="single" w:sz="4" w:space="0" w:color="auto"/>
              <w:bottom w:val="single" w:sz="4" w:space="0" w:color="auto"/>
              <w:right w:val="single" w:sz="4" w:space="0" w:color="auto"/>
            </w:tcBorders>
            <w:shd w:val="clear" w:color="auto" w:fill="D9D9D9" w:themeFill="background1" w:themeFillShade="D9"/>
          </w:tcPr>
          <w:p w14:paraId="0A307864" w14:textId="42444CEB" w:rsidR="00FA449A" w:rsidRPr="00A047C8" w:rsidRDefault="00FA449A" w:rsidP="00C10DB3">
            <w:pPr>
              <w:spacing w:after="0" w:line="240" w:lineRule="auto"/>
              <w:rPr>
                <w:rFonts w:eastAsia="Calibri"/>
                <w:sz w:val="18"/>
                <w:szCs w:val="18"/>
              </w:rPr>
            </w:pPr>
            <w:r w:rsidRPr="00A047C8">
              <w:rPr>
                <w:rFonts w:ascii="Calibri" w:eastAsia="Calibri" w:hAnsi="Calibri" w:cs="Times New Roman"/>
                <w:b/>
                <w:sz w:val="18"/>
                <w:szCs w:val="18"/>
                <w:lang w:eastAsia="en-US"/>
              </w:rPr>
              <w:t xml:space="preserve">Indicator 2.4.1 Note: </w:t>
            </w:r>
            <w:r w:rsidRPr="00A047C8">
              <w:rPr>
                <w:rFonts w:ascii="Calibri" w:eastAsia="Calibri" w:hAnsi="Calibri"/>
                <w:sz w:val="18"/>
                <w:szCs w:val="18"/>
              </w:rPr>
              <w:t xml:space="preserve">Qualitative indicator, through which the effectiveness of UNDP’s support (on demand </w:t>
            </w:r>
            <w:r w:rsidRPr="00A047C8">
              <w:rPr>
                <w:sz w:val="18"/>
                <w:szCs w:val="18"/>
              </w:rPr>
              <w:t>from programme countries</w:t>
            </w:r>
            <w:r w:rsidRPr="00A047C8">
              <w:rPr>
                <w:rFonts w:ascii="Calibri" w:eastAsia="Calibri" w:hAnsi="Calibri"/>
                <w:sz w:val="18"/>
                <w:szCs w:val="18"/>
              </w:rPr>
              <w:t>)</w:t>
            </w:r>
            <w:r w:rsidRPr="00A047C8">
              <w:rPr>
                <w:sz w:val="18"/>
                <w:szCs w:val="18"/>
              </w:rPr>
              <w:t xml:space="preserve"> for civil society engagement in national dialogue processes on development, with a focus on the most critical development and crisis-related issues</w:t>
            </w:r>
            <w:r w:rsidR="00A047C8">
              <w:rPr>
                <w:sz w:val="18"/>
                <w:szCs w:val="18"/>
              </w:rPr>
              <w:t>,</w:t>
            </w:r>
            <w:r w:rsidRPr="00A047C8">
              <w:rPr>
                <w:sz w:val="18"/>
                <w:szCs w:val="18"/>
              </w:rPr>
              <w:t xml:space="preserve"> is</w:t>
            </w:r>
            <w:r w:rsidRPr="00A047C8">
              <w:rPr>
                <w:rFonts w:eastAsia="Calibri"/>
                <w:sz w:val="18"/>
                <w:szCs w:val="18"/>
              </w:rPr>
              <w:t xml:space="preserve"> tracked using a qualitative rating scale (1- Not adequately, 2- Very partially, 3- Partially, and 4-Largely), counting the number of countries where</w:t>
            </w:r>
            <w:r w:rsidR="00A047C8">
              <w:rPr>
                <w:rFonts w:eastAsia="Calibri"/>
                <w:sz w:val="18"/>
                <w:szCs w:val="18"/>
              </w:rPr>
              <w:t xml:space="preserve"> objective evidence exists that </w:t>
            </w:r>
            <w:r w:rsidRPr="00A047C8">
              <w:rPr>
                <w:rFonts w:eastAsia="Calibri"/>
                <w:sz w:val="18"/>
                <w:szCs w:val="18"/>
              </w:rPr>
              <w:t>UNDP support</w:t>
            </w:r>
            <w:r w:rsidR="00A047C8">
              <w:rPr>
                <w:rFonts w:eastAsia="Calibri"/>
                <w:sz w:val="18"/>
                <w:szCs w:val="18"/>
              </w:rPr>
              <w:t xml:space="preserve"> has led to </w:t>
            </w:r>
            <w:r w:rsidR="00A047C8" w:rsidRPr="00A047C8">
              <w:rPr>
                <w:rFonts w:eastAsia="Calibri"/>
                <w:sz w:val="18"/>
                <w:szCs w:val="18"/>
              </w:rPr>
              <w:t xml:space="preserve">improved capacities </w:t>
            </w:r>
            <w:r w:rsidR="00A047C8">
              <w:rPr>
                <w:rFonts w:eastAsia="Calibri"/>
                <w:sz w:val="18"/>
                <w:szCs w:val="18"/>
              </w:rPr>
              <w:t>for these groups</w:t>
            </w:r>
            <w:r w:rsidRPr="00A047C8">
              <w:rPr>
                <w:rFonts w:eastAsia="Calibri"/>
                <w:sz w:val="18"/>
                <w:szCs w:val="18"/>
              </w:rPr>
              <w:t>.</w:t>
            </w:r>
          </w:p>
          <w:p w14:paraId="34AB77A6" w14:textId="4CB7CB4C" w:rsidR="00FA449A" w:rsidRPr="00A047C8" w:rsidRDefault="00FA449A" w:rsidP="00A3472E">
            <w:pPr>
              <w:spacing w:after="0" w:line="240" w:lineRule="auto"/>
              <w:rPr>
                <w:rFonts w:ascii="Calibri" w:eastAsia="Calibri" w:hAnsi="Calibri" w:cs="Times New Roman"/>
                <w:b/>
                <w:sz w:val="18"/>
                <w:szCs w:val="18"/>
                <w:lang w:eastAsia="en-US"/>
              </w:rPr>
            </w:pPr>
            <w:r w:rsidRPr="00A047C8">
              <w:rPr>
                <w:rFonts w:eastAsia="Calibri"/>
                <w:b/>
                <w:sz w:val="18"/>
                <w:szCs w:val="18"/>
              </w:rPr>
              <w:t xml:space="preserve">2014 Reporting Note: </w:t>
            </w:r>
            <w:r w:rsidRPr="00A047C8">
              <w:rPr>
                <w:rFonts w:eastAsia="Calibri"/>
                <w:sz w:val="18"/>
                <w:szCs w:val="18"/>
              </w:rPr>
              <w:t xml:space="preserve">2014 </w:t>
            </w:r>
            <w:r w:rsidR="00A3472E" w:rsidRPr="00A047C8">
              <w:rPr>
                <w:rFonts w:eastAsia="Calibri"/>
                <w:sz w:val="18"/>
                <w:szCs w:val="18"/>
              </w:rPr>
              <w:t>m</w:t>
            </w:r>
            <w:r w:rsidRPr="00A047C8">
              <w:rPr>
                <w:rFonts w:eastAsia="Calibri"/>
                <w:sz w:val="18"/>
                <w:szCs w:val="18"/>
              </w:rPr>
              <w:t xml:space="preserve">ilestones </w:t>
            </w:r>
            <w:r w:rsidR="00A3472E" w:rsidRPr="00A047C8">
              <w:rPr>
                <w:rFonts w:eastAsia="Calibri"/>
                <w:sz w:val="18"/>
                <w:szCs w:val="18"/>
              </w:rPr>
              <w:t xml:space="preserve">and 2017 targets </w:t>
            </w:r>
            <w:r w:rsidRPr="00A047C8">
              <w:rPr>
                <w:rFonts w:eastAsia="Calibri"/>
                <w:sz w:val="18"/>
                <w:szCs w:val="18"/>
              </w:rPr>
              <w:t>updated to reflect more complete reporting from country offices. For reference, previous 2014 milestone</w:t>
            </w:r>
            <w:r w:rsidR="00744A09" w:rsidRPr="00A047C8">
              <w:rPr>
                <w:rFonts w:eastAsia="Calibri"/>
                <w:sz w:val="18"/>
                <w:szCs w:val="18"/>
              </w:rPr>
              <w:t>s</w:t>
            </w:r>
            <w:r w:rsidRPr="00A047C8">
              <w:rPr>
                <w:rFonts w:eastAsia="Calibri"/>
                <w:sz w:val="18"/>
                <w:szCs w:val="18"/>
              </w:rPr>
              <w:t xml:space="preserve"> were: a) 13, b) 17, c) 14</w:t>
            </w:r>
            <w:r w:rsidR="00A3472E" w:rsidRPr="00A047C8">
              <w:rPr>
                <w:rFonts w:eastAsia="Calibri"/>
                <w:sz w:val="18"/>
                <w:szCs w:val="18"/>
              </w:rPr>
              <w:t xml:space="preserve">; previous targets were: a) 33, b) 37, c) 35. </w:t>
            </w:r>
          </w:p>
        </w:tc>
      </w:tr>
      <w:tr w:rsidR="00405EF5" w:rsidRPr="00A70722" w14:paraId="441F3932" w14:textId="77777777" w:rsidTr="00A047C8">
        <w:trPr>
          <w:cantSplit/>
          <w:trHeight w:val="467"/>
          <w:jc w:val="center"/>
        </w:trPr>
        <w:tc>
          <w:tcPr>
            <w:tcW w:w="3143" w:type="dxa"/>
            <w:vMerge/>
            <w:tcBorders>
              <w:left w:val="single" w:sz="4" w:space="0" w:color="auto"/>
              <w:right w:val="single" w:sz="4" w:space="0" w:color="auto"/>
            </w:tcBorders>
            <w:shd w:val="clear" w:color="auto" w:fill="auto"/>
            <w:vAlign w:val="center"/>
            <w:hideMark/>
          </w:tcPr>
          <w:p w14:paraId="4B48E4D6" w14:textId="77777777" w:rsidR="00405EF5" w:rsidRPr="005A7A63" w:rsidRDefault="00405EF5" w:rsidP="00434EF6">
            <w:pPr>
              <w:spacing w:after="0" w:line="240" w:lineRule="auto"/>
              <w:rPr>
                <w:rFonts w:eastAsia="Calibri"/>
                <w:sz w:val="20"/>
              </w:rPr>
            </w:pPr>
          </w:p>
        </w:tc>
        <w:tc>
          <w:tcPr>
            <w:tcW w:w="900" w:type="dxa"/>
            <w:vMerge w:val="restart"/>
            <w:tcBorders>
              <w:top w:val="single" w:sz="4" w:space="0" w:color="auto"/>
              <w:left w:val="single" w:sz="4" w:space="0" w:color="auto"/>
              <w:right w:val="single" w:sz="4" w:space="0" w:color="auto"/>
            </w:tcBorders>
            <w:shd w:val="clear" w:color="auto" w:fill="FFFFFF"/>
            <w:hideMark/>
          </w:tcPr>
          <w:p w14:paraId="467FD59C" w14:textId="77777777" w:rsidR="00405EF5" w:rsidRPr="0032657A" w:rsidRDefault="00405EF5" w:rsidP="00BA4EFC">
            <w:pPr>
              <w:spacing w:after="0" w:line="240" w:lineRule="auto"/>
              <w:jc w:val="center"/>
              <w:rPr>
                <w:rFonts w:eastAsia="Calibri"/>
                <w:b/>
                <w:sz w:val="20"/>
              </w:rPr>
            </w:pPr>
            <w:r w:rsidRPr="0032657A">
              <w:rPr>
                <w:rFonts w:eastAsia="Calibri"/>
                <w:b/>
                <w:sz w:val="20"/>
              </w:rPr>
              <w:t>2.4.2</w:t>
            </w:r>
          </w:p>
        </w:tc>
        <w:tc>
          <w:tcPr>
            <w:tcW w:w="5310" w:type="dxa"/>
            <w:tcBorders>
              <w:top w:val="single" w:sz="4" w:space="0" w:color="auto"/>
              <w:left w:val="single" w:sz="4" w:space="0" w:color="auto"/>
              <w:bottom w:val="single" w:sz="4" w:space="0" w:color="auto"/>
              <w:right w:val="single" w:sz="4" w:space="0" w:color="auto"/>
            </w:tcBorders>
            <w:shd w:val="clear" w:color="auto" w:fill="FFFFFF"/>
            <w:hideMark/>
          </w:tcPr>
          <w:p w14:paraId="3132A2C8" w14:textId="77777777" w:rsidR="00405EF5" w:rsidRPr="00412C47" w:rsidRDefault="00405EF5" w:rsidP="00434EF6">
            <w:pPr>
              <w:spacing w:after="0" w:line="240" w:lineRule="auto"/>
              <w:rPr>
                <w:sz w:val="20"/>
                <w:szCs w:val="20"/>
              </w:rPr>
            </w:pPr>
            <w:r w:rsidRPr="00412C47">
              <w:rPr>
                <w:sz w:val="20"/>
                <w:szCs w:val="20"/>
              </w:rPr>
              <w:t xml:space="preserve">Number of countries with </w:t>
            </w:r>
            <w:r w:rsidRPr="00412C47">
              <w:rPr>
                <w:b/>
                <w:sz w:val="20"/>
                <w:szCs w:val="20"/>
              </w:rPr>
              <w:t>strengthened environments for civic engagement</w:t>
            </w:r>
            <w:r w:rsidRPr="00412C47">
              <w:rPr>
                <w:sz w:val="20"/>
                <w:szCs w:val="20"/>
              </w:rPr>
              <w:t xml:space="preserve"> including: </w:t>
            </w:r>
            <w:r w:rsidRPr="00412C47">
              <w:rPr>
                <w:rStyle w:val="Strong"/>
                <w:bCs w:val="0"/>
                <w:sz w:val="20"/>
                <w:szCs w:val="20"/>
              </w:rPr>
              <w:t>legal/regulatory framework</w:t>
            </w:r>
            <w:r w:rsidRPr="00412C47">
              <w:rPr>
                <w:rStyle w:val="Strong"/>
                <w:b w:val="0"/>
                <w:bCs w:val="0"/>
                <w:sz w:val="20"/>
                <w:szCs w:val="20"/>
              </w:rPr>
              <w:t xml:space="preserve"> for civil society organizations</w:t>
            </w:r>
            <w:r w:rsidRPr="00412C47">
              <w:rPr>
                <w:rStyle w:val="Strong"/>
                <w:sz w:val="20"/>
                <w:szCs w:val="20"/>
              </w:rPr>
              <w:t xml:space="preserve"> </w:t>
            </w:r>
            <w:r w:rsidRPr="00412C47">
              <w:rPr>
                <w:sz w:val="20"/>
                <w:szCs w:val="20"/>
              </w:rPr>
              <w:t xml:space="preserve">to function in the public sphere and contribute to development; and </w:t>
            </w:r>
            <w:r w:rsidRPr="00412C47">
              <w:rPr>
                <w:b/>
                <w:sz w:val="20"/>
                <w:szCs w:val="20"/>
              </w:rPr>
              <w:t xml:space="preserve">effective </w:t>
            </w:r>
            <w:r w:rsidRPr="00412C47">
              <w:rPr>
                <w:rStyle w:val="Strong"/>
                <w:bCs w:val="0"/>
                <w:sz w:val="20"/>
                <w:szCs w:val="20"/>
              </w:rPr>
              <w:t>mechanisms/platforms</w:t>
            </w:r>
            <w:r w:rsidRPr="00412C47">
              <w:rPr>
                <w:rStyle w:val="Strong"/>
                <w:b w:val="0"/>
                <w:bCs w:val="0"/>
                <w:sz w:val="20"/>
                <w:szCs w:val="20"/>
              </w:rPr>
              <w:t xml:space="preserve"> to engage civil society</w:t>
            </w:r>
            <w:r w:rsidRPr="00412C47">
              <w:rPr>
                <w:rStyle w:val="Strong"/>
                <w:sz w:val="20"/>
                <w:szCs w:val="20"/>
              </w:rPr>
              <w:t xml:space="preserve"> </w:t>
            </w:r>
            <w:r w:rsidRPr="00412C47">
              <w:rPr>
                <w:sz w:val="20"/>
                <w:szCs w:val="20"/>
              </w:rPr>
              <w:t>(with a focus on women, youth or excluded groups)</w:t>
            </w:r>
          </w:p>
          <w:p w14:paraId="7E9B95B7" w14:textId="527FC2FC" w:rsidR="00405EF5" w:rsidRPr="00412C47" w:rsidRDefault="00405EF5" w:rsidP="006F161D">
            <w:pPr>
              <w:pStyle w:val="ListParagraph"/>
              <w:numPr>
                <w:ilvl w:val="0"/>
                <w:numId w:val="25"/>
              </w:numPr>
              <w:rPr>
                <w:sz w:val="20"/>
                <w:szCs w:val="20"/>
              </w:rPr>
            </w:pPr>
            <w:r w:rsidRPr="00412C47">
              <w:rPr>
                <w:sz w:val="20"/>
                <w:szCs w:val="20"/>
              </w:rPr>
              <w:t>Women’s groups</w:t>
            </w:r>
          </w:p>
          <w:p w14:paraId="31CB7D20" w14:textId="56AC3EC1" w:rsidR="00405EF5" w:rsidRPr="00412C47" w:rsidRDefault="00405EF5" w:rsidP="006F161D">
            <w:pPr>
              <w:pStyle w:val="ListParagraph"/>
              <w:numPr>
                <w:ilvl w:val="0"/>
                <w:numId w:val="25"/>
              </w:numPr>
              <w:rPr>
                <w:sz w:val="20"/>
                <w:szCs w:val="20"/>
              </w:rPr>
            </w:pPr>
            <w:r w:rsidRPr="00412C47">
              <w:rPr>
                <w:sz w:val="20"/>
                <w:szCs w:val="20"/>
              </w:rPr>
              <w:t xml:space="preserve">Youth groups </w:t>
            </w:r>
          </w:p>
          <w:p w14:paraId="50949852" w14:textId="77777777" w:rsidR="00405EF5" w:rsidRPr="00412C47" w:rsidRDefault="007E66CF" w:rsidP="006F161D">
            <w:pPr>
              <w:pStyle w:val="ListParagraph"/>
              <w:numPr>
                <w:ilvl w:val="0"/>
                <w:numId w:val="25"/>
              </w:numPr>
              <w:rPr>
                <w:sz w:val="20"/>
                <w:szCs w:val="20"/>
              </w:rPr>
            </w:pPr>
            <w:r w:rsidRPr="00412C47">
              <w:rPr>
                <w:sz w:val="20"/>
                <w:szCs w:val="20"/>
              </w:rPr>
              <w:t>Excluded groups</w:t>
            </w:r>
          </w:p>
          <w:p w14:paraId="668C00FA" w14:textId="29FAC210" w:rsidR="008376B6" w:rsidRPr="00412C47" w:rsidRDefault="008376B6" w:rsidP="0090424B">
            <w:pPr>
              <w:spacing w:before="240" w:after="0"/>
              <w:rPr>
                <w:sz w:val="20"/>
                <w:szCs w:val="20"/>
              </w:rPr>
            </w:pPr>
            <w:r w:rsidRPr="00412C47">
              <w:rPr>
                <w:rFonts w:eastAsia="Calibri"/>
                <w:b/>
                <w:i/>
                <w:sz w:val="18"/>
                <w:szCs w:val="18"/>
              </w:rPr>
              <w:t xml:space="preserve">Number of countries </w:t>
            </w:r>
            <w:r w:rsidR="00983FF8" w:rsidRPr="00412C47">
              <w:rPr>
                <w:rFonts w:eastAsia="Calibri"/>
                <w:b/>
                <w:i/>
                <w:sz w:val="18"/>
                <w:szCs w:val="18"/>
              </w:rPr>
              <w:t>for which a 2017 target has currently been set under this indicator</w:t>
            </w:r>
            <w:r w:rsidR="00C4484B" w:rsidRPr="00412C47">
              <w:rPr>
                <w:rFonts w:eastAsia="Calibri"/>
                <w:b/>
                <w:i/>
                <w:sz w:val="18"/>
                <w:szCs w:val="18"/>
              </w:rPr>
              <w:t>: a) 48, b) 48, c) 54</w:t>
            </w:r>
          </w:p>
        </w:tc>
        <w:tc>
          <w:tcPr>
            <w:tcW w:w="1350" w:type="dxa"/>
            <w:tcBorders>
              <w:left w:val="single" w:sz="4" w:space="0" w:color="auto"/>
              <w:bottom w:val="single" w:sz="4" w:space="0" w:color="auto"/>
              <w:right w:val="single" w:sz="4" w:space="0" w:color="auto"/>
            </w:tcBorders>
            <w:shd w:val="clear" w:color="auto" w:fill="FFFFFF"/>
          </w:tcPr>
          <w:p w14:paraId="5147B54D" w14:textId="77777777" w:rsidR="00A047C8" w:rsidRDefault="00A047C8" w:rsidP="00A047C8">
            <w:pPr>
              <w:spacing w:after="0" w:line="240" w:lineRule="auto"/>
              <w:jc w:val="center"/>
              <w:rPr>
                <w:rFonts w:eastAsia="Calibri"/>
                <w:sz w:val="20"/>
                <w:szCs w:val="18"/>
              </w:rPr>
            </w:pPr>
          </w:p>
          <w:p w14:paraId="47033452" w14:textId="77777777" w:rsidR="00A047C8" w:rsidRDefault="00A047C8" w:rsidP="00A047C8">
            <w:pPr>
              <w:spacing w:after="0" w:line="240" w:lineRule="auto"/>
              <w:jc w:val="center"/>
              <w:rPr>
                <w:rFonts w:eastAsia="Calibri"/>
                <w:sz w:val="20"/>
                <w:szCs w:val="18"/>
              </w:rPr>
            </w:pPr>
          </w:p>
          <w:p w14:paraId="60FB1676" w14:textId="77777777" w:rsidR="00A047C8" w:rsidRDefault="00A047C8" w:rsidP="00A047C8">
            <w:pPr>
              <w:spacing w:after="0" w:line="240" w:lineRule="auto"/>
              <w:jc w:val="center"/>
              <w:rPr>
                <w:rFonts w:eastAsia="Calibri"/>
                <w:sz w:val="20"/>
                <w:szCs w:val="18"/>
              </w:rPr>
            </w:pPr>
          </w:p>
          <w:p w14:paraId="1B99A38E" w14:textId="77777777" w:rsidR="00A047C8" w:rsidRDefault="00A047C8" w:rsidP="00A047C8">
            <w:pPr>
              <w:spacing w:after="0" w:line="240" w:lineRule="auto"/>
              <w:jc w:val="center"/>
              <w:rPr>
                <w:rFonts w:eastAsia="Calibri"/>
                <w:sz w:val="20"/>
                <w:szCs w:val="18"/>
              </w:rPr>
            </w:pPr>
          </w:p>
          <w:p w14:paraId="70244DA2" w14:textId="77777777" w:rsidR="00A047C8" w:rsidRDefault="00A047C8" w:rsidP="00A047C8">
            <w:pPr>
              <w:spacing w:after="0" w:line="240" w:lineRule="auto"/>
              <w:jc w:val="center"/>
              <w:rPr>
                <w:rFonts w:eastAsia="Calibri"/>
                <w:sz w:val="20"/>
                <w:szCs w:val="18"/>
              </w:rPr>
            </w:pPr>
          </w:p>
          <w:p w14:paraId="3539F21B" w14:textId="77777777" w:rsidR="00A047C8" w:rsidRDefault="00A047C8" w:rsidP="00A047C8">
            <w:pPr>
              <w:spacing w:after="0" w:line="240" w:lineRule="auto"/>
              <w:jc w:val="center"/>
              <w:rPr>
                <w:rFonts w:eastAsia="Calibri"/>
                <w:sz w:val="20"/>
                <w:szCs w:val="18"/>
              </w:rPr>
            </w:pPr>
          </w:p>
          <w:p w14:paraId="240E542F" w14:textId="77777777" w:rsidR="00405EF5" w:rsidRPr="008C47C4" w:rsidRDefault="00405EF5" w:rsidP="00A047C8">
            <w:pPr>
              <w:spacing w:after="0" w:line="240" w:lineRule="auto"/>
              <w:jc w:val="center"/>
              <w:rPr>
                <w:rFonts w:eastAsia="Calibri"/>
                <w:sz w:val="20"/>
                <w:szCs w:val="18"/>
              </w:rPr>
            </w:pPr>
            <w:r>
              <w:rPr>
                <w:rFonts w:eastAsia="Calibri"/>
                <w:sz w:val="20"/>
                <w:szCs w:val="18"/>
              </w:rPr>
              <w:t>15</w:t>
            </w:r>
          </w:p>
          <w:p w14:paraId="54C04EFD" w14:textId="74CE6A5B" w:rsidR="00405EF5" w:rsidRPr="008C47C4" w:rsidRDefault="001D6717" w:rsidP="00A047C8">
            <w:pPr>
              <w:spacing w:after="0" w:line="240" w:lineRule="auto"/>
              <w:jc w:val="center"/>
              <w:rPr>
                <w:rFonts w:eastAsia="Calibri"/>
                <w:sz w:val="20"/>
                <w:szCs w:val="18"/>
              </w:rPr>
            </w:pPr>
            <w:r>
              <w:rPr>
                <w:rFonts w:eastAsia="Calibri"/>
                <w:sz w:val="20"/>
                <w:szCs w:val="18"/>
              </w:rPr>
              <w:t>14</w:t>
            </w:r>
          </w:p>
          <w:p w14:paraId="5D0B4267" w14:textId="77777777" w:rsidR="00405EF5" w:rsidRDefault="00D820BA" w:rsidP="00A047C8">
            <w:pPr>
              <w:spacing w:after="0" w:line="240" w:lineRule="auto"/>
              <w:jc w:val="center"/>
              <w:rPr>
                <w:rFonts w:eastAsia="Calibri"/>
                <w:sz w:val="20"/>
                <w:szCs w:val="18"/>
              </w:rPr>
            </w:pPr>
            <w:r>
              <w:rPr>
                <w:rFonts w:eastAsia="Calibri"/>
                <w:sz w:val="20"/>
                <w:szCs w:val="18"/>
              </w:rPr>
              <w:t>16</w:t>
            </w:r>
          </w:p>
          <w:p w14:paraId="70A3176C" w14:textId="7304A71C" w:rsidR="00897675" w:rsidRPr="008C47C4" w:rsidRDefault="00897675" w:rsidP="00A047C8">
            <w:pPr>
              <w:spacing w:after="0" w:line="240" w:lineRule="auto"/>
              <w:rPr>
                <w:sz w:val="20"/>
                <w:highlight w:val="yellow"/>
              </w:rPr>
            </w:pPr>
          </w:p>
        </w:tc>
        <w:tc>
          <w:tcPr>
            <w:tcW w:w="1262" w:type="dxa"/>
            <w:tcBorders>
              <w:left w:val="single" w:sz="4" w:space="0" w:color="auto"/>
              <w:bottom w:val="single" w:sz="4" w:space="0" w:color="auto"/>
              <w:right w:val="single" w:sz="4" w:space="0" w:color="auto"/>
            </w:tcBorders>
            <w:shd w:val="clear" w:color="auto" w:fill="FFFFFF"/>
          </w:tcPr>
          <w:p w14:paraId="3BC331E5" w14:textId="77777777" w:rsidR="00A047C8" w:rsidRDefault="00A047C8" w:rsidP="00A047C8">
            <w:pPr>
              <w:spacing w:after="0" w:line="240" w:lineRule="auto"/>
              <w:jc w:val="center"/>
              <w:rPr>
                <w:rFonts w:eastAsia="Calibri"/>
                <w:sz w:val="20"/>
                <w:szCs w:val="18"/>
              </w:rPr>
            </w:pPr>
          </w:p>
          <w:p w14:paraId="4A5DE35A" w14:textId="77777777" w:rsidR="00A047C8" w:rsidRDefault="00A047C8" w:rsidP="00A047C8">
            <w:pPr>
              <w:spacing w:after="0" w:line="240" w:lineRule="auto"/>
              <w:jc w:val="center"/>
              <w:rPr>
                <w:rFonts w:eastAsia="Calibri"/>
                <w:sz w:val="20"/>
                <w:szCs w:val="18"/>
              </w:rPr>
            </w:pPr>
          </w:p>
          <w:p w14:paraId="0EE7C046" w14:textId="77777777" w:rsidR="00A047C8" w:rsidRDefault="00A047C8" w:rsidP="00A047C8">
            <w:pPr>
              <w:spacing w:after="0" w:line="240" w:lineRule="auto"/>
              <w:jc w:val="center"/>
              <w:rPr>
                <w:rFonts w:eastAsia="Calibri"/>
                <w:sz w:val="20"/>
                <w:szCs w:val="18"/>
              </w:rPr>
            </w:pPr>
          </w:p>
          <w:p w14:paraId="6BC80954" w14:textId="77777777" w:rsidR="00A047C8" w:rsidRDefault="00A047C8" w:rsidP="00A047C8">
            <w:pPr>
              <w:spacing w:after="0" w:line="240" w:lineRule="auto"/>
              <w:jc w:val="center"/>
              <w:rPr>
                <w:rFonts w:eastAsia="Calibri"/>
                <w:sz w:val="20"/>
                <w:szCs w:val="18"/>
              </w:rPr>
            </w:pPr>
          </w:p>
          <w:p w14:paraId="741ADBCA" w14:textId="77777777" w:rsidR="00A047C8" w:rsidRDefault="00A047C8" w:rsidP="00A047C8">
            <w:pPr>
              <w:spacing w:after="0" w:line="240" w:lineRule="auto"/>
              <w:jc w:val="center"/>
              <w:rPr>
                <w:rFonts w:eastAsia="Calibri"/>
                <w:sz w:val="20"/>
                <w:szCs w:val="18"/>
              </w:rPr>
            </w:pPr>
          </w:p>
          <w:p w14:paraId="0B09D5DF" w14:textId="77777777" w:rsidR="00A047C8" w:rsidRDefault="00A047C8" w:rsidP="00A047C8">
            <w:pPr>
              <w:spacing w:after="0" w:line="240" w:lineRule="auto"/>
              <w:jc w:val="center"/>
              <w:rPr>
                <w:rFonts w:eastAsia="Calibri"/>
                <w:sz w:val="20"/>
                <w:szCs w:val="18"/>
              </w:rPr>
            </w:pPr>
          </w:p>
          <w:p w14:paraId="3BC6906E" w14:textId="6B1D290E" w:rsidR="00405EF5" w:rsidRPr="008C47C4" w:rsidRDefault="00405EF5" w:rsidP="00A047C8">
            <w:pPr>
              <w:spacing w:after="0" w:line="240" w:lineRule="auto"/>
              <w:jc w:val="center"/>
              <w:rPr>
                <w:rFonts w:eastAsia="Calibri"/>
                <w:sz w:val="20"/>
                <w:szCs w:val="18"/>
              </w:rPr>
            </w:pPr>
            <w:r w:rsidRPr="008C47C4">
              <w:rPr>
                <w:rFonts w:eastAsia="Calibri"/>
                <w:sz w:val="20"/>
                <w:szCs w:val="18"/>
              </w:rPr>
              <w:t>20</w:t>
            </w:r>
          </w:p>
          <w:p w14:paraId="4B9FB216" w14:textId="44C74FCE" w:rsidR="00405EF5" w:rsidRPr="008C47C4" w:rsidRDefault="00FA449A" w:rsidP="00A047C8">
            <w:pPr>
              <w:spacing w:after="0" w:line="240" w:lineRule="auto"/>
              <w:jc w:val="center"/>
              <w:rPr>
                <w:rFonts w:eastAsia="Calibri"/>
                <w:sz w:val="20"/>
                <w:szCs w:val="18"/>
              </w:rPr>
            </w:pPr>
            <w:r>
              <w:rPr>
                <w:rFonts w:eastAsia="Calibri"/>
                <w:sz w:val="20"/>
                <w:szCs w:val="18"/>
              </w:rPr>
              <w:t>20</w:t>
            </w:r>
          </w:p>
          <w:p w14:paraId="13FF486E" w14:textId="77777777" w:rsidR="00405EF5" w:rsidRDefault="00FA449A" w:rsidP="00A047C8">
            <w:pPr>
              <w:spacing w:after="0" w:line="240" w:lineRule="auto"/>
              <w:jc w:val="center"/>
              <w:rPr>
                <w:rFonts w:eastAsia="Calibri"/>
                <w:sz w:val="20"/>
                <w:szCs w:val="18"/>
              </w:rPr>
            </w:pPr>
            <w:r>
              <w:rPr>
                <w:rFonts w:eastAsia="Calibri"/>
                <w:sz w:val="20"/>
                <w:szCs w:val="18"/>
              </w:rPr>
              <w:t>26</w:t>
            </w:r>
          </w:p>
          <w:p w14:paraId="487FE5EF" w14:textId="0E0EBEB0" w:rsidR="00897675" w:rsidRPr="008C47C4" w:rsidRDefault="00897675" w:rsidP="00A047C8">
            <w:pPr>
              <w:spacing w:after="0" w:line="240" w:lineRule="auto"/>
              <w:rPr>
                <w:sz w:val="20"/>
                <w:highlight w:val="yellow"/>
              </w:rPr>
            </w:pPr>
          </w:p>
        </w:tc>
        <w:tc>
          <w:tcPr>
            <w:tcW w:w="1350" w:type="dxa"/>
            <w:gridSpan w:val="2"/>
            <w:tcBorders>
              <w:left w:val="single" w:sz="4" w:space="0" w:color="auto"/>
              <w:bottom w:val="single" w:sz="4" w:space="0" w:color="auto"/>
              <w:right w:val="single" w:sz="4" w:space="0" w:color="auto"/>
            </w:tcBorders>
            <w:shd w:val="clear" w:color="auto" w:fill="FFFFFF"/>
          </w:tcPr>
          <w:p w14:paraId="456ED363" w14:textId="77777777" w:rsidR="00A047C8" w:rsidRDefault="00A047C8" w:rsidP="00A047C8">
            <w:pPr>
              <w:spacing w:after="0" w:line="240" w:lineRule="auto"/>
              <w:jc w:val="center"/>
              <w:rPr>
                <w:sz w:val="20"/>
              </w:rPr>
            </w:pPr>
          </w:p>
          <w:p w14:paraId="47B0524F" w14:textId="77777777" w:rsidR="00A047C8" w:rsidRDefault="00A047C8" w:rsidP="00A047C8">
            <w:pPr>
              <w:spacing w:after="0" w:line="240" w:lineRule="auto"/>
              <w:jc w:val="center"/>
              <w:rPr>
                <w:sz w:val="20"/>
              </w:rPr>
            </w:pPr>
          </w:p>
          <w:p w14:paraId="52527644" w14:textId="77777777" w:rsidR="00A047C8" w:rsidRDefault="00A047C8" w:rsidP="00A047C8">
            <w:pPr>
              <w:spacing w:after="0" w:line="240" w:lineRule="auto"/>
              <w:jc w:val="center"/>
              <w:rPr>
                <w:sz w:val="20"/>
              </w:rPr>
            </w:pPr>
          </w:p>
          <w:p w14:paraId="408FF92D" w14:textId="77777777" w:rsidR="00A047C8" w:rsidRDefault="00A047C8" w:rsidP="00A047C8">
            <w:pPr>
              <w:spacing w:after="0" w:line="240" w:lineRule="auto"/>
              <w:jc w:val="center"/>
              <w:rPr>
                <w:sz w:val="20"/>
              </w:rPr>
            </w:pPr>
          </w:p>
          <w:p w14:paraId="6E571175" w14:textId="77777777" w:rsidR="00A047C8" w:rsidRDefault="00A047C8" w:rsidP="00A047C8">
            <w:pPr>
              <w:spacing w:after="0" w:line="240" w:lineRule="auto"/>
              <w:jc w:val="center"/>
              <w:rPr>
                <w:sz w:val="20"/>
              </w:rPr>
            </w:pPr>
          </w:p>
          <w:p w14:paraId="135E7A3F" w14:textId="77777777" w:rsidR="00A047C8" w:rsidRDefault="00A047C8" w:rsidP="00A047C8">
            <w:pPr>
              <w:spacing w:after="0" w:line="240" w:lineRule="auto"/>
              <w:jc w:val="center"/>
              <w:rPr>
                <w:sz w:val="20"/>
              </w:rPr>
            </w:pPr>
          </w:p>
          <w:p w14:paraId="510C21E9" w14:textId="4F1C6972" w:rsidR="00405EF5" w:rsidRPr="003D03C2" w:rsidRDefault="003D03C2" w:rsidP="00A047C8">
            <w:pPr>
              <w:spacing w:after="0" w:line="240" w:lineRule="auto"/>
              <w:jc w:val="center"/>
              <w:rPr>
                <w:sz w:val="20"/>
              </w:rPr>
            </w:pPr>
            <w:r w:rsidRPr="003D03C2">
              <w:rPr>
                <w:sz w:val="20"/>
              </w:rPr>
              <w:t>17</w:t>
            </w:r>
            <w:r w:rsidR="0090424B">
              <w:rPr>
                <w:sz w:val="20"/>
              </w:rPr>
              <w:t>*</w:t>
            </w:r>
          </w:p>
          <w:p w14:paraId="4AE447A8" w14:textId="10060845" w:rsidR="003D03C2" w:rsidRPr="003D03C2" w:rsidRDefault="003D03C2" w:rsidP="00A047C8">
            <w:pPr>
              <w:spacing w:after="0" w:line="240" w:lineRule="auto"/>
              <w:jc w:val="center"/>
              <w:rPr>
                <w:sz w:val="20"/>
              </w:rPr>
            </w:pPr>
            <w:r w:rsidRPr="003D03C2">
              <w:rPr>
                <w:sz w:val="20"/>
              </w:rPr>
              <w:t>16</w:t>
            </w:r>
            <w:r w:rsidR="0090424B">
              <w:rPr>
                <w:sz w:val="20"/>
              </w:rPr>
              <w:t>*</w:t>
            </w:r>
          </w:p>
          <w:p w14:paraId="438A63BA" w14:textId="77777777" w:rsidR="003D03C2" w:rsidRDefault="003D03C2" w:rsidP="00A047C8">
            <w:pPr>
              <w:spacing w:after="0" w:line="240" w:lineRule="auto"/>
              <w:jc w:val="center"/>
              <w:rPr>
                <w:sz w:val="20"/>
              </w:rPr>
            </w:pPr>
            <w:r w:rsidRPr="003D03C2">
              <w:rPr>
                <w:sz w:val="20"/>
              </w:rPr>
              <w:t>16</w:t>
            </w:r>
            <w:r w:rsidR="0090424B">
              <w:rPr>
                <w:sz w:val="20"/>
              </w:rPr>
              <w:t>*</w:t>
            </w:r>
          </w:p>
          <w:p w14:paraId="308A1E94" w14:textId="5277E7FA" w:rsidR="00897675" w:rsidRPr="008C47C4" w:rsidRDefault="00897675" w:rsidP="00A047C8">
            <w:pPr>
              <w:spacing w:after="0" w:line="240" w:lineRule="auto"/>
              <w:rPr>
                <w:sz w:val="20"/>
                <w:highlight w:val="yellow"/>
              </w:rPr>
            </w:pPr>
          </w:p>
        </w:tc>
        <w:tc>
          <w:tcPr>
            <w:tcW w:w="1620" w:type="dxa"/>
            <w:tcBorders>
              <w:left w:val="single" w:sz="4" w:space="0" w:color="auto"/>
              <w:bottom w:val="single" w:sz="4" w:space="0" w:color="auto"/>
              <w:right w:val="single" w:sz="4" w:space="0" w:color="auto"/>
            </w:tcBorders>
            <w:shd w:val="clear" w:color="auto" w:fill="FFFFFF"/>
          </w:tcPr>
          <w:p w14:paraId="1D4594BD" w14:textId="77777777" w:rsidR="00A047C8" w:rsidRDefault="00A047C8" w:rsidP="00A047C8">
            <w:pPr>
              <w:spacing w:after="0" w:line="240" w:lineRule="auto"/>
              <w:jc w:val="center"/>
              <w:rPr>
                <w:rFonts w:eastAsia="Calibri"/>
                <w:sz w:val="20"/>
                <w:szCs w:val="18"/>
              </w:rPr>
            </w:pPr>
          </w:p>
          <w:p w14:paraId="1167EB68" w14:textId="77777777" w:rsidR="00A047C8" w:rsidRDefault="00A047C8" w:rsidP="00A047C8">
            <w:pPr>
              <w:spacing w:after="0" w:line="240" w:lineRule="auto"/>
              <w:jc w:val="center"/>
              <w:rPr>
                <w:rFonts w:eastAsia="Calibri"/>
                <w:sz w:val="20"/>
                <w:szCs w:val="18"/>
              </w:rPr>
            </w:pPr>
          </w:p>
          <w:p w14:paraId="5ABEB8F7" w14:textId="77777777" w:rsidR="00A047C8" w:rsidRDefault="00A047C8" w:rsidP="00A047C8">
            <w:pPr>
              <w:spacing w:after="0" w:line="240" w:lineRule="auto"/>
              <w:jc w:val="center"/>
              <w:rPr>
                <w:rFonts w:eastAsia="Calibri"/>
                <w:sz w:val="20"/>
                <w:szCs w:val="18"/>
              </w:rPr>
            </w:pPr>
          </w:p>
          <w:p w14:paraId="61CAC0CF" w14:textId="77777777" w:rsidR="00A047C8" w:rsidRDefault="00A047C8" w:rsidP="00A047C8">
            <w:pPr>
              <w:spacing w:after="0" w:line="240" w:lineRule="auto"/>
              <w:jc w:val="center"/>
              <w:rPr>
                <w:rFonts w:eastAsia="Calibri"/>
                <w:sz w:val="20"/>
                <w:szCs w:val="18"/>
              </w:rPr>
            </w:pPr>
          </w:p>
          <w:p w14:paraId="3A53A050" w14:textId="77777777" w:rsidR="00A047C8" w:rsidRDefault="00A047C8" w:rsidP="00A047C8">
            <w:pPr>
              <w:spacing w:after="0" w:line="240" w:lineRule="auto"/>
              <w:jc w:val="center"/>
              <w:rPr>
                <w:rFonts w:eastAsia="Calibri"/>
                <w:sz w:val="20"/>
                <w:szCs w:val="18"/>
              </w:rPr>
            </w:pPr>
          </w:p>
          <w:p w14:paraId="2A847923" w14:textId="77777777" w:rsidR="00A047C8" w:rsidRDefault="00A047C8" w:rsidP="00A047C8">
            <w:pPr>
              <w:spacing w:after="0" w:line="240" w:lineRule="auto"/>
              <w:jc w:val="center"/>
              <w:rPr>
                <w:rFonts w:eastAsia="Calibri"/>
                <w:sz w:val="20"/>
                <w:szCs w:val="18"/>
              </w:rPr>
            </w:pPr>
          </w:p>
          <w:p w14:paraId="3DC3DC72" w14:textId="21FED664" w:rsidR="00405EF5" w:rsidRPr="008C47C4" w:rsidRDefault="00C4484B" w:rsidP="00A047C8">
            <w:pPr>
              <w:spacing w:after="0" w:line="240" w:lineRule="auto"/>
              <w:jc w:val="center"/>
              <w:rPr>
                <w:rFonts w:eastAsia="Calibri"/>
                <w:sz w:val="20"/>
                <w:szCs w:val="18"/>
              </w:rPr>
            </w:pPr>
            <w:r>
              <w:rPr>
                <w:rFonts w:eastAsia="Calibri"/>
                <w:sz w:val="20"/>
                <w:szCs w:val="18"/>
              </w:rPr>
              <w:t>37</w:t>
            </w:r>
          </w:p>
          <w:p w14:paraId="1DECE299" w14:textId="139AF7B8" w:rsidR="00405EF5" w:rsidRPr="008C47C4" w:rsidRDefault="00C4484B" w:rsidP="00A047C8">
            <w:pPr>
              <w:spacing w:after="0" w:line="240" w:lineRule="auto"/>
              <w:jc w:val="center"/>
              <w:rPr>
                <w:rFonts w:eastAsia="Calibri"/>
                <w:sz w:val="20"/>
                <w:szCs w:val="18"/>
              </w:rPr>
            </w:pPr>
            <w:r>
              <w:rPr>
                <w:rFonts w:eastAsia="Calibri"/>
                <w:sz w:val="20"/>
                <w:szCs w:val="18"/>
              </w:rPr>
              <w:t>39</w:t>
            </w:r>
          </w:p>
          <w:p w14:paraId="2F20A027" w14:textId="77777777" w:rsidR="00405EF5" w:rsidRDefault="00405EF5" w:rsidP="00A047C8">
            <w:pPr>
              <w:spacing w:after="0" w:line="240" w:lineRule="auto"/>
              <w:jc w:val="center"/>
              <w:rPr>
                <w:rFonts w:eastAsia="Calibri"/>
                <w:sz w:val="20"/>
                <w:szCs w:val="18"/>
              </w:rPr>
            </w:pPr>
            <w:r w:rsidRPr="008C47C4">
              <w:rPr>
                <w:rFonts w:eastAsia="Calibri"/>
                <w:sz w:val="20"/>
                <w:szCs w:val="18"/>
              </w:rPr>
              <w:t>42</w:t>
            </w:r>
          </w:p>
          <w:p w14:paraId="23BDD19D" w14:textId="77777777" w:rsidR="00897675" w:rsidRPr="008C47C4" w:rsidRDefault="00897675" w:rsidP="00A047C8">
            <w:pPr>
              <w:spacing w:after="0" w:line="240" w:lineRule="auto"/>
              <w:rPr>
                <w:sz w:val="20"/>
                <w:highlight w:val="yellow"/>
              </w:rPr>
            </w:pPr>
          </w:p>
        </w:tc>
      </w:tr>
      <w:tr w:rsidR="003D03C2" w:rsidRPr="00A70722" w14:paraId="5CD2B099" w14:textId="77777777" w:rsidTr="004C3CB2">
        <w:trPr>
          <w:cantSplit/>
          <w:trHeight w:val="467"/>
          <w:jc w:val="center"/>
        </w:trPr>
        <w:tc>
          <w:tcPr>
            <w:tcW w:w="3143" w:type="dxa"/>
            <w:vMerge/>
            <w:tcBorders>
              <w:left w:val="single" w:sz="4" w:space="0" w:color="auto"/>
              <w:bottom w:val="single" w:sz="4" w:space="0" w:color="auto"/>
              <w:right w:val="single" w:sz="4" w:space="0" w:color="auto"/>
            </w:tcBorders>
            <w:shd w:val="clear" w:color="auto" w:fill="auto"/>
            <w:vAlign w:val="center"/>
          </w:tcPr>
          <w:p w14:paraId="7CE1FFBD" w14:textId="329DC582" w:rsidR="003D03C2" w:rsidRPr="005A7A63" w:rsidRDefault="003D03C2" w:rsidP="00434EF6">
            <w:pPr>
              <w:spacing w:after="0" w:line="240" w:lineRule="auto"/>
              <w:rPr>
                <w:rFonts w:eastAsia="Calibri"/>
                <w:sz w:val="20"/>
              </w:rPr>
            </w:pPr>
          </w:p>
        </w:tc>
        <w:tc>
          <w:tcPr>
            <w:tcW w:w="900" w:type="dxa"/>
            <w:vMerge/>
            <w:tcBorders>
              <w:left w:val="single" w:sz="4" w:space="0" w:color="auto"/>
              <w:bottom w:val="single" w:sz="4" w:space="0" w:color="auto"/>
              <w:right w:val="single" w:sz="4" w:space="0" w:color="auto"/>
            </w:tcBorders>
            <w:shd w:val="clear" w:color="auto" w:fill="FFFFFF"/>
          </w:tcPr>
          <w:p w14:paraId="051CE7EE" w14:textId="77777777" w:rsidR="003D03C2" w:rsidRPr="00907C67" w:rsidRDefault="003D03C2" w:rsidP="00BA4EFC">
            <w:pPr>
              <w:spacing w:after="0" w:line="240" w:lineRule="auto"/>
              <w:jc w:val="center"/>
              <w:rPr>
                <w:rFonts w:eastAsia="Calibri"/>
                <w:b/>
                <w:sz w:val="20"/>
                <w:highlight w:val="yellow"/>
              </w:rPr>
            </w:pPr>
          </w:p>
        </w:tc>
        <w:tc>
          <w:tcPr>
            <w:tcW w:w="10892" w:type="dxa"/>
            <w:gridSpan w:val="6"/>
            <w:tcBorders>
              <w:left w:val="single" w:sz="4" w:space="0" w:color="auto"/>
              <w:bottom w:val="single" w:sz="4" w:space="0" w:color="auto"/>
              <w:right w:val="single" w:sz="4" w:space="0" w:color="auto"/>
            </w:tcBorders>
            <w:shd w:val="clear" w:color="auto" w:fill="D9D9D9" w:themeFill="background1" w:themeFillShade="D9"/>
          </w:tcPr>
          <w:p w14:paraId="2E86274D" w14:textId="6F917B5B" w:rsidR="003D03C2" w:rsidRPr="00412C47" w:rsidRDefault="003D03C2" w:rsidP="00B73687">
            <w:pPr>
              <w:spacing w:after="0" w:line="240" w:lineRule="auto"/>
              <w:rPr>
                <w:rFonts w:eastAsia="Calibri"/>
                <w:sz w:val="18"/>
                <w:szCs w:val="18"/>
              </w:rPr>
            </w:pPr>
            <w:r w:rsidRPr="00412C47">
              <w:rPr>
                <w:rFonts w:ascii="Calibri" w:eastAsia="Calibri" w:hAnsi="Calibri" w:cs="Times New Roman"/>
                <w:b/>
                <w:sz w:val="18"/>
                <w:szCs w:val="18"/>
                <w:lang w:eastAsia="en-US"/>
              </w:rPr>
              <w:t xml:space="preserve">Indicator 2.4.2 Note: </w:t>
            </w:r>
            <w:r w:rsidRPr="00412C47">
              <w:rPr>
                <w:rFonts w:ascii="Calibri" w:eastAsia="Calibri" w:hAnsi="Calibri"/>
                <w:sz w:val="18"/>
                <w:szCs w:val="18"/>
              </w:rPr>
              <w:t xml:space="preserve">Qualitative indicator, through which the effectiveness of UNDP’s support (on demand </w:t>
            </w:r>
            <w:r w:rsidRPr="00412C47">
              <w:rPr>
                <w:sz w:val="18"/>
                <w:szCs w:val="18"/>
              </w:rPr>
              <w:t>from programme countries</w:t>
            </w:r>
            <w:r w:rsidRPr="00412C47">
              <w:rPr>
                <w:rFonts w:ascii="Calibri" w:eastAsia="Calibri" w:hAnsi="Calibri"/>
                <w:sz w:val="18"/>
                <w:szCs w:val="18"/>
              </w:rPr>
              <w:t>)</w:t>
            </w:r>
            <w:r w:rsidRPr="00412C47">
              <w:rPr>
                <w:sz w:val="18"/>
                <w:szCs w:val="18"/>
              </w:rPr>
              <w:t xml:space="preserve"> to</w:t>
            </w:r>
            <w:r w:rsidRPr="00412C47">
              <w:rPr>
                <w:rFonts w:eastAsia="Calibri"/>
                <w:sz w:val="18"/>
                <w:szCs w:val="18"/>
              </w:rPr>
              <w:t xml:space="preserve"> strengthened environments for civic engagement </w:t>
            </w:r>
            <w:r w:rsidR="00A047C8" w:rsidRPr="00412C47">
              <w:rPr>
                <w:rFonts w:ascii="Calibri" w:eastAsia="Calibri" w:hAnsi="Calibri"/>
                <w:sz w:val="18"/>
                <w:szCs w:val="18"/>
              </w:rPr>
              <w:t>is</w:t>
            </w:r>
            <w:r w:rsidRPr="00412C47">
              <w:rPr>
                <w:rFonts w:eastAsia="Calibri"/>
                <w:sz w:val="18"/>
                <w:szCs w:val="18"/>
              </w:rPr>
              <w:t xml:space="preserve"> tracked using a qualitative rating scale measuring the degree to which the environment (i.e., legal/regulatory frameworks and engagement platforms) has become more c</w:t>
            </w:r>
            <w:r w:rsidR="00583C76">
              <w:rPr>
                <w:rFonts w:eastAsia="Calibri"/>
                <w:sz w:val="18"/>
                <w:szCs w:val="18"/>
              </w:rPr>
              <w:t>onducive to civic engagement (1</w:t>
            </w:r>
            <w:r w:rsidRPr="00412C47">
              <w:rPr>
                <w:rFonts w:eastAsia="Calibri"/>
                <w:sz w:val="18"/>
                <w:szCs w:val="18"/>
              </w:rPr>
              <w:t>=low, 2=medium and 3=high) from January 2014 onwards; and count</w:t>
            </w:r>
            <w:r w:rsidR="00A047C8" w:rsidRPr="00412C47">
              <w:rPr>
                <w:rFonts w:eastAsia="Calibri"/>
                <w:sz w:val="18"/>
                <w:szCs w:val="18"/>
              </w:rPr>
              <w:t xml:space="preserve">ing countries where objective evidence exists that </w:t>
            </w:r>
            <w:r w:rsidRPr="00412C47">
              <w:rPr>
                <w:rFonts w:eastAsia="Calibri"/>
                <w:sz w:val="18"/>
                <w:szCs w:val="18"/>
              </w:rPr>
              <w:t xml:space="preserve">UNDP support has led to at least </w:t>
            </w:r>
            <w:r w:rsidR="00A047C8" w:rsidRPr="00412C47">
              <w:rPr>
                <w:rFonts w:eastAsia="Calibri"/>
                <w:sz w:val="18"/>
                <w:szCs w:val="18"/>
              </w:rPr>
              <w:t xml:space="preserve">a </w:t>
            </w:r>
            <w:r w:rsidRPr="00412C47">
              <w:rPr>
                <w:rFonts w:eastAsia="Calibri"/>
                <w:sz w:val="18"/>
                <w:szCs w:val="18"/>
              </w:rPr>
              <w:t>medium degree.</w:t>
            </w:r>
          </w:p>
          <w:p w14:paraId="40FA4916" w14:textId="1B43A744" w:rsidR="0090424B" w:rsidRPr="00412C47" w:rsidRDefault="003D03C2" w:rsidP="00A047C8">
            <w:pPr>
              <w:spacing w:after="0" w:line="240" w:lineRule="auto"/>
              <w:rPr>
                <w:rFonts w:eastAsia="Calibri"/>
                <w:sz w:val="18"/>
                <w:szCs w:val="18"/>
              </w:rPr>
            </w:pPr>
            <w:r w:rsidRPr="00412C47">
              <w:rPr>
                <w:rFonts w:eastAsia="Calibri"/>
                <w:b/>
                <w:sz w:val="18"/>
                <w:szCs w:val="18"/>
              </w:rPr>
              <w:t xml:space="preserve">2014 Reporting Note: </w:t>
            </w:r>
            <w:r w:rsidRPr="00412C47">
              <w:rPr>
                <w:rFonts w:eastAsia="Calibri"/>
                <w:sz w:val="18"/>
                <w:szCs w:val="18"/>
              </w:rPr>
              <w:t xml:space="preserve">2014 Milestones updated to reflect more complete reporting from country offices. For reference, </w:t>
            </w:r>
            <w:r w:rsidR="001D6717" w:rsidRPr="00412C47">
              <w:rPr>
                <w:rFonts w:eastAsia="Calibri"/>
                <w:sz w:val="18"/>
                <w:szCs w:val="18"/>
              </w:rPr>
              <w:t>previous baselines were</w:t>
            </w:r>
            <w:r w:rsidR="005A218D" w:rsidRPr="00412C47">
              <w:rPr>
                <w:rFonts w:eastAsia="Calibri"/>
                <w:sz w:val="18"/>
                <w:szCs w:val="18"/>
              </w:rPr>
              <w:t>:</w:t>
            </w:r>
            <w:r w:rsidR="001D6717" w:rsidRPr="00412C47">
              <w:rPr>
                <w:rFonts w:eastAsia="Calibri"/>
                <w:sz w:val="18"/>
                <w:szCs w:val="18"/>
              </w:rPr>
              <w:t xml:space="preserve"> </w:t>
            </w:r>
            <w:r w:rsidR="00220462" w:rsidRPr="00412C47">
              <w:rPr>
                <w:rFonts w:eastAsia="Calibri"/>
                <w:sz w:val="18"/>
                <w:szCs w:val="18"/>
              </w:rPr>
              <w:t>a) 15, b) 12, c) 12</w:t>
            </w:r>
            <w:r w:rsidR="005A218D" w:rsidRPr="00412C47">
              <w:rPr>
                <w:rFonts w:eastAsia="Calibri"/>
                <w:sz w:val="18"/>
                <w:szCs w:val="18"/>
              </w:rPr>
              <w:t>;</w:t>
            </w:r>
            <w:r w:rsidR="00220462" w:rsidRPr="00412C47">
              <w:rPr>
                <w:rFonts w:eastAsia="Calibri"/>
                <w:sz w:val="18"/>
                <w:szCs w:val="18"/>
              </w:rPr>
              <w:t xml:space="preserve"> </w:t>
            </w:r>
            <w:r w:rsidRPr="00412C47">
              <w:rPr>
                <w:rFonts w:eastAsia="Calibri"/>
                <w:sz w:val="18"/>
                <w:szCs w:val="18"/>
              </w:rPr>
              <w:t>previous 2014 milestones were: a) 20, b) 19, c) 22</w:t>
            </w:r>
            <w:r w:rsidR="009B2FA6" w:rsidRPr="00412C47">
              <w:rPr>
                <w:rFonts w:eastAsia="Calibri"/>
                <w:sz w:val="18"/>
                <w:szCs w:val="18"/>
              </w:rPr>
              <w:t xml:space="preserve">; previous targets were: a) </w:t>
            </w:r>
            <w:r w:rsidR="00C4484B" w:rsidRPr="00412C47">
              <w:rPr>
                <w:rFonts w:eastAsia="Calibri"/>
                <w:sz w:val="18"/>
                <w:szCs w:val="18"/>
              </w:rPr>
              <w:t>38, b) 40, c) 42</w:t>
            </w:r>
            <w:r w:rsidR="005A218D" w:rsidRPr="00412C47">
              <w:rPr>
                <w:rFonts w:eastAsia="Calibri"/>
                <w:sz w:val="18"/>
                <w:szCs w:val="18"/>
              </w:rPr>
              <w:t>.</w:t>
            </w:r>
            <w:r w:rsidR="00A047C8" w:rsidRPr="00412C47">
              <w:rPr>
                <w:rFonts w:eastAsia="Calibri"/>
                <w:sz w:val="18"/>
                <w:szCs w:val="18"/>
              </w:rPr>
              <w:t xml:space="preserve"> </w:t>
            </w:r>
            <w:r w:rsidR="0090424B" w:rsidRPr="00412C47">
              <w:rPr>
                <w:rFonts w:eastAsia="Calibri"/>
                <w:sz w:val="18"/>
                <w:szCs w:val="18"/>
              </w:rPr>
              <w:t>*2014 actual results data is missing for three countries expected to contribute to results, final results will be reported at a later date.</w:t>
            </w:r>
          </w:p>
        </w:tc>
      </w:tr>
      <w:tr w:rsidR="00405EF5" w:rsidRPr="00283732" w14:paraId="3780A087" w14:textId="77777777" w:rsidTr="00A047C8">
        <w:trPr>
          <w:trHeight w:val="431"/>
          <w:jc w:val="center"/>
        </w:trPr>
        <w:tc>
          <w:tcPr>
            <w:tcW w:w="3143" w:type="dxa"/>
            <w:vMerge w:val="restart"/>
            <w:tcBorders>
              <w:top w:val="single" w:sz="4" w:space="0" w:color="auto"/>
              <w:left w:val="single" w:sz="4" w:space="0" w:color="auto"/>
              <w:right w:val="single" w:sz="4" w:space="0" w:color="auto"/>
            </w:tcBorders>
            <w:shd w:val="clear" w:color="auto" w:fill="FFFFFF"/>
            <w:hideMark/>
          </w:tcPr>
          <w:p w14:paraId="19CDD518" w14:textId="59C08ED3" w:rsidR="00405EF5" w:rsidRDefault="00405EF5" w:rsidP="00434EF6">
            <w:pPr>
              <w:spacing w:after="0" w:line="240" w:lineRule="auto"/>
              <w:rPr>
                <w:rFonts w:eastAsia="Calibri"/>
                <w:sz w:val="20"/>
              </w:rPr>
            </w:pPr>
            <w:r w:rsidRPr="005A7A63">
              <w:rPr>
                <w:rFonts w:eastAsia="Calibri"/>
                <w:b/>
                <w:sz w:val="20"/>
              </w:rPr>
              <w:t>Output 2.5.</w:t>
            </w:r>
            <w:r w:rsidRPr="005A7A63">
              <w:rPr>
                <w:rFonts w:eastAsia="Calibri"/>
                <w:sz w:val="20"/>
              </w:rPr>
              <w:t xml:space="preserve"> Legal and regulatory frameworks, policies and institutions enabled to ensure the conservation, sustainable use, and access and benefit sharing of natural resources, biodiversity and ecosystems, in line with international conventions and national legislation</w:t>
            </w:r>
          </w:p>
          <w:p w14:paraId="0874C8B2" w14:textId="77777777" w:rsidR="00405EF5" w:rsidRDefault="00405EF5" w:rsidP="00457179">
            <w:pPr>
              <w:spacing w:after="0" w:line="240" w:lineRule="auto"/>
              <w:rPr>
                <w:rFonts w:eastAsia="Calibri"/>
                <w:sz w:val="20"/>
                <w:szCs w:val="20"/>
              </w:rPr>
            </w:pPr>
          </w:p>
          <w:p w14:paraId="03441961" w14:textId="7F2BD2BD" w:rsidR="00405EF5" w:rsidRPr="005A7A63" w:rsidRDefault="007A4E99" w:rsidP="00C7089E">
            <w:pPr>
              <w:spacing w:after="0" w:line="240" w:lineRule="auto"/>
              <w:rPr>
                <w:rFonts w:eastAsia="Calibri"/>
                <w:sz w:val="20"/>
              </w:rPr>
            </w:pPr>
            <w:r w:rsidRPr="00B359E7">
              <w:rPr>
                <w:rFonts w:ascii="Calibri" w:eastAsia="Calibri" w:hAnsi="Calibri"/>
                <w:b/>
                <w:i/>
                <w:color w:val="000000"/>
                <w:sz w:val="18"/>
                <w:szCs w:val="18"/>
              </w:rPr>
              <w:t>Number of countries linked:</w:t>
            </w:r>
            <w:r>
              <w:rPr>
                <w:rFonts w:ascii="Calibri" w:eastAsia="Calibri" w:hAnsi="Calibri"/>
                <w:b/>
                <w:color w:val="000000"/>
                <w:sz w:val="18"/>
                <w:szCs w:val="18"/>
              </w:rPr>
              <w:t xml:space="preserve"> 8</w:t>
            </w:r>
            <w:r w:rsidR="00C7089E">
              <w:rPr>
                <w:rFonts w:ascii="Calibri" w:eastAsia="Calibri" w:hAnsi="Calibri"/>
                <w:b/>
                <w:color w:val="000000"/>
                <w:sz w:val="18"/>
                <w:szCs w:val="18"/>
              </w:rPr>
              <w:t>1</w:t>
            </w:r>
            <w:r>
              <w:rPr>
                <w:rFonts w:ascii="Calibri" w:eastAsia="Calibri" w:hAnsi="Calibri"/>
                <w:b/>
                <w:color w:val="000000"/>
                <w:sz w:val="18"/>
                <w:szCs w:val="18"/>
              </w:rPr>
              <w:t xml:space="preserve"> (February 2015</w:t>
            </w:r>
            <w:r w:rsidRPr="00B359E7">
              <w:rPr>
                <w:rFonts w:ascii="Calibri" w:eastAsia="Calibri" w:hAnsi="Calibri"/>
                <w:b/>
                <w:color w:val="000000"/>
                <w:sz w:val="18"/>
                <w:szCs w:val="18"/>
              </w:rPr>
              <w:t>)</w:t>
            </w:r>
          </w:p>
        </w:tc>
        <w:tc>
          <w:tcPr>
            <w:tcW w:w="900" w:type="dxa"/>
            <w:vMerge w:val="restart"/>
            <w:tcBorders>
              <w:top w:val="single" w:sz="4" w:space="0" w:color="auto"/>
              <w:left w:val="single" w:sz="4" w:space="0" w:color="auto"/>
              <w:right w:val="single" w:sz="4" w:space="0" w:color="auto"/>
            </w:tcBorders>
            <w:shd w:val="clear" w:color="auto" w:fill="FFFFFF"/>
            <w:hideMark/>
          </w:tcPr>
          <w:p w14:paraId="668E4101" w14:textId="77777777" w:rsidR="00405EF5" w:rsidRPr="0032657A" w:rsidRDefault="00405EF5" w:rsidP="00BA4EFC">
            <w:pPr>
              <w:spacing w:after="0" w:line="240" w:lineRule="auto"/>
              <w:jc w:val="center"/>
              <w:rPr>
                <w:rFonts w:eastAsia="Calibri"/>
                <w:b/>
                <w:sz w:val="20"/>
              </w:rPr>
            </w:pPr>
            <w:r w:rsidRPr="0032657A">
              <w:rPr>
                <w:rFonts w:eastAsia="Calibri"/>
                <w:b/>
                <w:sz w:val="20"/>
              </w:rPr>
              <w:t>2.5.1</w:t>
            </w:r>
          </w:p>
        </w:tc>
        <w:tc>
          <w:tcPr>
            <w:tcW w:w="5310" w:type="dxa"/>
            <w:tcBorders>
              <w:top w:val="single" w:sz="4" w:space="0" w:color="auto"/>
              <w:left w:val="single" w:sz="4" w:space="0" w:color="auto"/>
              <w:bottom w:val="single" w:sz="4" w:space="0" w:color="auto"/>
              <w:right w:val="single" w:sz="4" w:space="0" w:color="auto"/>
            </w:tcBorders>
            <w:shd w:val="clear" w:color="auto" w:fill="FFFFFF"/>
            <w:hideMark/>
          </w:tcPr>
          <w:p w14:paraId="7A60A7FE" w14:textId="77777777" w:rsidR="00405EF5" w:rsidRPr="00412C47" w:rsidRDefault="00405EF5" w:rsidP="00434EF6">
            <w:pPr>
              <w:spacing w:after="0" w:line="240" w:lineRule="auto"/>
              <w:rPr>
                <w:rFonts w:eastAsia="Calibri"/>
                <w:b/>
                <w:sz w:val="20"/>
              </w:rPr>
            </w:pPr>
            <w:r w:rsidRPr="00412C47">
              <w:rPr>
                <w:rFonts w:eastAsia="Calibri"/>
                <w:color w:val="000000"/>
                <w:sz w:val="20"/>
              </w:rPr>
              <w:t xml:space="preserve">Number of countries with </w:t>
            </w:r>
            <w:r w:rsidRPr="00412C47">
              <w:rPr>
                <w:rFonts w:eastAsia="Calibri"/>
                <w:b/>
                <w:color w:val="000000"/>
                <w:sz w:val="20"/>
              </w:rPr>
              <w:t>legal, policy and institutional frameworks</w:t>
            </w:r>
            <w:r w:rsidRPr="00412C47">
              <w:rPr>
                <w:rFonts w:eastAsia="Calibri"/>
                <w:color w:val="000000"/>
                <w:sz w:val="20"/>
              </w:rPr>
              <w:t xml:space="preserve"> in place for conservation, sustainable </w:t>
            </w:r>
            <w:r w:rsidRPr="00412C47">
              <w:rPr>
                <w:rFonts w:eastAsia="Calibri"/>
                <w:b/>
                <w:color w:val="000000"/>
                <w:sz w:val="20"/>
              </w:rPr>
              <w:t xml:space="preserve">use, and access and benefit sharing </w:t>
            </w:r>
            <w:r w:rsidRPr="00412C47">
              <w:rPr>
                <w:rFonts w:eastAsia="Calibri"/>
                <w:b/>
                <w:sz w:val="20"/>
              </w:rPr>
              <w:t>of natural resources, biodiversity and ecosystems.</w:t>
            </w:r>
          </w:p>
          <w:p w14:paraId="6919A9F1" w14:textId="5F8746A5" w:rsidR="00405EF5" w:rsidRPr="00412C47" w:rsidRDefault="00405EF5" w:rsidP="006F161D">
            <w:pPr>
              <w:pStyle w:val="ListParagraph"/>
              <w:numPr>
                <w:ilvl w:val="0"/>
                <w:numId w:val="26"/>
              </w:numPr>
              <w:rPr>
                <w:rFonts w:eastAsia="Calibri"/>
                <w:sz w:val="20"/>
              </w:rPr>
            </w:pPr>
            <w:r w:rsidRPr="00412C47">
              <w:rPr>
                <w:rFonts w:eastAsia="Calibri"/>
                <w:sz w:val="20"/>
              </w:rPr>
              <w:t xml:space="preserve">Legal frameworks </w:t>
            </w:r>
          </w:p>
          <w:p w14:paraId="18996755" w14:textId="28E58088" w:rsidR="00405EF5" w:rsidRPr="00412C47" w:rsidRDefault="00405EF5" w:rsidP="006F161D">
            <w:pPr>
              <w:pStyle w:val="ListParagraph"/>
              <w:numPr>
                <w:ilvl w:val="0"/>
                <w:numId w:val="26"/>
              </w:numPr>
              <w:rPr>
                <w:rFonts w:eastAsia="Calibri"/>
                <w:sz w:val="20"/>
              </w:rPr>
            </w:pPr>
            <w:r w:rsidRPr="00412C47">
              <w:rPr>
                <w:rFonts w:eastAsia="Calibri"/>
                <w:sz w:val="20"/>
              </w:rPr>
              <w:t xml:space="preserve">Policy frameworks </w:t>
            </w:r>
          </w:p>
          <w:p w14:paraId="3235FFD2" w14:textId="77777777" w:rsidR="00405EF5" w:rsidRPr="00412C47" w:rsidRDefault="007E66CF" w:rsidP="006F161D">
            <w:pPr>
              <w:pStyle w:val="ListParagraph"/>
              <w:numPr>
                <w:ilvl w:val="0"/>
                <w:numId w:val="26"/>
              </w:numPr>
              <w:rPr>
                <w:rFonts w:eastAsia="Calibri"/>
                <w:sz w:val="20"/>
              </w:rPr>
            </w:pPr>
            <w:r w:rsidRPr="00412C47">
              <w:rPr>
                <w:rFonts w:eastAsia="Calibri"/>
                <w:sz w:val="20"/>
              </w:rPr>
              <w:t>Institutional frameworks</w:t>
            </w:r>
          </w:p>
          <w:p w14:paraId="501DE71E" w14:textId="04E752B8" w:rsidR="008376B6" w:rsidRPr="00412C47" w:rsidRDefault="008376B6" w:rsidP="0090424B">
            <w:pPr>
              <w:spacing w:before="240" w:after="0"/>
              <w:rPr>
                <w:rFonts w:eastAsia="Calibri"/>
                <w:sz w:val="20"/>
              </w:rPr>
            </w:pPr>
            <w:r w:rsidRPr="00412C47">
              <w:rPr>
                <w:rFonts w:eastAsia="Calibri"/>
                <w:b/>
                <w:i/>
                <w:sz w:val="18"/>
                <w:szCs w:val="18"/>
              </w:rPr>
              <w:t xml:space="preserve">Number of countries </w:t>
            </w:r>
            <w:r w:rsidR="00983FF8" w:rsidRPr="00412C47">
              <w:rPr>
                <w:rFonts w:eastAsia="Calibri"/>
                <w:b/>
                <w:i/>
                <w:sz w:val="18"/>
                <w:szCs w:val="18"/>
              </w:rPr>
              <w:t>for which a 2017 target has currently been set under this indicator</w:t>
            </w:r>
            <w:r w:rsidR="00AE78D6" w:rsidRPr="00412C47">
              <w:rPr>
                <w:rFonts w:eastAsia="Calibri"/>
                <w:b/>
                <w:i/>
                <w:sz w:val="18"/>
                <w:szCs w:val="18"/>
              </w:rPr>
              <w:t>: a) 78, b) 83, c) 80</w:t>
            </w:r>
          </w:p>
        </w:tc>
        <w:tc>
          <w:tcPr>
            <w:tcW w:w="1350" w:type="dxa"/>
            <w:tcBorders>
              <w:top w:val="single" w:sz="4" w:space="0" w:color="auto"/>
              <w:left w:val="single" w:sz="4" w:space="0" w:color="auto"/>
              <w:right w:val="single" w:sz="4" w:space="0" w:color="auto"/>
            </w:tcBorders>
            <w:shd w:val="clear" w:color="auto" w:fill="FFFFFF"/>
          </w:tcPr>
          <w:p w14:paraId="0D74A8A8" w14:textId="77777777" w:rsidR="00A047C8" w:rsidRDefault="00A047C8" w:rsidP="00A047C8">
            <w:pPr>
              <w:spacing w:after="0" w:line="240" w:lineRule="auto"/>
              <w:jc w:val="center"/>
              <w:rPr>
                <w:sz w:val="20"/>
              </w:rPr>
            </w:pPr>
          </w:p>
          <w:p w14:paraId="4F76FD69" w14:textId="77777777" w:rsidR="00A047C8" w:rsidRDefault="00A047C8" w:rsidP="00A047C8">
            <w:pPr>
              <w:spacing w:after="0" w:line="240" w:lineRule="auto"/>
              <w:jc w:val="center"/>
              <w:rPr>
                <w:sz w:val="20"/>
              </w:rPr>
            </w:pPr>
          </w:p>
          <w:p w14:paraId="22E490D2" w14:textId="77777777" w:rsidR="00A047C8" w:rsidRDefault="00A047C8" w:rsidP="00A047C8">
            <w:pPr>
              <w:spacing w:after="0" w:line="240" w:lineRule="auto"/>
              <w:jc w:val="center"/>
              <w:rPr>
                <w:sz w:val="20"/>
              </w:rPr>
            </w:pPr>
          </w:p>
          <w:p w14:paraId="35947C71" w14:textId="77777777" w:rsidR="00A047C8" w:rsidRDefault="00A047C8" w:rsidP="00A047C8">
            <w:pPr>
              <w:spacing w:after="0" w:line="240" w:lineRule="auto"/>
              <w:jc w:val="center"/>
              <w:rPr>
                <w:sz w:val="20"/>
              </w:rPr>
            </w:pPr>
          </w:p>
          <w:p w14:paraId="26384F6E" w14:textId="146FE826" w:rsidR="00405EF5" w:rsidRPr="005C384A" w:rsidRDefault="00337F31" w:rsidP="00A047C8">
            <w:pPr>
              <w:spacing w:after="0" w:line="240" w:lineRule="auto"/>
              <w:jc w:val="center"/>
              <w:rPr>
                <w:sz w:val="20"/>
              </w:rPr>
            </w:pPr>
            <w:r>
              <w:rPr>
                <w:sz w:val="20"/>
              </w:rPr>
              <w:t>13</w:t>
            </w:r>
          </w:p>
          <w:p w14:paraId="594BE728" w14:textId="77777777" w:rsidR="00405EF5" w:rsidRPr="005C384A" w:rsidRDefault="00405EF5" w:rsidP="00A047C8">
            <w:pPr>
              <w:spacing w:after="0" w:line="240" w:lineRule="auto"/>
              <w:jc w:val="center"/>
              <w:rPr>
                <w:sz w:val="20"/>
              </w:rPr>
            </w:pPr>
            <w:r w:rsidRPr="005C384A">
              <w:rPr>
                <w:sz w:val="20"/>
              </w:rPr>
              <w:t>10</w:t>
            </w:r>
          </w:p>
          <w:p w14:paraId="772F7004" w14:textId="77777777" w:rsidR="00405EF5" w:rsidRDefault="00337F31" w:rsidP="00A047C8">
            <w:pPr>
              <w:spacing w:after="0" w:line="240" w:lineRule="auto"/>
              <w:jc w:val="center"/>
              <w:rPr>
                <w:sz w:val="20"/>
              </w:rPr>
            </w:pPr>
            <w:r>
              <w:rPr>
                <w:sz w:val="20"/>
              </w:rPr>
              <w:t>10</w:t>
            </w:r>
          </w:p>
          <w:p w14:paraId="4FEFCC36" w14:textId="70C673D9" w:rsidR="00897675" w:rsidRPr="005C384A" w:rsidRDefault="00897675" w:rsidP="00A047C8">
            <w:pPr>
              <w:spacing w:after="0" w:line="240" w:lineRule="auto"/>
              <w:rPr>
                <w:sz w:val="20"/>
              </w:rPr>
            </w:pPr>
          </w:p>
        </w:tc>
        <w:tc>
          <w:tcPr>
            <w:tcW w:w="1262" w:type="dxa"/>
            <w:tcBorders>
              <w:top w:val="single" w:sz="4" w:space="0" w:color="auto"/>
              <w:left w:val="single" w:sz="4" w:space="0" w:color="auto"/>
              <w:right w:val="single" w:sz="4" w:space="0" w:color="auto"/>
            </w:tcBorders>
            <w:shd w:val="clear" w:color="auto" w:fill="FFFFFF"/>
          </w:tcPr>
          <w:p w14:paraId="1C76BEB7" w14:textId="77777777" w:rsidR="00A047C8" w:rsidRDefault="00A047C8" w:rsidP="00A047C8">
            <w:pPr>
              <w:spacing w:after="0" w:line="240" w:lineRule="auto"/>
              <w:jc w:val="center"/>
              <w:rPr>
                <w:sz w:val="20"/>
              </w:rPr>
            </w:pPr>
          </w:p>
          <w:p w14:paraId="127F26C9" w14:textId="77777777" w:rsidR="00A047C8" w:rsidRDefault="00A047C8" w:rsidP="00A047C8">
            <w:pPr>
              <w:spacing w:after="0" w:line="240" w:lineRule="auto"/>
              <w:jc w:val="center"/>
              <w:rPr>
                <w:sz w:val="20"/>
              </w:rPr>
            </w:pPr>
          </w:p>
          <w:p w14:paraId="32FF9841" w14:textId="77777777" w:rsidR="00A047C8" w:rsidRDefault="00A047C8" w:rsidP="00A047C8">
            <w:pPr>
              <w:spacing w:after="0" w:line="240" w:lineRule="auto"/>
              <w:jc w:val="center"/>
              <w:rPr>
                <w:sz w:val="20"/>
              </w:rPr>
            </w:pPr>
          </w:p>
          <w:p w14:paraId="16E3649D" w14:textId="77777777" w:rsidR="00A047C8" w:rsidRDefault="00A047C8" w:rsidP="00A047C8">
            <w:pPr>
              <w:spacing w:after="0" w:line="240" w:lineRule="auto"/>
              <w:jc w:val="center"/>
              <w:rPr>
                <w:sz w:val="20"/>
              </w:rPr>
            </w:pPr>
          </w:p>
          <w:p w14:paraId="3D7A15EC" w14:textId="5C23894F" w:rsidR="00405EF5" w:rsidRPr="005C384A" w:rsidRDefault="003D03C2" w:rsidP="00A047C8">
            <w:pPr>
              <w:spacing w:after="0" w:line="240" w:lineRule="auto"/>
              <w:jc w:val="center"/>
              <w:rPr>
                <w:sz w:val="20"/>
              </w:rPr>
            </w:pPr>
            <w:r>
              <w:rPr>
                <w:sz w:val="20"/>
              </w:rPr>
              <w:t>25</w:t>
            </w:r>
          </w:p>
          <w:p w14:paraId="0FA7E491" w14:textId="69813294" w:rsidR="00405EF5" w:rsidRPr="005C384A" w:rsidRDefault="003D03C2" w:rsidP="00A047C8">
            <w:pPr>
              <w:spacing w:after="0" w:line="240" w:lineRule="auto"/>
              <w:jc w:val="center"/>
              <w:rPr>
                <w:sz w:val="20"/>
              </w:rPr>
            </w:pPr>
            <w:r>
              <w:rPr>
                <w:sz w:val="20"/>
              </w:rPr>
              <w:t>15</w:t>
            </w:r>
          </w:p>
          <w:p w14:paraId="1E879AAC" w14:textId="77777777" w:rsidR="00405EF5" w:rsidRDefault="003D03C2" w:rsidP="00A047C8">
            <w:pPr>
              <w:spacing w:after="0" w:line="240" w:lineRule="auto"/>
              <w:jc w:val="center"/>
              <w:rPr>
                <w:sz w:val="20"/>
              </w:rPr>
            </w:pPr>
            <w:r>
              <w:rPr>
                <w:sz w:val="20"/>
              </w:rPr>
              <w:t>20</w:t>
            </w:r>
          </w:p>
          <w:p w14:paraId="36F83C62" w14:textId="313ECD9A" w:rsidR="00897675" w:rsidRPr="005C384A" w:rsidRDefault="00897675" w:rsidP="00A047C8">
            <w:pPr>
              <w:spacing w:after="0" w:line="240" w:lineRule="auto"/>
              <w:rPr>
                <w:sz w:val="20"/>
              </w:rPr>
            </w:pPr>
          </w:p>
        </w:tc>
        <w:tc>
          <w:tcPr>
            <w:tcW w:w="1046" w:type="dxa"/>
            <w:tcBorders>
              <w:top w:val="single" w:sz="4" w:space="0" w:color="auto"/>
              <w:left w:val="single" w:sz="4" w:space="0" w:color="auto"/>
              <w:right w:val="single" w:sz="4" w:space="0" w:color="auto"/>
            </w:tcBorders>
            <w:shd w:val="clear" w:color="auto" w:fill="FFFFFF"/>
          </w:tcPr>
          <w:p w14:paraId="1280C80A" w14:textId="77777777" w:rsidR="00A047C8" w:rsidRDefault="00A047C8" w:rsidP="00A047C8">
            <w:pPr>
              <w:spacing w:after="0" w:line="240" w:lineRule="auto"/>
              <w:jc w:val="center"/>
              <w:rPr>
                <w:sz w:val="20"/>
              </w:rPr>
            </w:pPr>
          </w:p>
          <w:p w14:paraId="7186D39D" w14:textId="77777777" w:rsidR="00A047C8" w:rsidRDefault="00A047C8" w:rsidP="00A047C8">
            <w:pPr>
              <w:spacing w:after="0" w:line="240" w:lineRule="auto"/>
              <w:jc w:val="center"/>
              <w:rPr>
                <w:sz w:val="20"/>
              </w:rPr>
            </w:pPr>
          </w:p>
          <w:p w14:paraId="5C711FC6" w14:textId="77777777" w:rsidR="00A047C8" w:rsidRDefault="00A047C8" w:rsidP="00A047C8">
            <w:pPr>
              <w:spacing w:after="0" w:line="240" w:lineRule="auto"/>
              <w:jc w:val="center"/>
              <w:rPr>
                <w:sz w:val="20"/>
              </w:rPr>
            </w:pPr>
          </w:p>
          <w:p w14:paraId="7ADCE4F0" w14:textId="77777777" w:rsidR="00A047C8" w:rsidRDefault="00A047C8" w:rsidP="00A047C8">
            <w:pPr>
              <w:spacing w:after="0" w:line="240" w:lineRule="auto"/>
              <w:jc w:val="center"/>
              <w:rPr>
                <w:sz w:val="20"/>
              </w:rPr>
            </w:pPr>
          </w:p>
          <w:p w14:paraId="516254F3" w14:textId="31B55A5B" w:rsidR="00405EF5" w:rsidRDefault="003D03C2" w:rsidP="00A047C8">
            <w:pPr>
              <w:spacing w:after="0" w:line="240" w:lineRule="auto"/>
              <w:jc w:val="center"/>
              <w:rPr>
                <w:sz w:val="20"/>
              </w:rPr>
            </w:pPr>
            <w:r>
              <w:rPr>
                <w:sz w:val="20"/>
              </w:rPr>
              <w:t>2</w:t>
            </w:r>
            <w:r w:rsidR="00DC5F00">
              <w:rPr>
                <w:sz w:val="20"/>
              </w:rPr>
              <w:t>3</w:t>
            </w:r>
            <w:r w:rsidR="00897675">
              <w:rPr>
                <w:sz w:val="20"/>
              </w:rPr>
              <w:t>*</w:t>
            </w:r>
          </w:p>
          <w:p w14:paraId="797A33B6" w14:textId="741A3311" w:rsidR="003D03C2" w:rsidRDefault="00DC5F00" w:rsidP="00A047C8">
            <w:pPr>
              <w:spacing w:after="0" w:line="240" w:lineRule="auto"/>
              <w:jc w:val="center"/>
              <w:rPr>
                <w:sz w:val="20"/>
              </w:rPr>
            </w:pPr>
            <w:r>
              <w:rPr>
                <w:sz w:val="20"/>
              </w:rPr>
              <w:t>18</w:t>
            </w:r>
            <w:r w:rsidR="00897675">
              <w:rPr>
                <w:sz w:val="20"/>
              </w:rPr>
              <w:t>*</w:t>
            </w:r>
          </w:p>
          <w:p w14:paraId="2D78DDEE" w14:textId="4B21493A" w:rsidR="003D03C2" w:rsidRDefault="00DC5F00" w:rsidP="00A047C8">
            <w:pPr>
              <w:spacing w:after="0" w:line="240" w:lineRule="auto"/>
              <w:jc w:val="center"/>
              <w:rPr>
                <w:sz w:val="20"/>
              </w:rPr>
            </w:pPr>
            <w:r>
              <w:rPr>
                <w:sz w:val="20"/>
              </w:rPr>
              <w:t>19</w:t>
            </w:r>
            <w:r w:rsidR="00897675">
              <w:rPr>
                <w:sz w:val="20"/>
              </w:rPr>
              <w:t>*</w:t>
            </w:r>
          </w:p>
          <w:p w14:paraId="38E5DEC0" w14:textId="2AAAD80F" w:rsidR="00897675" w:rsidRPr="005C384A" w:rsidRDefault="00897675" w:rsidP="00A047C8">
            <w:pPr>
              <w:spacing w:after="0" w:line="240" w:lineRule="auto"/>
              <w:rPr>
                <w:sz w:val="20"/>
              </w:rPr>
            </w:pPr>
          </w:p>
        </w:tc>
        <w:tc>
          <w:tcPr>
            <w:tcW w:w="1924" w:type="dxa"/>
            <w:gridSpan w:val="2"/>
            <w:tcBorders>
              <w:top w:val="single" w:sz="4" w:space="0" w:color="auto"/>
              <w:left w:val="single" w:sz="4" w:space="0" w:color="auto"/>
              <w:right w:val="single" w:sz="4" w:space="0" w:color="auto"/>
            </w:tcBorders>
            <w:shd w:val="clear" w:color="auto" w:fill="FFFFFF"/>
          </w:tcPr>
          <w:p w14:paraId="0747CE9E" w14:textId="77777777" w:rsidR="00A047C8" w:rsidRDefault="00A047C8" w:rsidP="00A047C8">
            <w:pPr>
              <w:spacing w:after="0" w:line="240" w:lineRule="auto"/>
              <w:jc w:val="center"/>
              <w:rPr>
                <w:sz w:val="20"/>
              </w:rPr>
            </w:pPr>
          </w:p>
          <w:p w14:paraId="68CE2796" w14:textId="77777777" w:rsidR="00A047C8" w:rsidRDefault="00A047C8" w:rsidP="00A047C8">
            <w:pPr>
              <w:spacing w:after="0" w:line="240" w:lineRule="auto"/>
              <w:jc w:val="center"/>
              <w:rPr>
                <w:sz w:val="20"/>
              </w:rPr>
            </w:pPr>
          </w:p>
          <w:p w14:paraId="47D19B6E" w14:textId="77777777" w:rsidR="00A047C8" w:rsidRDefault="00A047C8" w:rsidP="00A047C8">
            <w:pPr>
              <w:spacing w:after="0" w:line="240" w:lineRule="auto"/>
              <w:jc w:val="center"/>
              <w:rPr>
                <w:sz w:val="20"/>
              </w:rPr>
            </w:pPr>
          </w:p>
          <w:p w14:paraId="4F44A10E" w14:textId="77777777" w:rsidR="00A047C8" w:rsidRDefault="00A047C8" w:rsidP="00A047C8">
            <w:pPr>
              <w:spacing w:after="0" w:line="240" w:lineRule="auto"/>
              <w:jc w:val="center"/>
              <w:rPr>
                <w:sz w:val="20"/>
              </w:rPr>
            </w:pPr>
          </w:p>
          <w:p w14:paraId="659F3A1F" w14:textId="11450157" w:rsidR="00405EF5" w:rsidRPr="005C384A" w:rsidRDefault="009B2FA6" w:rsidP="00A047C8">
            <w:pPr>
              <w:spacing w:after="0" w:line="240" w:lineRule="auto"/>
              <w:jc w:val="center"/>
              <w:rPr>
                <w:sz w:val="20"/>
              </w:rPr>
            </w:pPr>
            <w:r>
              <w:rPr>
                <w:sz w:val="20"/>
              </w:rPr>
              <w:t>62</w:t>
            </w:r>
          </w:p>
          <w:p w14:paraId="2885B751" w14:textId="06E0B81B" w:rsidR="00405EF5" w:rsidRPr="005C384A" w:rsidRDefault="009B2FA6" w:rsidP="00A047C8">
            <w:pPr>
              <w:spacing w:after="0" w:line="240" w:lineRule="auto"/>
              <w:jc w:val="center"/>
              <w:rPr>
                <w:sz w:val="20"/>
              </w:rPr>
            </w:pPr>
            <w:r>
              <w:rPr>
                <w:sz w:val="20"/>
              </w:rPr>
              <w:t>60</w:t>
            </w:r>
          </w:p>
          <w:p w14:paraId="018712D7" w14:textId="77777777" w:rsidR="00405EF5" w:rsidRDefault="00405EF5" w:rsidP="00A047C8">
            <w:pPr>
              <w:spacing w:after="0" w:line="240" w:lineRule="auto"/>
              <w:jc w:val="center"/>
              <w:rPr>
                <w:sz w:val="20"/>
              </w:rPr>
            </w:pPr>
            <w:r w:rsidRPr="005C384A">
              <w:rPr>
                <w:sz w:val="20"/>
              </w:rPr>
              <w:t>5</w:t>
            </w:r>
            <w:r w:rsidR="009B2FA6">
              <w:rPr>
                <w:sz w:val="20"/>
              </w:rPr>
              <w:t>8</w:t>
            </w:r>
          </w:p>
          <w:p w14:paraId="2CD6622A" w14:textId="0117D0FB" w:rsidR="00897675" w:rsidRPr="005C384A" w:rsidRDefault="00897675" w:rsidP="00A047C8">
            <w:pPr>
              <w:spacing w:after="0" w:line="240" w:lineRule="auto"/>
              <w:rPr>
                <w:sz w:val="20"/>
              </w:rPr>
            </w:pPr>
          </w:p>
        </w:tc>
      </w:tr>
      <w:tr w:rsidR="003D03C2" w:rsidRPr="00283732" w14:paraId="749C228E" w14:textId="77777777" w:rsidTr="004C3CB2">
        <w:trPr>
          <w:trHeight w:val="431"/>
          <w:jc w:val="center"/>
        </w:trPr>
        <w:tc>
          <w:tcPr>
            <w:tcW w:w="3143" w:type="dxa"/>
            <w:vMerge/>
            <w:tcBorders>
              <w:left w:val="single" w:sz="4" w:space="0" w:color="auto"/>
              <w:right w:val="single" w:sz="4" w:space="0" w:color="auto"/>
            </w:tcBorders>
            <w:shd w:val="clear" w:color="auto" w:fill="FFFFFF"/>
          </w:tcPr>
          <w:p w14:paraId="5C9B2884" w14:textId="601EB544" w:rsidR="003D03C2" w:rsidRPr="005A7A63" w:rsidRDefault="003D03C2" w:rsidP="00434EF6">
            <w:pPr>
              <w:spacing w:after="0" w:line="240" w:lineRule="auto"/>
              <w:rPr>
                <w:rFonts w:eastAsia="Calibri"/>
                <w:b/>
                <w:sz w:val="20"/>
              </w:rPr>
            </w:pPr>
          </w:p>
        </w:tc>
        <w:tc>
          <w:tcPr>
            <w:tcW w:w="900" w:type="dxa"/>
            <w:vMerge/>
            <w:tcBorders>
              <w:left w:val="single" w:sz="4" w:space="0" w:color="auto"/>
              <w:bottom w:val="single" w:sz="4" w:space="0" w:color="auto"/>
              <w:right w:val="single" w:sz="4" w:space="0" w:color="auto"/>
            </w:tcBorders>
            <w:shd w:val="clear" w:color="auto" w:fill="FFFFFF"/>
          </w:tcPr>
          <w:p w14:paraId="476E491D" w14:textId="77777777" w:rsidR="003D03C2" w:rsidRPr="00907C67" w:rsidRDefault="003D03C2" w:rsidP="00BA4EFC">
            <w:pPr>
              <w:spacing w:after="0" w:line="240" w:lineRule="auto"/>
              <w:jc w:val="center"/>
              <w:rPr>
                <w:rFonts w:eastAsia="Calibri"/>
                <w:b/>
                <w:sz w:val="20"/>
                <w:highlight w:val="yellow"/>
              </w:rPr>
            </w:pPr>
          </w:p>
        </w:tc>
        <w:tc>
          <w:tcPr>
            <w:tcW w:w="10892" w:type="dxa"/>
            <w:gridSpan w:val="6"/>
            <w:tcBorders>
              <w:left w:val="single" w:sz="4" w:space="0" w:color="auto"/>
              <w:bottom w:val="single" w:sz="4" w:space="0" w:color="auto"/>
              <w:right w:val="single" w:sz="4" w:space="0" w:color="auto"/>
            </w:tcBorders>
            <w:shd w:val="clear" w:color="auto" w:fill="D9D9D9" w:themeFill="background1" w:themeFillShade="D9"/>
          </w:tcPr>
          <w:p w14:paraId="515EE095" w14:textId="2123B7DF" w:rsidR="003D03C2" w:rsidRPr="00A047C8" w:rsidRDefault="003D03C2" w:rsidP="00B73687">
            <w:pPr>
              <w:spacing w:after="0" w:line="240" w:lineRule="auto"/>
              <w:rPr>
                <w:rFonts w:ascii="Calibri" w:eastAsia="Calibri" w:hAnsi="Calibri"/>
                <w:sz w:val="18"/>
                <w:szCs w:val="18"/>
              </w:rPr>
            </w:pPr>
            <w:r w:rsidRPr="00A047C8">
              <w:rPr>
                <w:b/>
                <w:sz w:val="18"/>
                <w:szCs w:val="18"/>
              </w:rPr>
              <w:t>Indicator 2.5.1 Note:</w:t>
            </w:r>
            <w:r w:rsidRPr="00A047C8">
              <w:rPr>
                <w:sz w:val="18"/>
                <w:szCs w:val="18"/>
              </w:rPr>
              <w:t xml:space="preserve"> </w:t>
            </w:r>
            <w:r w:rsidRPr="00A047C8">
              <w:rPr>
                <w:rFonts w:ascii="Calibri" w:eastAsia="Calibri" w:hAnsi="Calibri"/>
                <w:sz w:val="18"/>
                <w:szCs w:val="18"/>
              </w:rPr>
              <w:t xml:space="preserve">Qualitative indicator, through which the effectiveness of UNDP’s support (on demand </w:t>
            </w:r>
            <w:r w:rsidRPr="00A047C8">
              <w:rPr>
                <w:sz w:val="18"/>
                <w:szCs w:val="18"/>
              </w:rPr>
              <w:t>from programme countries</w:t>
            </w:r>
            <w:r w:rsidRPr="00A047C8">
              <w:rPr>
                <w:rFonts w:ascii="Calibri" w:eastAsia="Calibri" w:hAnsi="Calibri"/>
                <w:sz w:val="18"/>
                <w:szCs w:val="18"/>
              </w:rPr>
              <w:t>)</w:t>
            </w:r>
            <w:r w:rsidRPr="00A047C8">
              <w:rPr>
                <w:sz w:val="18"/>
                <w:szCs w:val="18"/>
              </w:rPr>
              <w:t xml:space="preserve"> to</w:t>
            </w:r>
            <w:r w:rsidRPr="00A047C8">
              <w:rPr>
                <w:rFonts w:eastAsia="Calibri"/>
                <w:sz w:val="18"/>
                <w:szCs w:val="18"/>
              </w:rPr>
              <w:t xml:space="preserve"> put in place </w:t>
            </w:r>
            <w:r w:rsidRPr="00A047C8">
              <w:rPr>
                <w:sz w:val="18"/>
                <w:szCs w:val="18"/>
              </w:rPr>
              <w:t xml:space="preserve">(a) legal, (b) policy and/or (c) institutional </w:t>
            </w:r>
            <w:r w:rsidRPr="00A047C8">
              <w:rPr>
                <w:rFonts w:eastAsia="Calibri"/>
                <w:sz w:val="18"/>
                <w:szCs w:val="18"/>
              </w:rPr>
              <w:t xml:space="preserve">frameworks </w:t>
            </w:r>
            <w:r w:rsidRPr="00A047C8">
              <w:rPr>
                <w:sz w:val="18"/>
                <w:szCs w:val="18"/>
              </w:rPr>
              <w:t xml:space="preserve">for conservation, sustainable use, and access and benefit sharing of natural resources, biodiversity and ecosystems </w:t>
            </w:r>
            <w:r w:rsidRPr="00A047C8">
              <w:rPr>
                <w:rFonts w:ascii="Calibri" w:eastAsia="Calibri" w:hAnsi="Calibri"/>
                <w:sz w:val="18"/>
                <w:szCs w:val="18"/>
              </w:rPr>
              <w:t xml:space="preserve">is </w:t>
            </w:r>
            <w:r w:rsidRPr="00A047C8">
              <w:rPr>
                <w:rFonts w:eastAsia="Calibri"/>
                <w:sz w:val="18"/>
                <w:szCs w:val="18"/>
              </w:rPr>
              <w:t>tracked using a qualitative rating scale (extent to which each type of framework is in place: 1- Not adequately, 2- Very partially, 3- Partially, and 4-Largely), counting the number of countries where</w:t>
            </w:r>
            <w:r w:rsidR="00A047C8">
              <w:rPr>
                <w:rFonts w:eastAsia="Calibri"/>
                <w:sz w:val="18"/>
                <w:szCs w:val="18"/>
              </w:rPr>
              <w:t xml:space="preserve"> objective evidence exists that</w:t>
            </w:r>
            <w:r w:rsidRPr="00A047C8">
              <w:rPr>
                <w:rFonts w:eastAsia="Calibri"/>
                <w:sz w:val="18"/>
                <w:szCs w:val="18"/>
              </w:rPr>
              <w:t xml:space="preserve"> UNDP support</w:t>
            </w:r>
            <w:r w:rsidR="00A047C8">
              <w:rPr>
                <w:rFonts w:eastAsia="Calibri"/>
                <w:sz w:val="18"/>
                <w:szCs w:val="18"/>
              </w:rPr>
              <w:t xml:space="preserve"> has to </w:t>
            </w:r>
            <w:r w:rsidR="00A047C8" w:rsidRPr="00A047C8">
              <w:rPr>
                <w:rFonts w:eastAsia="Calibri"/>
                <w:sz w:val="18"/>
                <w:szCs w:val="18"/>
              </w:rPr>
              <w:t xml:space="preserve">at least partially </w:t>
            </w:r>
            <w:r w:rsidR="00583C76" w:rsidRPr="00A047C8">
              <w:rPr>
                <w:rFonts w:eastAsia="Calibri"/>
                <w:sz w:val="18"/>
                <w:szCs w:val="18"/>
              </w:rPr>
              <w:t>put</w:t>
            </w:r>
            <w:r w:rsidR="00583C76">
              <w:rPr>
                <w:rFonts w:eastAsia="Calibri"/>
                <w:sz w:val="18"/>
                <w:szCs w:val="18"/>
              </w:rPr>
              <w:t>ting</w:t>
            </w:r>
            <w:r w:rsidR="00A047C8" w:rsidRPr="00A047C8">
              <w:rPr>
                <w:rFonts w:eastAsia="Calibri"/>
                <w:sz w:val="18"/>
                <w:szCs w:val="18"/>
              </w:rPr>
              <w:t xml:space="preserve"> in place</w:t>
            </w:r>
            <w:r w:rsidR="00A047C8" w:rsidRPr="00A047C8">
              <w:rPr>
                <w:rFonts w:ascii="Calibri" w:eastAsia="Calibri" w:hAnsi="Calibri"/>
                <w:sz w:val="18"/>
                <w:szCs w:val="18"/>
              </w:rPr>
              <w:t xml:space="preserve"> </w:t>
            </w:r>
            <w:r w:rsidR="00A047C8" w:rsidRPr="00A047C8">
              <w:rPr>
                <w:rFonts w:eastAsia="Calibri"/>
                <w:sz w:val="18"/>
                <w:szCs w:val="18"/>
              </w:rPr>
              <w:t xml:space="preserve">frameworks </w:t>
            </w:r>
            <w:r w:rsidRPr="00A047C8">
              <w:rPr>
                <w:rFonts w:ascii="Calibri" w:eastAsia="Calibri" w:hAnsi="Calibri"/>
                <w:sz w:val="18"/>
                <w:szCs w:val="18"/>
              </w:rPr>
              <w:t>from January 2014 onwards.</w:t>
            </w:r>
          </w:p>
          <w:p w14:paraId="6CF7AC5B" w14:textId="40EB4BBA" w:rsidR="00897675" w:rsidRPr="00A047C8" w:rsidRDefault="003D03C2" w:rsidP="00A047C8">
            <w:pPr>
              <w:spacing w:after="0" w:line="240" w:lineRule="auto"/>
              <w:rPr>
                <w:rFonts w:ascii="Calibri" w:eastAsia="Calibri" w:hAnsi="Calibri" w:cs="Times New Roman"/>
                <w:b/>
                <w:sz w:val="18"/>
                <w:szCs w:val="18"/>
                <w:lang w:eastAsia="en-US"/>
              </w:rPr>
            </w:pPr>
            <w:r w:rsidRPr="00A047C8">
              <w:rPr>
                <w:rFonts w:eastAsia="Calibri"/>
                <w:b/>
                <w:sz w:val="18"/>
                <w:szCs w:val="18"/>
              </w:rPr>
              <w:t xml:space="preserve">2014 Reporting Note: </w:t>
            </w:r>
            <w:r w:rsidR="002922A1" w:rsidRPr="00A047C8">
              <w:rPr>
                <w:rFonts w:eastAsia="Calibri"/>
                <w:sz w:val="18"/>
                <w:szCs w:val="18"/>
              </w:rPr>
              <w:t>Baselines,</w:t>
            </w:r>
            <w:r w:rsidR="002922A1" w:rsidRPr="00A047C8">
              <w:rPr>
                <w:rFonts w:eastAsia="Calibri"/>
                <w:b/>
                <w:sz w:val="18"/>
                <w:szCs w:val="18"/>
              </w:rPr>
              <w:t xml:space="preserve"> </w:t>
            </w:r>
            <w:r w:rsidR="002922A1" w:rsidRPr="00A047C8">
              <w:rPr>
                <w:rFonts w:eastAsia="Calibri"/>
                <w:sz w:val="18"/>
                <w:szCs w:val="18"/>
              </w:rPr>
              <w:t>2014 m</w:t>
            </w:r>
            <w:r w:rsidRPr="00A047C8">
              <w:rPr>
                <w:rFonts w:eastAsia="Calibri"/>
                <w:sz w:val="18"/>
                <w:szCs w:val="18"/>
              </w:rPr>
              <w:t xml:space="preserve">ilestones </w:t>
            </w:r>
            <w:r w:rsidR="002922A1" w:rsidRPr="00A047C8">
              <w:rPr>
                <w:rFonts w:eastAsia="Calibri"/>
                <w:sz w:val="18"/>
                <w:szCs w:val="18"/>
              </w:rPr>
              <w:t xml:space="preserve">and 2017 targets were </w:t>
            </w:r>
            <w:r w:rsidRPr="00A047C8">
              <w:rPr>
                <w:rFonts w:eastAsia="Calibri"/>
                <w:sz w:val="18"/>
                <w:szCs w:val="18"/>
              </w:rPr>
              <w:t xml:space="preserve">updated to reflect more complete reporting from country offices. For reference, </w:t>
            </w:r>
            <w:r w:rsidR="00337F31" w:rsidRPr="00A047C8">
              <w:rPr>
                <w:rFonts w:eastAsia="Calibri"/>
                <w:sz w:val="18"/>
                <w:szCs w:val="18"/>
              </w:rPr>
              <w:t>previous baseline</w:t>
            </w:r>
            <w:r w:rsidR="009B2FA6" w:rsidRPr="00A047C8">
              <w:rPr>
                <w:rFonts w:eastAsia="Calibri"/>
                <w:sz w:val="18"/>
                <w:szCs w:val="18"/>
              </w:rPr>
              <w:t xml:space="preserve">s </w:t>
            </w:r>
            <w:r w:rsidR="00337F31" w:rsidRPr="00A047C8">
              <w:rPr>
                <w:rFonts w:eastAsia="Calibri"/>
                <w:sz w:val="18"/>
                <w:szCs w:val="18"/>
              </w:rPr>
              <w:t>were</w:t>
            </w:r>
            <w:r w:rsidR="005A218D" w:rsidRPr="00A047C8">
              <w:rPr>
                <w:rFonts w:eastAsia="Calibri"/>
                <w:sz w:val="18"/>
                <w:szCs w:val="18"/>
              </w:rPr>
              <w:t>:</w:t>
            </w:r>
            <w:r w:rsidR="00337F31" w:rsidRPr="00A047C8">
              <w:rPr>
                <w:rFonts w:eastAsia="Calibri"/>
                <w:sz w:val="18"/>
                <w:szCs w:val="18"/>
              </w:rPr>
              <w:t xml:space="preserve"> a) 12, b) 10, c) 9</w:t>
            </w:r>
            <w:r w:rsidR="005A218D" w:rsidRPr="00A047C8">
              <w:rPr>
                <w:rFonts w:eastAsia="Calibri"/>
                <w:sz w:val="18"/>
                <w:szCs w:val="18"/>
              </w:rPr>
              <w:t>;</w:t>
            </w:r>
            <w:r w:rsidR="00337F31" w:rsidRPr="00A047C8">
              <w:rPr>
                <w:rFonts w:eastAsia="Calibri"/>
                <w:sz w:val="18"/>
                <w:szCs w:val="18"/>
              </w:rPr>
              <w:t xml:space="preserve"> </w:t>
            </w:r>
            <w:r w:rsidRPr="00A047C8">
              <w:rPr>
                <w:rFonts w:eastAsia="Calibri"/>
                <w:sz w:val="18"/>
                <w:szCs w:val="18"/>
              </w:rPr>
              <w:t>previous 2014 milestones were: a) 21, b) 13, c) 18</w:t>
            </w:r>
            <w:r w:rsidR="009B2FA6" w:rsidRPr="00A047C8">
              <w:rPr>
                <w:rFonts w:eastAsia="Calibri"/>
                <w:sz w:val="18"/>
                <w:szCs w:val="18"/>
              </w:rPr>
              <w:t>; previous targets were: a) 56, b) 55, c) 52.</w:t>
            </w:r>
            <w:r w:rsidR="00A047C8">
              <w:rPr>
                <w:rFonts w:eastAsia="Calibri"/>
                <w:sz w:val="18"/>
                <w:szCs w:val="18"/>
              </w:rPr>
              <w:t xml:space="preserve"> </w:t>
            </w:r>
            <w:r w:rsidR="00897675" w:rsidRPr="00A047C8">
              <w:rPr>
                <w:rFonts w:eastAsia="Calibri"/>
                <w:sz w:val="18"/>
                <w:szCs w:val="18"/>
              </w:rPr>
              <w:t xml:space="preserve">*2014 actual results data is missing for </w:t>
            </w:r>
            <w:r w:rsidR="007009FB" w:rsidRPr="00A047C8">
              <w:rPr>
                <w:rFonts w:eastAsia="Calibri"/>
                <w:sz w:val="18"/>
                <w:szCs w:val="18"/>
              </w:rPr>
              <w:t>two</w:t>
            </w:r>
            <w:r w:rsidR="00DC5F00" w:rsidRPr="00A047C8">
              <w:rPr>
                <w:rFonts w:eastAsia="Calibri"/>
                <w:sz w:val="18"/>
                <w:szCs w:val="18"/>
              </w:rPr>
              <w:t xml:space="preserve"> </w:t>
            </w:r>
            <w:r w:rsidR="00897675" w:rsidRPr="00A047C8">
              <w:rPr>
                <w:rFonts w:eastAsia="Calibri"/>
                <w:sz w:val="18"/>
                <w:szCs w:val="18"/>
              </w:rPr>
              <w:t>countr</w:t>
            </w:r>
            <w:r w:rsidR="007009FB" w:rsidRPr="00A047C8">
              <w:rPr>
                <w:rFonts w:eastAsia="Calibri"/>
                <w:sz w:val="18"/>
                <w:szCs w:val="18"/>
              </w:rPr>
              <w:t>ies</w:t>
            </w:r>
            <w:r w:rsidR="00897675" w:rsidRPr="00A047C8">
              <w:rPr>
                <w:rFonts w:eastAsia="Calibri"/>
                <w:sz w:val="18"/>
                <w:szCs w:val="18"/>
              </w:rPr>
              <w:t xml:space="preserve"> expected to contribute to results, final results will be reported at a later date.</w:t>
            </w:r>
          </w:p>
        </w:tc>
      </w:tr>
    </w:tbl>
    <w:p w14:paraId="2A3551E7" w14:textId="77777777" w:rsidR="00A047C8" w:rsidRDefault="00A047C8">
      <w:r>
        <w:br w:type="page"/>
      </w:r>
    </w:p>
    <w:tbl>
      <w:tblPr>
        <w:tblW w:w="14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3"/>
        <w:gridCol w:w="900"/>
        <w:gridCol w:w="5310"/>
        <w:gridCol w:w="1350"/>
        <w:gridCol w:w="1262"/>
        <w:gridCol w:w="1046"/>
        <w:gridCol w:w="1924"/>
      </w:tblGrid>
      <w:tr w:rsidR="00405EF5" w:rsidRPr="00283732" w14:paraId="205ABC8C" w14:textId="77777777" w:rsidTr="0090424B">
        <w:trPr>
          <w:trHeight w:val="440"/>
          <w:jc w:val="center"/>
        </w:trPr>
        <w:tc>
          <w:tcPr>
            <w:tcW w:w="3143" w:type="dxa"/>
            <w:vMerge w:val="restart"/>
            <w:tcBorders>
              <w:left w:val="single" w:sz="4" w:space="0" w:color="auto"/>
              <w:right w:val="single" w:sz="4" w:space="0" w:color="auto"/>
            </w:tcBorders>
            <w:shd w:val="clear" w:color="auto" w:fill="auto"/>
            <w:vAlign w:val="center"/>
            <w:hideMark/>
          </w:tcPr>
          <w:p w14:paraId="24E69966" w14:textId="1DC503F3" w:rsidR="00405EF5" w:rsidRPr="005A7A63" w:rsidRDefault="00405EF5" w:rsidP="00434EF6">
            <w:pPr>
              <w:spacing w:after="0" w:line="240" w:lineRule="auto"/>
              <w:rPr>
                <w:rFonts w:eastAsia="Calibri"/>
                <w:b/>
                <w:sz w:val="20"/>
              </w:rPr>
            </w:pPr>
          </w:p>
        </w:tc>
        <w:tc>
          <w:tcPr>
            <w:tcW w:w="900" w:type="dxa"/>
            <w:vMerge w:val="restart"/>
            <w:tcBorders>
              <w:top w:val="single" w:sz="4" w:space="0" w:color="auto"/>
              <w:left w:val="single" w:sz="4" w:space="0" w:color="auto"/>
              <w:right w:val="single" w:sz="4" w:space="0" w:color="auto"/>
            </w:tcBorders>
            <w:shd w:val="clear" w:color="auto" w:fill="FFFFFF"/>
            <w:hideMark/>
          </w:tcPr>
          <w:p w14:paraId="3D97A29D" w14:textId="77777777" w:rsidR="00405EF5" w:rsidRPr="00B80E1B" w:rsidRDefault="00405EF5" w:rsidP="00BA4EFC">
            <w:pPr>
              <w:spacing w:after="0" w:line="240" w:lineRule="auto"/>
              <w:jc w:val="center"/>
              <w:rPr>
                <w:rFonts w:eastAsia="Calibri"/>
                <w:b/>
                <w:sz w:val="20"/>
              </w:rPr>
            </w:pPr>
            <w:r w:rsidRPr="00B80E1B">
              <w:rPr>
                <w:rFonts w:eastAsia="Calibri"/>
                <w:b/>
                <w:sz w:val="20"/>
              </w:rPr>
              <w:t>2.5.2</w:t>
            </w:r>
          </w:p>
        </w:tc>
        <w:tc>
          <w:tcPr>
            <w:tcW w:w="5310" w:type="dxa"/>
            <w:tcBorders>
              <w:top w:val="single" w:sz="4" w:space="0" w:color="auto"/>
              <w:left w:val="single" w:sz="4" w:space="0" w:color="auto"/>
              <w:right w:val="single" w:sz="4" w:space="0" w:color="auto"/>
            </w:tcBorders>
            <w:shd w:val="clear" w:color="auto" w:fill="FFFFFF"/>
            <w:hideMark/>
          </w:tcPr>
          <w:p w14:paraId="7D464297" w14:textId="77777777" w:rsidR="00405EF5" w:rsidRPr="00412C47" w:rsidRDefault="00405EF5" w:rsidP="00434EF6">
            <w:pPr>
              <w:spacing w:after="0" w:line="240" w:lineRule="auto"/>
              <w:rPr>
                <w:rFonts w:eastAsia="Calibri"/>
                <w:sz w:val="20"/>
              </w:rPr>
            </w:pPr>
            <w:r w:rsidRPr="00412C47">
              <w:rPr>
                <w:rFonts w:eastAsia="Calibri"/>
                <w:sz w:val="20"/>
              </w:rPr>
              <w:t xml:space="preserve">Number of countries with </w:t>
            </w:r>
            <w:r w:rsidRPr="00412C47">
              <w:rPr>
                <w:rFonts w:eastAsia="Calibri"/>
                <w:b/>
                <w:sz w:val="20"/>
              </w:rPr>
              <w:t>improved</w:t>
            </w:r>
            <w:r w:rsidRPr="00412C47">
              <w:rPr>
                <w:rFonts w:eastAsia="Calibri"/>
                <w:sz w:val="20"/>
              </w:rPr>
              <w:t xml:space="preserve"> </w:t>
            </w:r>
            <w:r w:rsidRPr="000B5DED">
              <w:rPr>
                <w:rFonts w:eastAsia="Calibri"/>
                <w:b/>
                <w:sz w:val="20"/>
              </w:rPr>
              <w:t>capacities</w:t>
            </w:r>
            <w:r w:rsidRPr="00412C47">
              <w:rPr>
                <w:rFonts w:eastAsia="Calibri"/>
                <w:sz w:val="20"/>
              </w:rPr>
              <w:t xml:space="preserve"> to implement national or sub-national plans for </w:t>
            </w:r>
            <w:r w:rsidRPr="00412C47">
              <w:rPr>
                <w:rFonts w:eastAsia="Calibri"/>
                <w:b/>
                <w:sz w:val="20"/>
              </w:rPr>
              <w:t>Integrated Water Resource Management</w:t>
            </w:r>
            <w:r w:rsidRPr="00412C47">
              <w:rPr>
                <w:rFonts w:eastAsia="Calibri"/>
                <w:sz w:val="20"/>
              </w:rPr>
              <w:t xml:space="preserve">, and/or </w:t>
            </w:r>
            <w:r w:rsidRPr="00412C47">
              <w:rPr>
                <w:rFonts w:eastAsia="Calibri"/>
                <w:b/>
                <w:sz w:val="20"/>
              </w:rPr>
              <w:t>to protect and restore the health, productivity and resilience of oceans and marine ecosystems</w:t>
            </w:r>
            <w:r w:rsidRPr="00412C47">
              <w:rPr>
                <w:rFonts w:eastAsia="Calibri"/>
                <w:sz w:val="20"/>
              </w:rPr>
              <w:t>.</w:t>
            </w:r>
          </w:p>
          <w:p w14:paraId="0B7587BB" w14:textId="5227E4F4" w:rsidR="00405EF5" w:rsidRPr="00412C47" w:rsidRDefault="00405EF5" w:rsidP="006F161D">
            <w:pPr>
              <w:pStyle w:val="ListParagraph"/>
              <w:numPr>
                <w:ilvl w:val="0"/>
                <w:numId w:val="30"/>
              </w:numPr>
              <w:rPr>
                <w:rFonts w:eastAsia="Calibri"/>
                <w:sz w:val="20"/>
              </w:rPr>
            </w:pPr>
            <w:r w:rsidRPr="00412C47">
              <w:rPr>
                <w:rFonts w:eastAsia="Calibri"/>
                <w:sz w:val="20"/>
              </w:rPr>
              <w:t>Integ</w:t>
            </w:r>
            <w:r w:rsidR="007E66CF" w:rsidRPr="00412C47">
              <w:rPr>
                <w:rFonts w:eastAsia="Calibri"/>
                <w:sz w:val="20"/>
              </w:rPr>
              <w:t>rated Water Resource Management</w:t>
            </w:r>
          </w:p>
          <w:p w14:paraId="3FD6BB84" w14:textId="77777777" w:rsidR="00405EF5" w:rsidRPr="00412C47" w:rsidRDefault="007E66CF" w:rsidP="006F161D">
            <w:pPr>
              <w:pStyle w:val="ListParagraph"/>
              <w:numPr>
                <w:ilvl w:val="0"/>
                <w:numId w:val="30"/>
              </w:numPr>
              <w:rPr>
                <w:rFonts w:eastAsia="Calibri"/>
                <w:sz w:val="20"/>
              </w:rPr>
            </w:pPr>
            <w:r w:rsidRPr="00412C47">
              <w:rPr>
                <w:rFonts w:eastAsia="Calibri"/>
                <w:sz w:val="20"/>
              </w:rPr>
              <w:t xml:space="preserve">Oceans and marine ecosystems </w:t>
            </w:r>
          </w:p>
          <w:p w14:paraId="36E4C190" w14:textId="4278C943" w:rsidR="008376B6" w:rsidRPr="00412C47" w:rsidRDefault="008376B6" w:rsidP="0090424B">
            <w:pPr>
              <w:spacing w:before="240" w:after="0"/>
              <w:rPr>
                <w:rFonts w:eastAsia="Calibri"/>
                <w:sz w:val="20"/>
              </w:rPr>
            </w:pPr>
            <w:r w:rsidRPr="00412C47">
              <w:rPr>
                <w:rFonts w:eastAsia="Calibri"/>
                <w:b/>
                <w:i/>
                <w:sz w:val="18"/>
                <w:szCs w:val="18"/>
              </w:rPr>
              <w:t xml:space="preserve">Number of countries </w:t>
            </w:r>
            <w:r w:rsidR="00983FF8" w:rsidRPr="00412C47">
              <w:rPr>
                <w:rFonts w:eastAsia="Calibri"/>
                <w:b/>
                <w:i/>
                <w:sz w:val="18"/>
                <w:szCs w:val="18"/>
              </w:rPr>
              <w:t>for which a 2017 target has currently been set under this indicator</w:t>
            </w:r>
            <w:r w:rsidR="00623FF8" w:rsidRPr="00412C47">
              <w:rPr>
                <w:rFonts w:eastAsia="Calibri"/>
                <w:b/>
                <w:i/>
                <w:sz w:val="18"/>
                <w:szCs w:val="18"/>
              </w:rPr>
              <w:t>: a) 52, b) 45</w:t>
            </w:r>
          </w:p>
        </w:tc>
        <w:tc>
          <w:tcPr>
            <w:tcW w:w="1350" w:type="dxa"/>
            <w:tcBorders>
              <w:left w:val="single" w:sz="4" w:space="0" w:color="auto"/>
              <w:right w:val="single" w:sz="4" w:space="0" w:color="auto"/>
            </w:tcBorders>
            <w:shd w:val="clear" w:color="auto" w:fill="FFFFFF"/>
          </w:tcPr>
          <w:p w14:paraId="0D579079" w14:textId="77777777" w:rsidR="00405EF5" w:rsidRDefault="00405EF5" w:rsidP="00127910">
            <w:pPr>
              <w:spacing w:after="0" w:line="240" w:lineRule="auto"/>
              <w:rPr>
                <w:rFonts w:eastAsia="Calibri"/>
                <w:sz w:val="20"/>
              </w:rPr>
            </w:pPr>
          </w:p>
          <w:p w14:paraId="734E31F2" w14:textId="77777777" w:rsidR="00405EF5" w:rsidRDefault="00405EF5" w:rsidP="00127910">
            <w:pPr>
              <w:spacing w:after="0" w:line="240" w:lineRule="auto"/>
              <w:rPr>
                <w:rFonts w:eastAsia="Calibri"/>
                <w:sz w:val="20"/>
              </w:rPr>
            </w:pPr>
          </w:p>
          <w:p w14:paraId="19DEFAE7" w14:textId="77777777" w:rsidR="00405EF5" w:rsidRDefault="00405EF5" w:rsidP="00127910">
            <w:pPr>
              <w:spacing w:after="0" w:line="240" w:lineRule="auto"/>
              <w:rPr>
                <w:rFonts w:eastAsia="Calibri"/>
                <w:sz w:val="20"/>
              </w:rPr>
            </w:pPr>
          </w:p>
          <w:p w14:paraId="61BDFF73" w14:textId="77777777" w:rsidR="00897675" w:rsidRDefault="00897675" w:rsidP="00127910">
            <w:pPr>
              <w:spacing w:after="0" w:line="240" w:lineRule="auto"/>
              <w:rPr>
                <w:rFonts w:eastAsia="Calibri"/>
                <w:sz w:val="20"/>
              </w:rPr>
            </w:pPr>
          </w:p>
          <w:p w14:paraId="1A4C3408" w14:textId="77777777" w:rsidR="00405EF5" w:rsidRDefault="00405EF5" w:rsidP="006F161D">
            <w:pPr>
              <w:pStyle w:val="ListParagraph"/>
              <w:numPr>
                <w:ilvl w:val="0"/>
                <w:numId w:val="27"/>
              </w:numPr>
              <w:rPr>
                <w:rFonts w:eastAsia="Calibri"/>
                <w:sz w:val="20"/>
              </w:rPr>
            </w:pPr>
            <w:r>
              <w:rPr>
                <w:rFonts w:eastAsia="Calibri"/>
                <w:sz w:val="20"/>
              </w:rPr>
              <w:t>0</w:t>
            </w:r>
          </w:p>
          <w:p w14:paraId="3428BBE7" w14:textId="77777777" w:rsidR="00405EF5" w:rsidRPr="00127910" w:rsidRDefault="00405EF5" w:rsidP="006F161D">
            <w:pPr>
              <w:pStyle w:val="ListParagraph"/>
              <w:numPr>
                <w:ilvl w:val="0"/>
                <w:numId w:val="27"/>
              </w:numPr>
              <w:rPr>
                <w:rFonts w:eastAsia="Calibri"/>
                <w:sz w:val="20"/>
              </w:rPr>
            </w:pPr>
            <w:r>
              <w:rPr>
                <w:rFonts w:eastAsia="Calibri"/>
                <w:sz w:val="20"/>
              </w:rPr>
              <w:t>0</w:t>
            </w:r>
          </w:p>
        </w:tc>
        <w:tc>
          <w:tcPr>
            <w:tcW w:w="1262" w:type="dxa"/>
            <w:tcBorders>
              <w:left w:val="single" w:sz="4" w:space="0" w:color="auto"/>
              <w:right w:val="single" w:sz="4" w:space="0" w:color="auto"/>
            </w:tcBorders>
            <w:shd w:val="clear" w:color="auto" w:fill="FFFFFF"/>
          </w:tcPr>
          <w:p w14:paraId="11587AF2" w14:textId="77777777" w:rsidR="00405EF5" w:rsidRDefault="00405EF5" w:rsidP="00127910">
            <w:pPr>
              <w:spacing w:after="0" w:line="240" w:lineRule="auto"/>
              <w:rPr>
                <w:rFonts w:eastAsia="Calibri"/>
                <w:sz w:val="20"/>
              </w:rPr>
            </w:pPr>
          </w:p>
          <w:p w14:paraId="0A7154A2" w14:textId="77777777" w:rsidR="00405EF5" w:rsidRDefault="00405EF5" w:rsidP="00127910">
            <w:pPr>
              <w:spacing w:after="0" w:line="240" w:lineRule="auto"/>
              <w:rPr>
                <w:rFonts w:eastAsia="Calibri"/>
                <w:sz w:val="20"/>
              </w:rPr>
            </w:pPr>
          </w:p>
          <w:p w14:paraId="38C87F9A" w14:textId="77777777" w:rsidR="00405EF5" w:rsidRDefault="00405EF5" w:rsidP="00127910">
            <w:pPr>
              <w:spacing w:after="0" w:line="240" w:lineRule="auto"/>
              <w:rPr>
                <w:rFonts w:eastAsia="Calibri"/>
                <w:sz w:val="20"/>
              </w:rPr>
            </w:pPr>
          </w:p>
          <w:p w14:paraId="50FDC2E2" w14:textId="77777777" w:rsidR="00897675" w:rsidRDefault="00897675" w:rsidP="00127910">
            <w:pPr>
              <w:spacing w:after="0" w:line="240" w:lineRule="auto"/>
              <w:rPr>
                <w:rFonts w:eastAsia="Calibri"/>
                <w:sz w:val="20"/>
              </w:rPr>
            </w:pPr>
          </w:p>
          <w:p w14:paraId="7ED40BFC" w14:textId="77777777" w:rsidR="00405EF5" w:rsidRDefault="00405EF5" w:rsidP="006F161D">
            <w:pPr>
              <w:pStyle w:val="ListParagraph"/>
              <w:numPr>
                <w:ilvl w:val="0"/>
                <w:numId w:val="28"/>
              </w:numPr>
              <w:rPr>
                <w:rFonts w:eastAsia="Calibri"/>
                <w:sz w:val="20"/>
              </w:rPr>
            </w:pPr>
            <w:r>
              <w:rPr>
                <w:rFonts w:eastAsia="Calibri"/>
                <w:sz w:val="20"/>
              </w:rPr>
              <w:t>13</w:t>
            </w:r>
          </w:p>
          <w:p w14:paraId="5C16A6D6" w14:textId="52658D72" w:rsidR="00405EF5" w:rsidRPr="00C64447" w:rsidRDefault="00E12D7A" w:rsidP="006F161D">
            <w:pPr>
              <w:pStyle w:val="ListParagraph"/>
              <w:numPr>
                <w:ilvl w:val="0"/>
                <w:numId w:val="28"/>
              </w:numPr>
              <w:rPr>
                <w:rFonts w:eastAsia="Calibri"/>
                <w:sz w:val="20"/>
              </w:rPr>
            </w:pPr>
            <w:r>
              <w:rPr>
                <w:rFonts w:eastAsia="Calibri"/>
                <w:sz w:val="20"/>
              </w:rPr>
              <w:t>9</w:t>
            </w:r>
          </w:p>
        </w:tc>
        <w:tc>
          <w:tcPr>
            <w:tcW w:w="1046" w:type="dxa"/>
            <w:tcBorders>
              <w:left w:val="single" w:sz="4" w:space="0" w:color="auto"/>
              <w:right w:val="single" w:sz="4" w:space="0" w:color="auto"/>
            </w:tcBorders>
            <w:shd w:val="clear" w:color="auto" w:fill="FFFFFF"/>
          </w:tcPr>
          <w:p w14:paraId="6C0B4A4A" w14:textId="77777777" w:rsidR="00405EF5" w:rsidRDefault="00405EF5" w:rsidP="00127910">
            <w:pPr>
              <w:spacing w:after="0" w:line="240" w:lineRule="auto"/>
              <w:rPr>
                <w:rFonts w:eastAsia="Calibri"/>
                <w:sz w:val="20"/>
              </w:rPr>
            </w:pPr>
          </w:p>
          <w:p w14:paraId="62A9018E" w14:textId="77777777" w:rsidR="00405EF5" w:rsidRDefault="00405EF5" w:rsidP="00127910">
            <w:pPr>
              <w:spacing w:after="0" w:line="240" w:lineRule="auto"/>
              <w:rPr>
                <w:rFonts w:eastAsia="Calibri"/>
                <w:sz w:val="20"/>
              </w:rPr>
            </w:pPr>
          </w:p>
          <w:p w14:paraId="08AD809A" w14:textId="77777777" w:rsidR="00405EF5" w:rsidRDefault="00405EF5" w:rsidP="00127910">
            <w:pPr>
              <w:spacing w:after="0" w:line="240" w:lineRule="auto"/>
              <w:rPr>
                <w:rFonts w:eastAsia="Calibri"/>
                <w:sz w:val="20"/>
              </w:rPr>
            </w:pPr>
          </w:p>
          <w:p w14:paraId="66E6246C" w14:textId="77777777" w:rsidR="00897675" w:rsidRDefault="00897675" w:rsidP="00127910">
            <w:pPr>
              <w:spacing w:after="0" w:line="240" w:lineRule="auto"/>
              <w:rPr>
                <w:rFonts w:eastAsia="Calibri"/>
                <w:sz w:val="20"/>
              </w:rPr>
            </w:pPr>
          </w:p>
          <w:p w14:paraId="2A2D04F6" w14:textId="77777777" w:rsidR="00E12D7A" w:rsidRDefault="00E12D7A" w:rsidP="006F161D">
            <w:pPr>
              <w:pStyle w:val="ListParagraph"/>
              <w:numPr>
                <w:ilvl w:val="0"/>
                <w:numId w:val="59"/>
              </w:numPr>
              <w:ind w:left="522"/>
              <w:rPr>
                <w:rFonts w:eastAsia="Calibri"/>
                <w:sz w:val="20"/>
              </w:rPr>
            </w:pPr>
            <w:r>
              <w:rPr>
                <w:rFonts w:eastAsia="Calibri"/>
                <w:sz w:val="20"/>
              </w:rPr>
              <w:t>15</w:t>
            </w:r>
          </w:p>
          <w:p w14:paraId="3BD1F19D" w14:textId="04395A6B" w:rsidR="00E12D7A" w:rsidRPr="00E12D7A" w:rsidRDefault="005D3E07" w:rsidP="006F161D">
            <w:pPr>
              <w:pStyle w:val="ListParagraph"/>
              <w:numPr>
                <w:ilvl w:val="0"/>
                <w:numId w:val="59"/>
              </w:numPr>
              <w:ind w:left="522"/>
              <w:rPr>
                <w:rFonts w:eastAsia="Calibri"/>
                <w:sz w:val="20"/>
              </w:rPr>
            </w:pPr>
            <w:r>
              <w:rPr>
                <w:rFonts w:eastAsia="Calibri"/>
                <w:sz w:val="20"/>
              </w:rPr>
              <w:t>13</w:t>
            </w:r>
          </w:p>
        </w:tc>
        <w:tc>
          <w:tcPr>
            <w:tcW w:w="1924" w:type="dxa"/>
            <w:tcBorders>
              <w:left w:val="single" w:sz="4" w:space="0" w:color="auto"/>
              <w:right w:val="single" w:sz="4" w:space="0" w:color="auto"/>
            </w:tcBorders>
            <w:shd w:val="clear" w:color="auto" w:fill="FFFFFF"/>
          </w:tcPr>
          <w:p w14:paraId="002EDD65" w14:textId="77777777" w:rsidR="00405EF5" w:rsidRDefault="00405EF5" w:rsidP="00127910">
            <w:pPr>
              <w:spacing w:after="0" w:line="240" w:lineRule="auto"/>
              <w:rPr>
                <w:rFonts w:eastAsia="Calibri"/>
                <w:sz w:val="20"/>
              </w:rPr>
            </w:pPr>
          </w:p>
          <w:p w14:paraId="35E8B1CE" w14:textId="77777777" w:rsidR="00405EF5" w:rsidRDefault="00405EF5" w:rsidP="00127910">
            <w:pPr>
              <w:spacing w:after="0" w:line="240" w:lineRule="auto"/>
              <w:rPr>
                <w:rFonts w:eastAsia="Calibri"/>
                <w:sz w:val="20"/>
              </w:rPr>
            </w:pPr>
          </w:p>
          <w:p w14:paraId="3AFA02C1" w14:textId="77777777" w:rsidR="00405EF5" w:rsidRDefault="00405EF5" w:rsidP="00127910">
            <w:pPr>
              <w:spacing w:after="0" w:line="240" w:lineRule="auto"/>
              <w:rPr>
                <w:rFonts w:eastAsia="Calibri"/>
                <w:sz w:val="20"/>
              </w:rPr>
            </w:pPr>
          </w:p>
          <w:p w14:paraId="215577EB" w14:textId="77777777" w:rsidR="00897675" w:rsidRDefault="00897675" w:rsidP="00127910">
            <w:pPr>
              <w:spacing w:after="0" w:line="240" w:lineRule="auto"/>
              <w:rPr>
                <w:rFonts w:eastAsia="Calibri"/>
                <w:sz w:val="20"/>
              </w:rPr>
            </w:pPr>
          </w:p>
          <w:p w14:paraId="24487491" w14:textId="5EACDFA1" w:rsidR="00405EF5" w:rsidRDefault="002B59F9" w:rsidP="006F161D">
            <w:pPr>
              <w:pStyle w:val="ListParagraph"/>
              <w:numPr>
                <w:ilvl w:val="0"/>
                <w:numId w:val="29"/>
              </w:numPr>
              <w:rPr>
                <w:rFonts w:eastAsia="Calibri"/>
                <w:sz w:val="20"/>
              </w:rPr>
            </w:pPr>
            <w:r>
              <w:rPr>
                <w:rFonts w:eastAsia="Calibri"/>
                <w:sz w:val="20"/>
              </w:rPr>
              <w:t>44</w:t>
            </w:r>
          </w:p>
          <w:p w14:paraId="1A754813" w14:textId="4DD6DC1B" w:rsidR="00405EF5" w:rsidRPr="00C64447" w:rsidRDefault="002B59F9" w:rsidP="006F161D">
            <w:pPr>
              <w:pStyle w:val="ListParagraph"/>
              <w:numPr>
                <w:ilvl w:val="0"/>
                <w:numId w:val="29"/>
              </w:numPr>
              <w:rPr>
                <w:rFonts w:eastAsia="Calibri"/>
                <w:sz w:val="20"/>
              </w:rPr>
            </w:pPr>
            <w:r>
              <w:rPr>
                <w:rFonts w:eastAsia="Calibri"/>
                <w:sz w:val="20"/>
              </w:rPr>
              <w:t>33</w:t>
            </w:r>
          </w:p>
        </w:tc>
      </w:tr>
      <w:tr w:rsidR="00E12D7A" w:rsidRPr="00283732" w14:paraId="30104C1C" w14:textId="77777777" w:rsidTr="004C3CB2">
        <w:trPr>
          <w:trHeight w:val="953"/>
          <w:jc w:val="center"/>
        </w:trPr>
        <w:tc>
          <w:tcPr>
            <w:tcW w:w="3143" w:type="dxa"/>
            <w:vMerge/>
            <w:tcBorders>
              <w:left w:val="single" w:sz="4" w:space="0" w:color="auto"/>
              <w:right w:val="single" w:sz="4" w:space="0" w:color="auto"/>
            </w:tcBorders>
            <w:vAlign w:val="center"/>
          </w:tcPr>
          <w:p w14:paraId="540010D0" w14:textId="77777777" w:rsidR="00E12D7A" w:rsidRPr="005A7A63" w:rsidRDefault="00E12D7A" w:rsidP="00434EF6">
            <w:pPr>
              <w:spacing w:after="0" w:line="240" w:lineRule="auto"/>
              <w:rPr>
                <w:rFonts w:eastAsia="Calibri"/>
                <w:b/>
                <w:sz w:val="20"/>
              </w:rPr>
            </w:pPr>
          </w:p>
        </w:tc>
        <w:tc>
          <w:tcPr>
            <w:tcW w:w="900" w:type="dxa"/>
            <w:vMerge/>
            <w:tcBorders>
              <w:left w:val="single" w:sz="4" w:space="0" w:color="auto"/>
              <w:right w:val="single" w:sz="4" w:space="0" w:color="auto"/>
            </w:tcBorders>
          </w:tcPr>
          <w:p w14:paraId="2191E01E" w14:textId="77777777" w:rsidR="00E12D7A" w:rsidRPr="005A7A63" w:rsidRDefault="00E12D7A" w:rsidP="00434EF6">
            <w:pPr>
              <w:spacing w:after="0" w:line="240" w:lineRule="auto"/>
              <w:rPr>
                <w:rFonts w:eastAsia="Calibri"/>
                <w:b/>
                <w:sz w:val="20"/>
              </w:rPr>
            </w:pPr>
          </w:p>
        </w:tc>
        <w:tc>
          <w:tcPr>
            <w:tcW w:w="10892" w:type="dxa"/>
            <w:gridSpan w:val="5"/>
            <w:tcBorders>
              <w:left w:val="single" w:sz="4" w:space="0" w:color="auto"/>
              <w:right w:val="single" w:sz="4" w:space="0" w:color="auto"/>
            </w:tcBorders>
            <w:shd w:val="clear" w:color="auto" w:fill="D9D9D9" w:themeFill="background1" w:themeFillShade="D9"/>
          </w:tcPr>
          <w:p w14:paraId="2815E2EF" w14:textId="62F01228" w:rsidR="00E12D7A" w:rsidRPr="00412C47" w:rsidRDefault="00E12D7A" w:rsidP="000D3F69">
            <w:pPr>
              <w:spacing w:after="0" w:line="240" w:lineRule="auto"/>
              <w:rPr>
                <w:rFonts w:ascii="Calibri" w:eastAsia="Calibri" w:hAnsi="Calibri"/>
                <w:sz w:val="18"/>
                <w:szCs w:val="18"/>
              </w:rPr>
            </w:pPr>
            <w:r w:rsidRPr="00412C47">
              <w:rPr>
                <w:rFonts w:ascii="Calibri" w:eastAsia="Calibri" w:hAnsi="Calibri" w:cs="Times New Roman"/>
                <w:b/>
                <w:sz w:val="18"/>
                <w:szCs w:val="18"/>
                <w:lang w:eastAsia="en-US"/>
              </w:rPr>
              <w:t xml:space="preserve">Indicator 2.5.2 Note: </w:t>
            </w:r>
            <w:r w:rsidRPr="00412C47">
              <w:rPr>
                <w:rFonts w:ascii="Calibri" w:eastAsia="Calibri" w:hAnsi="Calibri"/>
                <w:sz w:val="18"/>
                <w:szCs w:val="18"/>
              </w:rPr>
              <w:t xml:space="preserve">Qualitative indicator, through which the effectiveness of UNDP’s support (on demand </w:t>
            </w:r>
            <w:r w:rsidRPr="00412C47">
              <w:rPr>
                <w:sz w:val="18"/>
                <w:szCs w:val="18"/>
              </w:rPr>
              <w:t>from programme countries</w:t>
            </w:r>
            <w:r w:rsidRPr="00412C47">
              <w:rPr>
                <w:rFonts w:ascii="Calibri" w:eastAsia="Calibri" w:hAnsi="Calibri"/>
                <w:sz w:val="18"/>
                <w:szCs w:val="18"/>
              </w:rPr>
              <w:t>)</w:t>
            </w:r>
            <w:r w:rsidRPr="00412C47">
              <w:rPr>
                <w:sz w:val="18"/>
                <w:szCs w:val="18"/>
              </w:rPr>
              <w:t xml:space="preserve"> to</w:t>
            </w:r>
            <w:r w:rsidRPr="00412C47">
              <w:rPr>
                <w:rFonts w:eastAsia="Calibri"/>
                <w:sz w:val="18"/>
                <w:szCs w:val="18"/>
              </w:rPr>
              <w:t xml:space="preserve"> improve capacities to implement IWRM and/or protect and restore oceans and marine ecosystems</w:t>
            </w:r>
            <w:r w:rsidRPr="00412C47">
              <w:rPr>
                <w:sz w:val="18"/>
                <w:szCs w:val="18"/>
              </w:rPr>
              <w:t xml:space="preserve"> </w:t>
            </w:r>
            <w:r w:rsidRPr="00412C47">
              <w:rPr>
                <w:rFonts w:ascii="Calibri" w:eastAsia="Calibri" w:hAnsi="Calibri"/>
                <w:sz w:val="18"/>
                <w:szCs w:val="18"/>
              </w:rPr>
              <w:t xml:space="preserve">is </w:t>
            </w:r>
            <w:r w:rsidRPr="00412C47">
              <w:rPr>
                <w:rFonts w:eastAsia="Calibri"/>
                <w:sz w:val="18"/>
                <w:szCs w:val="18"/>
              </w:rPr>
              <w:t xml:space="preserve">tracked using a qualitative rating scale (1- Not adequately, 2- Very partially, 3- Partially, and 4-Largely), counting the number of countries where </w:t>
            </w:r>
            <w:r w:rsidR="00A047C8" w:rsidRPr="00412C47">
              <w:rPr>
                <w:rFonts w:eastAsia="Calibri"/>
                <w:sz w:val="18"/>
                <w:szCs w:val="18"/>
              </w:rPr>
              <w:t xml:space="preserve">objective evidence exists that </w:t>
            </w:r>
            <w:r w:rsidRPr="00412C47">
              <w:rPr>
                <w:rFonts w:eastAsia="Calibri"/>
                <w:sz w:val="18"/>
                <w:szCs w:val="18"/>
              </w:rPr>
              <w:t>UNDP support has led to capacities being improved</w:t>
            </w:r>
            <w:r w:rsidR="00A047C8" w:rsidRPr="00412C47">
              <w:rPr>
                <w:rFonts w:eastAsia="Calibri"/>
                <w:sz w:val="18"/>
                <w:szCs w:val="18"/>
              </w:rPr>
              <w:t>,</w:t>
            </w:r>
            <w:r w:rsidRPr="00412C47">
              <w:rPr>
                <w:rFonts w:eastAsia="Calibri"/>
                <w:sz w:val="18"/>
                <w:szCs w:val="18"/>
              </w:rPr>
              <w:t xml:space="preserve"> </w:t>
            </w:r>
            <w:r w:rsidRPr="00412C47">
              <w:rPr>
                <w:rFonts w:ascii="Calibri" w:eastAsia="Calibri" w:hAnsi="Calibri"/>
                <w:sz w:val="18"/>
                <w:szCs w:val="18"/>
              </w:rPr>
              <w:t>from January 2014 onwards.</w:t>
            </w:r>
          </w:p>
          <w:p w14:paraId="744FAF98" w14:textId="54CCC218" w:rsidR="00E12D7A" w:rsidRPr="00412C47" w:rsidRDefault="00E12D7A" w:rsidP="00515190">
            <w:pPr>
              <w:spacing w:after="0" w:line="240" w:lineRule="auto"/>
              <w:rPr>
                <w:rFonts w:ascii="Calibri" w:eastAsia="Calibri" w:hAnsi="Calibri" w:cs="Times New Roman"/>
                <w:b/>
                <w:sz w:val="18"/>
                <w:szCs w:val="18"/>
                <w:lang w:eastAsia="en-US"/>
              </w:rPr>
            </w:pPr>
            <w:r w:rsidRPr="00412C47">
              <w:rPr>
                <w:rFonts w:eastAsia="Calibri"/>
                <w:b/>
                <w:sz w:val="18"/>
                <w:szCs w:val="18"/>
              </w:rPr>
              <w:t xml:space="preserve">2014 Reporting Note: </w:t>
            </w:r>
            <w:r w:rsidR="002B59F9" w:rsidRPr="00412C47">
              <w:rPr>
                <w:rFonts w:eastAsia="Calibri"/>
                <w:sz w:val="18"/>
                <w:szCs w:val="18"/>
              </w:rPr>
              <w:t>2014 m</w:t>
            </w:r>
            <w:r w:rsidRPr="00412C47">
              <w:rPr>
                <w:rFonts w:eastAsia="Calibri"/>
                <w:sz w:val="18"/>
                <w:szCs w:val="18"/>
              </w:rPr>
              <w:t xml:space="preserve">ilestones </w:t>
            </w:r>
            <w:r w:rsidR="002B59F9" w:rsidRPr="00412C47">
              <w:rPr>
                <w:rFonts w:eastAsia="Calibri"/>
                <w:sz w:val="18"/>
                <w:szCs w:val="18"/>
              </w:rPr>
              <w:t xml:space="preserve">and 2017 targets </w:t>
            </w:r>
            <w:r w:rsidRPr="00412C47">
              <w:rPr>
                <w:rFonts w:eastAsia="Calibri"/>
                <w:sz w:val="18"/>
                <w:szCs w:val="18"/>
              </w:rPr>
              <w:t>updated to reflect more complete reporting from country offices. For reference, previous 2014 milestones w</w:t>
            </w:r>
            <w:r w:rsidR="00515190" w:rsidRPr="00412C47">
              <w:rPr>
                <w:rFonts w:eastAsia="Calibri"/>
                <w:sz w:val="18"/>
                <w:szCs w:val="18"/>
              </w:rPr>
              <w:t>ere: a) 13, b) 7</w:t>
            </w:r>
            <w:r w:rsidR="002B59F9" w:rsidRPr="00412C47">
              <w:rPr>
                <w:rFonts w:eastAsia="Calibri"/>
                <w:sz w:val="18"/>
                <w:szCs w:val="18"/>
              </w:rPr>
              <w:t xml:space="preserve">; previous targets were: a) 41, b) 29. </w:t>
            </w:r>
          </w:p>
        </w:tc>
      </w:tr>
      <w:tr w:rsidR="00405EF5" w:rsidRPr="00283732" w14:paraId="4F3196F6" w14:textId="77777777" w:rsidTr="005B78CE">
        <w:trPr>
          <w:trHeight w:val="503"/>
          <w:jc w:val="center"/>
        </w:trPr>
        <w:tc>
          <w:tcPr>
            <w:tcW w:w="3143" w:type="dxa"/>
            <w:vMerge w:val="restart"/>
            <w:tcBorders>
              <w:top w:val="single" w:sz="4" w:space="0" w:color="auto"/>
              <w:left w:val="single" w:sz="4" w:space="0" w:color="auto"/>
              <w:right w:val="single" w:sz="4" w:space="0" w:color="auto"/>
            </w:tcBorders>
            <w:shd w:val="clear" w:color="auto" w:fill="FFFFFF"/>
            <w:hideMark/>
          </w:tcPr>
          <w:p w14:paraId="7C44AB9B" w14:textId="309CEAC0" w:rsidR="00405EF5" w:rsidRDefault="00405EF5" w:rsidP="00434EF6">
            <w:pPr>
              <w:spacing w:after="0" w:line="240" w:lineRule="auto"/>
              <w:rPr>
                <w:rFonts w:eastAsia="Calibri"/>
                <w:sz w:val="20"/>
              </w:rPr>
            </w:pPr>
            <w:r w:rsidRPr="005A7A63">
              <w:rPr>
                <w:rFonts w:eastAsia="Calibri"/>
                <w:b/>
                <w:sz w:val="20"/>
              </w:rPr>
              <w:t xml:space="preserve">Output 2.6. </w:t>
            </w:r>
            <w:r w:rsidRPr="005A7A63">
              <w:rPr>
                <w:rFonts w:eastAsia="Calibri"/>
                <w:sz w:val="20"/>
              </w:rPr>
              <w:t>Legal reform enabled to fight discrimination and address emerging issues (such as enviro</w:t>
            </w:r>
            <w:r w:rsidR="0048649B">
              <w:rPr>
                <w:rFonts w:eastAsia="Calibri"/>
                <w:sz w:val="20"/>
              </w:rPr>
              <w:t>nmental and electoral justice)</w:t>
            </w:r>
          </w:p>
          <w:p w14:paraId="7178468D" w14:textId="77777777" w:rsidR="00405EF5" w:rsidRDefault="00405EF5" w:rsidP="00457179">
            <w:pPr>
              <w:spacing w:after="0" w:line="240" w:lineRule="auto"/>
              <w:rPr>
                <w:rFonts w:eastAsia="Calibri"/>
                <w:sz w:val="20"/>
                <w:szCs w:val="20"/>
              </w:rPr>
            </w:pPr>
          </w:p>
          <w:p w14:paraId="2E378922" w14:textId="7A7E76AB" w:rsidR="00405EF5" w:rsidRPr="005A7A63" w:rsidRDefault="007A4E99" w:rsidP="00C7089E">
            <w:pPr>
              <w:spacing w:after="0" w:line="240" w:lineRule="auto"/>
              <w:rPr>
                <w:rFonts w:eastAsia="Calibri"/>
                <w:sz w:val="20"/>
              </w:rPr>
            </w:pPr>
            <w:r w:rsidRPr="00B359E7">
              <w:rPr>
                <w:rFonts w:ascii="Calibri" w:eastAsia="Calibri" w:hAnsi="Calibri"/>
                <w:b/>
                <w:i/>
                <w:color w:val="000000"/>
                <w:sz w:val="18"/>
                <w:szCs w:val="18"/>
              </w:rPr>
              <w:t>Number of countries linked:</w:t>
            </w:r>
            <w:r>
              <w:rPr>
                <w:rFonts w:ascii="Calibri" w:eastAsia="Calibri" w:hAnsi="Calibri"/>
                <w:b/>
                <w:color w:val="000000"/>
                <w:sz w:val="18"/>
                <w:szCs w:val="18"/>
              </w:rPr>
              <w:t xml:space="preserve"> 2</w:t>
            </w:r>
            <w:r w:rsidR="00C7089E">
              <w:rPr>
                <w:rFonts w:ascii="Calibri" w:eastAsia="Calibri" w:hAnsi="Calibri"/>
                <w:b/>
                <w:color w:val="000000"/>
                <w:sz w:val="18"/>
                <w:szCs w:val="18"/>
              </w:rPr>
              <w:t>5</w:t>
            </w:r>
            <w:r>
              <w:rPr>
                <w:rFonts w:ascii="Calibri" w:eastAsia="Calibri" w:hAnsi="Calibri"/>
                <w:b/>
                <w:color w:val="000000"/>
                <w:sz w:val="18"/>
                <w:szCs w:val="18"/>
              </w:rPr>
              <w:t xml:space="preserve"> (February 2015</w:t>
            </w:r>
            <w:r w:rsidRPr="00B359E7">
              <w:rPr>
                <w:rFonts w:ascii="Calibri" w:eastAsia="Calibri" w:hAnsi="Calibri"/>
                <w:b/>
                <w:color w:val="000000"/>
                <w:sz w:val="18"/>
                <w:szCs w:val="18"/>
              </w:rPr>
              <w:t>)</w:t>
            </w:r>
          </w:p>
        </w:tc>
        <w:tc>
          <w:tcPr>
            <w:tcW w:w="900" w:type="dxa"/>
            <w:vMerge w:val="restart"/>
            <w:tcBorders>
              <w:top w:val="single" w:sz="4" w:space="0" w:color="auto"/>
              <w:left w:val="single" w:sz="4" w:space="0" w:color="auto"/>
              <w:right w:val="single" w:sz="4" w:space="0" w:color="auto"/>
            </w:tcBorders>
            <w:shd w:val="clear" w:color="auto" w:fill="FFFFFF"/>
            <w:hideMark/>
          </w:tcPr>
          <w:p w14:paraId="2394A536" w14:textId="77777777" w:rsidR="00405EF5" w:rsidRPr="005A7A63" w:rsidRDefault="00405EF5" w:rsidP="00BA4EFC">
            <w:pPr>
              <w:spacing w:after="0" w:line="240" w:lineRule="auto"/>
              <w:jc w:val="center"/>
              <w:rPr>
                <w:rFonts w:eastAsia="Calibri"/>
                <w:b/>
                <w:sz w:val="20"/>
              </w:rPr>
            </w:pPr>
            <w:r w:rsidRPr="005A7A63">
              <w:rPr>
                <w:rFonts w:eastAsia="Calibri"/>
                <w:b/>
                <w:sz w:val="20"/>
              </w:rPr>
              <w:t>2.6.1</w:t>
            </w:r>
          </w:p>
        </w:tc>
        <w:tc>
          <w:tcPr>
            <w:tcW w:w="5310" w:type="dxa"/>
            <w:tcBorders>
              <w:top w:val="single" w:sz="4" w:space="0" w:color="auto"/>
              <w:left w:val="single" w:sz="4" w:space="0" w:color="auto"/>
              <w:bottom w:val="single" w:sz="4" w:space="0" w:color="auto"/>
              <w:right w:val="single" w:sz="4" w:space="0" w:color="auto"/>
            </w:tcBorders>
            <w:shd w:val="clear" w:color="auto" w:fill="FFFFFF"/>
            <w:hideMark/>
          </w:tcPr>
          <w:p w14:paraId="3450C3CE" w14:textId="7B4DA23F" w:rsidR="00405EF5" w:rsidRPr="00412C47" w:rsidRDefault="00405EF5" w:rsidP="00434EF6">
            <w:pPr>
              <w:spacing w:after="0" w:line="240" w:lineRule="auto"/>
              <w:rPr>
                <w:rFonts w:eastAsia="Calibri"/>
                <w:b/>
                <w:sz w:val="20"/>
              </w:rPr>
            </w:pPr>
            <w:r w:rsidRPr="00412C47">
              <w:rPr>
                <w:rFonts w:eastAsia="Calibri"/>
                <w:sz w:val="20"/>
              </w:rPr>
              <w:t xml:space="preserve">Number of countries where proposals for </w:t>
            </w:r>
            <w:r w:rsidRPr="00412C47">
              <w:rPr>
                <w:rFonts w:eastAsia="Calibri"/>
                <w:b/>
                <w:sz w:val="20"/>
              </w:rPr>
              <w:t>legal reform to fight discrimination</w:t>
            </w:r>
            <w:r w:rsidRPr="00412C47">
              <w:rPr>
                <w:rFonts w:eastAsia="Calibri"/>
                <w:sz w:val="20"/>
              </w:rPr>
              <w:t xml:space="preserve"> </w:t>
            </w:r>
            <w:r w:rsidR="005A3187" w:rsidRPr="00412C47">
              <w:rPr>
                <w:rFonts w:eastAsia="Calibri"/>
                <w:sz w:val="20"/>
              </w:rPr>
              <w:t>(e.g. people affected by HIV, persons with disabilities</w:t>
            </w:r>
            <w:r w:rsidRPr="00412C47">
              <w:rPr>
                <w:rFonts w:eastAsia="Calibri"/>
                <w:sz w:val="20"/>
              </w:rPr>
              <w:t xml:space="preserve">, women, minorities and migrants) have been </w:t>
            </w:r>
            <w:r w:rsidRPr="00412C47">
              <w:rPr>
                <w:rFonts w:eastAsia="Calibri"/>
                <w:b/>
                <w:sz w:val="20"/>
              </w:rPr>
              <w:t>ad</w:t>
            </w:r>
            <w:r w:rsidR="008A6355" w:rsidRPr="00412C47">
              <w:rPr>
                <w:rFonts w:eastAsia="Calibri"/>
                <w:b/>
                <w:sz w:val="20"/>
              </w:rPr>
              <w:t>opted (contributing to UNAIDS U</w:t>
            </w:r>
            <w:r w:rsidRPr="00412C47">
              <w:rPr>
                <w:rFonts w:eastAsia="Calibri"/>
                <w:b/>
                <w:sz w:val="20"/>
              </w:rPr>
              <w:t>BRAF)</w:t>
            </w:r>
          </w:p>
          <w:p w14:paraId="1892C383" w14:textId="2D65F0A6" w:rsidR="008376B6" w:rsidRPr="00412C47" w:rsidRDefault="008376B6" w:rsidP="0090424B">
            <w:pPr>
              <w:spacing w:before="240" w:after="0" w:line="240" w:lineRule="auto"/>
              <w:rPr>
                <w:rFonts w:eastAsia="Calibri"/>
                <w:b/>
                <w:sz w:val="20"/>
              </w:rPr>
            </w:pPr>
            <w:r w:rsidRPr="00412C47">
              <w:rPr>
                <w:rFonts w:eastAsia="Calibri"/>
                <w:b/>
                <w:i/>
                <w:sz w:val="18"/>
                <w:szCs w:val="18"/>
              </w:rPr>
              <w:t xml:space="preserve">Number of countries </w:t>
            </w:r>
            <w:r w:rsidR="00983FF8" w:rsidRPr="00412C47">
              <w:rPr>
                <w:rFonts w:eastAsia="Calibri"/>
                <w:b/>
                <w:i/>
                <w:sz w:val="18"/>
                <w:szCs w:val="18"/>
              </w:rPr>
              <w:t>for which a 2017 target has currently been set under this indicator</w:t>
            </w:r>
            <w:r w:rsidR="00697023" w:rsidRPr="00412C47">
              <w:rPr>
                <w:rFonts w:eastAsia="Calibri"/>
                <w:b/>
                <w:i/>
                <w:sz w:val="18"/>
                <w:szCs w:val="18"/>
              </w:rPr>
              <w:t>: 20</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51634996" w14:textId="0C998D62" w:rsidR="00405EF5" w:rsidRPr="00B45981" w:rsidRDefault="00821B9D" w:rsidP="007E66CF">
            <w:pPr>
              <w:spacing w:after="0" w:line="240" w:lineRule="auto"/>
              <w:jc w:val="center"/>
              <w:rPr>
                <w:rFonts w:eastAsia="Calibri"/>
                <w:sz w:val="20"/>
              </w:rPr>
            </w:pPr>
            <w:r>
              <w:rPr>
                <w:rFonts w:eastAsia="Calibri"/>
                <w:sz w:val="20"/>
              </w:rPr>
              <w:t>10</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90AE6E4" w14:textId="2B6F1409" w:rsidR="00405EF5" w:rsidRPr="00B45981" w:rsidRDefault="00405EF5" w:rsidP="00B45981">
            <w:pPr>
              <w:spacing w:after="0" w:line="240" w:lineRule="auto"/>
              <w:jc w:val="center"/>
              <w:rPr>
                <w:rFonts w:eastAsia="Calibri"/>
                <w:sz w:val="20"/>
              </w:rPr>
            </w:pPr>
            <w:r>
              <w:rPr>
                <w:rFonts w:eastAsia="Calibri"/>
                <w:sz w:val="20"/>
              </w:rPr>
              <w:t>14</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6248AC24" w14:textId="43C8EB7E" w:rsidR="00405EF5" w:rsidRPr="00B45981" w:rsidRDefault="00515190" w:rsidP="00B45981">
            <w:pPr>
              <w:spacing w:after="0" w:line="240" w:lineRule="auto"/>
              <w:jc w:val="center"/>
              <w:rPr>
                <w:rFonts w:eastAsia="Calibri"/>
                <w:sz w:val="20"/>
              </w:rPr>
            </w:pPr>
            <w:r>
              <w:rPr>
                <w:rFonts w:eastAsia="Calibri"/>
                <w:sz w:val="20"/>
              </w:rPr>
              <w:t>11</w:t>
            </w:r>
            <w:r w:rsidR="00FF3C75">
              <w:rPr>
                <w:rFonts w:eastAsia="Calibri"/>
                <w:sz w:val="20"/>
              </w:rPr>
              <w:t>*</w:t>
            </w: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tcPr>
          <w:p w14:paraId="1900CFD3" w14:textId="50A51F24" w:rsidR="00405EF5" w:rsidRPr="00B45981" w:rsidRDefault="00CF6747" w:rsidP="00CF6747">
            <w:pPr>
              <w:spacing w:after="0" w:line="240" w:lineRule="auto"/>
              <w:jc w:val="center"/>
              <w:rPr>
                <w:rFonts w:eastAsia="Calibri"/>
                <w:sz w:val="20"/>
              </w:rPr>
            </w:pPr>
            <w:r>
              <w:rPr>
                <w:rFonts w:eastAsia="Calibri"/>
                <w:sz w:val="20"/>
              </w:rPr>
              <w:t>20</w:t>
            </w:r>
          </w:p>
        </w:tc>
      </w:tr>
      <w:tr w:rsidR="00515190" w:rsidRPr="00283732" w14:paraId="2A7A7F76" w14:textId="77777777" w:rsidTr="004C3CB2">
        <w:trPr>
          <w:trHeight w:val="503"/>
          <w:jc w:val="center"/>
        </w:trPr>
        <w:tc>
          <w:tcPr>
            <w:tcW w:w="3143" w:type="dxa"/>
            <w:vMerge/>
            <w:tcBorders>
              <w:left w:val="single" w:sz="4" w:space="0" w:color="auto"/>
              <w:bottom w:val="single" w:sz="4" w:space="0" w:color="auto"/>
              <w:right w:val="single" w:sz="4" w:space="0" w:color="auto"/>
            </w:tcBorders>
            <w:shd w:val="clear" w:color="auto" w:fill="FFFFFF"/>
          </w:tcPr>
          <w:p w14:paraId="3C7935E2" w14:textId="77777777" w:rsidR="00515190" w:rsidRPr="005A7A63" w:rsidRDefault="00515190" w:rsidP="00434EF6">
            <w:pPr>
              <w:spacing w:after="0" w:line="240" w:lineRule="auto"/>
              <w:rPr>
                <w:rFonts w:eastAsia="Calibri"/>
                <w:b/>
                <w:sz w:val="20"/>
              </w:rPr>
            </w:pPr>
          </w:p>
        </w:tc>
        <w:tc>
          <w:tcPr>
            <w:tcW w:w="900" w:type="dxa"/>
            <w:vMerge/>
            <w:tcBorders>
              <w:left w:val="single" w:sz="4" w:space="0" w:color="auto"/>
              <w:bottom w:val="single" w:sz="4" w:space="0" w:color="auto"/>
              <w:right w:val="single" w:sz="4" w:space="0" w:color="auto"/>
            </w:tcBorders>
            <w:shd w:val="clear" w:color="auto" w:fill="FFFFFF"/>
          </w:tcPr>
          <w:p w14:paraId="1114E2C4" w14:textId="77777777" w:rsidR="00515190" w:rsidRPr="005A7A63" w:rsidRDefault="00515190" w:rsidP="00434EF6">
            <w:pPr>
              <w:spacing w:after="0" w:line="240" w:lineRule="auto"/>
              <w:rPr>
                <w:rFonts w:eastAsia="Calibri"/>
                <w:b/>
                <w:sz w:val="20"/>
              </w:rPr>
            </w:pPr>
          </w:p>
        </w:tc>
        <w:tc>
          <w:tcPr>
            <w:tcW w:w="10892" w:type="dxa"/>
            <w:gridSpan w:val="5"/>
            <w:tcBorders>
              <w:left w:val="single" w:sz="4" w:space="0" w:color="auto"/>
              <w:bottom w:val="single" w:sz="4" w:space="0" w:color="auto"/>
            </w:tcBorders>
            <w:shd w:val="clear" w:color="auto" w:fill="D9D9D9" w:themeFill="background1" w:themeFillShade="D9"/>
          </w:tcPr>
          <w:p w14:paraId="605A2546" w14:textId="42187320" w:rsidR="00515190" w:rsidRPr="008A6355" w:rsidRDefault="00515190" w:rsidP="008A6355">
            <w:pPr>
              <w:autoSpaceDE w:val="0"/>
              <w:autoSpaceDN w:val="0"/>
              <w:adjustRightInd w:val="0"/>
              <w:spacing w:after="0" w:line="240" w:lineRule="auto"/>
              <w:rPr>
                <w:rFonts w:eastAsia="Calibri"/>
                <w:sz w:val="18"/>
                <w:szCs w:val="18"/>
              </w:rPr>
            </w:pPr>
            <w:r w:rsidRPr="008A6355">
              <w:rPr>
                <w:rFonts w:eastAsia="Calibri" w:cs="Times New Roman"/>
                <w:b/>
                <w:sz w:val="18"/>
                <w:szCs w:val="18"/>
                <w:lang w:eastAsia="en-US"/>
              </w:rPr>
              <w:t xml:space="preserve">Indicator 2.6.1 Note: </w:t>
            </w:r>
            <w:r w:rsidR="00A047C8" w:rsidRPr="008A6355">
              <w:rPr>
                <w:rFonts w:eastAsia="Calibri" w:cs="Times New Roman"/>
                <w:sz w:val="18"/>
                <w:szCs w:val="18"/>
                <w:lang w:eastAsia="en-US"/>
              </w:rPr>
              <w:t xml:space="preserve">Indicator </w:t>
            </w:r>
            <w:r w:rsidR="008A6355" w:rsidRPr="008A6355">
              <w:rPr>
                <w:rFonts w:eastAsia="Calibri" w:cs="Times New Roman"/>
                <w:sz w:val="18"/>
                <w:szCs w:val="18"/>
                <w:lang w:eastAsia="en-US"/>
              </w:rPr>
              <w:t>derived from</w:t>
            </w:r>
            <w:r w:rsidR="00A047C8" w:rsidRPr="008A6355">
              <w:rPr>
                <w:rFonts w:eastAsia="Calibri" w:cs="Times New Roman"/>
                <w:sz w:val="18"/>
                <w:szCs w:val="18"/>
                <w:lang w:eastAsia="en-US"/>
              </w:rPr>
              <w:t xml:space="preserve"> UNAIDS</w:t>
            </w:r>
            <w:r w:rsidR="008A6355" w:rsidRPr="008A6355">
              <w:rPr>
                <w:rFonts w:eastAsia="Calibri" w:cs="Times New Roman"/>
                <w:sz w:val="18"/>
                <w:szCs w:val="18"/>
                <w:lang w:eastAsia="en-US"/>
              </w:rPr>
              <w:t xml:space="preserve"> </w:t>
            </w:r>
            <w:r w:rsidR="008A6355" w:rsidRPr="008A6355">
              <w:rPr>
                <w:rFonts w:cs="Avenir-Light"/>
                <w:i/>
                <w:color w:val="1A1A18"/>
                <w:sz w:val="18"/>
                <w:szCs w:val="18"/>
              </w:rPr>
              <w:t>Unified Budget, Results and Accountability Framework</w:t>
            </w:r>
            <w:r w:rsidR="008A6355">
              <w:rPr>
                <w:rFonts w:eastAsia="Calibri" w:cs="Times New Roman"/>
                <w:sz w:val="18"/>
                <w:szCs w:val="18"/>
                <w:lang w:eastAsia="en-US"/>
              </w:rPr>
              <w:t xml:space="preserve"> (UBRAF)</w:t>
            </w:r>
            <w:r w:rsidR="005A3187">
              <w:rPr>
                <w:rFonts w:eastAsia="Calibri" w:cs="Times New Roman"/>
                <w:sz w:val="18"/>
                <w:szCs w:val="18"/>
                <w:lang w:eastAsia="en-US"/>
              </w:rPr>
              <w:t>, which t</w:t>
            </w:r>
            <w:r w:rsidRPr="008A6355">
              <w:rPr>
                <w:sz w:val="18"/>
                <w:szCs w:val="18"/>
              </w:rPr>
              <w:t>racks the number of countries where proposals for legal reform to fight d</w:t>
            </w:r>
            <w:r w:rsidR="005A3187">
              <w:rPr>
                <w:sz w:val="18"/>
                <w:szCs w:val="18"/>
              </w:rPr>
              <w:t xml:space="preserve">iscrimination have been </w:t>
            </w:r>
            <w:r w:rsidR="005A3187" w:rsidRPr="005A3187">
              <w:rPr>
                <w:sz w:val="18"/>
                <w:szCs w:val="18"/>
                <w:u w:val="single"/>
              </w:rPr>
              <w:t>adopted</w:t>
            </w:r>
            <w:r w:rsidR="005A3187">
              <w:rPr>
                <w:sz w:val="18"/>
                <w:szCs w:val="18"/>
              </w:rPr>
              <w:t xml:space="preserve">. In UNDP’s IRRF, legal reform to fight discrimination must be adopted </w:t>
            </w:r>
            <w:r w:rsidRPr="008A6355">
              <w:rPr>
                <w:rFonts w:eastAsia="Calibri"/>
                <w:sz w:val="18"/>
                <w:szCs w:val="18"/>
              </w:rPr>
              <w:t xml:space="preserve">as a result of UNDP support (on demand </w:t>
            </w:r>
            <w:r w:rsidRPr="008A6355">
              <w:rPr>
                <w:sz w:val="18"/>
                <w:szCs w:val="18"/>
              </w:rPr>
              <w:t>from programme countries</w:t>
            </w:r>
            <w:r w:rsidRPr="008A6355">
              <w:rPr>
                <w:rFonts w:eastAsia="Calibri"/>
                <w:sz w:val="18"/>
                <w:szCs w:val="18"/>
              </w:rPr>
              <w:t xml:space="preserve">), from January 2014 onwards. Proposals have been </w:t>
            </w:r>
            <w:r w:rsidRPr="008A6355">
              <w:rPr>
                <w:rFonts w:eastAsia="Calibri"/>
                <w:sz w:val="18"/>
                <w:szCs w:val="18"/>
                <w:u w:val="single"/>
              </w:rPr>
              <w:t>planned</w:t>
            </w:r>
            <w:r w:rsidR="005A3187">
              <w:rPr>
                <w:rFonts w:eastAsia="Calibri"/>
                <w:sz w:val="18"/>
                <w:szCs w:val="18"/>
              </w:rPr>
              <w:t xml:space="preserve"> in 40 countries supported by UNDP.</w:t>
            </w:r>
          </w:p>
          <w:p w14:paraId="694C2D80" w14:textId="1339A767" w:rsidR="00FF3C75" w:rsidRPr="008A6355" w:rsidRDefault="009A46D3" w:rsidP="00F13F59">
            <w:pPr>
              <w:spacing w:after="0" w:line="240" w:lineRule="auto"/>
              <w:rPr>
                <w:rFonts w:eastAsia="Calibri" w:cs="Times New Roman"/>
                <w:b/>
                <w:sz w:val="18"/>
                <w:szCs w:val="18"/>
                <w:lang w:eastAsia="en-US"/>
              </w:rPr>
            </w:pPr>
            <w:r w:rsidRPr="008A6355">
              <w:rPr>
                <w:rFonts w:eastAsia="Calibri"/>
                <w:b/>
                <w:sz w:val="18"/>
                <w:szCs w:val="18"/>
              </w:rPr>
              <w:t xml:space="preserve">2014 Reporting </w:t>
            </w:r>
            <w:r w:rsidR="00FF3C75" w:rsidRPr="008A6355">
              <w:rPr>
                <w:rFonts w:eastAsia="Calibri"/>
                <w:b/>
                <w:sz w:val="18"/>
                <w:szCs w:val="18"/>
              </w:rPr>
              <w:t>N</w:t>
            </w:r>
            <w:r w:rsidRPr="008A6355">
              <w:rPr>
                <w:rFonts w:eastAsia="Calibri"/>
                <w:b/>
                <w:sz w:val="18"/>
                <w:szCs w:val="18"/>
              </w:rPr>
              <w:t>ote:</w:t>
            </w:r>
            <w:r w:rsidRPr="008A6355">
              <w:rPr>
                <w:rFonts w:eastAsia="Calibri"/>
                <w:sz w:val="18"/>
                <w:szCs w:val="18"/>
              </w:rPr>
              <w:t xml:space="preserve"> </w:t>
            </w:r>
            <w:r w:rsidR="00F54849" w:rsidRPr="008A6355">
              <w:rPr>
                <w:rFonts w:eastAsia="Calibri"/>
                <w:sz w:val="18"/>
                <w:szCs w:val="18"/>
              </w:rPr>
              <w:t>Baseline</w:t>
            </w:r>
            <w:r w:rsidR="00CF6747" w:rsidRPr="008A6355">
              <w:rPr>
                <w:rFonts w:eastAsia="Calibri"/>
                <w:sz w:val="18"/>
                <w:szCs w:val="18"/>
              </w:rPr>
              <w:t xml:space="preserve"> and 2017 target</w:t>
            </w:r>
            <w:r w:rsidR="00F54849" w:rsidRPr="008A6355">
              <w:rPr>
                <w:rFonts w:eastAsia="Calibri"/>
                <w:sz w:val="18"/>
                <w:szCs w:val="18"/>
              </w:rPr>
              <w:t xml:space="preserve"> updated to reflect more complete reporting from country offices. For reference, </w:t>
            </w:r>
            <w:r w:rsidR="00821B9D" w:rsidRPr="008A6355">
              <w:rPr>
                <w:rFonts w:eastAsia="Calibri"/>
                <w:sz w:val="18"/>
                <w:szCs w:val="18"/>
              </w:rPr>
              <w:t>previous b</w:t>
            </w:r>
            <w:r w:rsidRPr="008A6355">
              <w:rPr>
                <w:rFonts w:eastAsia="Calibri"/>
                <w:sz w:val="18"/>
                <w:szCs w:val="18"/>
              </w:rPr>
              <w:t xml:space="preserve">aseline </w:t>
            </w:r>
            <w:r w:rsidR="00604C34" w:rsidRPr="008A6355">
              <w:rPr>
                <w:rFonts w:eastAsia="Calibri"/>
                <w:sz w:val="18"/>
                <w:szCs w:val="18"/>
              </w:rPr>
              <w:t>was 12</w:t>
            </w:r>
            <w:r w:rsidR="00CF6747" w:rsidRPr="008A6355">
              <w:rPr>
                <w:rFonts w:eastAsia="Calibri"/>
                <w:sz w:val="18"/>
                <w:szCs w:val="18"/>
              </w:rPr>
              <w:t xml:space="preserve">, previous target was 19. </w:t>
            </w:r>
            <w:r w:rsidR="00FF3C75" w:rsidRPr="008A6355">
              <w:rPr>
                <w:rFonts w:eastAsia="Calibri"/>
                <w:sz w:val="18"/>
                <w:szCs w:val="18"/>
              </w:rPr>
              <w:t>*2014 actual results data is missing for several countries expected to contribute to results</w:t>
            </w:r>
            <w:r w:rsidR="00F13F59">
              <w:rPr>
                <w:rFonts w:eastAsia="Calibri"/>
                <w:sz w:val="18"/>
                <w:szCs w:val="18"/>
              </w:rPr>
              <w:t xml:space="preserve"> and is too incomplete to allow a traffic light assessment;</w:t>
            </w:r>
            <w:r w:rsidR="00FF3C75" w:rsidRPr="008A6355">
              <w:rPr>
                <w:rFonts w:eastAsia="Calibri"/>
                <w:sz w:val="18"/>
                <w:szCs w:val="18"/>
              </w:rPr>
              <w:t xml:space="preserve"> final results will be reported at a later date.</w:t>
            </w:r>
          </w:p>
        </w:tc>
      </w:tr>
    </w:tbl>
    <w:p w14:paraId="3878A44A" w14:textId="77777777" w:rsidR="00724F77" w:rsidRDefault="00724F77" w:rsidP="00724F77"/>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8820"/>
        <w:gridCol w:w="2790"/>
        <w:gridCol w:w="1080"/>
        <w:gridCol w:w="1800"/>
      </w:tblGrid>
      <w:tr w:rsidR="004E2D72" w:rsidRPr="00283732" w14:paraId="43280BD0" w14:textId="77777777" w:rsidTr="00EF7BF7">
        <w:trPr>
          <w:trHeight w:val="263"/>
          <w:jc w:val="center"/>
        </w:trPr>
        <w:tc>
          <w:tcPr>
            <w:tcW w:w="15025" w:type="dxa"/>
            <w:gridSpan w:val="5"/>
            <w:tcBorders>
              <w:top w:val="single" w:sz="4" w:space="0" w:color="auto"/>
              <w:left w:val="single" w:sz="4" w:space="0" w:color="auto"/>
              <w:bottom w:val="single" w:sz="4" w:space="0" w:color="auto"/>
              <w:right w:val="single" w:sz="4" w:space="0" w:color="auto"/>
            </w:tcBorders>
            <w:shd w:val="clear" w:color="auto" w:fill="0070C0"/>
          </w:tcPr>
          <w:p w14:paraId="07437D3C" w14:textId="4600537A" w:rsidR="004E2D72" w:rsidRPr="00015A57" w:rsidRDefault="004E2D72" w:rsidP="00301E5B">
            <w:pPr>
              <w:spacing w:after="0" w:line="240" w:lineRule="auto"/>
              <w:rPr>
                <w:rFonts w:eastAsia="Calibri"/>
                <w:b/>
                <w:sz w:val="24"/>
                <w:szCs w:val="24"/>
              </w:rPr>
            </w:pPr>
            <w:r w:rsidRPr="00015A57">
              <w:rPr>
                <w:rFonts w:eastAsia="SimSun"/>
                <w:b/>
                <w:sz w:val="24"/>
                <w:szCs w:val="24"/>
                <w:u w:val="single"/>
              </w:rPr>
              <w:br w:type="page"/>
            </w:r>
            <w:r w:rsidRPr="00301E5B">
              <w:rPr>
                <w:rStyle w:val="Heading3Char"/>
                <w:rFonts w:asciiTheme="minorHAnsi" w:eastAsia="Calibri" w:hAnsiTheme="minorHAnsi"/>
                <w:color w:val="FFFF00"/>
                <w:sz w:val="24"/>
                <w:szCs w:val="24"/>
                <w:u w:val="single"/>
              </w:rPr>
              <w:t>Outcome 3:</w:t>
            </w:r>
            <w:r w:rsidRPr="0050146A">
              <w:rPr>
                <w:rFonts w:eastAsia="Calibri"/>
                <w:b/>
                <w:color w:val="FFFF00"/>
                <w:sz w:val="24"/>
                <w:szCs w:val="24"/>
              </w:rPr>
              <w:t xml:space="preserve"> Countries have strengthened institutions to progressively deliver universal access to basic services</w:t>
            </w:r>
          </w:p>
        </w:tc>
      </w:tr>
      <w:tr w:rsidR="00F7064C" w:rsidRPr="00EC2ACE" w14:paraId="13218DA2" w14:textId="77777777" w:rsidTr="00835812">
        <w:trPr>
          <w:trHeight w:val="263"/>
          <w:jc w:val="center"/>
        </w:trPr>
        <w:tc>
          <w:tcPr>
            <w:tcW w:w="9355"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259FA0F" w14:textId="77777777" w:rsidR="00F7064C" w:rsidRPr="005A7A63" w:rsidRDefault="00F7064C" w:rsidP="003377AB">
            <w:pPr>
              <w:spacing w:after="0" w:line="240" w:lineRule="auto"/>
              <w:rPr>
                <w:rFonts w:eastAsia="Calibri"/>
                <w:sz w:val="20"/>
              </w:rPr>
            </w:pPr>
            <w:r w:rsidRPr="005A7A63">
              <w:rPr>
                <w:rFonts w:eastAsia="Calibri"/>
                <w:b/>
                <w:sz w:val="20"/>
              </w:rPr>
              <w:t>Outcome Indicators</w:t>
            </w:r>
            <w:r w:rsidRPr="005A7A63">
              <w:rPr>
                <w:rFonts w:eastAsia="Calibri"/>
                <w:sz w:val="20"/>
              </w:rPr>
              <w:t xml:space="preserve"> </w:t>
            </w:r>
            <w:r>
              <w:rPr>
                <w:rFonts w:eastAsia="Calibri"/>
                <w:sz w:val="20"/>
              </w:rPr>
              <w:t>(</w:t>
            </w:r>
            <w:r w:rsidRPr="009B5098">
              <w:rPr>
                <w:rFonts w:ascii="Calibri" w:eastAsia="SimSun" w:hAnsi="Calibri"/>
                <w:b/>
                <w:sz w:val="18"/>
                <w:szCs w:val="18"/>
                <w:lang w:eastAsia="zh-CN"/>
              </w:rPr>
              <w:t xml:space="preserve">* </w:t>
            </w:r>
            <w:r w:rsidRPr="009B5098">
              <w:rPr>
                <w:rFonts w:ascii="Calibri" w:eastAsia="SimSun" w:hAnsi="Calibri"/>
                <w:sz w:val="18"/>
                <w:szCs w:val="18"/>
                <w:lang w:eastAsia="zh-CN"/>
              </w:rPr>
              <w:t>Using lates</w:t>
            </w:r>
            <w:r>
              <w:rPr>
                <w:rFonts w:ascii="Calibri" w:eastAsia="SimSun" w:hAnsi="Calibri"/>
                <w:sz w:val="18"/>
                <w:szCs w:val="18"/>
                <w:lang w:eastAsia="zh-CN"/>
              </w:rPr>
              <w:t>t data up to the year specified)</w:t>
            </w:r>
          </w:p>
        </w:tc>
        <w:tc>
          <w:tcPr>
            <w:tcW w:w="2790" w:type="dxa"/>
            <w:tcBorders>
              <w:top w:val="single" w:sz="4" w:space="0" w:color="auto"/>
              <w:left w:val="single" w:sz="4" w:space="0" w:color="auto"/>
              <w:bottom w:val="single" w:sz="4" w:space="0" w:color="auto"/>
              <w:right w:val="single" w:sz="4" w:space="0" w:color="auto"/>
            </w:tcBorders>
            <w:shd w:val="clear" w:color="auto" w:fill="F2F2F2"/>
          </w:tcPr>
          <w:p w14:paraId="00DB06F1" w14:textId="77777777" w:rsidR="00F7064C" w:rsidRPr="005A7A63" w:rsidRDefault="00F7064C" w:rsidP="003377AB">
            <w:pPr>
              <w:spacing w:after="0" w:line="240" w:lineRule="auto"/>
              <w:rPr>
                <w:rFonts w:eastAsia="Calibri"/>
                <w:b/>
                <w:sz w:val="20"/>
              </w:rPr>
            </w:pPr>
            <w:r w:rsidRPr="005A7A63">
              <w:rPr>
                <w:rFonts w:eastAsia="Calibri"/>
                <w:b/>
                <w:sz w:val="20"/>
              </w:rPr>
              <w:t>Baseline 2013</w:t>
            </w: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6E592DBC" w14:textId="7275A96E" w:rsidR="00F7064C" w:rsidRPr="005A7A63" w:rsidRDefault="00F7064C" w:rsidP="003377AB">
            <w:pPr>
              <w:spacing w:after="0" w:line="240" w:lineRule="auto"/>
              <w:rPr>
                <w:rFonts w:eastAsia="Calibri"/>
                <w:b/>
                <w:sz w:val="20"/>
              </w:rPr>
            </w:pPr>
            <w:r>
              <w:rPr>
                <w:rFonts w:eastAsia="Calibri"/>
                <w:b/>
                <w:sz w:val="20"/>
              </w:rPr>
              <w:t>Actual 2014</w:t>
            </w:r>
          </w:p>
        </w:tc>
        <w:tc>
          <w:tcPr>
            <w:tcW w:w="1800" w:type="dxa"/>
            <w:tcBorders>
              <w:top w:val="single" w:sz="4" w:space="0" w:color="auto"/>
              <w:left w:val="single" w:sz="4" w:space="0" w:color="auto"/>
              <w:bottom w:val="single" w:sz="4" w:space="0" w:color="auto"/>
              <w:right w:val="single" w:sz="4" w:space="0" w:color="auto"/>
            </w:tcBorders>
            <w:shd w:val="clear" w:color="auto" w:fill="F2F2F2"/>
          </w:tcPr>
          <w:p w14:paraId="6DA5F7D5" w14:textId="6E9BE97C" w:rsidR="00F7064C" w:rsidRPr="005A7A63" w:rsidRDefault="00F7064C" w:rsidP="003377AB">
            <w:pPr>
              <w:spacing w:after="0" w:line="240" w:lineRule="auto"/>
              <w:rPr>
                <w:rFonts w:eastAsia="Calibri"/>
                <w:b/>
                <w:sz w:val="20"/>
                <w:szCs w:val="16"/>
              </w:rPr>
            </w:pPr>
            <w:r w:rsidRPr="005A7A63">
              <w:rPr>
                <w:rFonts w:eastAsia="Calibri"/>
                <w:b/>
                <w:sz w:val="20"/>
              </w:rPr>
              <w:t>Target 2017</w:t>
            </w:r>
          </w:p>
        </w:tc>
      </w:tr>
      <w:tr w:rsidR="00F7064C" w:rsidRPr="00283732" w14:paraId="27DDFFCD" w14:textId="77777777" w:rsidTr="00835812">
        <w:trPr>
          <w:trHeight w:val="278"/>
          <w:jc w:val="center"/>
        </w:trPr>
        <w:tc>
          <w:tcPr>
            <w:tcW w:w="535" w:type="dxa"/>
            <w:vMerge w:val="restart"/>
            <w:tcBorders>
              <w:top w:val="single" w:sz="4" w:space="0" w:color="auto"/>
              <w:left w:val="single" w:sz="4" w:space="0" w:color="auto"/>
              <w:right w:val="single" w:sz="4" w:space="0" w:color="auto"/>
            </w:tcBorders>
            <w:shd w:val="clear" w:color="auto" w:fill="FFFFFF" w:themeFill="background1"/>
            <w:hideMark/>
          </w:tcPr>
          <w:p w14:paraId="09434A69" w14:textId="77777777" w:rsidR="00F7064C" w:rsidRPr="00E8103D" w:rsidRDefault="00F7064C" w:rsidP="003830BD">
            <w:pPr>
              <w:spacing w:after="0" w:line="240" w:lineRule="auto"/>
              <w:ind w:right="-108"/>
              <w:contextualSpacing/>
              <w:rPr>
                <w:rFonts w:eastAsia="SimSun"/>
                <w:b/>
                <w:sz w:val="20"/>
                <w:lang w:eastAsia="zh-CN"/>
              </w:rPr>
            </w:pPr>
            <w:r w:rsidRPr="00E8103D">
              <w:rPr>
                <w:rFonts w:eastAsia="SimSun"/>
                <w:b/>
                <w:sz w:val="20"/>
                <w:lang w:eastAsia="zh-CN"/>
              </w:rPr>
              <w:t>3.1</w:t>
            </w:r>
          </w:p>
        </w:tc>
        <w:tc>
          <w:tcPr>
            <w:tcW w:w="8820" w:type="dxa"/>
            <w:tcBorders>
              <w:top w:val="single" w:sz="4" w:space="0" w:color="auto"/>
              <w:left w:val="single" w:sz="4" w:space="0" w:color="auto"/>
              <w:bottom w:val="single" w:sz="4" w:space="0" w:color="auto"/>
              <w:right w:val="single" w:sz="4" w:space="0" w:color="auto"/>
            </w:tcBorders>
            <w:shd w:val="clear" w:color="auto" w:fill="FFFFFF" w:themeFill="background1"/>
          </w:tcPr>
          <w:p w14:paraId="758A475A" w14:textId="128E6837" w:rsidR="00F7064C" w:rsidRPr="00E8103D" w:rsidRDefault="00F7064C" w:rsidP="003830BD">
            <w:pPr>
              <w:spacing w:after="0" w:line="240" w:lineRule="auto"/>
              <w:ind w:right="-108"/>
              <w:contextualSpacing/>
              <w:rPr>
                <w:rFonts w:eastAsia="SimSun"/>
                <w:b/>
                <w:sz w:val="20"/>
                <w:lang w:eastAsia="zh-CN"/>
              </w:rPr>
            </w:pPr>
            <w:r w:rsidRPr="00E8103D">
              <w:rPr>
                <w:sz w:val="20"/>
              </w:rPr>
              <w:t xml:space="preserve">Level of </w:t>
            </w:r>
            <w:r w:rsidRPr="00E8103D">
              <w:rPr>
                <w:b/>
                <w:sz w:val="20"/>
              </w:rPr>
              <w:t xml:space="preserve">public confidence </w:t>
            </w:r>
            <w:r w:rsidRPr="00E8103D">
              <w:rPr>
                <w:sz w:val="20"/>
              </w:rPr>
              <w:t>in</w:t>
            </w:r>
            <w:r w:rsidR="0053428A">
              <w:rPr>
                <w:sz w:val="20"/>
              </w:rPr>
              <w:t xml:space="preserve"> the delivery of basic services</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54E04426" w14:textId="09159733" w:rsidR="00F7064C" w:rsidRPr="002713BB" w:rsidRDefault="00F63CBD" w:rsidP="003830BD">
            <w:pPr>
              <w:spacing w:after="0" w:line="240" w:lineRule="auto"/>
              <w:rPr>
                <w:rFonts w:ascii="Calibri" w:eastAsia="Calibri" w:hAnsi="Calibri"/>
                <w:sz w:val="20"/>
              </w:rPr>
            </w:pPr>
            <w:r w:rsidRPr="002713BB">
              <w:rPr>
                <w:sz w:val="20"/>
              </w:rPr>
              <w:t>52.4% (2013</w:t>
            </w:r>
            <w:r w:rsidR="00F7064C" w:rsidRPr="002713BB">
              <w:rPr>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1FB57576" w14:textId="019E4175" w:rsidR="00F7064C" w:rsidRPr="002713BB" w:rsidRDefault="00250AB1" w:rsidP="003830BD">
            <w:pPr>
              <w:spacing w:after="0" w:line="240" w:lineRule="auto"/>
              <w:rPr>
                <w:sz w:val="20"/>
              </w:rPr>
            </w:pPr>
            <w:r w:rsidRPr="002713BB">
              <w:rPr>
                <w:sz w:val="20"/>
                <w:szCs w:val="20"/>
              </w:rPr>
              <w:t>Not yet available</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AA35AC5" w14:textId="6E3C7084" w:rsidR="00F7064C" w:rsidRPr="003830BD" w:rsidRDefault="00F7064C" w:rsidP="003830BD">
            <w:pPr>
              <w:spacing w:after="0" w:line="240" w:lineRule="auto"/>
              <w:rPr>
                <w:rFonts w:ascii="Calibri" w:eastAsia="Calibri" w:hAnsi="Calibri"/>
                <w:sz w:val="20"/>
              </w:rPr>
            </w:pPr>
            <w:r w:rsidRPr="003830BD">
              <w:rPr>
                <w:sz w:val="20"/>
              </w:rPr>
              <w:t xml:space="preserve">Direction of travel: </w:t>
            </w:r>
            <w:r w:rsidRPr="003830BD">
              <w:rPr>
                <w:b/>
                <w:sz w:val="20"/>
              </w:rPr>
              <w:t>Increase</w:t>
            </w:r>
          </w:p>
        </w:tc>
      </w:tr>
      <w:tr w:rsidR="00E00D95" w:rsidRPr="00283732" w14:paraId="4CC732FB" w14:textId="77777777" w:rsidTr="00836C1D">
        <w:trPr>
          <w:trHeight w:val="278"/>
          <w:jc w:val="center"/>
        </w:trPr>
        <w:tc>
          <w:tcPr>
            <w:tcW w:w="535" w:type="dxa"/>
            <w:vMerge/>
            <w:tcBorders>
              <w:left w:val="single" w:sz="4" w:space="0" w:color="auto"/>
              <w:bottom w:val="single" w:sz="4" w:space="0" w:color="auto"/>
              <w:right w:val="single" w:sz="4" w:space="0" w:color="auto"/>
            </w:tcBorders>
            <w:shd w:val="clear" w:color="auto" w:fill="FFFFFF" w:themeFill="background1"/>
          </w:tcPr>
          <w:p w14:paraId="0AAB12D9" w14:textId="77777777" w:rsidR="00E00D95" w:rsidRPr="00E8103D" w:rsidRDefault="00E00D95" w:rsidP="003830BD">
            <w:pPr>
              <w:spacing w:after="0" w:line="240" w:lineRule="auto"/>
              <w:ind w:right="-108"/>
              <w:contextualSpacing/>
              <w:rPr>
                <w:rFonts w:eastAsia="SimSun"/>
                <w:b/>
                <w:sz w:val="20"/>
                <w:lang w:eastAsia="zh-CN"/>
              </w:rPr>
            </w:pPr>
          </w:p>
        </w:tc>
        <w:tc>
          <w:tcPr>
            <w:tcW w:w="14490" w:type="dxa"/>
            <w:gridSpan w:val="4"/>
            <w:tcBorders>
              <w:left w:val="single" w:sz="4" w:space="0" w:color="auto"/>
              <w:bottom w:val="single" w:sz="4" w:space="0" w:color="auto"/>
              <w:right w:val="single" w:sz="4" w:space="0" w:color="auto"/>
            </w:tcBorders>
            <w:shd w:val="clear" w:color="auto" w:fill="D9D9D9" w:themeFill="background1" w:themeFillShade="D9"/>
          </w:tcPr>
          <w:p w14:paraId="7D2932C0" w14:textId="0F99FB18" w:rsidR="00E00D95" w:rsidRPr="00F60B7C" w:rsidRDefault="00E00D95" w:rsidP="003830BD">
            <w:pPr>
              <w:spacing w:after="0" w:line="240" w:lineRule="auto"/>
              <w:rPr>
                <w:rFonts w:ascii="Calibri" w:eastAsia="Calibri" w:hAnsi="Calibri"/>
                <w:sz w:val="18"/>
                <w:szCs w:val="18"/>
              </w:rPr>
            </w:pPr>
            <w:r w:rsidRPr="00F60B7C">
              <w:rPr>
                <w:rFonts w:ascii="Calibri" w:eastAsia="Calibri" w:hAnsi="Calibri"/>
                <w:b/>
                <w:sz w:val="18"/>
                <w:szCs w:val="18"/>
              </w:rPr>
              <w:t>Source</w:t>
            </w:r>
            <w:r w:rsidRPr="00F60B7C">
              <w:rPr>
                <w:rFonts w:ascii="Calibri" w:eastAsia="Calibri" w:hAnsi="Calibri"/>
                <w:sz w:val="18"/>
                <w:szCs w:val="18"/>
              </w:rPr>
              <w:t>: Index based on Gallup World Poll questions about satisfaction with public services (education, highways and transportation). UNDP aggregated the b</w:t>
            </w:r>
            <w:r w:rsidR="00F63CBD" w:rsidRPr="00F60B7C">
              <w:rPr>
                <w:rFonts w:ascii="Calibri" w:eastAsia="Calibri" w:hAnsi="Calibri"/>
                <w:sz w:val="18"/>
                <w:szCs w:val="18"/>
              </w:rPr>
              <w:t>aseline (simple average) for 123</w:t>
            </w:r>
            <w:r w:rsidRPr="00F60B7C">
              <w:rPr>
                <w:rFonts w:ascii="Calibri" w:eastAsia="Calibri" w:hAnsi="Calibri"/>
                <w:sz w:val="18"/>
                <w:szCs w:val="18"/>
              </w:rPr>
              <w:t xml:space="preserve"> programme countries. The Index is available at the country level in the Worldwide Governance Indicators website, from the World Bank.</w:t>
            </w:r>
            <w:r w:rsidR="00F60B7C">
              <w:rPr>
                <w:rFonts w:ascii="Calibri" w:eastAsia="Calibri" w:hAnsi="Calibri"/>
                <w:sz w:val="18"/>
                <w:szCs w:val="18"/>
              </w:rPr>
              <w:t xml:space="preserve"> </w:t>
            </w:r>
            <w:r w:rsidR="00F60B7C" w:rsidRPr="00E507B1">
              <w:rPr>
                <w:rFonts w:eastAsia="Calibri" w:cs="Arial"/>
                <w:sz w:val="18"/>
                <w:szCs w:val="20"/>
              </w:rPr>
              <w:t>There is no numeric internationally agreed target.</w:t>
            </w:r>
          </w:p>
          <w:p w14:paraId="5FFECB39" w14:textId="20E79D21" w:rsidR="00F63CBD" w:rsidRPr="00F60B7C" w:rsidRDefault="00F63CBD" w:rsidP="00F60B7C">
            <w:pPr>
              <w:spacing w:after="0" w:line="240" w:lineRule="auto"/>
              <w:rPr>
                <w:rFonts w:eastAsia="Calibri"/>
                <w:sz w:val="20"/>
              </w:rPr>
            </w:pPr>
            <w:r w:rsidRPr="00F60B7C">
              <w:rPr>
                <w:rFonts w:ascii="Calibri" w:eastAsia="Calibri" w:hAnsi="Calibri"/>
                <w:b/>
                <w:sz w:val="18"/>
                <w:szCs w:val="18"/>
              </w:rPr>
              <w:t>2014 Reporting Note:</w:t>
            </w:r>
            <w:r w:rsidRPr="00F60B7C">
              <w:rPr>
                <w:rFonts w:ascii="Calibri" w:eastAsia="Calibri" w:hAnsi="Calibri"/>
                <w:sz w:val="18"/>
                <w:szCs w:val="18"/>
              </w:rPr>
              <w:t xml:space="preserve"> Baselines </w:t>
            </w:r>
            <w:r w:rsidRPr="00F60B7C">
              <w:rPr>
                <w:rFonts w:eastAsia="Calibri"/>
                <w:sz w:val="18"/>
                <w:szCs w:val="18"/>
              </w:rPr>
              <w:t>updated to reflect 2013 data now available. For reference, previous baseline (2012) was 53%</w:t>
            </w:r>
            <w:r w:rsidR="00F60B7C">
              <w:rPr>
                <w:rFonts w:eastAsia="Calibri"/>
                <w:sz w:val="18"/>
                <w:szCs w:val="18"/>
              </w:rPr>
              <w:t>.</w:t>
            </w:r>
          </w:p>
        </w:tc>
      </w:tr>
    </w:tbl>
    <w:p w14:paraId="0A4C946D" w14:textId="73746B5B" w:rsidR="00F60B7C" w:rsidRDefault="00F60B7C"/>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8820"/>
        <w:gridCol w:w="2790"/>
        <w:gridCol w:w="1080"/>
        <w:gridCol w:w="1800"/>
      </w:tblGrid>
      <w:tr w:rsidR="00F7064C" w:rsidRPr="00CF2950" w14:paraId="0EF1C3B2" w14:textId="77777777" w:rsidTr="00835812">
        <w:trPr>
          <w:trHeight w:val="278"/>
          <w:jc w:val="center"/>
        </w:trPr>
        <w:tc>
          <w:tcPr>
            <w:tcW w:w="535" w:type="dxa"/>
            <w:vMerge w:val="restart"/>
            <w:tcBorders>
              <w:top w:val="single" w:sz="4" w:space="0" w:color="auto"/>
              <w:left w:val="single" w:sz="4" w:space="0" w:color="auto"/>
              <w:right w:val="single" w:sz="4" w:space="0" w:color="auto"/>
            </w:tcBorders>
            <w:shd w:val="clear" w:color="auto" w:fill="FFFFFF" w:themeFill="background1"/>
            <w:hideMark/>
          </w:tcPr>
          <w:p w14:paraId="10FBA8E5" w14:textId="7083C5EA" w:rsidR="00F7064C" w:rsidRPr="00E8103D" w:rsidRDefault="00F7064C" w:rsidP="0020524D">
            <w:pPr>
              <w:spacing w:after="0" w:line="240" w:lineRule="auto"/>
              <w:ind w:right="-1080"/>
              <w:contextualSpacing/>
              <w:rPr>
                <w:b/>
                <w:sz w:val="20"/>
              </w:rPr>
            </w:pPr>
            <w:r w:rsidRPr="00E8103D">
              <w:rPr>
                <w:b/>
                <w:sz w:val="20"/>
              </w:rPr>
              <w:t>3.2</w:t>
            </w:r>
          </w:p>
        </w:tc>
        <w:tc>
          <w:tcPr>
            <w:tcW w:w="8820" w:type="dxa"/>
            <w:tcBorders>
              <w:top w:val="single" w:sz="4" w:space="0" w:color="auto"/>
              <w:left w:val="single" w:sz="4" w:space="0" w:color="auto"/>
              <w:bottom w:val="single" w:sz="4" w:space="0" w:color="auto"/>
              <w:right w:val="single" w:sz="4" w:space="0" w:color="auto"/>
            </w:tcBorders>
            <w:shd w:val="clear" w:color="auto" w:fill="FFFFFF" w:themeFill="background1"/>
          </w:tcPr>
          <w:p w14:paraId="218B0746" w14:textId="6718E025" w:rsidR="00F7064C" w:rsidRPr="00E8103D" w:rsidRDefault="00F7064C" w:rsidP="0020524D">
            <w:pPr>
              <w:spacing w:after="0" w:line="240" w:lineRule="auto"/>
              <w:ind w:right="-1080"/>
              <w:contextualSpacing/>
              <w:rPr>
                <w:sz w:val="20"/>
              </w:rPr>
            </w:pPr>
            <w:r w:rsidRPr="00E8103D">
              <w:rPr>
                <w:b/>
                <w:sz w:val="20"/>
              </w:rPr>
              <w:t>Coverage of HIV and AIDS services</w:t>
            </w:r>
            <w:r w:rsidRPr="00E8103D">
              <w:rPr>
                <w:sz w:val="20"/>
              </w:rPr>
              <w:t>, disaggregat</w:t>
            </w:r>
            <w:r w:rsidR="004D5D1D">
              <w:rPr>
                <w:sz w:val="20"/>
              </w:rPr>
              <w:t>ed by sex, age (children/adult)</w:t>
            </w:r>
          </w:p>
          <w:p w14:paraId="6DA2D71A" w14:textId="77777777" w:rsidR="00F7064C" w:rsidRPr="00E8103D" w:rsidRDefault="00F7064C" w:rsidP="0020524D">
            <w:pPr>
              <w:spacing w:after="0" w:line="240" w:lineRule="auto"/>
              <w:ind w:right="-1080"/>
              <w:contextualSpacing/>
              <w:rPr>
                <w:b/>
                <w:sz w:val="20"/>
              </w:rPr>
            </w:pPr>
            <w:r w:rsidRPr="00E8103D">
              <w:rPr>
                <w:b/>
                <w:sz w:val="20"/>
              </w:rPr>
              <w:t>3.2.a) Number of people receiving ARV therapy</w:t>
            </w:r>
          </w:p>
          <w:p w14:paraId="2744846B" w14:textId="77777777" w:rsidR="00F7064C" w:rsidRPr="00E8103D" w:rsidRDefault="00F7064C" w:rsidP="0020524D">
            <w:pPr>
              <w:spacing w:after="0" w:line="240" w:lineRule="auto"/>
              <w:ind w:right="-1080"/>
              <w:rPr>
                <w:sz w:val="20"/>
              </w:rPr>
            </w:pPr>
            <w:r w:rsidRPr="00E8103D">
              <w:rPr>
                <w:sz w:val="20"/>
              </w:rPr>
              <w:t xml:space="preserve">a.1) Percentage of </w:t>
            </w:r>
            <w:r w:rsidRPr="00E8103D">
              <w:rPr>
                <w:b/>
                <w:sz w:val="20"/>
              </w:rPr>
              <w:t>eligible adults</w:t>
            </w:r>
            <w:r w:rsidRPr="00E8103D">
              <w:rPr>
                <w:sz w:val="20"/>
              </w:rPr>
              <w:t xml:space="preserve"> receiving ARV therapy</w:t>
            </w:r>
          </w:p>
          <w:p w14:paraId="0A98C09C" w14:textId="77777777" w:rsidR="00F7064C" w:rsidRPr="00E8103D" w:rsidRDefault="00F7064C" w:rsidP="0020524D">
            <w:pPr>
              <w:spacing w:after="0" w:line="240" w:lineRule="auto"/>
              <w:ind w:right="-1080"/>
              <w:rPr>
                <w:sz w:val="20"/>
              </w:rPr>
            </w:pPr>
            <w:r w:rsidRPr="00E8103D">
              <w:rPr>
                <w:sz w:val="20"/>
              </w:rPr>
              <w:t xml:space="preserve">a.2) Percentage of </w:t>
            </w:r>
            <w:r w:rsidRPr="00E8103D">
              <w:rPr>
                <w:b/>
                <w:sz w:val="20"/>
              </w:rPr>
              <w:t>eligible children</w:t>
            </w:r>
            <w:r w:rsidRPr="00E8103D">
              <w:rPr>
                <w:sz w:val="20"/>
              </w:rPr>
              <w:t xml:space="preserve"> receiving ARV therapy</w:t>
            </w:r>
          </w:p>
          <w:p w14:paraId="2121DBF1" w14:textId="77777777" w:rsidR="00F7064C" w:rsidRPr="00E8103D" w:rsidRDefault="00F7064C" w:rsidP="0020524D">
            <w:pPr>
              <w:spacing w:after="0" w:line="240" w:lineRule="auto"/>
              <w:ind w:right="-198"/>
              <w:rPr>
                <w:sz w:val="20"/>
              </w:rPr>
            </w:pPr>
            <w:r w:rsidRPr="00E8103D">
              <w:rPr>
                <w:sz w:val="20"/>
              </w:rPr>
              <w:t xml:space="preserve">b.1) Percentage of </w:t>
            </w:r>
            <w:r w:rsidRPr="00E8103D">
              <w:rPr>
                <w:b/>
                <w:sz w:val="20"/>
              </w:rPr>
              <w:t>females</w:t>
            </w:r>
            <w:r w:rsidRPr="00E8103D">
              <w:rPr>
                <w:sz w:val="20"/>
              </w:rPr>
              <w:t xml:space="preserve"> 15-24 years of age with comprehensive correct knowledge of HIV/AIDS</w:t>
            </w:r>
          </w:p>
          <w:p w14:paraId="2AFF7A07" w14:textId="77777777" w:rsidR="00F7064C" w:rsidRPr="00E8103D" w:rsidRDefault="00F7064C" w:rsidP="00BE22B2">
            <w:pPr>
              <w:spacing w:after="0" w:line="240" w:lineRule="auto"/>
              <w:ind w:right="-1080"/>
              <w:contextualSpacing/>
              <w:rPr>
                <w:b/>
                <w:sz w:val="20"/>
              </w:rPr>
            </w:pPr>
            <w:r w:rsidRPr="00E8103D">
              <w:rPr>
                <w:sz w:val="20"/>
              </w:rPr>
              <w:t xml:space="preserve">b.2) Percentage of </w:t>
            </w:r>
            <w:r w:rsidRPr="00E8103D">
              <w:rPr>
                <w:b/>
                <w:sz w:val="20"/>
              </w:rPr>
              <w:t>males</w:t>
            </w:r>
            <w:r w:rsidRPr="00E8103D">
              <w:rPr>
                <w:sz w:val="20"/>
              </w:rPr>
              <w:t xml:space="preserve"> 15-24 years of age with comprehensive correct knowledge of HIV/AIDS</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25F93157" w14:textId="77777777" w:rsidR="00F7064C" w:rsidRPr="002713BB" w:rsidRDefault="00F7064C" w:rsidP="0020524D">
            <w:pPr>
              <w:spacing w:after="0" w:line="240" w:lineRule="auto"/>
              <w:rPr>
                <w:sz w:val="20"/>
              </w:rPr>
            </w:pPr>
          </w:p>
          <w:p w14:paraId="63E6A56E" w14:textId="1F94E820" w:rsidR="00F7064C" w:rsidRPr="002713BB" w:rsidRDefault="00F52C22" w:rsidP="006F161D">
            <w:pPr>
              <w:pStyle w:val="ListParagraph"/>
              <w:numPr>
                <w:ilvl w:val="0"/>
                <w:numId w:val="57"/>
              </w:numPr>
              <w:rPr>
                <w:sz w:val="20"/>
              </w:rPr>
            </w:pPr>
            <w:r w:rsidRPr="002713BB">
              <w:rPr>
                <w:sz w:val="20"/>
              </w:rPr>
              <w:t>12.9</w:t>
            </w:r>
            <w:r w:rsidR="00F7064C" w:rsidRPr="002713BB">
              <w:rPr>
                <w:sz w:val="20"/>
              </w:rPr>
              <w:t xml:space="preserve"> million (</w:t>
            </w:r>
            <w:r w:rsidRPr="002713BB">
              <w:rPr>
                <w:sz w:val="20"/>
              </w:rPr>
              <w:t>2013</w:t>
            </w:r>
            <w:r w:rsidR="00F7064C" w:rsidRPr="002713BB">
              <w:rPr>
                <w:rFonts w:eastAsia="Calibri"/>
                <w:sz w:val="20"/>
              </w:rPr>
              <w:t>*</w:t>
            </w:r>
            <w:r w:rsidR="00F7064C" w:rsidRPr="002713BB">
              <w:rPr>
                <w:sz w:val="20"/>
              </w:rPr>
              <w:t>)</w:t>
            </w:r>
          </w:p>
          <w:p w14:paraId="22654A19" w14:textId="6245880A" w:rsidR="00F7064C" w:rsidRPr="002713BB" w:rsidRDefault="00F7064C" w:rsidP="0020524D">
            <w:pPr>
              <w:spacing w:after="0" w:line="240" w:lineRule="auto"/>
              <w:rPr>
                <w:sz w:val="20"/>
              </w:rPr>
            </w:pPr>
            <w:r w:rsidRPr="002713BB">
              <w:rPr>
                <w:sz w:val="20"/>
              </w:rPr>
              <w:t xml:space="preserve">a.1) </w:t>
            </w:r>
            <w:r w:rsidR="00250AB1" w:rsidRPr="002713BB">
              <w:rPr>
                <w:sz w:val="20"/>
              </w:rPr>
              <w:t>37</w:t>
            </w:r>
            <w:r w:rsidRPr="002713BB">
              <w:rPr>
                <w:sz w:val="20"/>
              </w:rPr>
              <w:t>% (201</w:t>
            </w:r>
            <w:r w:rsidR="00250AB1" w:rsidRPr="002713BB">
              <w:rPr>
                <w:sz w:val="20"/>
              </w:rPr>
              <w:t>3</w:t>
            </w:r>
            <w:r w:rsidRPr="002713BB">
              <w:rPr>
                <w:sz w:val="20"/>
              </w:rPr>
              <w:t>*)</w:t>
            </w:r>
          </w:p>
          <w:p w14:paraId="22D87275" w14:textId="0A3FA5F4" w:rsidR="00F7064C" w:rsidRPr="002713BB" w:rsidRDefault="00F7064C" w:rsidP="0020524D">
            <w:pPr>
              <w:spacing w:after="0" w:line="240" w:lineRule="auto"/>
              <w:rPr>
                <w:sz w:val="20"/>
              </w:rPr>
            </w:pPr>
            <w:r w:rsidRPr="002713BB">
              <w:rPr>
                <w:sz w:val="20"/>
              </w:rPr>
              <w:t xml:space="preserve">a.2) </w:t>
            </w:r>
            <w:r w:rsidR="00250AB1" w:rsidRPr="002713BB">
              <w:rPr>
                <w:sz w:val="20"/>
              </w:rPr>
              <w:t>23% (2013</w:t>
            </w:r>
            <w:r w:rsidRPr="002713BB">
              <w:rPr>
                <w:sz w:val="20"/>
              </w:rPr>
              <w:t>*)</w:t>
            </w:r>
          </w:p>
          <w:p w14:paraId="64ABB005" w14:textId="147DC1A9" w:rsidR="00F7064C" w:rsidRPr="002713BB" w:rsidRDefault="00F63CBD" w:rsidP="0020524D">
            <w:pPr>
              <w:spacing w:after="0" w:line="240" w:lineRule="auto"/>
              <w:rPr>
                <w:sz w:val="20"/>
              </w:rPr>
            </w:pPr>
            <w:r w:rsidRPr="002713BB">
              <w:rPr>
                <w:sz w:val="20"/>
              </w:rPr>
              <w:t>b.1) 29.3% (2013*</w:t>
            </w:r>
            <w:r w:rsidR="00F7064C" w:rsidRPr="002713BB">
              <w:rPr>
                <w:sz w:val="20"/>
              </w:rPr>
              <w:t>)</w:t>
            </w:r>
          </w:p>
          <w:p w14:paraId="298C8E87" w14:textId="08558031" w:rsidR="00F7064C" w:rsidRPr="002713BB" w:rsidRDefault="00F63CBD" w:rsidP="0020524D">
            <w:pPr>
              <w:spacing w:after="0" w:line="240" w:lineRule="auto"/>
              <w:rPr>
                <w:sz w:val="20"/>
              </w:rPr>
            </w:pPr>
            <w:r w:rsidRPr="002713BB">
              <w:rPr>
                <w:sz w:val="20"/>
              </w:rPr>
              <w:t>b.2) 34.1% (2013*</w:t>
            </w:r>
            <w:r w:rsidR="00F7064C" w:rsidRPr="002713BB">
              <w:rPr>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3A2946F" w14:textId="77777777" w:rsidR="00F7064C" w:rsidRPr="002713BB" w:rsidRDefault="00F7064C" w:rsidP="0020524D">
            <w:pPr>
              <w:spacing w:after="0" w:line="240" w:lineRule="auto"/>
              <w:rPr>
                <w:sz w:val="20"/>
              </w:rPr>
            </w:pPr>
          </w:p>
          <w:p w14:paraId="0FB42D3A" w14:textId="77777777" w:rsidR="005E5E32" w:rsidRPr="002713BB" w:rsidRDefault="00F52C22" w:rsidP="006F161D">
            <w:pPr>
              <w:pStyle w:val="ListParagraph"/>
              <w:numPr>
                <w:ilvl w:val="0"/>
                <w:numId w:val="58"/>
              </w:numPr>
              <w:rPr>
                <w:sz w:val="20"/>
              </w:rPr>
            </w:pPr>
            <w:r w:rsidRPr="002713BB">
              <w:rPr>
                <w:sz w:val="20"/>
              </w:rPr>
              <w:t>13.6%</w:t>
            </w:r>
          </w:p>
          <w:p w14:paraId="0E37CFE8" w14:textId="2CABDB29" w:rsidR="00250AB1" w:rsidRPr="002713BB" w:rsidRDefault="00250AB1" w:rsidP="00250AB1">
            <w:pPr>
              <w:spacing w:after="0" w:line="240" w:lineRule="auto"/>
              <w:rPr>
                <w:sz w:val="20"/>
              </w:rPr>
            </w:pPr>
            <w:r w:rsidRPr="002713BB">
              <w:rPr>
                <w:sz w:val="20"/>
              </w:rPr>
              <w:t>a.1) 38%</w:t>
            </w:r>
          </w:p>
          <w:p w14:paraId="74818645" w14:textId="19AC4AA1" w:rsidR="00250AB1" w:rsidRPr="002713BB" w:rsidRDefault="00250AB1" w:rsidP="00250AB1">
            <w:pPr>
              <w:spacing w:after="0" w:line="240" w:lineRule="auto"/>
              <w:rPr>
                <w:sz w:val="20"/>
              </w:rPr>
            </w:pPr>
            <w:r w:rsidRPr="002713BB">
              <w:rPr>
                <w:sz w:val="20"/>
              </w:rPr>
              <w:t>a.2) 24%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10449B4D" w14:textId="1B1AF6FA" w:rsidR="00F7064C" w:rsidRDefault="00F7064C" w:rsidP="00463340">
            <w:pPr>
              <w:spacing w:after="0" w:line="240" w:lineRule="auto"/>
              <w:rPr>
                <w:sz w:val="20"/>
              </w:rPr>
            </w:pPr>
          </w:p>
          <w:p w14:paraId="124B1091" w14:textId="77777777" w:rsidR="00DE15B0" w:rsidRDefault="00DE15B0" w:rsidP="00463340">
            <w:pPr>
              <w:spacing w:after="0" w:line="240" w:lineRule="auto"/>
              <w:rPr>
                <w:sz w:val="20"/>
              </w:rPr>
            </w:pPr>
            <w:r>
              <w:rPr>
                <w:sz w:val="20"/>
              </w:rPr>
              <w:t xml:space="preserve">a) </w:t>
            </w:r>
            <w:r w:rsidR="00F7064C" w:rsidRPr="00DE15B0">
              <w:rPr>
                <w:sz w:val="20"/>
              </w:rPr>
              <w:t>More than 15 million (2015)</w:t>
            </w:r>
          </w:p>
          <w:p w14:paraId="4A60AEA5" w14:textId="77777777" w:rsidR="00463340" w:rsidRDefault="00463340" w:rsidP="00463340">
            <w:pPr>
              <w:spacing w:after="0" w:line="240" w:lineRule="auto"/>
              <w:rPr>
                <w:sz w:val="20"/>
              </w:rPr>
            </w:pPr>
          </w:p>
          <w:p w14:paraId="23B5C275" w14:textId="59951452" w:rsidR="00DE15B0" w:rsidRPr="00DE15B0" w:rsidRDefault="00F7064C" w:rsidP="00463340">
            <w:pPr>
              <w:spacing w:after="0" w:line="240" w:lineRule="auto"/>
              <w:rPr>
                <w:b/>
                <w:sz w:val="20"/>
              </w:rPr>
            </w:pPr>
            <w:r w:rsidRPr="0020524D">
              <w:rPr>
                <w:sz w:val="20"/>
              </w:rPr>
              <w:t xml:space="preserve">b) Direction of travel: </w:t>
            </w:r>
            <w:r w:rsidRPr="0020524D">
              <w:rPr>
                <w:b/>
                <w:sz w:val="20"/>
              </w:rPr>
              <w:t>Increase</w:t>
            </w:r>
          </w:p>
        </w:tc>
      </w:tr>
      <w:tr w:rsidR="00E00D95" w:rsidRPr="00CF2950" w14:paraId="1480369D" w14:textId="77777777" w:rsidTr="00836C1D">
        <w:trPr>
          <w:trHeight w:val="278"/>
          <w:jc w:val="center"/>
        </w:trPr>
        <w:tc>
          <w:tcPr>
            <w:tcW w:w="535" w:type="dxa"/>
            <w:vMerge/>
            <w:tcBorders>
              <w:left w:val="single" w:sz="4" w:space="0" w:color="auto"/>
              <w:bottom w:val="single" w:sz="4" w:space="0" w:color="auto"/>
              <w:right w:val="single" w:sz="4" w:space="0" w:color="auto"/>
            </w:tcBorders>
            <w:shd w:val="clear" w:color="auto" w:fill="FFFFFF" w:themeFill="background1"/>
          </w:tcPr>
          <w:p w14:paraId="6BED3830" w14:textId="77777777" w:rsidR="00E00D95" w:rsidRPr="00E8103D" w:rsidRDefault="00E00D95" w:rsidP="003830BD">
            <w:pPr>
              <w:spacing w:after="0" w:line="240" w:lineRule="auto"/>
              <w:ind w:right="-1080"/>
              <w:contextualSpacing/>
              <w:rPr>
                <w:b/>
                <w:sz w:val="20"/>
              </w:rPr>
            </w:pPr>
          </w:p>
        </w:tc>
        <w:tc>
          <w:tcPr>
            <w:tcW w:w="14490" w:type="dxa"/>
            <w:gridSpan w:val="4"/>
            <w:tcBorders>
              <w:left w:val="single" w:sz="4" w:space="0" w:color="auto"/>
              <w:bottom w:val="single" w:sz="4" w:space="0" w:color="auto"/>
              <w:right w:val="single" w:sz="4" w:space="0" w:color="auto"/>
            </w:tcBorders>
            <w:shd w:val="clear" w:color="auto" w:fill="D9D9D9" w:themeFill="background1" w:themeFillShade="D9"/>
          </w:tcPr>
          <w:p w14:paraId="5214BFA4" w14:textId="5DEF06CA" w:rsidR="00E00D95" w:rsidRPr="00F60B7C" w:rsidRDefault="00E00D95" w:rsidP="003830BD">
            <w:pPr>
              <w:spacing w:after="0" w:line="240" w:lineRule="auto"/>
              <w:rPr>
                <w:rFonts w:ascii="Calibri" w:eastAsia="Calibri" w:hAnsi="Calibri"/>
                <w:sz w:val="18"/>
                <w:szCs w:val="18"/>
              </w:rPr>
            </w:pPr>
            <w:r w:rsidRPr="00F60B7C">
              <w:rPr>
                <w:rFonts w:ascii="Calibri" w:eastAsia="Calibri" w:hAnsi="Calibri"/>
                <w:b/>
                <w:sz w:val="18"/>
                <w:szCs w:val="18"/>
              </w:rPr>
              <w:t>Source</w:t>
            </w:r>
            <w:r w:rsidRPr="00F60B7C">
              <w:rPr>
                <w:rFonts w:ascii="Calibri" w:eastAsia="Calibri" w:hAnsi="Calibri"/>
                <w:sz w:val="18"/>
                <w:szCs w:val="18"/>
              </w:rPr>
              <w:t>: for coverage of ARV therapy, UNAIDS, based on data for low and middle income countries</w:t>
            </w:r>
            <w:r w:rsidR="00931274" w:rsidRPr="00F60B7C">
              <w:rPr>
                <w:rFonts w:ascii="Calibri" w:eastAsia="Calibri" w:hAnsi="Calibri"/>
                <w:sz w:val="18"/>
                <w:szCs w:val="18"/>
              </w:rPr>
              <w:t>, following WHO 2013 guidelines</w:t>
            </w:r>
            <w:r w:rsidRPr="00F60B7C">
              <w:rPr>
                <w:rFonts w:ascii="Calibri" w:eastAsia="Calibri" w:hAnsi="Calibri"/>
                <w:sz w:val="18"/>
                <w:szCs w:val="18"/>
              </w:rPr>
              <w:t>. The international target of 15 million corresponds to 2015 (UN General Assembly Political Declaration on HIV/AIDS, 2011). For comprehensive correct knowledge of HIV/AIDS, UNDP calculations based on UN-MDGs. Sim</w:t>
            </w:r>
            <w:r w:rsidR="00931274" w:rsidRPr="00F60B7C">
              <w:rPr>
                <w:rFonts w:ascii="Calibri" w:eastAsia="Calibri" w:hAnsi="Calibri"/>
                <w:sz w:val="18"/>
                <w:szCs w:val="18"/>
              </w:rPr>
              <w:t>ple average of data regarding 84</w:t>
            </w:r>
            <w:r w:rsidRPr="00F60B7C">
              <w:rPr>
                <w:rFonts w:ascii="Calibri" w:eastAsia="Calibri" w:hAnsi="Calibri"/>
                <w:sz w:val="18"/>
                <w:szCs w:val="18"/>
              </w:rPr>
              <w:t xml:space="preserve"> programme </w:t>
            </w:r>
            <w:r w:rsidR="00931274" w:rsidRPr="00F60B7C">
              <w:rPr>
                <w:rFonts w:ascii="Calibri" w:eastAsia="Calibri" w:hAnsi="Calibri"/>
                <w:sz w:val="18"/>
                <w:szCs w:val="18"/>
              </w:rPr>
              <w:t>countries for women and 59</w:t>
            </w:r>
            <w:r w:rsidRPr="00F60B7C">
              <w:rPr>
                <w:rFonts w:ascii="Calibri" w:eastAsia="Calibri" w:hAnsi="Calibri"/>
                <w:sz w:val="18"/>
                <w:szCs w:val="18"/>
              </w:rPr>
              <w:t xml:space="preserve"> programme countries for men. </w:t>
            </w:r>
            <w:r w:rsidR="00F60B7C" w:rsidRPr="00F60B7C">
              <w:rPr>
                <w:rFonts w:eastAsia="Calibri" w:cs="Arial"/>
                <w:sz w:val="18"/>
                <w:szCs w:val="20"/>
              </w:rPr>
              <w:t>There is no numeric target for specific age or sex groups.</w:t>
            </w:r>
          </w:p>
          <w:p w14:paraId="06916FF1" w14:textId="3ED898DF" w:rsidR="00F63CBD" w:rsidRPr="00F60B7C" w:rsidRDefault="00E00D95" w:rsidP="00F60B7C">
            <w:pPr>
              <w:spacing w:after="0" w:line="240" w:lineRule="auto"/>
              <w:rPr>
                <w:rFonts w:eastAsia="Calibri"/>
                <w:sz w:val="18"/>
                <w:szCs w:val="18"/>
              </w:rPr>
            </w:pPr>
            <w:r w:rsidRPr="00F60B7C">
              <w:rPr>
                <w:rFonts w:ascii="Calibri" w:eastAsia="Calibri" w:hAnsi="Calibri"/>
                <w:b/>
                <w:sz w:val="18"/>
                <w:szCs w:val="18"/>
              </w:rPr>
              <w:t>2014 Reporting Note:</w:t>
            </w:r>
            <w:r w:rsidRPr="00F60B7C">
              <w:rPr>
                <w:rFonts w:ascii="Calibri" w:eastAsia="Calibri" w:hAnsi="Calibri"/>
                <w:sz w:val="18"/>
                <w:szCs w:val="18"/>
              </w:rPr>
              <w:t xml:space="preserve"> Baselines </w:t>
            </w:r>
            <w:r w:rsidRPr="00F60B7C">
              <w:rPr>
                <w:rFonts w:eastAsia="Calibri"/>
                <w:sz w:val="18"/>
                <w:szCs w:val="18"/>
              </w:rPr>
              <w:t>updated to reflect 2013 data now available. For reference, previous baselines were: a) 9.7 million (2012); a.1) 64% (2012); a.2) 34% (2012).</w:t>
            </w:r>
            <w:r w:rsidR="00931274" w:rsidRPr="00F60B7C">
              <w:rPr>
                <w:rFonts w:eastAsia="Calibri"/>
                <w:sz w:val="18"/>
                <w:szCs w:val="18"/>
              </w:rPr>
              <w:t xml:space="preserve"> b.1) 32.8% (circa 2010), b.2) 36.6% (circa 2010).</w:t>
            </w:r>
            <w:r w:rsidR="00931274" w:rsidRPr="00F60B7C">
              <w:rPr>
                <w:sz w:val="20"/>
              </w:rPr>
              <w:t xml:space="preserve"> </w:t>
            </w:r>
            <w:r w:rsidR="00931274" w:rsidRPr="00F60B7C">
              <w:rPr>
                <w:rFonts w:eastAsia="Calibri"/>
                <w:sz w:val="18"/>
                <w:szCs w:val="18"/>
              </w:rPr>
              <w:t>Variations in coverage in indicators a1) and a2) explained by new methodologies, following WHO 2013 guidelines (</w:t>
            </w:r>
            <w:r w:rsidR="00F60B7C">
              <w:rPr>
                <w:rFonts w:eastAsia="Calibri"/>
                <w:sz w:val="18"/>
                <w:szCs w:val="18"/>
              </w:rPr>
              <w:t>instead of</w:t>
            </w:r>
            <w:r w:rsidR="00931274" w:rsidRPr="00F60B7C">
              <w:rPr>
                <w:rFonts w:eastAsia="Calibri"/>
                <w:sz w:val="18"/>
                <w:szCs w:val="18"/>
              </w:rPr>
              <w:t xml:space="preserve"> WHO 2010 guidelines).</w:t>
            </w:r>
          </w:p>
        </w:tc>
      </w:tr>
      <w:tr w:rsidR="00F7064C" w:rsidRPr="00EC2ACE" w14:paraId="464DD01A" w14:textId="77777777" w:rsidTr="00835812">
        <w:trPr>
          <w:trHeight w:val="314"/>
          <w:jc w:val="center"/>
        </w:trPr>
        <w:tc>
          <w:tcPr>
            <w:tcW w:w="535" w:type="dxa"/>
            <w:vMerge w:val="restart"/>
            <w:tcBorders>
              <w:top w:val="single" w:sz="4" w:space="0" w:color="auto"/>
              <w:left w:val="single" w:sz="4" w:space="0" w:color="auto"/>
              <w:right w:val="single" w:sz="4" w:space="0" w:color="auto"/>
            </w:tcBorders>
            <w:shd w:val="clear" w:color="auto" w:fill="FFFFFF" w:themeFill="background1"/>
            <w:hideMark/>
          </w:tcPr>
          <w:p w14:paraId="15BBD225" w14:textId="77777777" w:rsidR="00F7064C" w:rsidRPr="00E8103D" w:rsidRDefault="00F7064C" w:rsidP="00D969DC">
            <w:pPr>
              <w:spacing w:after="0" w:line="240" w:lineRule="auto"/>
              <w:ind w:right="-1080"/>
              <w:rPr>
                <w:sz w:val="20"/>
              </w:rPr>
            </w:pPr>
            <w:r w:rsidRPr="00E8103D">
              <w:rPr>
                <w:b/>
                <w:sz w:val="20"/>
              </w:rPr>
              <w:t>3.3</w:t>
            </w:r>
          </w:p>
        </w:tc>
        <w:tc>
          <w:tcPr>
            <w:tcW w:w="8820" w:type="dxa"/>
            <w:tcBorders>
              <w:top w:val="single" w:sz="4" w:space="0" w:color="auto"/>
              <w:left w:val="single" w:sz="4" w:space="0" w:color="auto"/>
              <w:bottom w:val="single" w:sz="4" w:space="0" w:color="auto"/>
              <w:right w:val="single" w:sz="4" w:space="0" w:color="auto"/>
            </w:tcBorders>
            <w:shd w:val="clear" w:color="auto" w:fill="FFFFFF" w:themeFill="background1"/>
          </w:tcPr>
          <w:p w14:paraId="61799641" w14:textId="1CC299EC" w:rsidR="00F7064C" w:rsidRPr="00E8103D" w:rsidRDefault="00F7064C" w:rsidP="00D969DC">
            <w:pPr>
              <w:spacing w:after="0" w:line="240" w:lineRule="auto"/>
              <w:ind w:right="-1080"/>
              <w:rPr>
                <w:sz w:val="20"/>
              </w:rPr>
            </w:pPr>
            <w:r w:rsidRPr="00E8103D">
              <w:rPr>
                <w:b/>
                <w:sz w:val="20"/>
              </w:rPr>
              <w:t>Access to justice services</w:t>
            </w:r>
            <w:r w:rsidRPr="00E8103D">
              <w:rPr>
                <w:sz w:val="20"/>
              </w:rPr>
              <w:t>, disaggregated by type of service (c</w:t>
            </w:r>
            <w:r w:rsidR="004D5D1D">
              <w:rPr>
                <w:sz w:val="20"/>
              </w:rPr>
              <w:t>ivil/criminal justice services)</w:t>
            </w:r>
          </w:p>
          <w:p w14:paraId="10861A07" w14:textId="77777777" w:rsidR="00F7064C" w:rsidRPr="00E8103D" w:rsidRDefault="00F7064C" w:rsidP="00D969DC">
            <w:pPr>
              <w:spacing w:after="0" w:line="240" w:lineRule="auto"/>
              <w:ind w:right="-1080"/>
              <w:rPr>
                <w:sz w:val="20"/>
              </w:rPr>
            </w:pPr>
            <w:r w:rsidRPr="00E8103D">
              <w:rPr>
                <w:sz w:val="20"/>
              </w:rPr>
              <w:t>a) Civil Justice Index</w:t>
            </w:r>
          </w:p>
          <w:p w14:paraId="03A12CED" w14:textId="77777777" w:rsidR="00F7064C" w:rsidRPr="00E8103D" w:rsidRDefault="00F7064C" w:rsidP="00D969DC">
            <w:pPr>
              <w:spacing w:after="0" w:line="240" w:lineRule="auto"/>
              <w:ind w:right="-1080"/>
              <w:rPr>
                <w:sz w:val="20"/>
              </w:rPr>
            </w:pPr>
            <w:r w:rsidRPr="00E8103D">
              <w:rPr>
                <w:sz w:val="20"/>
              </w:rPr>
              <w:t>b) Criminal Justice Index</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59454448" w14:textId="77777777" w:rsidR="00F7064C" w:rsidRPr="00E8103D" w:rsidRDefault="00F7064C" w:rsidP="00D969DC">
            <w:pPr>
              <w:spacing w:after="0" w:line="240" w:lineRule="auto"/>
              <w:rPr>
                <w:sz w:val="20"/>
              </w:rPr>
            </w:pPr>
          </w:p>
          <w:p w14:paraId="5159633C" w14:textId="77777777" w:rsidR="00F7064C" w:rsidRPr="00E8103D" w:rsidRDefault="00F7064C" w:rsidP="00D969DC">
            <w:pPr>
              <w:spacing w:after="0" w:line="240" w:lineRule="auto"/>
              <w:rPr>
                <w:sz w:val="20"/>
              </w:rPr>
            </w:pPr>
            <w:r w:rsidRPr="00E8103D">
              <w:rPr>
                <w:sz w:val="20"/>
              </w:rPr>
              <w:t>a) 0.46 (2013)</w:t>
            </w:r>
          </w:p>
          <w:p w14:paraId="6D40CFE8" w14:textId="37ACE6D6" w:rsidR="00F7064C" w:rsidRPr="00E8103D" w:rsidRDefault="00931274" w:rsidP="00D969DC">
            <w:pPr>
              <w:spacing w:after="0" w:line="240" w:lineRule="auto"/>
              <w:rPr>
                <w:sz w:val="20"/>
              </w:rPr>
            </w:pPr>
            <w:r>
              <w:rPr>
                <w:sz w:val="20"/>
              </w:rPr>
              <w:t>b) 0.43</w:t>
            </w:r>
            <w:r w:rsidR="00F7064C" w:rsidRPr="00E8103D">
              <w:rPr>
                <w:sz w:val="20"/>
              </w:rPr>
              <w:t xml:space="preserve"> (2013)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09CC9946" w14:textId="77777777" w:rsidR="00250AB1" w:rsidRDefault="00250AB1" w:rsidP="00D969DC">
            <w:pPr>
              <w:spacing w:after="0" w:line="240" w:lineRule="auto"/>
              <w:rPr>
                <w:color w:val="FF0000"/>
                <w:sz w:val="20"/>
                <w:szCs w:val="20"/>
              </w:rPr>
            </w:pPr>
          </w:p>
          <w:p w14:paraId="66BADBD2" w14:textId="2F41C919" w:rsidR="00F7064C" w:rsidRPr="00D969DC" w:rsidRDefault="00250AB1" w:rsidP="00D969DC">
            <w:pPr>
              <w:spacing w:after="0" w:line="240" w:lineRule="auto"/>
              <w:rPr>
                <w:sz w:val="20"/>
              </w:rPr>
            </w:pPr>
            <w:r w:rsidRPr="002713BB">
              <w:rPr>
                <w:sz w:val="20"/>
                <w:szCs w:val="20"/>
              </w:rPr>
              <w:t>Not yet available</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A74F2B0" w14:textId="5CCAAF7B" w:rsidR="00F7064C" w:rsidRPr="00D969DC" w:rsidRDefault="00F7064C" w:rsidP="00D969DC">
            <w:pPr>
              <w:spacing w:after="0" w:line="240" w:lineRule="auto"/>
              <w:rPr>
                <w:sz w:val="20"/>
              </w:rPr>
            </w:pPr>
          </w:p>
          <w:p w14:paraId="238F2A13" w14:textId="32B004FF" w:rsidR="00F7064C" w:rsidRPr="00D969DC" w:rsidRDefault="00463340" w:rsidP="00D969DC">
            <w:pPr>
              <w:spacing w:after="0" w:line="240" w:lineRule="auto"/>
              <w:rPr>
                <w:sz w:val="20"/>
              </w:rPr>
            </w:pPr>
            <w:r>
              <w:rPr>
                <w:sz w:val="20"/>
              </w:rPr>
              <w:t>Not available</w:t>
            </w:r>
          </w:p>
        </w:tc>
      </w:tr>
      <w:tr w:rsidR="0050518E" w:rsidRPr="00EC2ACE" w14:paraId="70BC4028" w14:textId="77777777" w:rsidTr="00836C1D">
        <w:trPr>
          <w:trHeight w:val="314"/>
          <w:jc w:val="center"/>
        </w:trPr>
        <w:tc>
          <w:tcPr>
            <w:tcW w:w="535" w:type="dxa"/>
            <w:vMerge/>
            <w:tcBorders>
              <w:left w:val="single" w:sz="4" w:space="0" w:color="auto"/>
              <w:bottom w:val="single" w:sz="4" w:space="0" w:color="auto"/>
              <w:right w:val="single" w:sz="4" w:space="0" w:color="auto"/>
            </w:tcBorders>
            <w:shd w:val="clear" w:color="auto" w:fill="FFFFFF" w:themeFill="background1"/>
          </w:tcPr>
          <w:p w14:paraId="32354DF0" w14:textId="77777777" w:rsidR="0050518E" w:rsidRPr="00E8103D" w:rsidRDefault="0050518E" w:rsidP="00D969DC">
            <w:pPr>
              <w:spacing w:after="0" w:line="240" w:lineRule="auto"/>
              <w:ind w:right="-1080"/>
              <w:rPr>
                <w:b/>
                <w:sz w:val="20"/>
              </w:rPr>
            </w:pPr>
          </w:p>
        </w:tc>
        <w:tc>
          <w:tcPr>
            <w:tcW w:w="14490" w:type="dxa"/>
            <w:gridSpan w:val="4"/>
            <w:tcBorders>
              <w:left w:val="single" w:sz="4" w:space="0" w:color="auto"/>
              <w:bottom w:val="single" w:sz="4" w:space="0" w:color="auto"/>
              <w:right w:val="single" w:sz="4" w:space="0" w:color="auto"/>
            </w:tcBorders>
            <w:shd w:val="clear" w:color="auto" w:fill="D9D9D9" w:themeFill="background1" w:themeFillShade="D9"/>
          </w:tcPr>
          <w:p w14:paraId="41FBB785" w14:textId="6DA9EA31" w:rsidR="0050518E" w:rsidRPr="00E8103D" w:rsidRDefault="0050518E" w:rsidP="00F60B7C">
            <w:pPr>
              <w:spacing w:after="0" w:line="240" w:lineRule="auto"/>
              <w:rPr>
                <w:rFonts w:ascii="Calibri" w:eastAsia="Calibri" w:hAnsi="Calibri"/>
                <w:sz w:val="18"/>
                <w:szCs w:val="18"/>
              </w:rPr>
            </w:pPr>
            <w:r w:rsidRPr="00E8103D">
              <w:rPr>
                <w:rFonts w:ascii="Calibri" w:eastAsia="Calibri" w:hAnsi="Calibri"/>
                <w:b/>
                <w:sz w:val="18"/>
                <w:szCs w:val="18"/>
              </w:rPr>
              <w:t>Source</w:t>
            </w:r>
            <w:r w:rsidRPr="00E8103D">
              <w:rPr>
                <w:rFonts w:ascii="Calibri" w:eastAsia="Calibri" w:hAnsi="Calibri"/>
                <w:sz w:val="18"/>
                <w:szCs w:val="18"/>
              </w:rPr>
              <w:t>: UNDP calculations based on World Justice Project (http://worldjusticeproject.org/). The Civil Justice Index represents the simple average of sub-index “People can access and afford c</w:t>
            </w:r>
            <w:r w:rsidR="00931274">
              <w:rPr>
                <w:rFonts w:ascii="Calibri" w:eastAsia="Calibri" w:hAnsi="Calibri"/>
                <w:sz w:val="18"/>
                <w:szCs w:val="18"/>
              </w:rPr>
              <w:t xml:space="preserve">ivil justice”, </w:t>
            </w:r>
            <w:r w:rsidRPr="00E8103D">
              <w:rPr>
                <w:rFonts w:ascii="Calibri" w:eastAsia="Calibri" w:hAnsi="Calibri"/>
                <w:sz w:val="18"/>
                <w:szCs w:val="18"/>
              </w:rPr>
              <w:t>The Criminal Justice Index represents the simple average of sub-index “Criminal adjudication system is timely and effective”,</w:t>
            </w:r>
            <w:r w:rsidR="00931274">
              <w:rPr>
                <w:rFonts w:ascii="Calibri" w:eastAsia="Calibri" w:hAnsi="Calibri"/>
                <w:sz w:val="18"/>
                <w:szCs w:val="18"/>
              </w:rPr>
              <w:t xml:space="preserve"> </w:t>
            </w:r>
            <w:r w:rsidR="004F785D">
              <w:rPr>
                <w:rFonts w:ascii="Calibri" w:eastAsia="Calibri" w:hAnsi="Calibri"/>
                <w:sz w:val="18"/>
                <w:szCs w:val="18"/>
              </w:rPr>
              <w:t>based on data</w:t>
            </w:r>
            <w:r w:rsidR="00931274">
              <w:rPr>
                <w:rFonts w:ascii="Calibri" w:eastAsia="Calibri" w:hAnsi="Calibri"/>
                <w:sz w:val="18"/>
                <w:szCs w:val="18"/>
              </w:rPr>
              <w:t xml:space="preserve"> for 70 programme countries</w:t>
            </w:r>
            <w:r w:rsidRPr="00E8103D">
              <w:rPr>
                <w:rFonts w:ascii="Calibri" w:eastAsia="Calibri" w:hAnsi="Calibri"/>
                <w:sz w:val="18"/>
                <w:szCs w:val="18"/>
              </w:rPr>
              <w:t xml:space="preserve">. Targets: Since </w:t>
            </w:r>
            <w:r w:rsidR="00F60B7C" w:rsidRPr="00E507B1">
              <w:rPr>
                <w:rFonts w:eastAsia="Calibri" w:cs="Arial"/>
                <w:sz w:val="18"/>
                <w:szCs w:val="20"/>
              </w:rPr>
              <w:t>There is no numeri</w:t>
            </w:r>
            <w:r w:rsidR="00F60B7C">
              <w:rPr>
                <w:rFonts w:eastAsia="Calibri" w:cs="Arial"/>
                <w:sz w:val="18"/>
                <w:szCs w:val="20"/>
              </w:rPr>
              <w:t xml:space="preserve">c internationally agreed target, </w:t>
            </w:r>
            <w:r w:rsidRPr="00E8103D">
              <w:rPr>
                <w:rFonts w:ascii="Calibri" w:eastAsia="Calibri" w:hAnsi="Calibri"/>
                <w:sz w:val="18"/>
                <w:szCs w:val="18"/>
              </w:rPr>
              <w:t xml:space="preserve">these are indexes not included in </w:t>
            </w:r>
            <w:r w:rsidR="00F60B7C">
              <w:rPr>
                <w:rFonts w:ascii="Calibri" w:eastAsia="Calibri" w:hAnsi="Calibri"/>
                <w:sz w:val="18"/>
                <w:szCs w:val="18"/>
              </w:rPr>
              <w:t xml:space="preserve">most </w:t>
            </w:r>
            <w:r w:rsidRPr="00E8103D">
              <w:rPr>
                <w:rFonts w:ascii="Calibri" w:eastAsia="Calibri" w:hAnsi="Calibri"/>
                <w:sz w:val="18"/>
                <w:szCs w:val="18"/>
              </w:rPr>
              <w:t>national statistics systems</w:t>
            </w:r>
            <w:r w:rsidR="00F60B7C">
              <w:rPr>
                <w:rFonts w:ascii="Calibri" w:eastAsia="Calibri" w:hAnsi="Calibri"/>
                <w:sz w:val="18"/>
                <w:szCs w:val="18"/>
              </w:rPr>
              <w:t xml:space="preserve"> and have</w:t>
            </w:r>
            <w:r w:rsidRPr="00E8103D">
              <w:rPr>
                <w:rFonts w:ascii="Calibri" w:eastAsia="Calibri" w:hAnsi="Calibri"/>
                <w:sz w:val="18"/>
                <w:szCs w:val="18"/>
              </w:rPr>
              <w:t xml:space="preserve"> limited coverage and history, it is not possible to establish cr</w:t>
            </w:r>
            <w:r w:rsidR="00F60B7C">
              <w:rPr>
                <w:rFonts w:ascii="Calibri" w:eastAsia="Calibri" w:hAnsi="Calibri"/>
                <w:sz w:val="18"/>
                <w:szCs w:val="18"/>
              </w:rPr>
              <w:t xml:space="preserve">edible targets. </w:t>
            </w:r>
          </w:p>
        </w:tc>
      </w:tr>
      <w:tr w:rsidR="00F7064C" w:rsidRPr="00EC2ACE" w14:paraId="154985C9" w14:textId="77777777" w:rsidTr="00835812">
        <w:trPr>
          <w:trHeight w:val="50"/>
          <w:jc w:val="center"/>
        </w:trPr>
        <w:tc>
          <w:tcPr>
            <w:tcW w:w="535" w:type="dxa"/>
            <w:vMerge w:val="restart"/>
            <w:tcBorders>
              <w:top w:val="single" w:sz="4" w:space="0" w:color="auto"/>
              <w:left w:val="single" w:sz="4" w:space="0" w:color="auto"/>
              <w:right w:val="single" w:sz="4" w:space="0" w:color="auto"/>
            </w:tcBorders>
            <w:shd w:val="clear" w:color="auto" w:fill="FFFFFF" w:themeFill="background1"/>
          </w:tcPr>
          <w:p w14:paraId="00F62C61" w14:textId="77777777" w:rsidR="00F7064C" w:rsidRPr="00E8103D" w:rsidRDefault="00F7064C" w:rsidP="00B57188">
            <w:pPr>
              <w:ind w:right="-1080"/>
              <w:contextualSpacing/>
              <w:rPr>
                <w:b/>
                <w:sz w:val="20"/>
              </w:rPr>
            </w:pPr>
            <w:r w:rsidRPr="00E8103D">
              <w:rPr>
                <w:b/>
                <w:sz w:val="20"/>
              </w:rPr>
              <w:t>3.5</w:t>
            </w:r>
          </w:p>
        </w:tc>
        <w:tc>
          <w:tcPr>
            <w:tcW w:w="8820" w:type="dxa"/>
            <w:tcBorders>
              <w:top w:val="single" w:sz="4" w:space="0" w:color="auto"/>
              <w:left w:val="single" w:sz="4" w:space="0" w:color="auto"/>
              <w:bottom w:val="single" w:sz="4" w:space="0" w:color="auto"/>
              <w:right w:val="single" w:sz="4" w:space="0" w:color="auto"/>
            </w:tcBorders>
            <w:shd w:val="clear" w:color="auto" w:fill="FFFFFF" w:themeFill="background1"/>
          </w:tcPr>
          <w:p w14:paraId="7F1143CD" w14:textId="77777777" w:rsidR="00F7064C" w:rsidRPr="004D5D1D" w:rsidRDefault="00F7064C" w:rsidP="004D5D1D">
            <w:pPr>
              <w:ind w:right="-1080"/>
              <w:contextualSpacing/>
              <w:rPr>
                <w:sz w:val="20"/>
              </w:rPr>
            </w:pPr>
            <w:r w:rsidRPr="004D5D1D">
              <w:rPr>
                <w:b/>
                <w:sz w:val="20"/>
              </w:rPr>
              <w:t xml:space="preserve">Homicide rate, </w:t>
            </w:r>
            <w:r w:rsidRPr="004D5D1D">
              <w:rPr>
                <w:sz w:val="20"/>
              </w:rPr>
              <w:t>disaggregated by sex</w:t>
            </w:r>
            <w:r w:rsidRPr="004D5D1D">
              <w:rPr>
                <w:b/>
                <w:sz w:val="20"/>
              </w:rPr>
              <w:t xml:space="preserve"> </w:t>
            </w:r>
            <w:r w:rsidRPr="004D5D1D">
              <w:rPr>
                <w:sz w:val="20"/>
              </w:rPr>
              <w:t>(per 100,000 inhabitants)</w:t>
            </w:r>
          </w:p>
          <w:p w14:paraId="54630303" w14:textId="77777777" w:rsidR="00F7064C" w:rsidRPr="00E8103D" w:rsidRDefault="00F7064C" w:rsidP="00846BE9">
            <w:pPr>
              <w:spacing w:after="0" w:line="240" w:lineRule="auto"/>
              <w:ind w:right="-1080"/>
              <w:rPr>
                <w:sz w:val="20"/>
              </w:rPr>
            </w:pPr>
          </w:p>
          <w:p w14:paraId="757772E9" w14:textId="77777777" w:rsidR="00F7064C" w:rsidRPr="00E8103D" w:rsidRDefault="00F7064C" w:rsidP="006F161D">
            <w:pPr>
              <w:pStyle w:val="ListParagraph"/>
              <w:numPr>
                <w:ilvl w:val="0"/>
                <w:numId w:val="31"/>
              </w:numPr>
              <w:ind w:right="-1080"/>
              <w:rPr>
                <w:sz w:val="20"/>
              </w:rPr>
            </w:pPr>
            <w:r w:rsidRPr="00E8103D">
              <w:rPr>
                <w:sz w:val="20"/>
              </w:rPr>
              <w:t>Female</w:t>
            </w:r>
          </w:p>
          <w:p w14:paraId="02805946" w14:textId="77777777" w:rsidR="00F7064C" w:rsidRPr="00E8103D" w:rsidRDefault="00F7064C" w:rsidP="00846BE9">
            <w:pPr>
              <w:spacing w:after="0" w:line="240" w:lineRule="auto"/>
              <w:ind w:left="360" w:right="-1080"/>
              <w:rPr>
                <w:sz w:val="20"/>
              </w:rPr>
            </w:pPr>
          </w:p>
          <w:p w14:paraId="10ED7307" w14:textId="77777777" w:rsidR="00F7064C" w:rsidRPr="00E8103D" w:rsidRDefault="00F7064C" w:rsidP="00B57188">
            <w:pPr>
              <w:spacing w:after="0" w:line="240" w:lineRule="auto"/>
              <w:ind w:right="-1080"/>
              <w:rPr>
                <w:sz w:val="20"/>
              </w:rPr>
            </w:pPr>
            <w:r w:rsidRPr="00E8103D">
              <w:rPr>
                <w:sz w:val="20"/>
              </w:rPr>
              <w:t>b)    Male</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0062878D" w14:textId="608DFFF2" w:rsidR="00F7064C" w:rsidRPr="00E8103D" w:rsidRDefault="00F7064C" w:rsidP="00846BE9">
            <w:pPr>
              <w:spacing w:after="0" w:line="240" w:lineRule="auto"/>
              <w:rPr>
                <w:sz w:val="20"/>
              </w:rPr>
            </w:pPr>
            <w:r w:rsidRPr="00E8103D">
              <w:rPr>
                <w:b/>
                <w:sz w:val="20"/>
              </w:rPr>
              <w:t>6.</w:t>
            </w:r>
            <w:r w:rsidR="007D08F6">
              <w:rPr>
                <w:b/>
                <w:sz w:val="20"/>
              </w:rPr>
              <w:t>9</w:t>
            </w:r>
            <w:r w:rsidRPr="00E8103D">
              <w:rPr>
                <w:sz w:val="20"/>
              </w:rPr>
              <w:t xml:space="preserve"> per 100,000 inhabitants (2012)</w:t>
            </w:r>
          </w:p>
          <w:p w14:paraId="5EF6D296" w14:textId="6E0F6B23" w:rsidR="00F7064C" w:rsidRPr="00E8103D" w:rsidRDefault="00F7064C" w:rsidP="00846BE9">
            <w:pPr>
              <w:spacing w:after="0" w:line="240" w:lineRule="auto"/>
              <w:rPr>
                <w:sz w:val="20"/>
              </w:rPr>
            </w:pPr>
            <w:r w:rsidRPr="00E8103D">
              <w:rPr>
                <w:sz w:val="20"/>
              </w:rPr>
              <w:t xml:space="preserve">a) </w:t>
            </w:r>
            <w:r w:rsidR="007D08F6">
              <w:rPr>
                <w:sz w:val="20"/>
              </w:rPr>
              <w:t>3.0</w:t>
            </w:r>
            <w:r w:rsidRPr="00E8103D">
              <w:rPr>
                <w:sz w:val="20"/>
              </w:rPr>
              <w:t xml:space="preserve"> per 100,000 inhabitants (2012)</w:t>
            </w:r>
          </w:p>
          <w:p w14:paraId="3DF99E55" w14:textId="5BE4A80A" w:rsidR="00F7064C" w:rsidRPr="00E8103D" w:rsidRDefault="00F7064C" w:rsidP="005C505A">
            <w:pPr>
              <w:spacing w:after="0" w:line="240" w:lineRule="auto"/>
              <w:rPr>
                <w:sz w:val="20"/>
              </w:rPr>
            </w:pPr>
            <w:r w:rsidRPr="00E8103D">
              <w:rPr>
                <w:sz w:val="20"/>
              </w:rPr>
              <w:t>b) 10.</w:t>
            </w:r>
            <w:r w:rsidR="007D08F6">
              <w:rPr>
                <w:sz w:val="20"/>
              </w:rPr>
              <w:t>8</w:t>
            </w:r>
            <w:r w:rsidRPr="00E8103D">
              <w:rPr>
                <w:sz w:val="20"/>
              </w:rPr>
              <w:t xml:space="preserve"> per 100,000 inhabitants (2012)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0B77CE93" w14:textId="0920C6EC" w:rsidR="00F7064C" w:rsidRPr="00846BE9" w:rsidRDefault="00250AB1" w:rsidP="00846BE9">
            <w:pPr>
              <w:spacing w:after="0" w:line="240" w:lineRule="auto"/>
              <w:rPr>
                <w:sz w:val="20"/>
              </w:rPr>
            </w:pPr>
            <w:r w:rsidRPr="002713BB">
              <w:rPr>
                <w:sz w:val="20"/>
                <w:szCs w:val="20"/>
              </w:rPr>
              <w:t>Not yet available</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C3C02F0" w14:textId="17F77608" w:rsidR="00F7064C" w:rsidRPr="00846BE9" w:rsidRDefault="00F7064C" w:rsidP="00846BE9">
            <w:pPr>
              <w:spacing w:after="0" w:line="240" w:lineRule="auto"/>
              <w:rPr>
                <w:sz w:val="20"/>
              </w:rPr>
            </w:pPr>
            <w:r w:rsidRPr="00846BE9">
              <w:rPr>
                <w:sz w:val="20"/>
              </w:rPr>
              <w:t xml:space="preserve">Direction of travel: </w:t>
            </w:r>
            <w:r w:rsidRPr="00846BE9">
              <w:rPr>
                <w:b/>
                <w:sz w:val="20"/>
              </w:rPr>
              <w:t>Decrease</w:t>
            </w:r>
          </w:p>
        </w:tc>
      </w:tr>
      <w:tr w:rsidR="0050518E" w:rsidRPr="00EC2ACE" w14:paraId="39217C8B" w14:textId="77777777" w:rsidTr="00836C1D">
        <w:trPr>
          <w:trHeight w:val="50"/>
          <w:jc w:val="center"/>
        </w:trPr>
        <w:tc>
          <w:tcPr>
            <w:tcW w:w="535" w:type="dxa"/>
            <w:vMerge/>
            <w:tcBorders>
              <w:left w:val="single" w:sz="4" w:space="0" w:color="auto"/>
              <w:bottom w:val="single" w:sz="4" w:space="0" w:color="auto"/>
              <w:right w:val="single" w:sz="4" w:space="0" w:color="auto"/>
            </w:tcBorders>
            <w:shd w:val="clear" w:color="auto" w:fill="FFFFFF" w:themeFill="background1"/>
          </w:tcPr>
          <w:p w14:paraId="409E2645" w14:textId="77777777" w:rsidR="0050518E" w:rsidRPr="0050146A" w:rsidRDefault="0050518E" w:rsidP="00B57188">
            <w:pPr>
              <w:ind w:right="-1080"/>
              <w:contextualSpacing/>
              <w:rPr>
                <w:b/>
                <w:sz w:val="20"/>
              </w:rPr>
            </w:pPr>
          </w:p>
        </w:tc>
        <w:tc>
          <w:tcPr>
            <w:tcW w:w="14490" w:type="dxa"/>
            <w:gridSpan w:val="4"/>
            <w:tcBorders>
              <w:left w:val="single" w:sz="4" w:space="0" w:color="auto"/>
              <w:bottom w:val="single" w:sz="4" w:space="0" w:color="auto"/>
              <w:right w:val="single" w:sz="4" w:space="0" w:color="auto"/>
            </w:tcBorders>
            <w:shd w:val="clear" w:color="auto" w:fill="D9D9D9" w:themeFill="background1" w:themeFillShade="D9"/>
          </w:tcPr>
          <w:p w14:paraId="66A75923" w14:textId="3605C71E" w:rsidR="0050518E" w:rsidRPr="00F60B7C" w:rsidRDefault="0050518E" w:rsidP="00E27A7E">
            <w:pPr>
              <w:spacing w:after="0" w:line="240" w:lineRule="auto"/>
              <w:rPr>
                <w:rFonts w:ascii="Calibri" w:eastAsia="Calibri" w:hAnsi="Calibri"/>
                <w:sz w:val="18"/>
                <w:szCs w:val="18"/>
              </w:rPr>
            </w:pPr>
            <w:r w:rsidRPr="00F60B7C">
              <w:rPr>
                <w:rFonts w:ascii="Calibri" w:eastAsia="Calibri" w:hAnsi="Calibri"/>
                <w:b/>
                <w:sz w:val="18"/>
                <w:szCs w:val="18"/>
              </w:rPr>
              <w:t>Source</w:t>
            </w:r>
            <w:r w:rsidRPr="00F60B7C">
              <w:rPr>
                <w:rFonts w:ascii="Calibri" w:eastAsia="Calibri" w:hAnsi="Calibri"/>
                <w:sz w:val="18"/>
                <w:szCs w:val="18"/>
              </w:rPr>
              <w:t>: UNDP calculations using statistics from UNODC (</w:t>
            </w:r>
            <w:hyperlink r:id="rId9" w:history="1">
              <w:r w:rsidRPr="00F60B7C">
                <w:rPr>
                  <w:rStyle w:val="Hyperlink"/>
                  <w:rFonts w:ascii="Calibri" w:eastAsia="Calibri" w:hAnsi="Calibri"/>
                  <w:color w:val="auto"/>
                  <w:sz w:val="18"/>
                  <w:szCs w:val="18"/>
                </w:rPr>
                <w:t>http://www.unodc.org/gsh/en/data.html</w:t>
              </w:r>
            </w:hyperlink>
            <w:r w:rsidRPr="00F60B7C">
              <w:rPr>
                <w:rFonts w:ascii="Calibri" w:eastAsia="Calibri" w:hAnsi="Calibri"/>
                <w:sz w:val="18"/>
                <w:szCs w:val="18"/>
              </w:rPr>
              <w:t>) for 1</w:t>
            </w:r>
            <w:r w:rsidR="00E27A7E" w:rsidRPr="00F60B7C">
              <w:rPr>
                <w:rFonts w:ascii="Calibri" w:eastAsia="Calibri" w:hAnsi="Calibri"/>
                <w:sz w:val="18"/>
                <w:szCs w:val="18"/>
              </w:rPr>
              <w:t>44</w:t>
            </w:r>
            <w:r w:rsidRPr="00F60B7C">
              <w:rPr>
                <w:rFonts w:ascii="Calibri" w:eastAsia="Calibri" w:hAnsi="Calibri"/>
                <w:sz w:val="18"/>
                <w:szCs w:val="18"/>
              </w:rPr>
              <w:t xml:space="preserve"> programme countries. Figures represent absolute proportion of homicides over population of reference or weighted average (using population). 79 countries present “epidemic” levels (defined as more than 10 homicides per 100,000 inhabitants) of male homicides, and 5 countries present epidemic levels of female homicide. No </w:t>
            </w:r>
            <w:r w:rsidR="00A10A47">
              <w:rPr>
                <w:rFonts w:ascii="Calibri" w:eastAsia="Calibri" w:hAnsi="Calibri"/>
                <w:sz w:val="18"/>
                <w:szCs w:val="18"/>
              </w:rPr>
              <w:t>internationally-agreed</w:t>
            </w:r>
            <w:r w:rsidRPr="00F60B7C">
              <w:rPr>
                <w:rFonts w:ascii="Calibri" w:eastAsia="Calibri" w:hAnsi="Calibri"/>
                <w:sz w:val="18"/>
                <w:szCs w:val="18"/>
              </w:rPr>
              <w:t xml:space="preserve"> numerical targets </w:t>
            </w:r>
            <w:r w:rsidR="00A10A47">
              <w:rPr>
                <w:rFonts w:ascii="Calibri" w:eastAsia="Calibri" w:hAnsi="Calibri"/>
                <w:sz w:val="18"/>
                <w:szCs w:val="18"/>
              </w:rPr>
              <w:t xml:space="preserve">are </w:t>
            </w:r>
            <w:r w:rsidRPr="00F60B7C">
              <w:rPr>
                <w:rFonts w:ascii="Calibri" w:eastAsia="Calibri" w:hAnsi="Calibri"/>
                <w:sz w:val="18"/>
                <w:szCs w:val="18"/>
              </w:rPr>
              <w:t>available. UNDP uses direction of travel: a reduction, with emphasis on reducing rates in countries experiencing epidemic levels.</w:t>
            </w:r>
          </w:p>
          <w:p w14:paraId="0E2EEC07" w14:textId="2E64071F" w:rsidR="00E27A7E" w:rsidRPr="00F60B7C" w:rsidRDefault="00E27A7E" w:rsidP="007D08F6">
            <w:pPr>
              <w:spacing w:after="0" w:line="240" w:lineRule="auto"/>
              <w:rPr>
                <w:sz w:val="20"/>
              </w:rPr>
            </w:pPr>
            <w:r w:rsidRPr="00F60B7C">
              <w:rPr>
                <w:rFonts w:ascii="Calibri" w:eastAsia="Calibri" w:hAnsi="Calibri"/>
                <w:b/>
                <w:sz w:val="18"/>
                <w:szCs w:val="18"/>
              </w:rPr>
              <w:t>2014 Reporting Note:</w:t>
            </w:r>
            <w:r w:rsidRPr="00F60B7C">
              <w:rPr>
                <w:rFonts w:ascii="Calibri" w:eastAsia="Calibri" w:hAnsi="Calibri"/>
                <w:sz w:val="18"/>
                <w:szCs w:val="18"/>
              </w:rPr>
              <w:t xml:space="preserve"> </w:t>
            </w:r>
            <w:r w:rsidRPr="00F60B7C">
              <w:rPr>
                <w:rFonts w:eastAsia="Calibri"/>
                <w:sz w:val="18"/>
                <w:szCs w:val="18"/>
              </w:rPr>
              <w:t>Baselines updated with latest data. Previous values were</w:t>
            </w:r>
            <w:r w:rsidR="007D08F6" w:rsidRPr="00F60B7C">
              <w:rPr>
                <w:rFonts w:eastAsia="Calibri"/>
                <w:sz w:val="18"/>
                <w:szCs w:val="18"/>
              </w:rPr>
              <w:t>: overall 6.8 (2012), female 2.9 (2012), male 10.7 (2012)</w:t>
            </w:r>
            <w:r w:rsidRPr="00F60B7C">
              <w:rPr>
                <w:rFonts w:eastAsia="Calibri"/>
                <w:sz w:val="18"/>
                <w:szCs w:val="18"/>
              </w:rPr>
              <w:t>.</w:t>
            </w:r>
          </w:p>
        </w:tc>
      </w:tr>
    </w:tbl>
    <w:p w14:paraId="2B7E9562" w14:textId="77777777" w:rsidR="00A10A47" w:rsidRDefault="00A10A47">
      <w:r>
        <w:br w:type="page"/>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720"/>
        <w:gridCol w:w="5490"/>
        <w:gridCol w:w="1440"/>
        <w:gridCol w:w="1350"/>
        <w:gridCol w:w="1350"/>
        <w:gridCol w:w="1530"/>
      </w:tblGrid>
      <w:tr w:rsidR="00F7064C" w:rsidRPr="008B041F" w14:paraId="00054428" w14:textId="77777777" w:rsidTr="004A646D">
        <w:trPr>
          <w:trHeight w:val="242"/>
          <w:jc w:val="center"/>
        </w:trPr>
        <w:tc>
          <w:tcPr>
            <w:tcW w:w="3145" w:type="dxa"/>
            <w:vMerge w:val="restart"/>
            <w:tcBorders>
              <w:top w:val="single" w:sz="4" w:space="0" w:color="auto"/>
              <w:left w:val="single" w:sz="4" w:space="0" w:color="auto"/>
              <w:right w:val="single" w:sz="4" w:space="0" w:color="auto"/>
            </w:tcBorders>
            <w:shd w:val="clear" w:color="auto" w:fill="DAEEF3"/>
            <w:hideMark/>
          </w:tcPr>
          <w:p w14:paraId="54B3BC95" w14:textId="16B4A730" w:rsidR="00F7064C" w:rsidRPr="005A7A63" w:rsidRDefault="00F7064C" w:rsidP="00B57188">
            <w:pPr>
              <w:spacing w:after="0" w:line="240" w:lineRule="auto"/>
              <w:rPr>
                <w:rFonts w:eastAsia="Calibri"/>
                <w:i/>
                <w:sz w:val="20"/>
              </w:rPr>
            </w:pPr>
            <w:r w:rsidRPr="005A7A63">
              <w:rPr>
                <w:rFonts w:eastAsia="Calibri"/>
                <w:sz w:val="20"/>
              </w:rPr>
              <w:br w:type="page"/>
            </w:r>
            <w:r w:rsidRPr="005A7A63">
              <w:rPr>
                <w:rFonts w:eastAsia="Calibri"/>
                <w:b/>
                <w:sz w:val="20"/>
              </w:rPr>
              <w:t>Output</w:t>
            </w:r>
            <w:r>
              <w:rPr>
                <w:rFonts w:eastAsia="Calibri"/>
                <w:b/>
                <w:sz w:val="20"/>
              </w:rPr>
              <w:t xml:space="preserve"> </w:t>
            </w:r>
            <w:r w:rsidRPr="00B2372F">
              <w:rPr>
                <w:rFonts w:ascii="Calibri" w:eastAsia="Calibri" w:hAnsi="Calibri"/>
                <w:i/>
                <w:sz w:val="18"/>
                <w:szCs w:val="18"/>
              </w:rPr>
              <w:t>(UNDP provides specific support for the following results, based on national demand)</w:t>
            </w:r>
          </w:p>
        </w:tc>
        <w:tc>
          <w:tcPr>
            <w:tcW w:w="6210" w:type="dxa"/>
            <w:gridSpan w:val="2"/>
            <w:vMerge w:val="restart"/>
            <w:tcBorders>
              <w:top w:val="single" w:sz="4" w:space="0" w:color="auto"/>
              <w:left w:val="single" w:sz="4" w:space="0" w:color="auto"/>
              <w:right w:val="single" w:sz="4" w:space="0" w:color="auto"/>
            </w:tcBorders>
            <w:shd w:val="clear" w:color="auto" w:fill="DAEEF3"/>
            <w:hideMark/>
          </w:tcPr>
          <w:p w14:paraId="0E56830A" w14:textId="77777777" w:rsidR="00F7064C" w:rsidRPr="005A7A63" w:rsidRDefault="00F7064C" w:rsidP="00B57188">
            <w:pPr>
              <w:spacing w:after="0" w:line="240" w:lineRule="auto"/>
              <w:rPr>
                <w:rFonts w:eastAsia="Calibri"/>
                <w:i/>
                <w:sz w:val="20"/>
              </w:rPr>
            </w:pPr>
            <w:r w:rsidRPr="005A7A63">
              <w:rPr>
                <w:rFonts w:eastAsia="Calibri"/>
                <w:b/>
                <w:sz w:val="20"/>
              </w:rPr>
              <w:t xml:space="preserve">Output Indicator </w:t>
            </w:r>
            <w:r w:rsidRPr="00B2372F">
              <w:rPr>
                <w:rFonts w:ascii="Calibri" w:eastAsia="Calibri" w:hAnsi="Calibri"/>
                <w:i/>
                <w:sz w:val="18"/>
                <w:szCs w:val="18"/>
              </w:rPr>
              <w:t xml:space="preserve">(output indicators measure only those results which are specifically </w:t>
            </w:r>
            <w:r w:rsidRPr="00B2372F">
              <w:rPr>
                <w:rFonts w:ascii="Calibri" w:eastAsia="Calibri" w:hAnsi="Calibri"/>
                <w:i/>
                <w:sz w:val="18"/>
                <w:szCs w:val="18"/>
                <w:u w:val="single"/>
              </w:rPr>
              <w:t>supported</w:t>
            </w:r>
            <w:r w:rsidRPr="00B2372F">
              <w:rPr>
                <w:rFonts w:ascii="Calibri" w:eastAsia="Calibri" w:hAnsi="Calibri"/>
                <w:i/>
                <w:sz w:val="18"/>
                <w:szCs w:val="18"/>
              </w:rPr>
              <w:t xml:space="preserve"> by UNDP, in response to demand from programme countries)</w:t>
            </w:r>
          </w:p>
        </w:tc>
        <w:tc>
          <w:tcPr>
            <w:tcW w:w="1440" w:type="dxa"/>
            <w:vMerge w:val="restart"/>
            <w:tcBorders>
              <w:top w:val="single" w:sz="4" w:space="0" w:color="auto"/>
              <w:left w:val="single" w:sz="4" w:space="0" w:color="auto"/>
              <w:right w:val="single" w:sz="4" w:space="0" w:color="auto"/>
            </w:tcBorders>
            <w:shd w:val="clear" w:color="auto" w:fill="DAEEF3"/>
          </w:tcPr>
          <w:p w14:paraId="27EDC11E" w14:textId="31275FC2" w:rsidR="00F7064C" w:rsidRPr="005A7A63" w:rsidRDefault="00F7064C" w:rsidP="00A35EC6">
            <w:pPr>
              <w:spacing w:after="0" w:line="240" w:lineRule="auto"/>
              <w:jc w:val="center"/>
              <w:rPr>
                <w:rFonts w:eastAsia="Calibri"/>
                <w:b/>
                <w:sz w:val="20"/>
              </w:rPr>
            </w:pPr>
            <w:r w:rsidRPr="005A7A63">
              <w:rPr>
                <w:rFonts w:eastAsia="Calibri"/>
                <w:b/>
                <w:sz w:val="20"/>
              </w:rPr>
              <w:t>Baseline</w:t>
            </w:r>
            <w:r>
              <w:rPr>
                <w:rFonts w:eastAsia="Calibri"/>
                <w:b/>
                <w:sz w:val="20"/>
              </w:rPr>
              <w:t xml:space="preserve"> </w:t>
            </w:r>
          </w:p>
        </w:tc>
        <w:tc>
          <w:tcPr>
            <w:tcW w:w="2700" w:type="dxa"/>
            <w:gridSpan w:val="2"/>
            <w:tcBorders>
              <w:top w:val="single" w:sz="4" w:space="0" w:color="auto"/>
              <w:left w:val="single" w:sz="4" w:space="0" w:color="auto"/>
              <w:bottom w:val="single" w:sz="4" w:space="0" w:color="auto"/>
              <w:right w:val="single" w:sz="4" w:space="0" w:color="auto"/>
            </w:tcBorders>
            <w:shd w:val="clear" w:color="auto" w:fill="DAEEF3"/>
          </w:tcPr>
          <w:p w14:paraId="63A145FA" w14:textId="6ADD294C" w:rsidR="00F7064C" w:rsidRPr="005A7A63" w:rsidRDefault="00F7064C" w:rsidP="00A35EC6">
            <w:pPr>
              <w:spacing w:after="0" w:line="240" w:lineRule="auto"/>
              <w:jc w:val="center"/>
              <w:rPr>
                <w:rFonts w:eastAsia="Calibri"/>
                <w:b/>
                <w:sz w:val="20"/>
              </w:rPr>
            </w:pPr>
            <w:r w:rsidRPr="005A7A63">
              <w:rPr>
                <w:rFonts w:eastAsia="Calibri"/>
                <w:b/>
                <w:sz w:val="20"/>
              </w:rPr>
              <w:t>Milestones</w:t>
            </w:r>
          </w:p>
        </w:tc>
        <w:tc>
          <w:tcPr>
            <w:tcW w:w="1530" w:type="dxa"/>
            <w:vMerge w:val="restart"/>
            <w:tcBorders>
              <w:top w:val="single" w:sz="4" w:space="0" w:color="auto"/>
              <w:left w:val="single" w:sz="4" w:space="0" w:color="auto"/>
              <w:right w:val="single" w:sz="4" w:space="0" w:color="auto"/>
            </w:tcBorders>
            <w:shd w:val="clear" w:color="auto" w:fill="DAEEF3"/>
          </w:tcPr>
          <w:p w14:paraId="3BE29F47" w14:textId="41863D0C" w:rsidR="00F7064C" w:rsidRPr="005A7A63" w:rsidRDefault="00F7064C" w:rsidP="00A35EC6">
            <w:pPr>
              <w:spacing w:after="0" w:line="240" w:lineRule="auto"/>
              <w:jc w:val="center"/>
              <w:rPr>
                <w:rFonts w:eastAsia="Calibri"/>
                <w:b/>
                <w:sz w:val="20"/>
              </w:rPr>
            </w:pPr>
            <w:r w:rsidRPr="005A7A63">
              <w:rPr>
                <w:rFonts w:eastAsia="Calibri"/>
                <w:b/>
                <w:sz w:val="20"/>
              </w:rPr>
              <w:t>Target</w:t>
            </w:r>
          </w:p>
        </w:tc>
      </w:tr>
      <w:tr w:rsidR="00F7064C" w:rsidRPr="008B041F" w14:paraId="6A3DBDE0" w14:textId="77777777" w:rsidTr="004A646D">
        <w:trPr>
          <w:trHeight w:val="260"/>
          <w:jc w:val="center"/>
        </w:trPr>
        <w:tc>
          <w:tcPr>
            <w:tcW w:w="3145" w:type="dxa"/>
            <w:vMerge/>
            <w:tcBorders>
              <w:left w:val="single" w:sz="4" w:space="0" w:color="auto"/>
              <w:right w:val="single" w:sz="4" w:space="0" w:color="auto"/>
            </w:tcBorders>
            <w:shd w:val="clear" w:color="auto" w:fill="DAEEF3"/>
          </w:tcPr>
          <w:p w14:paraId="253EE09C" w14:textId="77777777" w:rsidR="00F7064C" w:rsidRPr="005A7A63" w:rsidRDefault="00F7064C" w:rsidP="00B57188">
            <w:pPr>
              <w:spacing w:after="0" w:line="240" w:lineRule="auto"/>
              <w:rPr>
                <w:rFonts w:eastAsia="Calibri"/>
                <w:sz w:val="20"/>
              </w:rPr>
            </w:pPr>
          </w:p>
        </w:tc>
        <w:tc>
          <w:tcPr>
            <w:tcW w:w="6210" w:type="dxa"/>
            <w:gridSpan w:val="2"/>
            <w:vMerge/>
            <w:tcBorders>
              <w:left w:val="single" w:sz="4" w:space="0" w:color="auto"/>
              <w:right w:val="single" w:sz="4" w:space="0" w:color="auto"/>
            </w:tcBorders>
            <w:shd w:val="clear" w:color="auto" w:fill="DAEEF3"/>
          </w:tcPr>
          <w:p w14:paraId="783B7BF0" w14:textId="77777777" w:rsidR="00F7064C" w:rsidRPr="005A7A63" w:rsidRDefault="00F7064C" w:rsidP="00B57188">
            <w:pPr>
              <w:spacing w:after="0" w:line="240" w:lineRule="auto"/>
              <w:rPr>
                <w:rFonts w:eastAsia="Calibri"/>
                <w:b/>
                <w:sz w:val="20"/>
              </w:rPr>
            </w:pPr>
          </w:p>
        </w:tc>
        <w:tc>
          <w:tcPr>
            <w:tcW w:w="1440" w:type="dxa"/>
            <w:vMerge/>
            <w:tcBorders>
              <w:left w:val="single" w:sz="4" w:space="0" w:color="auto"/>
              <w:bottom w:val="single" w:sz="4" w:space="0" w:color="auto"/>
              <w:right w:val="single" w:sz="4" w:space="0" w:color="auto"/>
            </w:tcBorders>
            <w:shd w:val="clear" w:color="auto" w:fill="DAEEF3"/>
          </w:tcPr>
          <w:p w14:paraId="1D0E9A07" w14:textId="77777777" w:rsidR="00F7064C" w:rsidRPr="005A7A63" w:rsidRDefault="00F7064C" w:rsidP="00B57188">
            <w:pPr>
              <w:spacing w:after="0" w:line="240" w:lineRule="auto"/>
              <w:jc w:val="center"/>
              <w:rPr>
                <w:rFonts w:eastAsia="Calibri"/>
                <w:b/>
                <w:sz w:val="20"/>
              </w:rPr>
            </w:pPr>
          </w:p>
        </w:tc>
        <w:tc>
          <w:tcPr>
            <w:tcW w:w="1350" w:type="dxa"/>
            <w:tcBorders>
              <w:top w:val="single" w:sz="4" w:space="0" w:color="auto"/>
              <w:left w:val="single" w:sz="4" w:space="0" w:color="auto"/>
              <w:bottom w:val="single" w:sz="4" w:space="0" w:color="auto"/>
              <w:right w:val="single" w:sz="4" w:space="0" w:color="auto"/>
            </w:tcBorders>
            <w:shd w:val="clear" w:color="auto" w:fill="DAEEF3"/>
            <w:vAlign w:val="center"/>
          </w:tcPr>
          <w:p w14:paraId="6310EB44" w14:textId="42644702" w:rsidR="00F7064C" w:rsidRPr="005A7A63" w:rsidRDefault="00F7064C" w:rsidP="00C935C5">
            <w:pPr>
              <w:spacing w:after="0" w:line="240" w:lineRule="auto"/>
              <w:jc w:val="center"/>
              <w:rPr>
                <w:rFonts w:eastAsia="Calibri"/>
                <w:b/>
                <w:sz w:val="20"/>
              </w:rPr>
            </w:pPr>
            <w:r>
              <w:rPr>
                <w:rFonts w:eastAsia="Calibri"/>
                <w:b/>
                <w:sz w:val="20"/>
              </w:rPr>
              <w:t>Planned</w:t>
            </w:r>
          </w:p>
        </w:tc>
        <w:tc>
          <w:tcPr>
            <w:tcW w:w="1350" w:type="dxa"/>
            <w:tcBorders>
              <w:top w:val="single" w:sz="4" w:space="0" w:color="auto"/>
              <w:left w:val="single" w:sz="4" w:space="0" w:color="auto"/>
              <w:bottom w:val="single" w:sz="4" w:space="0" w:color="auto"/>
              <w:right w:val="single" w:sz="4" w:space="0" w:color="auto"/>
            </w:tcBorders>
            <w:shd w:val="clear" w:color="auto" w:fill="DAEEF3"/>
            <w:vAlign w:val="center"/>
          </w:tcPr>
          <w:p w14:paraId="5437D17D" w14:textId="4A39D905" w:rsidR="00F7064C" w:rsidRPr="005A7A63" w:rsidRDefault="00F7064C" w:rsidP="00C935C5">
            <w:pPr>
              <w:spacing w:after="0" w:line="240" w:lineRule="auto"/>
              <w:jc w:val="center"/>
              <w:rPr>
                <w:rFonts w:eastAsia="Calibri"/>
                <w:b/>
                <w:sz w:val="20"/>
              </w:rPr>
            </w:pPr>
            <w:r>
              <w:rPr>
                <w:rFonts w:eastAsia="Calibri"/>
                <w:b/>
                <w:sz w:val="20"/>
              </w:rPr>
              <w:t>Actual</w:t>
            </w:r>
          </w:p>
        </w:tc>
        <w:tc>
          <w:tcPr>
            <w:tcW w:w="1530" w:type="dxa"/>
            <w:vMerge/>
            <w:tcBorders>
              <w:left w:val="single" w:sz="4" w:space="0" w:color="auto"/>
              <w:bottom w:val="single" w:sz="4" w:space="0" w:color="auto"/>
              <w:right w:val="single" w:sz="4" w:space="0" w:color="auto"/>
            </w:tcBorders>
            <w:shd w:val="clear" w:color="auto" w:fill="DAEEF3"/>
          </w:tcPr>
          <w:p w14:paraId="7C6C852B" w14:textId="77777777" w:rsidR="00F7064C" w:rsidRPr="005A7A63" w:rsidRDefault="00F7064C" w:rsidP="00B57188">
            <w:pPr>
              <w:spacing w:after="0" w:line="240" w:lineRule="auto"/>
              <w:jc w:val="center"/>
              <w:rPr>
                <w:rFonts w:eastAsia="Calibri"/>
                <w:b/>
                <w:sz w:val="20"/>
              </w:rPr>
            </w:pPr>
          </w:p>
        </w:tc>
      </w:tr>
      <w:tr w:rsidR="00F7064C" w:rsidRPr="008B041F" w14:paraId="4E6CDB58" w14:textId="77777777" w:rsidTr="004A646D">
        <w:trPr>
          <w:trHeight w:val="260"/>
          <w:jc w:val="center"/>
        </w:trPr>
        <w:tc>
          <w:tcPr>
            <w:tcW w:w="3145" w:type="dxa"/>
            <w:vMerge/>
            <w:tcBorders>
              <w:left w:val="single" w:sz="4" w:space="0" w:color="auto"/>
              <w:bottom w:val="single" w:sz="4" w:space="0" w:color="auto"/>
              <w:right w:val="single" w:sz="4" w:space="0" w:color="auto"/>
            </w:tcBorders>
            <w:shd w:val="clear" w:color="auto" w:fill="DAEEF3"/>
          </w:tcPr>
          <w:p w14:paraId="65147271" w14:textId="77777777" w:rsidR="00F7064C" w:rsidRPr="00015A57" w:rsidRDefault="00F7064C" w:rsidP="00B57188">
            <w:pPr>
              <w:spacing w:after="0" w:line="240" w:lineRule="auto"/>
              <w:rPr>
                <w:rFonts w:eastAsia="Calibri"/>
              </w:rPr>
            </w:pPr>
          </w:p>
        </w:tc>
        <w:tc>
          <w:tcPr>
            <w:tcW w:w="6210" w:type="dxa"/>
            <w:gridSpan w:val="2"/>
            <w:vMerge/>
            <w:tcBorders>
              <w:left w:val="single" w:sz="4" w:space="0" w:color="auto"/>
              <w:bottom w:val="single" w:sz="4" w:space="0" w:color="auto"/>
              <w:right w:val="single" w:sz="4" w:space="0" w:color="auto"/>
            </w:tcBorders>
            <w:shd w:val="clear" w:color="auto" w:fill="DAEEF3"/>
          </w:tcPr>
          <w:p w14:paraId="5C7756EE" w14:textId="77777777" w:rsidR="00F7064C" w:rsidRPr="00015A57" w:rsidRDefault="00F7064C" w:rsidP="00B57188">
            <w:pPr>
              <w:spacing w:after="0" w:line="240" w:lineRule="auto"/>
              <w:rPr>
                <w:rFonts w:eastAsia="Calibri"/>
                <w:b/>
              </w:rPr>
            </w:pPr>
          </w:p>
        </w:tc>
        <w:tc>
          <w:tcPr>
            <w:tcW w:w="1440" w:type="dxa"/>
            <w:tcBorders>
              <w:top w:val="single" w:sz="4" w:space="0" w:color="auto"/>
              <w:left w:val="single" w:sz="4" w:space="0" w:color="auto"/>
              <w:bottom w:val="single" w:sz="4" w:space="0" w:color="auto"/>
              <w:right w:val="single" w:sz="4" w:space="0" w:color="auto"/>
            </w:tcBorders>
            <w:shd w:val="clear" w:color="auto" w:fill="DAEEF3"/>
          </w:tcPr>
          <w:p w14:paraId="694ED627" w14:textId="77777777" w:rsidR="00F7064C" w:rsidRPr="00D639F9" w:rsidRDefault="00F7064C" w:rsidP="00B57188">
            <w:pPr>
              <w:spacing w:after="0" w:line="240" w:lineRule="auto"/>
              <w:jc w:val="center"/>
              <w:rPr>
                <w:rFonts w:eastAsia="Calibri"/>
                <w:b/>
                <w:sz w:val="20"/>
                <w:szCs w:val="20"/>
              </w:rPr>
            </w:pPr>
            <w:r w:rsidRPr="00D639F9">
              <w:rPr>
                <w:rFonts w:eastAsia="Calibri"/>
                <w:b/>
                <w:sz w:val="20"/>
                <w:szCs w:val="20"/>
              </w:rPr>
              <w:t>2013</w:t>
            </w:r>
          </w:p>
        </w:tc>
        <w:tc>
          <w:tcPr>
            <w:tcW w:w="1350" w:type="dxa"/>
            <w:tcBorders>
              <w:top w:val="single" w:sz="4" w:space="0" w:color="auto"/>
              <w:left w:val="single" w:sz="4" w:space="0" w:color="auto"/>
              <w:bottom w:val="single" w:sz="4" w:space="0" w:color="auto"/>
              <w:right w:val="single" w:sz="4" w:space="0" w:color="auto"/>
            </w:tcBorders>
            <w:shd w:val="clear" w:color="auto" w:fill="DAEEF3"/>
          </w:tcPr>
          <w:p w14:paraId="107A9360" w14:textId="77777777" w:rsidR="00F7064C" w:rsidRPr="00D639F9" w:rsidRDefault="00F7064C" w:rsidP="00B57188">
            <w:pPr>
              <w:spacing w:after="0" w:line="240" w:lineRule="auto"/>
              <w:jc w:val="center"/>
              <w:rPr>
                <w:rFonts w:eastAsia="Calibri"/>
                <w:b/>
                <w:sz w:val="20"/>
                <w:szCs w:val="20"/>
              </w:rPr>
            </w:pPr>
            <w:r w:rsidRPr="00D639F9">
              <w:rPr>
                <w:rFonts w:eastAsia="Calibri"/>
                <w:b/>
                <w:sz w:val="20"/>
                <w:szCs w:val="20"/>
              </w:rPr>
              <w:t>2014</w:t>
            </w:r>
          </w:p>
        </w:tc>
        <w:tc>
          <w:tcPr>
            <w:tcW w:w="1350" w:type="dxa"/>
            <w:tcBorders>
              <w:top w:val="single" w:sz="4" w:space="0" w:color="auto"/>
              <w:left w:val="single" w:sz="4" w:space="0" w:color="auto"/>
              <w:bottom w:val="single" w:sz="4" w:space="0" w:color="auto"/>
              <w:right w:val="single" w:sz="4" w:space="0" w:color="auto"/>
            </w:tcBorders>
            <w:shd w:val="clear" w:color="auto" w:fill="DAEEF3"/>
          </w:tcPr>
          <w:p w14:paraId="4974915B" w14:textId="03B164FE" w:rsidR="00F7064C" w:rsidRPr="00D639F9" w:rsidRDefault="00F7064C" w:rsidP="00B57188">
            <w:pPr>
              <w:spacing w:after="0" w:line="240" w:lineRule="auto"/>
              <w:jc w:val="center"/>
              <w:rPr>
                <w:rFonts w:eastAsia="Calibri"/>
                <w:b/>
                <w:sz w:val="20"/>
                <w:szCs w:val="20"/>
              </w:rPr>
            </w:pPr>
            <w:r>
              <w:rPr>
                <w:rFonts w:eastAsia="Calibri"/>
                <w:b/>
                <w:sz w:val="20"/>
                <w:szCs w:val="20"/>
              </w:rPr>
              <w:t>2014</w:t>
            </w:r>
          </w:p>
        </w:tc>
        <w:tc>
          <w:tcPr>
            <w:tcW w:w="1530" w:type="dxa"/>
            <w:tcBorders>
              <w:top w:val="single" w:sz="4" w:space="0" w:color="auto"/>
              <w:left w:val="single" w:sz="4" w:space="0" w:color="auto"/>
              <w:bottom w:val="single" w:sz="4" w:space="0" w:color="auto"/>
              <w:right w:val="single" w:sz="4" w:space="0" w:color="auto"/>
            </w:tcBorders>
            <w:shd w:val="clear" w:color="auto" w:fill="DAEEF3"/>
          </w:tcPr>
          <w:p w14:paraId="17F934D7" w14:textId="77777777" w:rsidR="00F7064C" w:rsidRPr="00D639F9" w:rsidRDefault="00F7064C" w:rsidP="00B57188">
            <w:pPr>
              <w:spacing w:after="0" w:line="240" w:lineRule="auto"/>
              <w:jc w:val="center"/>
              <w:rPr>
                <w:rFonts w:eastAsia="Calibri"/>
                <w:b/>
                <w:sz w:val="20"/>
              </w:rPr>
            </w:pPr>
            <w:r w:rsidRPr="00D639F9">
              <w:rPr>
                <w:rFonts w:eastAsia="Calibri"/>
                <w:b/>
                <w:sz w:val="20"/>
              </w:rPr>
              <w:t>2017</w:t>
            </w:r>
          </w:p>
        </w:tc>
      </w:tr>
      <w:tr w:rsidR="00F7064C" w:rsidRPr="00A47C48" w14:paraId="22D55149" w14:textId="77777777" w:rsidTr="004A646D">
        <w:trPr>
          <w:trHeight w:val="332"/>
          <w:jc w:val="center"/>
        </w:trPr>
        <w:tc>
          <w:tcPr>
            <w:tcW w:w="3145" w:type="dxa"/>
            <w:vMerge w:val="restart"/>
            <w:tcBorders>
              <w:top w:val="single" w:sz="4" w:space="0" w:color="auto"/>
              <w:left w:val="single" w:sz="4" w:space="0" w:color="auto"/>
              <w:right w:val="single" w:sz="4" w:space="0" w:color="auto"/>
            </w:tcBorders>
            <w:shd w:val="clear" w:color="auto" w:fill="FFFFFF"/>
          </w:tcPr>
          <w:p w14:paraId="4127A47F" w14:textId="57DE1F1B" w:rsidR="00F7064C" w:rsidRDefault="00F7064C" w:rsidP="001A6E7D">
            <w:pPr>
              <w:spacing w:after="0" w:line="240" w:lineRule="auto"/>
              <w:rPr>
                <w:rFonts w:eastAsia="Calibri"/>
                <w:sz w:val="20"/>
                <w:szCs w:val="18"/>
              </w:rPr>
            </w:pPr>
            <w:r w:rsidRPr="0000532F">
              <w:rPr>
                <w:rFonts w:eastAsia="Calibri"/>
                <w:b/>
                <w:sz w:val="20"/>
              </w:rPr>
              <w:t xml:space="preserve">Output 3.1. </w:t>
            </w:r>
            <w:r w:rsidRPr="0000532F">
              <w:rPr>
                <w:rFonts w:eastAsia="Calibri"/>
                <w:sz w:val="20"/>
              </w:rPr>
              <w:t>Core functions of government enabled to ensure national ownership of recovery and development processes</w:t>
            </w:r>
          </w:p>
          <w:p w14:paraId="28DE7AB3" w14:textId="77777777" w:rsidR="00F7064C" w:rsidRDefault="00F7064C" w:rsidP="001A6E7D">
            <w:pPr>
              <w:spacing w:after="0" w:line="240" w:lineRule="auto"/>
              <w:rPr>
                <w:rFonts w:eastAsia="Calibri"/>
                <w:sz w:val="20"/>
                <w:szCs w:val="20"/>
              </w:rPr>
            </w:pPr>
          </w:p>
          <w:p w14:paraId="7A15E157" w14:textId="5888842A" w:rsidR="00F7064C" w:rsidRPr="0000532F" w:rsidRDefault="006A01F9" w:rsidP="00B30E7E">
            <w:pPr>
              <w:spacing w:after="0" w:line="240" w:lineRule="auto"/>
              <w:rPr>
                <w:rFonts w:eastAsia="Calibri"/>
                <w:sz w:val="20"/>
              </w:rPr>
            </w:pPr>
            <w:r w:rsidRPr="00B359E7">
              <w:rPr>
                <w:rFonts w:ascii="Calibri" w:eastAsia="Calibri" w:hAnsi="Calibri"/>
                <w:b/>
                <w:i/>
                <w:color w:val="000000"/>
                <w:sz w:val="18"/>
                <w:szCs w:val="18"/>
              </w:rPr>
              <w:t>Number of countries linked:</w:t>
            </w:r>
            <w:r>
              <w:rPr>
                <w:rFonts w:ascii="Calibri" w:eastAsia="Calibri" w:hAnsi="Calibri"/>
                <w:b/>
                <w:color w:val="000000"/>
                <w:sz w:val="18"/>
                <w:szCs w:val="18"/>
              </w:rPr>
              <w:t xml:space="preserve"> </w:t>
            </w:r>
            <w:r w:rsidR="00B30E7E">
              <w:rPr>
                <w:rFonts w:ascii="Calibri" w:eastAsia="Calibri" w:hAnsi="Calibri"/>
                <w:b/>
                <w:color w:val="000000"/>
                <w:sz w:val="18"/>
                <w:szCs w:val="18"/>
              </w:rPr>
              <w:t xml:space="preserve">35 </w:t>
            </w:r>
            <w:r>
              <w:rPr>
                <w:rFonts w:ascii="Calibri" w:eastAsia="Calibri" w:hAnsi="Calibri"/>
                <w:b/>
                <w:color w:val="000000"/>
                <w:sz w:val="18"/>
                <w:szCs w:val="18"/>
              </w:rPr>
              <w:t>(February 2015</w:t>
            </w:r>
            <w:r w:rsidRPr="00B359E7">
              <w:rPr>
                <w:rFonts w:ascii="Calibri" w:eastAsia="Calibri" w:hAnsi="Calibri"/>
                <w:b/>
                <w:color w:val="000000"/>
                <w:sz w:val="18"/>
                <w:szCs w:val="18"/>
              </w:rPr>
              <w:t>)</w:t>
            </w:r>
          </w:p>
        </w:tc>
        <w:tc>
          <w:tcPr>
            <w:tcW w:w="720" w:type="dxa"/>
            <w:vMerge w:val="restart"/>
            <w:tcBorders>
              <w:top w:val="single" w:sz="4" w:space="0" w:color="auto"/>
              <w:left w:val="single" w:sz="4" w:space="0" w:color="auto"/>
              <w:right w:val="single" w:sz="4" w:space="0" w:color="auto"/>
            </w:tcBorders>
            <w:shd w:val="clear" w:color="auto" w:fill="FFFFFF"/>
          </w:tcPr>
          <w:p w14:paraId="3472CF47" w14:textId="77777777" w:rsidR="00F7064C" w:rsidRPr="0000532F" w:rsidRDefault="00F7064C" w:rsidP="001A6E7D">
            <w:pPr>
              <w:spacing w:after="0" w:line="240" w:lineRule="auto"/>
              <w:rPr>
                <w:rFonts w:eastAsia="Calibri"/>
                <w:b/>
                <w:color w:val="000000"/>
                <w:sz w:val="20"/>
              </w:rPr>
            </w:pPr>
            <w:r w:rsidRPr="0000532F">
              <w:rPr>
                <w:rFonts w:eastAsia="Calibri"/>
                <w:b/>
                <w:color w:val="000000"/>
                <w:sz w:val="20"/>
              </w:rPr>
              <w:t>3.1.1</w:t>
            </w:r>
          </w:p>
        </w:tc>
        <w:tc>
          <w:tcPr>
            <w:tcW w:w="5490" w:type="dxa"/>
            <w:tcBorders>
              <w:top w:val="single" w:sz="4" w:space="0" w:color="auto"/>
              <w:left w:val="single" w:sz="4" w:space="0" w:color="auto"/>
              <w:bottom w:val="single" w:sz="4" w:space="0" w:color="auto"/>
              <w:right w:val="single" w:sz="4" w:space="0" w:color="auto"/>
            </w:tcBorders>
            <w:shd w:val="clear" w:color="auto" w:fill="FFFFFF"/>
          </w:tcPr>
          <w:p w14:paraId="33869642" w14:textId="77777777" w:rsidR="00F7064C" w:rsidRPr="00412C47" w:rsidRDefault="00F7064C" w:rsidP="001A6E7D">
            <w:pPr>
              <w:spacing w:after="0" w:line="240" w:lineRule="auto"/>
              <w:rPr>
                <w:sz w:val="20"/>
              </w:rPr>
            </w:pPr>
            <w:r w:rsidRPr="00412C47">
              <w:rPr>
                <w:b/>
                <w:sz w:val="20"/>
              </w:rPr>
              <w:t>Number of countries</w:t>
            </w:r>
            <w:r w:rsidRPr="00412C47">
              <w:rPr>
                <w:sz w:val="20"/>
              </w:rPr>
              <w:t xml:space="preserve"> where targets in national recovery plans related to restoring or strengthening core government functions have been met.</w:t>
            </w:r>
          </w:p>
          <w:p w14:paraId="4D3F360C" w14:textId="77777777" w:rsidR="00F7064C" w:rsidRPr="00412C47" w:rsidRDefault="00F7064C" w:rsidP="001A6E7D">
            <w:pPr>
              <w:spacing w:after="0" w:line="240" w:lineRule="auto"/>
              <w:rPr>
                <w:b/>
                <w:sz w:val="20"/>
              </w:rPr>
            </w:pPr>
            <w:r w:rsidRPr="00412C47">
              <w:rPr>
                <w:b/>
                <w:sz w:val="20"/>
              </w:rPr>
              <w:t>Targets related to restoring or strengthening:</w:t>
            </w:r>
          </w:p>
          <w:p w14:paraId="0D093C8F" w14:textId="05A13B7B" w:rsidR="00F7064C" w:rsidRPr="00412C47" w:rsidRDefault="00F7064C" w:rsidP="001A6E7D">
            <w:pPr>
              <w:spacing w:after="0" w:line="240" w:lineRule="auto"/>
              <w:rPr>
                <w:sz w:val="20"/>
              </w:rPr>
            </w:pPr>
            <w:r w:rsidRPr="00412C47">
              <w:rPr>
                <w:sz w:val="20"/>
              </w:rPr>
              <w:t>a) Policy formulation and public financial management</w:t>
            </w:r>
          </w:p>
          <w:p w14:paraId="3664F764" w14:textId="0A980916" w:rsidR="00F7064C" w:rsidRPr="00412C47" w:rsidRDefault="00F7064C" w:rsidP="001A6E7D">
            <w:pPr>
              <w:spacing w:after="0" w:line="240" w:lineRule="auto"/>
              <w:rPr>
                <w:sz w:val="20"/>
              </w:rPr>
            </w:pPr>
            <w:r w:rsidRPr="00412C47">
              <w:rPr>
                <w:sz w:val="20"/>
              </w:rPr>
              <w:t>b) Man</w:t>
            </w:r>
            <w:r w:rsidR="007E66CF" w:rsidRPr="00412C47">
              <w:rPr>
                <w:sz w:val="20"/>
              </w:rPr>
              <w:t>aging the center of government</w:t>
            </w:r>
          </w:p>
          <w:p w14:paraId="5A738F11" w14:textId="6F2A82B2" w:rsidR="00F7064C" w:rsidRPr="00412C47" w:rsidRDefault="007E66CF" w:rsidP="001A6E7D">
            <w:pPr>
              <w:spacing w:after="0" w:line="240" w:lineRule="auto"/>
              <w:rPr>
                <w:sz w:val="20"/>
              </w:rPr>
            </w:pPr>
            <w:r w:rsidRPr="00412C47">
              <w:rPr>
                <w:sz w:val="20"/>
              </w:rPr>
              <w:t xml:space="preserve">c) Civil service management </w:t>
            </w:r>
          </w:p>
          <w:p w14:paraId="1E4473EB" w14:textId="4C388933" w:rsidR="00F7064C" w:rsidRPr="00412C47" w:rsidRDefault="007E66CF" w:rsidP="001A6E7D">
            <w:pPr>
              <w:spacing w:after="0" w:line="240" w:lineRule="auto"/>
              <w:rPr>
                <w:sz w:val="20"/>
              </w:rPr>
            </w:pPr>
            <w:r w:rsidRPr="00412C47">
              <w:rPr>
                <w:sz w:val="20"/>
              </w:rPr>
              <w:t xml:space="preserve">d) Local governance </w:t>
            </w:r>
          </w:p>
          <w:p w14:paraId="21F64E5E" w14:textId="77777777" w:rsidR="008376B6" w:rsidRPr="00412C47" w:rsidRDefault="008376B6" w:rsidP="007E66CF">
            <w:pPr>
              <w:spacing w:after="0" w:line="240" w:lineRule="auto"/>
              <w:rPr>
                <w:sz w:val="20"/>
              </w:rPr>
            </w:pPr>
            <w:r w:rsidRPr="00412C47">
              <w:rPr>
                <w:sz w:val="20"/>
              </w:rPr>
              <w:t>e) Aid coordination</w:t>
            </w:r>
          </w:p>
          <w:p w14:paraId="431FB1B2" w14:textId="0906BA55" w:rsidR="008376B6" w:rsidRPr="00412C47" w:rsidRDefault="008376B6" w:rsidP="00F3479C">
            <w:pPr>
              <w:spacing w:before="240" w:after="0" w:line="240" w:lineRule="auto"/>
              <w:rPr>
                <w:sz w:val="20"/>
              </w:rPr>
            </w:pPr>
            <w:r w:rsidRPr="00412C47">
              <w:rPr>
                <w:rFonts w:eastAsia="Calibri"/>
                <w:b/>
                <w:i/>
                <w:sz w:val="18"/>
                <w:szCs w:val="18"/>
              </w:rPr>
              <w:t xml:space="preserve">Number of countries </w:t>
            </w:r>
            <w:r w:rsidR="00983FF8" w:rsidRPr="00412C47">
              <w:rPr>
                <w:rFonts w:eastAsia="Calibri"/>
                <w:b/>
                <w:i/>
                <w:sz w:val="18"/>
                <w:szCs w:val="18"/>
              </w:rPr>
              <w:t>for which a 2017 target has currently been set under this indicator</w:t>
            </w:r>
            <w:r w:rsidR="00F3479C" w:rsidRPr="00412C47">
              <w:rPr>
                <w:rFonts w:eastAsia="Calibri"/>
                <w:b/>
                <w:i/>
                <w:sz w:val="18"/>
                <w:szCs w:val="18"/>
              </w:rPr>
              <w:t>: 20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015E917A" w14:textId="77777777" w:rsidR="00F7064C" w:rsidRDefault="00F7064C" w:rsidP="0081601F">
            <w:pPr>
              <w:spacing w:after="0" w:line="240" w:lineRule="auto"/>
              <w:jc w:val="center"/>
              <w:rPr>
                <w:rFonts w:eastAsia="Calibri"/>
                <w:sz w:val="20"/>
              </w:rPr>
            </w:pPr>
          </w:p>
          <w:p w14:paraId="23FF9C6F" w14:textId="77777777" w:rsidR="00F7064C" w:rsidRDefault="00F7064C" w:rsidP="0081601F">
            <w:pPr>
              <w:spacing w:after="0" w:line="240" w:lineRule="auto"/>
              <w:jc w:val="center"/>
              <w:rPr>
                <w:rFonts w:eastAsia="Calibri"/>
                <w:sz w:val="20"/>
              </w:rPr>
            </w:pPr>
          </w:p>
          <w:p w14:paraId="20212120" w14:textId="77777777" w:rsidR="00F7064C" w:rsidRDefault="00F7064C" w:rsidP="0081601F">
            <w:pPr>
              <w:spacing w:after="0" w:line="240" w:lineRule="auto"/>
              <w:jc w:val="center"/>
              <w:rPr>
                <w:rFonts w:eastAsia="Calibri"/>
                <w:sz w:val="20"/>
              </w:rPr>
            </w:pPr>
          </w:p>
          <w:p w14:paraId="105239F3" w14:textId="77777777" w:rsidR="005026C6" w:rsidRDefault="005026C6" w:rsidP="0081601F">
            <w:pPr>
              <w:spacing w:after="0" w:line="240" w:lineRule="auto"/>
              <w:jc w:val="center"/>
              <w:rPr>
                <w:rFonts w:eastAsia="Calibri"/>
                <w:sz w:val="20"/>
              </w:rPr>
            </w:pPr>
          </w:p>
          <w:p w14:paraId="57B87247" w14:textId="31F1478A" w:rsidR="00F7064C" w:rsidRDefault="005026C6" w:rsidP="005026C6">
            <w:pPr>
              <w:spacing w:after="0" w:line="240" w:lineRule="auto"/>
              <w:jc w:val="center"/>
              <w:rPr>
                <w:rFonts w:eastAsia="Calibri"/>
                <w:sz w:val="20"/>
              </w:rPr>
            </w:pPr>
            <w:r>
              <w:rPr>
                <w:rFonts w:eastAsia="Calibri"/>
                <w:sz w:val="20"/>
              </w:rPr>
              <w:t>1</w:t>
            </w:r>
          </w:p>
          <w:p w14:paraId="5A04DF93" w14:textId="77777777" w:rsidR="00F7064C" w:rsidRDefault="00F7064C" w:rsidP="0081601F">
            <w:pPr>
              <w:spacing w:after="0" w:line="240" w:lineRule="auto"/>
              <w:jc w:val="center"/>
              <w:rPr>
                <w:rFonts w:eastAsia="Calibri"/>
                <w:sz w:val="20"/>
              </w:rPr>
            </w:pPr>
            <w:r>
              <w:rPr>
                <w:rFonts w:eastAsia="Calibri"/>
                <w:sz w:val="20"/>
              </w:rPr>
              <w:t>1</w:t>
            </w:r>
          </w:p>
          <w:p w14:paraId="08020164" w14:textId="3AAF3B7C" w:rsidR="00F7064C" w:rsidRDefault="00F7064C" w:rsidP="0081601F">
            <w:pPr>
              <w:spacing w:after="0" w:line="240" w:lineRule="auto"/>
              <w:jc w:val="center"/>
              <w:rPr>
                <w:rFonts w:eastAsia="Calibri"/>
                <w:sz w:val="20"/>
              </w:rPr>
            </w:pPr>
            <w:r>
              <w:rPr>
                <w:rFonts w:eastAsia="Calibri"/>
                <w:sz w:val="20"/>
              </w:rPr>
              <w:t>2</w:t>
            </w:r>
          </w:p>
          <w:p w14:paraId="4FFC1DE3" w14:textId="77777777" w:rsidR="00F7064C" w:rsidRDefault="00F7064C" w:rsidP="0081601F">
            <w:pPr>
              <w:spacing w:after="0" w:line="240" w:lineRule="auto"/>
              <w:jc w:val="center"/>
              <w:rPr>
                <w:rFonts w:eastAsia="Calibri"/>
                <w:sz w:val="20"/>
              </w:rPr>
            </w:pPr>
            <w:r>
              <w:rPr>
                <w:rFonts w:eastAsia="Calibri"/>
                <w:sz w:val="20"/>
              </w:rPr>
              <w:t>0</w:t>
            </w:r>
          </w:p>
          <w:p w14:paraId="16136F06" w14:textId="02952142" w:rsidR="00F7064C" w:rsidRPr="0000532F" w:rsidRDefault="00191676" w:rsidP="0081601F">
            <w:pPr>
              <w:spacing w:after="0" w:line="240" w:lineRule="auto"/>
              <w:jc w:val="center"/>
              <w:rPr>
                <w:rFonts w:eastAsia="Calibri"/>
                <w:sz w:val="20"/>
              </w:rPr>
            </w:pPr>
            <w:r>
              <w:rPr>
                <w:rFonts w:eastAsia="Calibri"/>
                <w:sz w:val="20"/>
              </w:rPr>
              <w:t>2</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0296FFB1" w14:textId="77777777" w:rsidR="00F7064C" w:rsidRDefault="00F7064C" w:rsidP="0081601F">
            <w:pPr>
              <w:spacing w:after="0" w:line="240" w:lineRule="auto"/>
              <w:jc w:val="center"/>
              <w:rPr>
                <w:rFonts w:eastAsia="Calibri"/>
                <w:sz w:val="20"/>
              </w:rPr>
            </w:pPr>
          </w:p>
          <w:p w14:paraId="75DBD9DA" w14:textId="77777777" w:rsidR="00F7064C" w:rsidRDefault="00F7064C" w:rsidP="0081601F">
            <w:pPr>
              <w:spacing w:after="0" w:line="240" w:lineRule="auto"/>
              <w:jc w:val="center"/>
              <w:rPr>
                <w:rFonts w:eastAsia="Calibri"/>
                <w:sz w:val="20"/>
              </w:rPr>
            </w:pPr>
          </w:p>
          <w:p w14:paraId="0032C564" w14:textId="77777777" w:rsidR="00F7064C" w:rsidRDefault="00F7064C" w:rsidP="0081601F">
            <w:pPr>
              <w:spacing w:after="0" w:line="240" w:lineRule="auto"/>
              <w:jc w:val="center"/>
              <w:rPr>
                <w:rFonts w:eastAsia="Calibri"/>
                <w:sz w:val="20"/>
              </w:rPr>
            </w:pPr>
          </w:p>
          <w:p w14:paraId="52A25FE5" w14:textId="77777777" w:rsidR="005026C6" w:rsidRDefault="005026C6" w:rsidP="0081601F">
            <w:pPr>
              <w:spacing w:after="0" w:line="240" w:lineRule="auto"/>
              <w:jc w:val="center"/>
              <w:rPr>
                <w:rFonts w:eastAsia="Calibri"/>
                <w:sz w:val="20"/>
              </w:rPr>
            </w:pPr>
          </w:p>
          <w:p w14:paraId="2EF7CB35" w14:textId="3D85D753" w:rsidR="00F7064C" w:rsidRDefault="005026C6" w:rsidP="005026C6">
            <w:pPr>
              <w:spacing w:after="0" w:line="240" w:lineRule="auto"/>
              <w:jc w:val="center"/>
              <w:rPr>
                <w:rFonts w:eastAsia="Calibri"/>
                <w:sz w:val="20"/>
              </w:rPr>
            </w:pPr>
            <w:r>
              <w:rPr>
                <w:rFonts w:eastAsia="Calibri"/>
                <w:sz w:val="20"/>
              </w:rPr>
              <w:t>2</w:t>
            </w:r>
          </w:p>
          <w:p w14:paraId="733B8884" w14:textId="77777777" w:rsidR="00F7064C" w:rsidRDefault="00F7064C" w:rsidP="0081601F">
            <w:pPr>
              <w:spacing w:after="0" w:line="240" w:lineRule="auto"/>
              <w:jc w:val="center"/>
              <w:rPr>
                <w:rFonts w:eastAsia="Calibri"/>
                <w:sz w:val="20"/>
              </w:rPr>
            </w:pPr>
            <w:r>
              <w:rPr>
                <w:rFonts w:eastAsia="Calibri"/>
                <w:sz w:val="20"/>
              </w:rPr>
              <w:t>3</w:t>
            </w:r>
          </w:p>
          <w:p w14:paraId="4DF12F1B" w14:textId="77777777" w:rsidR="00F7064C" w:rsidRDefault="00F7064C" w:rsidP="0081601F">
            <w:pPr>
              <w:spacing w:after="0" w:line="240" w:lineRule="auto"/>
              <w:jc w:val="center"/>
              <w:rPr>
                <w:rFonts w:eastAsia="Calibri"/>
                <w:sz w:val="20"/>
              </w:rPr>
            </w:pPr>
            <w:r>
              <w:rPr>
                <w:rFonts w:eastAsia="Calibri"/>
                <w:sz w:val="20"/>
              </w:rPr>
              <w:t>3</w:t>
            </w:r>
          </w:p>
          <w:p w14:paraId="38A90217" w14:textId="77777777" w:rsidR="00F7064C" w:rsidRDefault="00F7064C" w:rsidP="0081601F">
            <w:pPr>
              <w:spacing w:after="0" w:line="240" w:lineRule="auto"/>
              <w:jc w:val="center"/>
              <w:rPr>
                <w:rFonts w:eastAsia="Calibri"/>
                <w:sz w:val="20"/>
              </w:rPr>
            </w:pPr>
            <w:r>
              <w:rPr>
                <w:rFonts w:eastAsia="Calibri"/>
                <w:sz w:val="20"/>
              </w:rPr>
              <w:t>3</w:t>
            </w:r>
          </w:p>
          <w:p w14:paraId="46C1F9AE" w14:textId="69C6C8C2" w:rsidR="00F7064C" w:rsidRPr="0000532F" w:rsidRDefault="00191676" w:rsidP="0081601F">
            <w:pPr>
              <w:spacing w:after="0" w:line="240" w:lineRule="auto"/>
              <w:jc w:val="center"/>
              <w:rPr>
                <w:rFonts w:eastAsia="Calibri"/>
                <w:sz w:val="20"/>
              </w:rPr>
            </w:pPr>
            <w:r>
              <w:rPr>
                <w:rFonts w:eastAsia="Calibri"/>
                <w:sz w:val="20"/>
              </w:rPr>
              <w:t>7</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1A947370" w14:textId="7CAE092E" w:rsidR="00F7064C" w:rsidRDefault="00F7064C" w:rsidP="0081601F">
            <w:pPr>
              <w:spacing w:after="0" w:line="240" w:lineRule="auto"/>
              <w:jc w:val="center"/>
              <w:rPr>
                <w:rFonts w:eastAsia="Calibri"/>
                <w:sz w:val="20"/>
              </w:rPr>
            </w:pPr>
          </w:p>
          <w:p w14:paraId="193C18B8" w14:textId="77777777" w:rsidR="00F7064C" w:rsidRDefault="00F7064C" w:rsidP="0081601F">
            <w:pPr>
              <w:spacing w:after="0" w:line="240" w:lineRule="auto"/>
              <w:jc w:val="center"/>
              <w:rPr>
                <w:rFonts w:eastAsia="Calibri"/>
                <w:sz w:val="20"/>
              </w:rPr>
            </w:pPr>
          </w:p>
          <w:p w14:paraId="463E9735" w14:textId="77777777" w:rsidR="00F7064C" w:rsidRDefault="00F7064C" w:rsidP="0081601F">
            <w:pPr>
              <w:spacing w:after="0" w:line="240" w:lineRule="auto"/>
              <w:jc w:val="center"/>
              <w:rPr>
                <w:rFonts w:eastAsia="Calibri"/>
                <w:sz w:val="20"/>
              </w:rPr>
            </w:pPr>
          </w:p>
          <w:p w14:paraId="07583685" w14:textId="77777777" w:rsidR="005026C6" w:rsidRDefault="005026C6" w:rsidP="0081601F">
            <w:pPr>
              <w:spacing w:after="0" w:line="240" w:lineRule="auto"/>
              <w:jc w:val="center"/>
              <w:rPr>
                <w:rFonts w:eastAsia="Calibri"/>
                <w:sz w:val="20"/>
              </w:rPr>
            </w:pPr>
          </w:p>
          <w:p w14:paraId="3A45BEBD" w14:textId="1991BEFA" w:rsidR="005026C6" w:rsidRDefault="005026C6" w:rsidP="005026C6">
            <w:pPr>
              <w:spacing w:after="0" w:line="240" w:lineRule="auto"/>
              <w:jc w:val="center"/>
              <w:rPr>
                <w:rFonts w:eastAsia="Calibri"/>
                <w:sz w:val="20"/>
              </w:rPr>
            </w:pPr>
            <w:r>
              <w:rPr>
                <w:rFonts w:eastAsia="Calibri"/>
                <w:sz w:val="20"/>
              </w:rPr>
              <w:t>5</w:t>
            </w:r>
          </w:p>
          <w:p w14:paraId="19170836" w14:textId="77777777" w:rsidR="004C0EBA" w:rsidRDefault="004C0EBA" w:rsidP="0081601F">
            <w:pPr>
              <w:spacing w:after="0" w:line="240" w:lineRule="auto"/>
              <w:jc w:val="center"/>
              <w:rPr>
                <w:rFonts w:eastAsia="Calibri"/>
                <w:sz w:val="20"/>
              </w:rPr>
            </w:pPr>
            <w:r>
              <w:rPr>
                <w:rFonts w:eastAsia="Calibri"/>
                <w:sz w:val="20"/>
              </w:rPr>
              <w:t>3</w:t>
            </w:r>
          </w:p>
          <w:p w14:paraId="351661DF" w14:textId="77777777" w:rsidR="004C0EBA" w:rsidRDefault="004C0EBA" w:rsidP="0081601F">
            <w:pPr>
              <w:spacing w:after="0" w:line="240" w:lineRule="auto"/>
              <w:jc w:val="center"/>
              <w:rPr>
                <w:rFonts w:eastAsia="Calibri"/>
                <w:sz w:val="20"/>
              </w:rPr>
            </w:pPr>
            <w:r>
              <w:rPr>
                <w:rFonts w:eastAsia="Calibri"/>
                <w:sz w:val="20"/>
              </w:rPr>
              <w:t>4</w:t>
            </w:r>
          </w:p>
          <w:p w14:paraId="6CD31366" w14:textId="77777777" w:rsidR="004C0EBA" w:rsidRDefault="004C0EBA" w:rsidP="0081601F">
            <w:pPr>
              <w:spacing w:after="0" w:line="240" w:lineRule="auto"/>
              <w:jc w:val="center"/>
              <w:rPr>
                <w:rFonts w:eastAsia="Calibri"/>
                <w:sz w:val="20"/>
              </w:rPr>
            </w:pPr>
            <w:r>
              <w:rPr>
                <w:rFonts w:eastAsia="Calibri"/>
                <w:sz w:val="20"/>
              </w:rPr>
              <w:t>3</w:t>
            </w:r>
          </w:p>
          <w:p w14:paraId="5590A535" w14:textId="18C0BF13" w:rsidR="004C0EBA" w:rsidRPr="0000532F" w:rsidRDefault="004C0EBA" w:rsidP="0081601F">
            <w:pPr>
              <w:spacing w:after="0" w:line="240" w:lineRule="auto"/>
              <w:jc w:val="center"/>
              <w:rPr>
                <w:rFonts w:eastAsia="Calibri"/>
                <w:sz w:val="20"/>
              </w:rPr>
            </w:pPr>
            <w:r>
              <w:rPr>
                <w:rFonts w:eastAsia="Calibri"/>
                <w:sz w:val="20"/>
              </w:rPr>
              <w:t>6</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E89AF35" w14:textId="77777777" w:rsidR="00F7064C" w:rsidRDefault="00F7064C" w:rsidP="0081601F">
            <w:pPr>
              <w:spacing w:after="0" w:line="240" w:lineRule="auto"/>
              <w:jc w:val="center"/>
              <w:rPr>
                <w:rFonts w:eastAsia="Calibri"/>
                <w:sz w:val="20"/>
              </w:rPr>
            </w:pPr>
          </w:p>
          <w:p w14:paraId="23134897" w14:textId="77777777" w:rsidR="00F7064C" w:rsidRDefault="00F7064C" w:rsidP="0081601F">
            <w:pPr>
              <w:spacing w:after="0" w:line="240" w:lineRule="auto"/>
              <w:jc w:val="center"/>
              <w:rPr>
                <w:rFonts w:eastAsia="Calibri"/>
                <w:sz w:val="20"/>
              </w:rPr>
            </w:pPr>
          </w:p>
          <w:p w14:paraId="35D49582" w14:textId="77777777" w:rsidR="00F7064C" w:rsidRDefault="00F7064C" w:rsidP="0081601F">
            <w:pPr>
              <w:spacing w:after="0" w:line="240" w:lineRule="auto"/>
              <w:jc w:val="center"/>
              <w:rPr>
                <w:rFonts w:eastAsia="Calibri"/>
                <w:sz w:val="20"/>
              </w:rPr>
            </w:pPr>
          </w:p>
          <w:p w14:paraId="7B42E978" w14:textId="77777777" w:rsidR="005026C6" w:rsidRDefault="005026C6" w:rsidP="0081601F">
            <w:pPr>
              <w:spacing w:after="0" w:line="240" w:lineRule="auto"/>
              <w:jc w:val="center"/>
              <w:rPr>
                <w:rFonts w:eastAsia="Calibri"/>
                <w:sz w:val="20"/>
              </w:rPr>
            </w:pPr>
          </w:p>
          <w:p w14:paraId="224AE7E1" w14:textId="1A8C82CF" w:rsidR="00F7064C" w:rsidRDefault="00EE15B9" w:rsidP="005026C6">
            <w:pPr>
              <w:spacing w:after="0" w:line="240" w:lineRule="auto"/>
              <w:jc w:val="center"/>
              <w:rPr>
                <w:rFonts w:eastAsia="Calibri"/>
                <w:sz w:val="20"/>
              </w:rPr>
            </w:pPr>
            <w:r>
              <w:rPr>
                <w:rFonts w:eastAsia="Calibri"/>
                <w:sz w:val="20"/>
              </w:rPr>
              <w:t>13</w:t>
            </w:r>
          </w:p>
          <w:p w14:paraId="2EAE5564" w14:textId="0A70BF57" w:rsidR="00F7064C" w:rsidRDefault="00EE15B9" w:rsidP="0081601F">
            <w:pPr>
              <w:spacing w:after="0" w:line="240" w:lineRule="auto"/>
              <w:jc w:val="center"/>
              <w:rPr>
                <w:rFonts w:eastAsia="Calibri"/>
                <w:sz w:val="20"/>
              </w:rPr>
            </w:pPr>
            <w:r>
              <w:rPr>
                <w:rFonts w:eastAsia="Calibri"/>
                <w:sz w:val="20"/>
              </w:rPr>
              <w:t>15</w:t>
            </w:r>
          </w:p>
          <w:p w14:paraId="710EAF12" w14:textId="38145F60" w:rsidR="00F7064C" w:rsidRDefault="00EE15B9" w:rsidP="0081601F">
            <w:pPr>
              <w:spacing w:after="0" w:line="240" w:lineRule="auto"/>
              <w:jc w:val="center"/>
              <w:rPr>
                <w:rFonts w:eastAsia="Calibri"/>
                <w:sz w:val="20"/>
              </w:rPr>
            </w:pPr>
            <w:r>
              <w:rPr>
                <w:rFonts w:eastAsia="Calibri"/>
                <w:sz w:val="20"/>
              </w:rPr>
              <w:t>13</w:t>
            </w:r>
          </w:p>
          <w:p w14:paraId="5B5F4C42" w14:textId="72C03985" w:rsidR="00F7064C" w:rsidRDefault="00EE15B9" w:rsidP="0081601F">
            <w:pPr>
              <w:spacing w:after="0" w:line="240" w:lineRule="auto"/>
              <w:jc w:val="center"/>
              <w:rPr>
                <w:rFonts w:eastAsia="Calibri"/>
                <w:sz w:val="20"/>
              </w:rPr>
            </w:pPr>
            <w:r>
              <w:rPr>
                <w:rFonts w:eastAsia="Calibri"/>
                <w:sz w:val="20"/>
              </w:rPr>
              <w:t>12</w:t>
            </w:r>
          </w:p>
          <w:p w14:paraId="71FD7097" w14:textId="616A79AD" w:rsidR="00F7064C" w:rsidRPr="0000532F" w:rsidRDefault="00EE15B9" w:rsidP="0081601F">
            <w:pPr>
              <w:spacing w:after="0" w:line="240" w:lineRule="auto"/>
              <w:jc w:val="center"/>
              <w:rPr>
                <w:rFonts w:eastAsia="Calibri"/>
                <w:sz w:val="20"/>
              </w:rPr>
            </w:pPr>
            <w:r>
              <w:rPr>
                <w:rFonts w:eastAsia="Calibri"/>
                <w:sz w:val="20"/>
              </w:rPr>
              <w:t>16</w:t>
            </w:r>
          </w:p>
        </w:tc>
      </w:tr>
      <w:tr w:rsidR="002E7E06" w:rsidRPr="00A47C48" w14:paraId="0FF96B33" w14:textId="77777777" w:rsidTr="00E869D0">
        <w:trPr>
          <w:trHeight w:val="332"/>
          <w:jc w:val="center"/>
        </w:trPr>
        <w:tc>
          <w:tcPr>
            <w:tcW w:w="3145" w:type="dxa"/>
            <w:vMerge/>
            <w:tcBorders>
              <w:left w:val="single" w:sz="4" w:space="0" w:color="auto"/>
              <w:bottom w:val="single" w:sz="4" w:space="0" w:color="auto"/>
              <w:right w:val="single" w:sz="4" w:space="0" w:color="auto"/>
            </w:tcBorders>
            <w:shd w:val="clear" w:color="auto" w:fill="FFFFFF"/>
          </w:tcPr>
          <w:p w14:paraId="6C9C1DE1" w14:textId="0129270C" w:rsidR="002E7E06" w:rsidRPr="0000532F" w:rsidRDefault="002E7E06" w:rsidP="001A6E7D">
            <w:pPr>
              <w:spacing w:after="0" w:line="240" w:lineRule="auto"/>
              <w:rPr>
                <w:rFonts w:eastAsia="Calibri"/>
                <w:b/>
                <w:sz w:val="20"/>
              </w:rPr>
            </w:pPr>
          </w:p>
        </w:tc>
        <w:tc>
          <w:tcPr>
            <w:tcW w:w="720" w:type="dxa"/>
            <w:vMerge/>
            <w:tcBorders>
              <w:left w:val="single" w:sz="4" w:space="0" w:color="auto"/>
              <w:bottom w:val="single" w:sz="4" w:space="0" w:color="auto"/>
              <w:right w:val="single" w:sz="4" w:space="0" w:color="auto"/>
            </w:tcBorders>
            <w:shd w:val="clear" w:color="auto" w:fill="FFFFFF"/>
          </w:tcPr>
          <w:p w14:paraId="3C334211" w14:textId="77777777" w:rsidR="002E7E06" w:rsidRPr="0000532F" w:rsidRDefault="002E7E06" w:rsidP="001A6E7D">
            <w:pPr>
              <w:spacing w:after="0" w:line="240" w:lineRule="auto"/>
              <w:rPr>
                <w:rFonts w:eastAsia="Calibri"/>
                <w:b/>
                <w:color w:val="000000"/>
                <w:sz w:val="20"/>
              </w:rPr>
            </w:pPr>
          </w:p>
        </w:tc>
        <w:tc>
          <w:tcPr>
            <w:tcW w:w="11160" w:type="dxa"/>
            <w:gridSpan w:val="5"/>
            <w:tcBorders>
              <w:left w:val="single" w:sz="4" w:space="0" w:color="auto"/>
              <w:bottom w:val="single" w:sz="4" w:space="0" w:color="auto"/>
              <w:right w:val="single" w:sz="4" w:space="0" w:color="auto"/>
            </w:tcBorders>
            <w:shd w:val="clear" w:color="auto" w:fill="D9D9D9" w:themeFill="background1" w:themeFillShade="D9"/>
          </w:tcPr>
          <w:p w14:paraId="7D2F9EE8" w14:textId="501D7F9E" w:rsidR="004C0EBA" w:rsidRPr="00412C47" w:rsidRDefault="002E7E06" w:rsidP="004C0EBA">
            <w:pPr>
              <w:spacing w:after="0" w:line="240" w:lineRule="auto"/>
              <w:rPr>
                <w:rFonts w:ascii="Calibri" w:eastAsia="Calibri" w:hAnsi="Calibri"/>
                <w:sz w:val="18"/>
                <w:szCs w:val="18"/>
              </w:rPr>
            </w:pPr>
            <w:r w:rsidRPr="00412C47">
              <w:rPr>
                <w:rFonts w:ascii="Calibri" w:eastAsia="Calibri" w:hAnsi="Calibri" w:cs="Times New Roman"/>
                <w:b/>
                <w:sz w:val="18"/>
                <w:szCs w:val="18"/>
                <w:lang w:eastAsia="en-US"/>
              </w:rPr>
              <w:t xml:space="preserve">Indicator 3.1.1 Note: </w:t>
            </w:r>
            <w:r w:rsidRPr="00412C47">
              <w:rPr>
                <w:rFonts w:ascii="Calibri" w:eastAsia="Calibri" w:hAnsi="Calibri"/>
                <w:sz w:val="18"/>
                <w:szCs w:val="18"/>
              </w:rPr>
              <w:t xml:space="preserve">Qualitative indicator through which effectiveness of UNDP’s support (on demand </w:t>
            </w:r>
            <w:r w:rsidRPr="00412C47">
              <w:rPr>
                <w:sz w:val="18"/>
                <w:szCs w:val="18"/>
              </w:rPr>
              <w:t>from programme countries</w:t>
            </w:r>
            <w:r w:rsidRPr="00412C47">
              <w:rPr>
                <w:rFonts w:ascii="Calibri" w:eastAsia="Calibri" w:hAnsi="Calibri"/>
                <w:sz w:val="18"/>
                <w:szCs w:val="18"/>
              </w:rPr>
              <w:t>)</w:t>
            </w:r>
            <w:r w:rsidRPr="00412C47">
              <w:rPr>
                <w:sz w:val="18"/>
                <w:szCs w:val="18"/>
              </w:rPr>
              <w:t xml:space="preserve"> to</w:t>
            </w:r>
            <w:r w:rsidRPr="00412C47">
              <w:rPr>
                <w:rFonts w:eastAsia="Calibri"/>
                <w:sz w:val="18"/>
                <w:szCs w:val="18"/>
              </w:rPr>
              <w:t xml:space="preserve"> meet targets in national recovery plans related to</w:t>
            </w:r>
            <w:r w:rsidRPr="00412C47">
              <w:rPr>
                <w:sz w:val="18"/>
                <w:szCs w:val="18"/>
              </w:rPr>
              <w:t xml:space="preserve"> restoring or strengthening </w:t>
            </w:r>
            <w:r w:rsidRPr="00412C47">
              <w:rPr>
                <w:rFonts w:eastAsia="Calibri"/>
                <w:sz w:val="18"/>
                <w:szCs w:val="18"/>
              </w:rPr>
              <w:t>a) Policy formulation and public financial management, b) Managing the center of government, c) Civil service management, d) Local governance and/or e) Aid coordination,</w:t>
            </w:r>
            <w:r w:rsidRPr="00412C47">
              <w:rPr>
                <w:rFonts w:ascii="Calibri" w:eastAsia="Calibri" w:hAnsi="Calibri"/>
                <w:sz w:val="18"/>
                <w:szCs w:val="18"/>
              </w:rPr>
              <w:t xml:space="preserve"> is </w:t>
            </w:r>
            <w:r w:rsidRPr="00412C47">
              <w:rPr>
                <w:rFonts w:eastAsia="Calibri"/>
                <w:sz w:val="18"/>
                <w:szCs w:val="18"/>
              </w:rPr>
              <w:t xml:space="preserve">tracked using a qualitative rating scale (1= targets not adequately developed, 2= targets met very partially, 3= targets partially met, and 4= targets largely met), counting the number of countries where </w:t>
            </w:r>
            <w:r w:rsidR="00A10A47" w:rsidRPr="00412C47">
              <w:rPr>
                <w:rFonts w:eastAsia="Calibri"/>
                <w:sz w:val="18"/>
                <w:szCs w:val="18"/>
              </w:rPr>
              <w:t xml:space="preserve">there is objective evidence that </w:t>
            </w:r>
            <w:r w:rsidRPr="00412C47">
              <w:rPr>
                <w:rFonts w:eastAsia="Calibri"/>
                <w:sz w:val="18"/>
                <w:szCs w:val="18"/>
              </w:rPr>
              <w:t xml:space="preserve">targets related to UNDP-supported functions have been at least partially met </w:t>
            </w:r>
            <w:r w:rsidRPr="00412C47">
              <w:rPr>
                <w:rFonts w:ascii="Calibri" w:eastAsia="Calibri" w:hAnsi="Calibri"/>
                <w:sz w:val="18"/>
                <w:szCs w:val="18"/>
              </w:rPr>
              <w:t>from January 2014 onwards.</w:t>
            </w:r>
            <w:r w:rsidR="0039754A" w:rsidRPr="00412C47">
              <w:rPr>
                <w:rFonts w:ascii="Calibri" w:eastAsia="Calibri" w:hAnsi="Calibri"/>
                <w:sz w:val="18"/>
                <w:szCs w:val="18"/>
              </w:rPr>
              <w:t xml:space="preserve"> </w:t>
            </w:r>
          </w:p>
          <w:p w14:paraId="157A4D6F" w14:textId="54AC5CAC" w:rsidR="002E7E06" w:rsidRPr="00412C47" w:rsidRDefault="004C0EBA" w:rsidP="00472C91">
            <w:pPr>
              <w:spacing w:after="0" w:line="240" w:lineRule="auto"/>
              <w:rPr>
                <w:rFonts w:ascii="Calibri" w:eastAsia="Calibri" w:hAnsi="Calibri"/>
                <w:sz w:val="18"/>
                <w:szCs w:val="18"/>
              </w:rPr>
            </w:pPr>
            <w:r w:rsidRPr="00412C47">
              <w:rPr>
                <w:rFonts w:ascii="Calibri" w:eastAsia="Calibri" w:hAnsi="Calibri"/>
                <w:b/>
                <w:sz w:val="18"/>
                <w:szCs w:val="18"/>
              </w:rPr>
              <w:t>2014 Reporting Note:</w:t>
            </w:r>
            <w:r w:rsidRPr="00412C47">
              <w:rPr>
                <w:rFonts w:ascii="Calibri" w:eastAsia="Calibri" w:hAnsi="Calibri"/>
                <w:sz w:val="18"/>
                <w:szCs w:val="18"/>
              </w:rPr>
              <w:t xml:space="preserve"> </w:t>
            </w:r>
            <w:r w:rsidR="00AA2673" w:rsidRPr="00412C47">
              <w:rPr>
                <w:rFonts w:ascii="Calibri" w:eastAsia="Calibri" w:hAnsi="Calibri"/>
                <w:sz w:val="18"/>
                <w:szCs w:val="18"/>
              </w:rPr>
              <w:t>Baseline</w:t>
            </w:r>
            <w:r w:rsidR="00472C91" w:rsidRPr="00412C47">
              <w:rPr>
                <w:rFonts w:ascii="Calibri" w:eastAsia="Calibri" w:hAnsi="Calibri"/>
                <w:sz w:val="18"/>
                <w:szCs w:val="18"/>
              </w:rPr>
              <w:t xml:space="preserve"> and 2014 m</w:t>
            </w:r>
            <w:r w:rsidR="00AA2673" w:rsidRPr="00412C47">
              <w:rPr>
                <w:rFonts w:ascii="Calibri" w:eastAsia="Calibri" w:hAnsi="Calibri"/>
                <w:sz w:val="18"/>
                <w:szCs w:val="18"/>
              </w:rPr>
              <w:t>ilestone</w:t>
            </w:r>
            <w:r w:rsidRPr="00412C47">
              <w:rPr>
                <w:rFonts w:ascii="Calibri" w:eastAsia="Calibri" w:hAnsi="Calibri"/>
                <w:sz w:val="18"/>
                <w:szCs w:val="18"/>
              </w:rPr>
              <w:t xml:space="preserve"> for component (e)</w:t>
            </w:r>
            <w:r w:rsidR="00472C91" w:rsidRPr="00412C47">
              <w:rPr>
                <w:rFonts w:ascii="Calibri" w:eastAsia="Calibri" w:hAnsi="Calibri"/>
                <w:sz w:val="18"/>
                <w:szCs w:val="18"/>
              </w:rPr>
              <w:t>, and 2017 targets for all components, were</w:t>
            </w:r>
            <w:r w:rsidR="00AA2673" w:rsidRPr="00412C47">
              <w:rPr>
                <w:rFonts w:ascii="Calibri" w:eastAsia="Calibri" w:hAnsi="Calibri"/>
                <w:sz w:val="18"/>
                <w:szCs w:val="18"/>
              </w:rPr>
              <w:t xml:space="preserve"> </w:t>
            </w:r>
            <w:r w:rsidR="00191676" w:rsidRPr="00412C47">
              <w:rPr>
                <w:rFonts w:eastAsia="Calibri"/>
                <w:sz w:val="18"/>
                <w:szCs w:val="18"/>
              </w:rPr>
              <w:t xml:space="preserve">updated to reflect more complete reporting from country offices. For reference, previous </w:t>
            </w:r>
            <w:r w:rsidR="00AA2673" w:rsidRPr="00412C47">
              <w:rPr>
                <w:rFonts w:ascii="Calibri" w:eastAsia="Calibri" w:hAnsi="Calibri"/>
                <w:sz w:val="18"/>
                <w:szCs w:val="18"/>
              </w:rPr>
              <w:t xml:space="preserve">baseline </w:t>
            </w:r>
            <w:r w:rsidR="00191676" w:rsidRPr="00412C47">
              <w:rPr>
                <w:rFonts w:ascii="Calibri" w:eastAsia="Calibri" w:hAnsi="Calibri"/>
                <w:sz w:val="18"/>
                <w:szCs w:val="18"/>
              </w:rPr>
              <w:t xml:space="preserve">for e) was 0, previous 2014 </w:t>
            </w:r>
            <w:r w:rsidR="00472C91" w:rsidRPr="00412C47">
              <w:rPr>
                <w:rFonts w:ascii="Calibri" w:eastAsia="Calibri" w:hAnsi="Calibri"/>
                <w:sz w:val="18"/>
                <w:szCs w:val="18"/>
              </w:rPr>
              <w:t xml:space="preserve">milestone for e) was 6, and previous targets were: a) </w:t>
            </w:r>
            <w:r w:rsidR="00A10A47" w:rsidRPr="00412C47">
              <w:rPr>
                <w:rFonts w:ascii="Calibri" w:eastAsia="Calibri" w:hAnsi="Calibri"/>
                <w:sz w:val="18"/>
                <w:szCs w:val="18"/>
              </w:rPr>
              <w:t>12, b) 14, c) 12, d) 11, e) 14.</w:t>
            </w:r>
          </w:p>
        </w:tc>
      </w:tr>
      <w:tr w:rsidR="00F7064C" w:rsidRPr="00F1537C" w14:paraId="68859945" w14:textId="77777777" w:rsidTr="004A646D">
        <w:trPr>
          <w:trHeight w:val="800"/>
          <w:jc w:val="center"/>
        </w:trPr>
        <w:tc>
          <w:tcPr>
            <w:tcW w:w="3145" w:type="dxa"/>
            <w:vMerge w:val="restart"/>
            <w:tcBorders>
              <w:top w:val="single" w:sz="4" w:space="0" w:color="auto"/>
              <w:left w:val="single" w:sz="4" w:space="0" w:color="auto"/>
              <w:right w:val="single" w:sz="4" w:space="0" w:color="auto"/>
            </w:tcBorders>
            <w:shd w:val="clear" w:color="auto" w:fill="FFFFFF"/>
            <w:hideMark/>
          </w:tcPr>
          <w:p w14:paraId="6E924F21" w14:textId="58694C6A" w:rsidR="00F7064C" w:rsidRDefault="00F7064C" w:rsidP="001A6E7D">
            <w:pPr>
              <w:spacing w:after="0" w:line="240" w:lineRule="auto"/>
              <w:rPr>
                <w:rFonts w:eastAsia="Calibri"/>
                <w:sz w:val="20"/>
              </w:rPr>
            </w:pPr>
            <w:r w:rsidRPr="0000532F">
              <w:rPr>
                <w:rFonts w:eastAsia="Calibri"/>
                <w:b/>
                <w:sz w:val="20"/>
              </w:rPr>
              <w:t xml:space="preserve">Output 3.2. </w:t>
            </w:r>
            <w:r w:rsidRPr="0000532F">
              <w:rPr>
                <w:rFonts w:eastAsia="Calibri"/>
                <w:sz w:val="20"/>
              </w:rPr>
              <w:t xml:space="preserve">Functions, financing and capacity of sub-national level institutions enabled to deliver improved basic services and respond to </w:t>
            </w:r>
            <w:r w:rsidR="00E14655">
              <w:rPr>
                <w:rFonts w:eastAsia="Calibri"/>
                <w:sz w:val="20"/>
              </w:rPr>
              <w:t>priorities voiced by the public</w:t>
            </w:r>
          </w:p>
          <w:p w14:paraId="7DF28964" w14:textId="77777777" w:rsidR="00F7064C" w:rsidRDefault="00F7064C" w:rsidP="001A6E7D">
            <w:pPr>
              <w:spacing w:after="0" w:line="240" w:lineRule="auto"/>
              <w:rPr>
                <w:rFonts w:eastAsia="Calibri"/>
                <w:sz w:val="20"/>
                <w:szCs w:val="20"/>
              </w:rPr>
            </w:pPr>
          </w:p>
          <w:p w14:paraId="5C8DAA73" w14:textId="1E8AD2A4" w:rsidR="00F7064C" w:rsidRPr="0000532F" w:rsidRDefault="00B30E7E" w:rsidP="00B30E7E">
            <w:pPr>
              <w:spacing w:after="0" w:line="240" w:lineRule="auto"/>
              <w:rPr>
                <w:rFonts w:eastAsia="Calibri"/>
                <w:sz w:val="20"/>
              </w:rPr>
            </w:pPr>
            <w:r w:rsidRPr="00B359E7">
              <w:rPr>
                <w:rFonts w:ascii="Calibri" w:eastAsia="Calibri" w:hAnsi="Calibri"/>
                <w:b/>
                <w:i/>
                <w:color w:val="000000"/>
                <w:sz w:val="18"/>
                <w:szCs w:val="18"/>
              </w:rPr>
              <w:t>Number of countries linked:</w:t>
            </w:r>
            <w:r>
              <w:rPr>
                <w:rFonts w:ascii="Calibri" w:eastAsia="Calibri" w:hAnsi="Calibri"/>
                <w:b/>
                <w:color w:val="000000"/>
                <w:sz w:val="18"/>
                <w:szCs w:val="18"/>
              </w:rPr>
              <w:t xml:space="preserve"> 82 (February 2015</w:t>
            </w:r>
            <w:r w:rsidRPr="00B359E7">
              <w:rPr>
                <w:rFonts w:ascii="Calibri" w:eastAsia="Calibri" w:hAnsi="Calibri"/>
                <w:b/>
                <w:color w:val="000000"/>
                <w:sz w:val="18"/>
                <w:szCs w:val="18"/>
              </w:rPr>
              <w:t>)</w:t>
            </w:r>
          </w:p>
        </w:tc>
        <w:tc>
          <w:tcPr>
            <w:tcW w:w="720" w:type="dxa"/>
            <w:vMerge w:val="restart"/>
            <w:tcBorders>
              <w:top w:val="single" w:sz="4" w:space="0" w:color="auto"/>
              <w:left w:val="single" w:sz="4" w:space="0" w:color="auto"/>
              <w:right w:val="single" w:sz="4" w:space="0" w:color="auto"/>
            </w:tcBorders>
            <w:shd w:val="clear" w:color="auto" w:fill="FFFFFF"/>
          </w:tcPr>
          <w:p w14:paraId="41D0F7FC" w14:textId="77777777" w:rsidR="00F7064C" w:rsidRPr="00F0201C" w:rsidRDefault="00F7064C" w:rsidP="001A6E7D">
            <w:pPr>
              <w:spacing w:after="0" w:line="240" w:lineRule="auto"/>
              <w:rPr>
                <w:rFonts w:eastAsia="Calibri"/>
                <w:b/>
                <w:sz w:val="20"/>
              </w:rPr>
            </w:pPr>
            <w:r w:rsidRPr="00F0201C">
              <w:rPr>
                <w:rFonts w:eastAsia="Calibri"/>
                <w:b/>
                <w:sz w:val="20"/>
              </w:rPr>
              <w:t>3.2.2</w:t>
            </w:r>
          </w:p>
        </w:tc>
        <w:tc>
          <w:tcPr>
            <w:tcW w:w="5490" w:type="dxa"/>
            <w:tcBorders>
              <w:top w:val="single" w:sz="4" w:space="0" w:color="auto"/>
              <w:left w:val="single" w:sz="4" w:space="0" w:color="auto"/>
              <w:right w:val="single" w:sz="4" w:space="0" w:color="auto"/>
            </w:tcBorders>
            <w:shd w:val="clear" w:color="auto" w:fill="FFFFFF"/>
          </w:tcPr>
          <w:p w14:paraId="5412E94D" w14:textId="77777777" w:rsidR="00F7064C" w:rsidRPr="00F0201C" w:rsidRDefault="00F7064C" w:rsidP="001A6E7D">
            <w:pPr>
              <w:spacing w:after="0" w:line="240" w:lineRule="auto"/>
              <w:rPr>
                <w:rFonts w:eastAsia="Calibri"/>
                <w:sz w:val="20"/>
              </w:rPr>
            </w:pPr>
            <w:r w:rsidRPr="00F0201C">
              <w:rPr>
                <w:rFonts w:eastAsia="Calibri"/>
                <w:sz w:val="20"/>
              </w:rPr>
              <w:t xml:space="preserve">Number of countries where sub-national governments/administrations show </w:t>
            </w:r>
            <w:r w:rsidRPr="00F0201C">
              <w:rPr>
                <w:rFonts w:eastAsia="Calibri"/>
                <w:b/>
                <w:sz w:val="20"/>
              </w:rPr>
              <w:t>improved capacities for planning, budgeting and/or monitoring</w:t>
            </w:r>
            <w:r w:rsidR="008376B6" w:rsidRPr="00F0201C">
              <w:rPr>
                <w:rFonts w:eastAsia="Calibri"/>
                <w:sz w:val="20"/>
              </w:rPr>
              <w:t xml:space="preserve"> basic services delivery</w:t>
            </w:r>
          </w:p>
          <w:p w14:paraId="08C66235" w14:textId="0DA64DD4" w:rsidR="008376B6" w:rsidRPr="00F0201C" w:rsidRDefault="008376B6" w:rsidP="000B2834">
            <w:pPr>
              <w:spacing w:before="240" w:after="0" w:line="240" w:lineRule="auto"/>
              <w:rPr>
                <w:rFonts w:eastAsia="Calibri"/>
                <w:sz w:val="20"/>
              </w:rPr>
            </w:pPr>
            <w:r w:rsidRPr="00F0201C">
              <w:rPr>
                <w:rFonts w:eastAsia="Calibri"/>
                <w:b/>
                <w:i/>
                <w:sz w:val="18"/>
                <w:szCs w:val="18"/>
              </w:rPr>
              <w:t xml:space="preserve">Number of countries </w:t>
            </w:r>
            <w:r w:rsidR="00983FF8" w:rsidRPr="00F0201C">
              <w:rPr>
                <w:rFonts w:eastAsia="Calibri"/>
                <w:b/>
                <w:i/>
                <w:sz w:val="18"/>
                <w:szCs w:val="18"/>
              </w:rPr>
              <w:t>for which a 2017 target has currently been set under this indicator</w:t>
            </w:r>
            <w:r w:rsidR="00363F77" w:rsidRPr="00F0201C">
              <w:rPr>
                <w:rFonts w:eastAsia="Calibri"/>
                <w:b/>
                <w:i/>
                <w:sz w:val="18"/>
                <w:szCs w:val="18"/>
              </w:rPr>
              <w:t>: 61</w:t>
            </w:r>
          </w:p>
        </w:tc>
        <w:tc>
          <w:tcPr>
            <w:tcW w:w="1440" w:type="dxa"/>
            <w:tcBorders>
              <w:top w:val="single" w:sz="4" w:space="0" w:color="auto"/>
              <w:left w:val="single" w:sz="4" w:space="0" w:color="auto"/>
              <w:right w:val="single" w:sz="4" w:space="0" w:color="auto"/>
            </w:tcBorders>
            <w:shd w:val="clear" w:color="auto" w:fill="FFFFFF" w:themeFill="background1"/>
            <w:vAlign w:val="center"/>
          </w:tcPr>
          <w:p w14:paraId="3DB22EB2" w14:textId="30D7F005" w:rsidR="00F7064C" w:rsidRPr="00F0201C" w:rsidRDefault="007E66CF" w:rsidP="007E66CF">
            <w:pPr>
              <w:spacing w:after="0" w:line="240" w:lineRule="auto"/>
              <w:jc w:val="center"/>
              <w:rPr>
                <w:rFonts w:eastAsia="Calibri"/>
                <w:sz w:val="20"/>
              </w:rPr>
            </w:pPr>
            <w:r w:rsidRPr="00F0201C">
              <w:rPr>
                <w:rFonts w:eastAsia="Calibri"/>
                <w:sz w:val="20"/>
              </w:rPr>
              <w:t>0</w:t>
            </w:r>
          </w:p>
        </w:tc>
        <w:tc>
          <w:tcPr>
            <w:tcW w:w="1350" w:type="dxa"/>
            <w:tcBorders>
              <w:top w:val="single" w:sz="4" w:space="0" w:color="auto"/>
              <w:left w:val="single" w:sz="4" w:space="0" w:color="auto"/>
              <w:right w:val="single" w:sz="4" w:space="0" w:color="auto"/>
            </w:tcBorders>
            <w:shd w:val="clear" w:color="auto" w:fill="FFFFFF" w:themeFill="background1"/>
            <w:vAlign w:val="center"/>
          </w:tcPr>
          <w:p w14:paraId="77B63947" w14:textId="77777777" w:rsidR="00F7064C" w:rsidRPr="00F0201C" w:rsidRDefault="00F7064C" w:rsidP="00120539">
            <w:pPr>
              <w:spacing w:after="0" w:line="240" w:lineRule="auto"/>
              <w:jc w:val="center"/>
              <w:rPr>
                <w:rFonts w:eastAsia="Calibri"/>
                <w:sz w:val="20"/>
              </w:rPr>
            </w:pPr>
            <w:r w:rsidRPr="00F0201C">
              <w:rPr>
                <w:rFonts w:eastAsia="Calibri"/>
                <w:sz w:val="20"/>
              </w:rPr>
              <w:t>22</w:t>
            </w:r>
          </w:p>
        </w:tc>
        <w:tc>
          <w:tcPr>
            <w:tcW w:w="1350" w:type="dxa"/>
            <w:tcBorders>
              <w:top w:val="single" w:sz="4" w:space="0" w:color="auto"/>
              <w:left w:val="single" w:sz="4" w:space="0" w:color="auto"/>
              <w:right w:val="single" w:sz="4" w:space="0" w:color="auto"/>
            </w:tcBorders>
            <w:shd w:val="clear" w:color="auto" w:fill="FFFFFF" w:themeFill="background1"/>
            <w:vAlign w:val="center"/>
          </w:tcPr>
          <w:p w14:paraId="24C05819" w14:textId="79A445A0" w:rsidR="00F7064C" w:rsidRPr="00F0201C" w:rsidRDefault="004B1F31" w:rsidP="00120539">
            <w:pPr>
              <w:spacing w:after="0" w:line="240" w:lineRule="auto"/>
              <w:jc w:val="center"/>
              <w:rPr>
                <w:rFonts w:eastAsia="Calibri"/>
                <w:sz w:val="20"/>
              </w:rPr>
            </w:pPr>
            <w:r w:rsidRPr="00F0201C">
              <w:rPr>
                <w:rFonts w:eastAsia="Calibri"/>
                <w:sz w:val="20"/>
              </w:rPr>
              <w:t>20</w:t>
            </w:r>
          </w:p>
        </w:tc>
        <w:tc>
          <w:tcPr>
            <w:tcW w:w="1530" w:type="dxa"/>
            <w:tcBorders>
              <w:top w:val="single" w:sz="4" w:space="0" w:color="auto"/>
              <w:left w:val="single" w:sz="4" w:space="0" w:color="auto"/>
              <w:right w:val="single" w:sz="4" w:space="0" w:color="auto"/>
            </w:tcBorders>
            <w:shd w:val="clear" w:color="auto" w:fill="FFFFFF" w:themeFill="background1"/>
            <w:vAlign w:val="center"/>
          </w:tcPr>
          <w:p w14:paraId="020081F1" w14:textId="77777777" w:rsidR="00F7064C" w:rsidRPr="00F0201C" w:rsidRDefault="00F7064C" w:rsidP="00120539">
            <w:pPr>
              <w:spacing w:after="0" w:line="240" w:lineRule="auto"/>
              <w:jc w:val="center"/>
              <w:rPr>
                <w:rFonts w:eastAsia="Calibri"/>
                <w:sz w:val="20"/>
              </w:rPr>
            </w:pPr>
            <w:r w:rsidRPr="00F0201C">
              <w:rPr>
                <w:rFonts w:eastAsia="Calibri"/>
                <w:sz w:val="20"/>
              </w:rPr>
              <w:t>61</w:t>
            </w:r>
          </w:p>
        </w:tc>
      </w:tr>
      <w:tr w:rsidR="002E7E06" w:rsidRPr="00F1537C" w14:paraId="3D4426A3" w14:textId="77777777" w:rsidTr="00E869D0">
        <w:trPr>
          <w:trHeight w:val="1376"/>
          <w:jc w:val="center"/>
        </w:trPr>
        <w:tc>
          <w:tcPr>
            <w:tcW w:w="3145" w:type="dxa"/>
            <w:vMerge/>
            <w:tcBorders>
              <w:left w:val="single" w:sz="4" w:space="0" w:color="auto"/>
              <w:right w:val="single" w:sz="4" w:space="0" w:color="auto"/>
            </w:tcBorders>
          </w:tcPr>
          <w:p w14:paraId="6855D80A" w14:textId="748D061D" w:rsidR="002E7E06" w:rsidRPr="0000532F" w:rsidRDefault="002E7E06" w:rsidP="001A6E7D">
            <w:pPr>
              <w:spacing w:after="0" w:line="240" w:lineRule="auto"/>
              <w:rPr>
                <w:rFonts w:eastAsia="Calibri"/>
                <w:b/>
                <w:sz w:val="20"/>
              </w:rPr>
            </w:pPr>
          </w:p>
        </w:tc>
        <w:tc>
          <w:tcPr>
            <w:tcW w:w="720" w:type="dxa"/>
            <w:vMerge/>
            <w:tcBorders>
              <w:left w:val="single" w:sz="4" w:space="0" w:color="auto"/>
              <w:right w:val="single" w:sz="4" w:space="0" w:color="auto"/>
            </w:tcBorders>
          </w:tcPr>
          <w:p w14:paraId="404DDEA9" w14:textId="77777777" w:rsidR="002E7E06" w:rsidRPr="00F0201C" w:rsidRDefault="002E7E06" w:rsidP="001A6E7D">
            <w:pPr>
              <w:spacing w:after="0" w:line="240" w:lineRule="auto"/>
              <w:rPr>
                <w:rFonts w:eastAsia="Calibri"/>
                <w:b/>
                <w:sz w:val="20"/>
              </w:rPr>
            </w:pPr>
          </w:p>
        </w:tc>
        <w:tc>
          <w:tcPr>
            <w:tcW w:w="11160" w:type="dxa"/>
            <w:gridSpan w:val="5"/>
            <w:tcBorders>
              <w:left w:val="single" w:sz="4" w:space="0" w:color="auto"/>
              <w:right w:val="single" w:sz="4" w:space="0" w:color="auto"/>
            </w:tcBorders>
            <w:shd w:val="clear" w:color="auto" w:fill="D9D9D9" w:themeFill="background1" w:themeFillShade="D9"/>
          </w:tcPr>
          <w:p w14:paraId="0663C9DF" w14:textId="305FEE1C" w:rsidR="002E7E06" w:rsidRPr="00F0201C" w:rsidRDefault="002E7E06" w:rsidP="00A10A47">
            <w:pPr>
              <w:spacing w:after="0" w:line="240" w:lineRule="auto"/>
              <w:rPr>
                <w:rFonts w:ascii="Calibri" w:eastAsia="Calibri" w:hAnsi="Calibri"/>
                <w:sz w:val="18"/>
                <w:szCs w:val="18"/>
              </w:rPr>
            </w:pPr>
            <w:r w:rsidRPr="00F0201C">
              <w:rPr>
                <w:rFonts w:ascii="Calibri" w:eastAsia="Calibri" w:hAnsi="Calibri" w:cs="Times New Roman"/>
                <w:b/>
                <w:sz w:val="18"/>
                <w:szCs w:val="18"/>
                <w:lang w:eastAsia="en-US"/>
              </w:rPr>
              <w:t xml:space="preserve">Indicator 3.2.2 Note: </w:t>
            </w:r>
            <w:r w:rsidRPr="00F0201C">
              <w:rPr>
                <w:rFonts w:ascii="Calibri" w:eastAsia="Calibri" w:hAnsi="Calibri"/>
                <w:sz w:val="18"/>
                <w:szCs w:val="18"/>
              </w:rPr>
              <w:t xml:space="preserve">Qualitative indicator through which effectiveness of UNDP’s support (on demand </w:t>
            </w:r>
            <w:r w:rsidRPr="00F0201C">
              <w:rPr>
                <w:sz w:val="18"/>
                <w:szCs w:val="18"/>
              </w:rPr>
              <w:t>from programme countries</w:t>
            </w:r>
            <w:r w:rsidRPr="00F0201C">
              <w:rPr>
                <w:rFonts w:ascii="Calibri" w:eastAsia="Calibri" w:hAnsi="Calibri"/>
                <w:sz w:val="18"/>
                <w:szCs w:val="18"/>
              </w:rPr>
              <w:t>)</w:t>
            </w:r>
            <w:r w:rsidRPr="00F0201C">
              <w:rPr>
                <w:sz w:val="18"/>
                <w:szCs w:val="18"/>
              </w:rPr>
              <w:t xml:space="preserve"> to improve capacities of sub-national governments/administrations to plan, budget and/or monitor delivery of basic services is </w:t>
            </w:r>
            <w:r w:rsidRPr="00F0201C">
              <w:rPr>
                <w:rFonts w:eastAsia="Calibri"/>
                <w:sz w:val="18"/>
                <w:szCs w:val="18"/>
              </w:rPr>
              <w:t>tracked using a qualitative rating scale (1= no capacity, 2= very partial capacity, 3= partial capacity, and 4= capacity largely in place), counting the number of countries where</w:t>
            </w:r>
            <w:r w:rsidR="00A10A47" w:rsidRPr="00F0201C">
              <w:rPr>
                <w:rFonts w:eastAsia="Calibri"/>
                <w:sz w:val="18"/>
                <w:szCs w:val="18"/>
              </w:rPr>
              <w:t xml:space="preserve"> objective evidence exists that</w:t>
            </w:r>
            <w:r w:rsidRPr="00F0201C">
              <w:rPr>
                <w:rFonts w:eastAsia="Calibri"/>
                <w:sz w:val="18"/>
                <w:szCs w:val="18"/>
              </w:rPr>
              <w:t xml:space="preserve"> UNDP-supported capacities show improvement from January 2014 onwards</w:t>
            </w:r>
            <w:r w:rsidRPr="00F0201C">
              <w:rPr>
                <w:rFonts w:ascii="Calibri" w:eastAsia="Calibri" w:hAnsi="Calibri"/>
                <w:sz w:val="18"/>
                <w:szCs w:val="18"/>
              </w:rPr>
              <w:t>. Support to planning and monitoring is expected to be delivered in 65 countries, and support to budgeting is expected to be delivered in 55 countries.</w:t>
            </w:r>
            <w:r w:rsidR="00BE5F71" w:rsidRPr="00F0201C">
              <w:rPr>
                <w:rFonts w:ascii="Calibri" w:eastAsia="Calibri" w:hAnsi="Calibri"/>
                <w:sz w:val="18"/>
                <w:szCs w:val="18"/>
              </w:rPr>
              <w:t xml:space="preserve"> </w:t>
            </w:r>
          </w:p>
        </w:tc>
      </w:tr>
    </w:tbl>
    <w:p w14:paraId="5905B3A3" w14:textId="77777777" w:rsidR="00A10A47" w:rsidRDefault="00A10A47">
      <w:r>
        <w:br w:type="page"/>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720"/>
        <w:gridCol w:w="5490"/>
        <w:gridCol w:w="1440"/>
        <w:gridCol w:w="1350"/>
        <w:gridCol w:w="1350"/>
        <w:gridCol w:w="1530"/>
      </w:tblGrid>
      <w:tr w:rsidR="00F7064C" w:rsidRPr="00A47C48" w14:paraId="20AEF9E4" w14:textId="77777777" w:rsidTr="004A646D">
        <w:trPr>
          <w:trHeight w:val="440"/>
          <w:jc w:val="center"/>
        </w:trPr>
        <w:tc>
          <w:tcPr>
            <w:tcW w:w="3145" w:type="dxa"/>
            <w:vMerge w:val="restart"/>
            <w:tcBorders>
              <w:top w:val="single" w:sz="4" w:space="0" w:color="auto"/>
              <w:left w:val="single" w:sz="4" w:space="0" w:color="auto"/>
              <w:right w:val="single" w:sz="4" w:space="0" w:color="auto"/>
            </w:tcBorders>
            <w:shd w:val="clear" w:color="auto" w:fill="FFFFFF"/>
            <w:hideMark/>
          </w:tcPr>
          <w:p w14:paraId="7A8AFEA6" w14:textId="6B3E8874" w:rsidR="00F7064C" w:rsidRDefault="00F7064C" w:rsidP="001A6E7D">
            <w:pPr>
              <w:spacing w:after="0" w:line="240" w:lineRule="auto"/>
              <w:rPr>
                <w:rFonts w:eastAsia="Calibri"/>
                <w:sz w:val="20"/>
              </w:rPr>
            </w:pPr>
            <w:r w:rsidRPr="0000532F">
              <w:rPr>
                <w:rFonts w:eastAsia="Calibri"/>
                <w:b/>
                <w:sz w:val="20"/>
              </w:rPr>
              <w:t>Output 3.3.</w:t>
            </w:r>
            <w:r w:rsidRPr="0000532F">
              <w:rPr>
                <w:rFonts w:eastAsia="Calibri"/>
                <w:sz w:val="20"/>
              </w:rPr>
              <w:t xml:space="preserve"> National institutions, systems, laws and policies strengthened for equitable, accountable and effective delivery of HIV and re</w:t>
            </w:r>
            <w:r w:rsidR="00E14655">
              <w:rPr>
                <w:rFonts w:eastAsia="Calibri"/>
                <w:sz w:val="20"/>
              </w:rPr>
              <w:t>lated services</w:t>
            </w:r>
          </w:p>
          <w:p w14:paraId="4158126D" w14:textId="77777777" w:rsidR="00F7064C" w:rsidRDefault="00F7064C" w:rsidP="001A6E7D">
            <w:pPr>
              <w:spacing w:after="0" w:line="240" w:lineRule="auto"/>
              <w:rPr>
                <w:rFonts w:eastAsia="Calibri"/>
                <w:sz w:val="20"/>
                <w:szCs w:val="20"/>
              </w:rPr>
            </w:pPr>
          </w:p>
          <w:p w14:paraId="6AC7BDA1" w14:textId="78704838" w:rsidR="00F7064C" w:rsidRPr="0000532F" w:rsidRDefault="00B30E7E" w:rsidP="002E04DB">
            <w:pPr>
              <w:spacing w:after="0" w:line="240" w:lineRule="auto"/>
              <w:rPr>
                <w:rFonts w:eastAsia="Calibri"/>
                <w:sz w:val="20"/>
              </w:rPr>
            </w:pPr>
            <w:r w:rsidRPr="00B359E7">
              <w:rPr>
                <w:rFonts w:ascii="Calibri" w:eastAsia="Calibri" w:hAnsi="Calibri"/>
                <w:b/>
                <w:i/>
                <w:color w:val="000000"/>
                <w:sz w:val="18"/>
                <w:szCs w:val="18"/>
              </w:rPr>
              <w:t>Number of countries linked:</w:t>
            </w:r>
            <w:r>
              <w:rPr>
                <w:rFonts w:ascii="Calibri" w:eastAsia="Calibri" w:hAnsi="Calibri"/>
                <w:b/>
                <w:color w:val="000000"/>
                <w:sz w:val="18"/>
                <w:szCs w:val="18"/>
              </w:rPr>
              <w:t xml:space="preserve"> 5</w:t>
            </w:r>
            <w:r w:rsidR="002E04DB">
              <w:rPr>
                <w:rFonts w:ascii="Calibri" w:eastAsia="Calibri" w:hAnsi="Calibri"/>
                <w:b/>
                <w:color w:val="000000"/>
                <w:sz w:val="18"/>
                <w:szCs w:val="18"/>
              </w:rPr>
              <w:t>7</w:t>
            </w:r>
            <w:r>
              <w:rPr>
                <w:rFonts w:ascii="Calibri" w:eastAsia="Calibri" w:hAnsi="Calibri"/>
                <w:b/>
                <w:color w:val="000000"/>
                <w:sz w:val="18"/>
                <w:szCs w:val="18"/>
              </w:rPr>
              <w:t xml:space="preserve"> (February 2015</w:t>
            </w:r>
            <w:r w:rsidRPr="00B359E7">
              <w:rPr>
                <w:rFonts w:ascii="Calibri" w:eastAsia="Calibri" w:hAnsi="Calibri"/>
                <w:b/>
                <w:color w:val="000000"/>
                <w:sz w:val="18"/>
                <w:szCs w:val="18"/>
              </w:rPr>
              <w:t>)</w:t>
            </w:r>
          </w:p>
        </w:tc>
        <w:tc>
          <w:tcPr>
            <w:tcW w:w="720" w:type="dxa"/>
            <w:vMerge w:val="restart"/>
            <w:tcBorders>
              <w:top w:val="single" w:sz="4" w:space="0" w:color="auto"/>
              <w:left w:val="single" w:sz="4" w:space="0" w:color="auto"/>
              <w:right w:val="single" w:sz="4" w:space="0" w:color="auto"/>
            </w:tcBorders>
            <w:shd w:val="clear" w:color="auto" w:fill="FFFFFF"/>
            <w:hideMark/>
          </w:tcPr>
          <w:p w14:paraId="0BC2C81F" w14:textId="77777777" w:rsidR="00F7064C" w:rsidRPr="0000532F" w:rsidRDefault="00F7064C" w:rsidP="001A6E7D">
            <w:pPr>
              <w:spacing w:after="0" w:line="240" w:lineRule="auto"/>
              <w:jc w:val="both"/>
              <w:rPr>
                <w:rFonts w:eastAsia="Calibri"/>
                <w:b/>
                <w:sz w:val="20"/>
              </w:rPr>
            </w:pPr>
            <w:r w:rsidRPr="0000532F">
              <w:rPr>
                <w:rFonts w:eastAsia="Calibri"/>
                <w:b/>
                <w:sz w:val="20"/>
              </w:rPr>
              <w:t>3.3.1</w:t>
            </w:r>
          </w:p>
        </w:tc>
        <w:tc>
          <w:tcPr>
            <w:tcW w:w="5490" w:type="dxa"/>
            <w:tcBorders>
              <w:top w:val="single" w:sz="4" w:space="0" w:color="auto"/>
              <w:left w:val="single" w:sz="4" w:space="0" w:color="auto"/>
              <w:bottom w:val="single" w:sz="4" w:space="0" w:color="auto"/>
              <w:right w:val="single" w:sz="4" w:space="0" w:color="auto"/>
            </w:tcBorders>
            <w:shd w:val="clear" w:color="auto" w:fill="FFFFFF"/>
            <w:hideMark/>
          </w:tcPr>
          <w:p w14:paraId="4A83FFD7" w14:textId="77777777" w:rsidR="00F7064C" w:rsidRPr="005230B4" w:rsidRDefault="00F7064C" w:rsidP="001A6E7D">
            <w:pPr>
              <w:spacing w:after="0" w:line="240" w:lineRule="auto"/>
              <w:rPr>
                <w:rFonts w:eastAsia="Calibri"/>
                <w:sz w:val="20"/>
              </w:rPr>
            </w:pPr>
            <w:r w:rsidRPr="005230B4">
              <w:rPr>
                <w:rFonts w:eastAsia="Calibri"/>
                <w:sz w:val="20"/>
              </w:rPr>
              <w:t xml:space="preserve">Number of people who have access to </w:t>
            </w:r>
            <w:r w:rsidRPr="005230B4">
              <w:rPr>
                <w:rFonts w:eastAsia="Calibri"/>
                <w:b/>
                <w:sz w:val="20"/>
              </w:rPr>
              <w:t>HIV and related services</w:t>
            </w:r>
            <w:r w:rsidRPr="005230B4">
              <w:rPr>
                <w:rFonts w:eastAsia="Calibri"/>
                <w:sz w:val="20"/>
              </w:rPr>
              <w:t xml:space="preserve">, disaggregated by </w:t>
            </w:r>
            <w:r w:rsidRPr="005230B4">
              <w:rPr>
                <w:rFonts w:eastAsia="Calibri"/>
                <w:b/>
                <w:sz w:val="20"/>
              </w:rPr>
              <w:t xml:space="preserve">sex </w:t>
            </w:r>
            <w:r w:rsidRPr="00A10A47">
              <w:rPr>
                <w:rFonts w:eastAsia="Calibri"/>
                <w:sz w:val="20"/>
              </w:rPr>
              <w:t>and</w:t>
            </w:r>
            <w:r w:rsidRPr="005230B4">
              <w:rPr>
                <w:rFonts w:eastAsia="Calibri"/>
                <w:b/>
                <w:sz w:val="20"/>
              </w:rPr>
              <w:t xml:space="preserve"> type of service</w:t>
            </w:r>
            <w:r w:rsidRPr="005230B4">
              <w:rPr>
                <w:rFonts w:eastAsia="Calibri"/>
                <w:sz w:val="20"/>
              </w:rPr>
              <w:t>.</w:t>
            </w:r>
          </w:p>
          <w:p w14:paraId="44FAA5E2" w14:textId="77777777" w:rsidR="00F7064C" w:rsidRPr="00412C47" w:rsidRDefault="00F7064C" w:rsidP="006F161D">
            <w:pPr>
              <w:pStyle w:val="ListParagraph"/>
              <w:numPr>
                <w:ilvl w:val="0"/>
                <w:numId w:val="32"/>
              </w:numPr>
              <w:rPr>
                <w:rFonts w:eastAsia="Calibri"/>
                <w:b/>
                <w:sz w:val="20"/>
              </w:rPr>
            </w:pPr>
            <w:r w:rsidRPr="005230B4">
              <w:rPr>
                <w:rFonts w:eastAsia="Calibri"/>
                <w:b/>
                <w:sz w:val="20"/>
              </w:rPr>
              <w:t xml:space="preserve">Behavioral </w:t>
            </w:r>
            <w:r w:rsidRPr="00412C47">
              <w:rPr>
                <w:rFonts w:eastAsia="Calibri"/>
                <w:b/>
                <w:sz w:val="20"/>
              </w:rPr>
              <w:t>change communication</w:t>
            </w:r>
          </w:p>
          <w:p w14:paraId="5EBAB394" w14:textId="234890EB" w:rsidR="00F7064C" w:rsidRPr="00412C47" w:rsidRDefault="007D29C1" w:rsidP="006F161D">
            <w:pPr>
              <w:pStyle w:val="ListParagraph"/>
              <w:numPr>
                <w:ilvl w:val="1"/>
                <w:numId w:val="62"/>
              </w:numPr>
              <w:contextualSpacing/>
              <w:rPr>
                <w:rFonts w:asciiTheme="minorHAnsi" w:hAnsiTheme="minorHAnsi"/>
                <w:sz w:val="20"/>
                <w:szCs w:val="20"/>
              </w:rPr>
            </w:pPr>
            <w:r w:rsidRPr="00412C47">
              <w:rPr>
                <w:rFonts w:asciiTheme="minorHAnsi" w:hAnsiTheme="minorHAnsi"/>
                <w:sz w:val="20"/>
                <w:szCs w:val="20"/>
              </w:rPr>
              <w:t xml:space="preserve">Number of </w:t>
            </w:r>
            <w:r w:rsidR="00F7064C" w:rsidRPr="00412C47">
              <w:rPr>
                <w:rFonts w:asciiTheme="minorHAnsi" w:hAnsiTheme="minorHAnsi"/>
                <w:b/>
                <w:sz w:val="20"/>
                <w:szCs w:val="20"/>
              </w:rPr>
              <w:t>males</w:t>
            </w:r>
            <w:r w:rsidR="007E66CF" w:rsidRPr="00412C47">
              <w:rPr>
                <w:rFonts w:asciiTheme="minorHAnsi" w:hAnsiTheme="minorHAnsi"/>
                <w:sz w:val="20"/>
                <w:szCs w:val="20"/>
              </w:rPr>
              <w:t xml:space="preserve"> reached </w:t>
            </w:r>
          </w:p>
          <w:p w14:paraId="3B8824DC" w14:textId="0A2C9915" w:rsidR="00F7064C" w:rsidRPr="00412C47" w:rsidRDefault="00F7064C" w:rsidP="006F161D">
            <w:pPr>
              <w:pStyle w:val="ListParagraph"/>
              <w:numPr>
                <w:ilvl w:val="1"/>
                <w:numId w:val="62"/>
              </w:numPr>
              <w:contextualSpacing/>
              <w:rPr>
                <w:rFonts w:asciiTheme="minorHAnsi" w:hAnsiTheme="minorHAnsi"/>
                <w:sz w:val="20"/>
                <w:szCs w:val="20"/>
              </w:rPr>
            </w:pPr>
            <w:r w:rsidRPr="00412C47">
              <w:rPr>
                <w:rFonts w:asciiTheme="minorHAnsi" w:hAnsiTheme="minorHAnsi"/>
                <w:sz w:val="20"/>
                <w:szCs w:val="20"/>
              </w:rPr>
              <w:t xml:space="preserve">Number of </w:t>
            </w:r>
            <w:r w:rsidRPr="00412C47">
              <w:rPr>
                <w:rFonts w:asciiTheme="minorHAnsi" w:hAnsiTheme="minorHAnsi"/>
                <w:b/>
                <w:sz w:val="20"/>
                <w:szCs w:val="20"/>
              </w:rPr>
              <w:t>females</w:t>
            </w:r>
            <w:r w:rsidR="007E66CF" w:rsidRPr="00412C47">
              <w:rPr>
                <w:rFonts w:asciiTheme="minorHAnsi" w:hAnsiTheme="minorHAnsi"/>
                <w:sz w:val="20"/>
                <w:szCs w:val="20"/>
              </w:rPr>
              <w:t xml:space="preserve"> reached</w:t>
            </w:r>
          </w:p>
          <w:p w14:paraId="24D1A639" w14:textId="0118FFBD" w:rsidR="009D2BE4" w:rsidRPr="00412C47" w:rsidRDefault="00D12B70" w:rsidP="009D2BE4">
            <w:pPr>
              <w:contextualSpacing/>
              <w:rPr>
                <w:sz w:val="20"/>
                <w:szCs w:val="20"/>
              </w:rPr>
            </w:pPr>
            <w:r w:rsidRPr="00412C47">
              <w:rPr>
                <w:rFonts w:eastAsia="Calibri"/>
                <w:b/>
                <w:i/>
                <w:sz w:val="18"/>
                <w:szCs w:val="18"/>
              </w:rPr>
              <w:t xml:space="preserve">Number of countries </w:t>
            </w:r>
            <w:r w:rsidR="00A10A47" w:rsidRPr="00412C47">
              <w:rPr>
                <w:rFonts w:eastAsia="Calibri"/>
                <w:b/>
                <w:i/>
                <w:sz w:val="18"/>
                <w:szCs w:val="18"/>
              </w:rPr>
              <w:t>for which a 2017 target has currently been set under this indicator</w:t>
            </w:r>
            <w:r w:rsidRPr="00412C47">
              <w:rPr>
                <w:rFonts w:eastAsia="Calibri"/>
                <w:b/>
                <w:i/>
                <w:sz w:val="18"/>
                <w:szCs w:val="18"/>
              </w:rPr>
              <w:t xml:space="preserve">: </w:t>
            </w:r>
            <w:r w:rsidR="00E92E68" w:rsidRPr="00412C47">
              <w:rPr>
                <w:rFonts w:eastAsia="Calibri"/>
                <w:b/>
                <w:i/>
                <w:sz w:val="18"/>
                <w:szCs w:val="18"/>
              </w:rPr>
              <w:t>24</w:t>
            </w:r>
          </w:p>
          <w:p w14:paraId="70FADB91" w14:textId="77777777" w:rsidR="00F7064C" w:rsidRPr="00412C47" w:rsidRDefault="00F7064C" w:rsidP="006F161D">
            <w:pPr>
              <w:pStyle w:val="ListParagraph"/>
              <w:numPr>
                <w:ilvl w:val="0"/>
                <w:numId w:val="32"/>
              </w:numPr>
              <w:contextualSpacing/>
              <w:rPr>
                <w:rFonts w:asciiTheme="minorHAnsi" w:hAnsiTheme="minorHAnsi"/>
                <w:b/>
                <w:sz w:val="20"/>
                <w:szCs w:val="20"/>
              </w:rPr>
            </w:pPr>
            <w:r w:rsidRPr="00412C47">
              <w:rPr>
                <w:rFonts w:asciiTheme="minorHAnsi" w:hAnsiTheme="minorHAnsi"/>
                <w:b/>
                <w:sz w:val="20"/>
                <w:szCs w:val="20"/>
              </w:rPr>
              <w:t>ARV treatment</w:t>
            </w:r>
          </w:p>
          <w:p w14:paraId="62C64D19" w14:textId="18EAA4DB" w:rsidR="00F7064C" w:rsidRPr="00412C47" w:rsidRDefault="00F7064C" w:rsidP="006F161D">
            <w:pPr>
              <w:pStyle w:val="ListParagraph"/>
              <w:numPr>
                <w:ilvl w:val="1"/>
                <w:numId w:val="63"/>
              </w:numPr>
              <w:contextualSpacing/>
              <w:rPr>
                <w:rFonts w:asciiTheme="minorHAnsi" w:hAnsiTheme="minorHAnsi"/>
                <w:sz w:val="20"/>
                <w:szCs w:val="20"/>
              </w:rPr>
            </w:pPr>
            <w:r w:rsidRPr="00412C47">
              <w:rPr>
                <w:rFonts w:asciiTheme="minorHAnsi" w:hAnsiTheme="minorHAnsi"/>
                <w:sz w:val="20"/>
                <w:szCs w:val="20"/>
              </w:rPr>
              <w:t xml:space="preserve">Number of </w:t>
            </w:r>
            <w:r w:rsidR="009D2BE4" w:rsidRPr="00412C47">
              <w:rPr>
                <w:rFonts w:asciiTheme="minorHAnsi" w:hAnsiTheme="minorHAnsi"/>
                <w:b/>
                <w:sz w:val="20"/>
                <w:szCs w:val="20"/>
              </w:rPr>
              <w:t>males</w:t>
            </w:r>
            <w:r w:rsidR="007E66CF" w:rsidRPr="00412C47">
              <w:rPr>
                <w:rFonts w:asciiTheme="minorHAnsi" w:hAnsiTheme="minorHAnsi"/>
                <w:sz w:val="20"/>
                <w:szCs w:val="20"/>
              </w:rPr>
              <w:t xml:space="preserve"> reached</w:t>
            </w:r>
          </w:p>
          <w:p w14:paraId="7CC330B5" w14:textId="07C3A9AD" w:rsidR="009D2BE4" w:rsidRPr="00412C47" w:rsidRDefault="009D2BE4" w:rsidP="006F161D">
            <w:pPr>
              <w:pStyle w:val="ListParagraph"/>
              <w:numPr>
                <w:ilvl w:val="1"/>
                <w:numId w:val="63"/>
              </w:numPr>
              <w:contextualSpacing/>
              <w:rPr>
                <w:rFonts w:asciiTheme="minorHAnsi" w:hAnsiTheme="minorHAnsi"/>
                <w:sz w:val="20"/>
                <w:szCs w:val="20"/>
              </w:rPr>
            </w:pPr>
            <w:r w:rsidRPr="00412C47">
              <w:rPr>
                <w:rFonts w:asciiTheme="minorHAnsi" w:hAnsiTheme="minorHAnsi"/>
                <w:sz w:val="20"/>
                <w:szCs w:val="20"/>
              </w:rPr>
              <w:t xml:space="preserve">Number of </w:t>
            </w:r>
            <w:r w:rsidRPr="00412C47">
              <w:rPr>
                <w:rFonts w:asciiTheme="minorHAnsi" w:hAnsiTheme="minorHAnsi"/>
                <w:b/>
                <w:sz w:val="20"/>
                <w:szCs w:val="20"/>
              </w:rPr>
              <w:t xml:space="preserve">females </w:t>
            </w:r>
            <w:r w:rsidRPr="00412C47">
              <w:rPr>
                <w:rFonts w:asciiTheme="minorHAnsi" w:hAnsiTheme="minorHAnsi"/>
                <w:sz w:val="20"/>
                <w:szCs w:val="20"/>
              </w:rPr>
              <w:t>reached</w:t>
            </w:r>
          </w:p>
          <w:p w14:paraId="6C88A8FF" w14:textId="06DE90CD" w:rsidR="008376B6" w:rsidRPr="005230B4" w:rsidRDefault="008376B6" w:rsidP="00D12B70">
            <w:pPr>
              <w:contextualSpacing/>
              <w:rPr>
                <w:sz w:val="20"/>
                <w:szCs w:val="20"/>
              </w:rPr>
            </w:pPr>
            <w:r w:rsidRPr="00412C47">
              <w:rPr>
                <w:rFonts w:eastAsia="Calibri"/>
                <w:b/>
                <w:i/>
                <w:sz w:val="18"/>
                <w:szCs w:val="18"/>
              </w:rPr>
              <w:t xml:space="preserve">Number of countries </w:t>
            </w:r>
            <w:r w:rsidR="00983FF8" w:rsidRPr="00412C47">
              <w:rPr>
                <w:rFonts w:eastAsia="Calibri"/>
                <w:b/>
                <w:i/>
                <w:sz w:val="18"/>
                <w:szCs w:val="18"/>
              </w:rPr>
              <w:t>for which a 2017 target has currently been set under this indicator</w:t>
            </w:r>
            <w:r w:rsidR="009D2BE4" w:rsidRPr="00412C47">
              <w:rPr>
                <w:rFonts w:eastAsia="Calibri"/>
                <w:b/>
                <w:i/>
                <w:sz w:val="18"/>
                <w:szCs w:val="18"/>
              </w:rPr>
              <w:t xml:space="preserve">: </w:t>
            </w:r>
            <w:r w:rsidR="00E92E68" w:rsidRPr="00412C47">
              <w:rPr>
                <w:rFonts w:eastAsia="Calibri"/>
                <w:b/>
                <w:i/>
                <w:sz w:val="18"/>
                <w:szCs w:val="18"/>
              </w:rPr>
              <w:t>20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51C83493" w14:textId="77777777" w:rsidR="00F7064C" w:rsidRPr="005230B4" w:rsidRDefault="00F7064C" w:rsidP="00180D73">
            <w:pPr>
              <w:spacing w:after="0" w:line="240" w:lineRule="auto"/>
              <w:jc w:val="right"/>
              <w:rPr>
                <w:rFonts w:eastAsia="Calibri"/>
                <w:sz w:val="20"/>
                <w:szCs w:val="20"/>
              </w:rPr>
            </w:pPr>
          </w:p>
          <w:p w14:paraId="0895C1A6" w14:textId="77777777" w:rsidR="00F7064C" w:rsidRPr="005230B4" w:rsidRDefault="00F7064C" w:rsidP="00180D73">
            <w:pPr>
              <w:spacing w:after="0" w:line="240" w:lineRule="auto"/>
              <w:jc w:val="right"/>
              <w:rPr>
                <w:rFonts w:eastAsia="Calibri"/>
                <w:sz w:val="20"/>
                <w:szCs w:val="20"/>
              </w:rPr>
            </w:pPr>
          </w:p>
          <w:p w14:paraId="7432B366" w14:textId="77777777" w:rsidR="00F7064C" w:rsidRPr="005230B4" w:rsidRDefault="00F7064C" w:rsidP="00180D73">
            <w:pPr>
              <w:spacing w:after="0" w:line="240" w:lineRule="auto"/>
              <w:jc w:val="right"/>
              <w:rPr>
                <w:rFonts w:eastAsia="Calibri"/>
                <w:sz w:val="20"/>
                <w:szCs w:val="20"/>
              </w:rPr>
            </w:pPr>
          </w:p>
          <w:p w14:paraId="581955CD" w14:textId="7DA415C6" w:rsidR="00F7064C" w:rsidRPr="005230B4" w:rsidRDefault="00DE7503" w:rsidP="00180D73">
            <w:pPr>
              <w:spacing w:after="0" w:line="240" w:lineRule="auto"/>
              <w:jc w:val="right"/>
              <w:rPr>
                <w:rFonts w:eastAsia="Calibri"/>
                <w:sz w:val="20"/>
                <w:szCs w:val="20"/>
              </w:rPr>
            </w:pPr>
            <w:r w:rsidRPr="005230B4">
              <w:rPr>
                <w:rFonts w:eastAsia="Calibri"/>
                <w:sz w:val="20"/>
                <w:szCs w:val="20"/>
              </w:rPr>
              <w:t>1</w:t>
            </w:r>
            <w:r w:rsidR="00F7064C" w:rsidRPr="005230B4">
              <w:rPr>
                <w:rFonts w:eastAsia="Calibri"/>
                <w:sz w:val="20"/>
                <w:szCs w:val="20"/>
              </w:rPr>
              <w:t>0</w:t>
            </w:r>
            <w:r w:rsidRPr="005230B4">
              <w:rPr>
                <w:rFonts w:eastAsia="Calibri"/>
                <w:sz w:val="20"/>
                <w:szCs w:val="20"/>
              </w:rPr>
              <w:t>,586,007</w:t>
            </w:r>
          </w:p>
          <w:p w14:paraId="5EFD7C27" w14:textId="53A1CA5A" w:rsidR="00F7064C" w:rsidRPr="005230B4" w:rsidRDefault="00DE7503" w:rsidP="00180D73">
            <w:pPr>
              <w:spacing w:after="0" w:line="240" w:lineRule="auto"/>
              <w:jc w:val="right"/>
              <w:rPr>
                <w:rFonts w:eastAsia="Calibri"/>
                <w:sz w:val="20"/>
                <w:szCs w:val="20"/>
              </w:rPr>
            </w:pPr>
            <w:r w:rsidRPr="005230B4">
              <w:rPr>
                <w:rFonts w:eastAsia="Calibri"/>
                <w:sz w:val="20"/>
                <w:szCs w:val="20"/>
              </w:rPr>
              <w:t>1</w:t>
            </w:r>
            <w:r w:rsidR="00F7064C" w:rsidRPr="005230B4">
              <w:rPr>
                <w:rFonts w:eastAsia="Calibri"/>
                <w:sz w:val="20"/>
                <w:szCs w:val="20"/>
              </w:rPr>
              <w:t>0</w:t>
            </w:r>
            <w:r w:rsidRPr="005230B4">
              <w:rPr>
                <w:rFonts w:eastAsia="Calibri"/>
                <w:sz w:val="20"/>
                <w:szCs w:val="20"/>
              </w:rPr>
              <w:t>,097,656</w:t>
            </w:r>
          </w:p>
          <w:p w14:paraId="761AF5C8" w14:textId="77777777" w:rsidR="00F7064C" w:rsidRPr="005230B4" w:rsidRDefault="00F7064C" w:rsidP="004B2A0C">
            <w:pPr>
              <w:spacing w:after="0" w:line="240" w:lineRule="auto"/>
              <w:rPr>
                <w:rFonts w:eastAsia="Calibri"/>
                <w:b/>
                <w:sz w:val="20"/>
                <w:szCs w:val="20"/>
              </w:rPr>
            </w:pPr>
          </w:p>
          <w:p w14:paraId="0422E7E4" w14:textId="77777777" w:rsidR="00D12B70" w:rsidRPr="005230B4" w:rsidRDefault="00D12B70" w:rsidP="004B2A0C">
            <w:pPr>
              <w:spacing w:after="0" w:line="240" w:lineRule="auto"/>
              <w:rPr>
                <w:rFonts w:eastAsia="Calibri"/>
                <w:b/>
                <w:sz w:val="20"/>
                <w:szCs w:val="20"/>
              </w:rPr>
            </w:pPr>
          </w:p>
          <w:p w14:paraId="34A6F471" w14:textId="77777777" w:rsidR="00D12B70" w:rsidRDefault="00D12B70" w:rsidP="004B2A0C">
            <w:pPr>
              <w:spacing w:after="0" w:line="240" w:lineRule="auto"/>
              <w:rPr>
                <w:rFonts w:eastAsia="Calibri"/>
                <w:b/>
                <w:sz w:val="20"/>
                <w:szCs w:val="20"/>
              </w:rPr>
            </w:pPr>
          </w:p>
          <w:p w14:paraId="76E9B2D0" w14:textId="77777777" w:rsidR="00F7064C" w:rsidRPr="005230B4" w:rsidRDefault="004B2A0C" w:rsidP="00AC7FF6">
            <w:pPr>
              <w:spacing w:after="0" w:line="240" w:lineRule="auto"/>
              <w:jc w:val="right"/>
              <w:rPr>
                <w:rFonts w:eastAsia="Calibri"/>
                <w:sz w:val="20"/>
                <w:szCs w:val="20"/>
              </w:rPr>
            </w:pPr>
            <w:r w:rsidRPr="005230B4">
              <w:rPr>
                <w:rFonts w:eastAsia="Calibri"/>
                <w:sz w:val="20"/>
                <w:szCs w:val="20"/>
              </w:rPr>
              <w:t>1,</w:t>
            </w:r>
            <w:r w:rsidR="00AC7FF6" w:rsidRPr="005230B4">
              <w:rPr>
                <w:rFonts w:eastAsia="Calibri"/>
                <w:sz w:val="20"/>
                <w:szCs w:val="20"/>
              </w:rPr>
              <w:t>376,885</w:t>
            </w:r>
          </w:p>
          <w:p w14:paraId="46C7E8B4" w14:textId="7E7DD683" w:rsidR="009D2BE4" w:rsidRPr="005230B4" w:rsidRDefault="009D2BE4" w:rsidP="00AC7FF6">
            <w:pPr>
              <w:spacing w:after="0" w:line="240" w:lineRule="auto"/>
              <w:jc w:val="right"/>
              <w:rPr>
                <w:rFonts w:eastAsia="Calibri"/>
                <w:sz w:val="20"/>
                <w:szCs w:val="20"/>
              </w:rPr>
            </w:pPr>
            <w:r w:rsidRPr="005230B4">
              <w:rPr>
                <w:rFonts w:eastAsia="Calibri"/>
                <w:sz w:val="20"/>
                <w:szCs w:val="20"/>
              </w:rPr>
              <w:t>(total people)</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7E370CC4" w14:textId="77777777" w:rsidR="00F7064C" w:rsidRPr="005230B4" w:rsidRDefault="00F7064C" w:rsidP="00180D73">
            <w:pPr>
              <w:spacing w:after="0" w:line="240" w:lineRule="auto"/>
              <w:jc w:val="right"/>
              <w:rPr>
                <w:rFonts w:eastAsia="Calibri"/>
                <w:sz w:val="20"/>
                <w:szCs w:val="20"/>
              </w:rPr>
            </w:pPr>
          </w:p>
          <w:p w14:paraId="20F1C812" w14:textId="77777777" w:rsidR="00F7064C" w:rsidRPr="005230B4" w:rsidRDefault="00F7064C" w:rsidP="00180D73">
            <w:pPr>
              <w:spacing w:after="0" w:line="240" w:lineRule="auto"/>
              <w:jc w:val="right"/>
              <w:rPr>
                <w:rFonts w:eastAsia="Calibri"/>
                <w:sz w:val="20"/>
                <w:szCs w:val="20"/>
              </w:rPr>
            </w:pPr>
          </w:p>
          <w:p w14:paraId="76952098" w14:textId="77777777" w:rsidR="00F7064C" w:rsidRPr="005230B4" w:rsidRDefault="00F7064C" w:rsidP="00180D73">
            <w:pPr>
              <w:spacing w:after="0" w:line="240" w:lineRule="auto"/>
              <w:jc w:val="right"/>
              <w:rPr>
                <w:rFonts w:eastAsia="Calibri"/>
                <w:sz w:val="20"/>
                <w:szCs w:val="20"/>
              </w:rPr>
            </w:pPr>
          </w:p>
          <w:p w14:paraId="5210610D" w14:textId="125D5F59" w:rsidR="00F7064C" w:rsidRPr="005230B4" w:rsidRDefault="00F7064C" w:rsidP="00180D73">
            <w:pPr>
              <w:spacing w:after="0" w:line="240" w:lineRule="auto"/>
              <w:jc w:val="right"/>
              <w:rPr>
                <w:rFonts w:eastAsia="Calibri"/>
                <w:sz w:val="20"/>
                <w:szCs w:val="20"/>
              </w:rPr>
            </w:pPr>
            <w:r w:rsidRPr="005230B4">
              <w:rPr>
                <w:rFonts w:eastAsia="Calibri"/>
                <w:sz w:val="20"/>
                <w:szCs w:val="20"/>
              </w:rPr>
              <w:t>11</w:t>
            </w:r>
            <w:r w:rsidR="00DE7503" w:rsidRPr="005230B4">
              <w:rPr>
                <w:rFonts w:eastAsia="Calibri"/>
                <w:sz w:val="20"/>
                <w:szCs w:val="20"/>
              </w:rPr>
              <w:t>,600</w:t>
            </w:r>
            <w:r w:rsidRPr="005230B4">
              <w:rPr>
                <w:rFonts w:eastAsia="Calibri"/>
                <w:sz w:val="20"/>
                <w:szCs w:val="20"/>
              </w:rPr>
              <w:t>,</w:t>
            </w:r>
            <w:r w:rsidR="00DE7503" w:rsidRPr="005230B4">
              <w:rPr>
                <w:rFonts w:eastAsia="Calibri"/>
                <w:sz w:val="20"/>
                <w:szCs w:val="20"/>
              </w:rPr>
              <w:t>023</w:t>
            </w:r>
          </w:p>
          <w:p w14:paraId="5968170C" w14:textId="1676DF91" w:rsidR="00F7064C" w:rsidRPr="005230B4" w:rsidRDefault="00F7064C" w:rsidP="00180D73">
            <w:pPr>
              <w:spacing w:after="0" w:line="240" w:lineRule="auto"/>
              <w:jc w:val="right"/>
              <w:rPr>
                <w:rFonts w:eastAsia="Calibri"/>
                <w:sz w:val="20"/>
                <w:szCs w:val="20"/>
              </w:rPr>
            </w:pPr>
            <w:r w:rsidRPr="005230B4">
              <w:rPr>
                <w:rFonts w:eastAsia="Calibri"/>
                <w:sz w:val="20"/>
                <w:szCs w:val="20"/>
              </w:rPr>
              <w:t>1</w:t>
            </w:r>
            <w:r w:rsidR="00DE7503" w:rsidRPr="005230B4">
              <w:rPr>
                <w:rFonts w:eastAsia="Calibri"/>
                <w:sz w:val="20"/>
                <w:szCs w:val="20"/>
              </w:rPr>
              <w:t>1</w:t>
            </w:r>
            <w:r w:rsidRPr="005230B4">
              <w:rPr>
                <w:rFonts w:eastAsia="Calibri"/>
                <w:sz w:val="20"/>
                <w:szCs w:val="20"/>
              </w:rPr>
              <w:t>,4</w:t>
            </w:r>
            <w:r w:rsidR="00DE7503" w:rsidRPr="005230B4">
              <w:rPr>
                <w:rFonts w:eastAsia="Calibri"/>
                <w:sz w:val="20"/>
                <w:szCs w:val="20"/>
              </w:rPr>
              <w:t>54</w:t>
            </w:r>
            <w:r w:rsidRPr="005230B4">
              <w:rPr>
                <w:rFonts w:eastAsia="Calibri"/>
                <w:sz w:val="20"/>
                <w:szCs w:val="20"/>
              </w:rPr>
              <w:t>,</w:t>
            </w:r>
            <w:r w:rsidR="00DE7503" w:rsidRPr="005230B4">
              <w:rPr>
                <w:rFonts w:eastAsia="Calibri"/>
                <w:sz w:val="20"/>
                <w:szCs w:val="20"/>
              </w:rPr>
              <w:t>832</w:t>
            </w:r>
          </w:p>
          <w:p w14:paraId="094913B6" w14:textId="77777777" w:rsidR="00F7064C" w:rsidRPr="005230B4" w:rsidRDefault="00F7064C" w:rsidP="00180D73">
            <w:pPr>
              <w:spacing w:after="0" w:line="240" w:lineRule="auto"/>
              <w:jc w:val="right"/>
              <w:rPr>
                <w:rFonts w:eastAsia="Calibri"/>
                <w:sz w:val="20"/>
                <w:szCs w:val="20"/>
              </w:rPr>
            </w:pPr>
          </w:p>
          <w:p w14:paraId="69B3E00B" w14:textId="77777777" w:rsidR="00D12B70" w:rsidRPr="005230B4" w:rsidRDefault="00D12B70" w:rsidP="00180D73">
            <w:pPr>
              <w:spacing w:after="0" w:line="240" w:lineRule="auto"/>
              <w:jc w:val="right"/>
              <w:rPr>
                <w:rFonts w:eastAsia="Calibri"/>
                <w:sz w:val="20"/>
                <w:szCs w:val="20"/>
              </w:rPr>
            </w:pPr>
          </w:p>
          <w:p w14:paraId="4A26CB1A" w14:textId="77777777" w:rsidR="00D12B70" w:rsidRDefault="00D12B70" w:rsidP="00180D73">
            <w:pPr>
              <w:spacing w:after="0" w:line="240" w:lineRule="auto"/>
              <w:jc w:val="right"/>
              <w:rPr>
                <w:rFonts w:eastAsia="Calibri"/>
                <w:sz w:val="20"/>
                <w:szCs w:val="20"/>
              </w:rPr>
            </w:pPr>
          </w:p>
          <w:p w14:paraId="3C9B50A8" w14:textId="2A41770B" w:rsidR="00F7064C" w:rsidRPr="005230B4" w:rsidRDefault="000658A0" w:rsidP="00FB69C1">
            <w:pPr>
              <w:spacing w:after="0" w:line="240" w:lineRule="auto"/>
              <w:jc w:val="right"/>
              <w:rPr>
                <w:rFonts w:eastAsia="Calibri"/>
                <w:sz w:val="20"/>
                <w:szCs w:val="20"/>
              </w:rPr>
            </w:pPr>
            <w:r w:rsidRPr="005230B4">
              <w:rPr>
                <w:rFonts w:eastAsia="Calibri"/>
                <w:sz w:val="20"/>
                <w:szCs w:val="20"/>
              </w:rPr>
              <w:t>1,400,000</w:t>
            </w:r>
          </w:p>
          <w:p w14:paraId="1D347BAF" w14:textId="2D721A9E" w:rsidR="009D2BE4" w:rsidRPr="005230B4" w:rsidRDefault="009D2BE4" w:rsidP="00FB69C1">
            <w:pPr>
              <w:spacing w:after="0" w:line="240" w:lineRule="auto"/>
              <w:jc w:val="right"/>
              <w:rPr>
                <w:rFonts w:eastAsia="Calibri"/>
                <w:sz w:val="20"/>
                <w:szCs w:val="20"/>
              </w:rPr>
            </w:pPr>
            <w:r w:rsidRPr="005230B4">
              <w:rPr>
                <w:rFonts w:eastAsia="Calibri"/>
                <w:sz w:val="20"/>
                <w:szCs w:val="20"/>
              </w:rPr>
              <w:t>(total people)</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01799A7B" w14:textId="2D0819E9" w:rsidR="00F7064C" w:rsidRPr="005230B4" w:rsidRDefault="00F7064C" w:rsidP="00180D73">
            <w:pPr>
              <w:spacing w:after="0" w:line="240" w:lineRule="auto"/>
              <w:jc w:val="right"/>
              <w:rPr>
                <w:rFonts w:eastAsia="Calibri"/>
                <w:sz w:val="20"/>
                <w:szCs w:val="20"/>
              </w:rPr>
            </w:pPr>
          </w:p>
          <w:p w14:paraId="51FF1F7A" w14:textId="77777777" w:rsidR="00F7064C" w:rsidRPr="005230B4" w:rsidRDefault="00F7064C" w:rsidP="00180D73">
            <w:pPr>
              <w:spacing w:after="0" w:line="240" w:lineRule="auto"/>
              <w:jc w:val="right"/>
              <w:rPr>
                <w:rFonts w:eastAsia="Calibri"/>
                <w:sz w:val="20"/>
                <w:szCs w:val="20"/>
              </w:rPr>
            </w:pPr>
          </w:p>
          <w:p w14:paraId="7221D63C" w14:textId="77777777" w:rsidR="004B2A0C" w:rsidRPr="005230B4" w:rsidRDefault="004B2A0C" w:rsidP="00180D73">
            <w:pPr>
              <w:spacing w:after="0" w:line="240" w:lineRule="auto"/>
              <w:jc w:val="right"/>
              <w:rPr>
                <w:rFonts w:eastAsia="Calibri"/>
                <w:sz w:val="20"/>
                <w:szCs w:val="20"/>
              </w:rPr>
            </w:pPr>
          </w:p>
          <w:p w14:paraId="74F738A5" w14:textId="33238F77" w:rsidR="004B2A0C" w:rsidRPr="005230B4" w:rsidRDefault="004B2A0C" w:rsidP="00180D73">
            <w:pPr>
              <w:spacing w:after="0" w:line="240" w:lineRule="auto"/>
              <w:jc w:val="right"/>
              <w:rPr>
                <w:rFonts w:eastAsia="Calibri"/>
                <w:sz w:val="20"/>
                <w:szCs w:val="20"/>
              </w:rPr>
            </w:pPr>
            <w:r w:rsidRPr="005230B4">
              <w:rPr>
                <w:rFonts w:eastAsia="Calibri"/>
                <w:sz w:val="20"/>
                <w:szCs w:val="20"/>
              </w:rPr>
              <w:t>10,6</w:t>
            </w:r>
            <w:r w:rsidR="0061160C" w:rsidRPr="005230B4">
              <w:rPr>
                <w:rFonts w:eastAsia="Calibri"/>
                <w:sz w:val="20"/>
                <w:szCs w:val="20"/>
              </w:rPr>
              <w:t>94</w:t>
            </w:r>
            <w:r w:rsidRPr="005230B4">
              <w:rPr>
                <w:rFonts w:eastAsia="Calibri"/>
                <w:sz w:val="20"/>
                <w:szCs w:val="20"/>
              </w:rPr>
              <w:t>,</w:t>
            </w:r>
            <w:r w:rsidR="0061160C" w:rsidRPr="005230B4">
              <w:rPr>
                <w:rFonts w:eastAsia="Calibri"/>
                <w:sz w:val="20"/>
                <w:szCs w:val="20"/>
              </w:rPr>
              <w:t>870</w:t>
            </w:r>
            <w:r w:rsidR="00FB69C1" w:rsidRPr="005230B4">
              <w:rPr>
                <w:rFonts w:eastAsia="Calibri"/>
                <w:sz w:val="20"/>
                <w:szCs w:val="20"/>
              </w:rPr>
              <w:t>*</w:t>
            </w:r>
          </w:p>
          <w:p w14:paraId="279B7355" w14:textId="1410CC54" w:rsidR="004B2A0C" w:rsidRPr="005230B4" w:rsidRDefault="004B2A0C" w:rsidP="00180D73">
            <w:pPr>
              <w:spacing w:after="0" w:line="240" w:lineRule="auto"/>
              <w:jc w:val="right"/>
              <w:rPr>
                <w:rFonts w:eastAsia="Calibri"/>
                <w:sz w:val="20"/>
                <w:szCs w:val="20"/>
              </w:rPr>
            </w:pPr>
            <w:r w:rsidRPr="005230B4">
              <w:rPr>
                <w:rFonts w:eastAsia="Calibri"/>
                <w:sz w:val="20"/>
                <w:szCs w:val="20"/>
              </w:rPr>
              <w:t>9,6</w:t>
            </w:r>
            <w:r w:rsidR="0061160C" w:rsidRPr="005230B4">
              <w:rPr>
                <w:rFonts w:eastAsia="Calibri"/>
                <w:sz w:val="20"/>
                <w:szCs w:val="20"/>
              </w:rPr>
              <w:t>45</w:t>
            </w:r>
            <w:r w:rsidRPr="005230B4">
              <w:rPr>
                <w:rFonts w:eastAsia="Calibri"/>
                <w:sz w:val="20"/>
                <w:szCs w:val="20"/>
              </w:rPr>
              <w:t>,</w:t>
            </w:r>
            <w:r w:rsidR="0061160C" w:rsidRPr="005230B4">
              <w:rPr>
                <w:rFonts w:eastAsia="Calibri"/>
                <w:sz w:val="20"/>
                <w:szCs w:val="20"/>
              </w:rPr>
              <w:t>756</w:t>
            </w:r>
            <w:r w:rsidR="00FB69C1" w:rsidRPr="005230B4">
              <w:rPr>
                <w:rFonts w:eastAsia="Calibri"/>
                <w:sz w:val="20"/>
                <w:szCs w:val="20"/>
              </w:rPr>
              <w:t>*</w:t>
            </w:r>
          </w:p>
          <w:p w14:paraId="11A44D9D" w14:textId="77777777" w:rsidR="004B2A0C" w:rsidRPr="005230B4" w:rsidRDefault="004B2A0C" w:rsidP="00180D73">
            <w:pPr>
              <w:spacing w:after="0" w:line="240" w:lineRule="auto"/>
              <w:jc w:val="right"/>
              <w:rPr>
                <w:rFonts w:eastAsia="Calibri"/>
                <w:sz w:val="20"/>
                <w:szCs w:val="20"/>
              </w:rPr>
            </w:pPr>
          </w:p>
          <w:p w14:paraId="04D13A3D" w14:textId="77777777" w:rsidR="00D12B70" w:rsidRPr="005230B4" w:rsidRDefault="00D12B70" w:rsidP="00180D73">
            <w:pPr>
              <w:spacing w:after="0" w:line="240" w:lineRule="auto"/>
              <w:jc w:val="right"/>
              <w:rPr>
                <w:rFonts w:eastAsia="Calibri"/>
                <w:sz w:val="20"/>
                <w:szCs w:val="20"/>
              </w:rPr>
            </w:pPr>
          </w:p>
          <w:p w14:paraId="5D4D4E63" w14:textId="77777777" w:rsidR="00A10A47" w:rsidRPr="005230B4" w:rsidRDefault="00A10A47" w:rsidP="00180D73">
            <w:pPr>
              <w:spacing w:after="0" w:line="240" w:lineRule="auto"/>
              <w:jc w:val="right"/>
              <w:rPr>
                <w:rFonts w:eastAsia="Calibri"/>
                <w:sz w:val="20"/>
                <w:szCs w:val="20"/>
              </w:rPr>
            </w:pPr>
          </w:p>
          <w:p w14:paraId="2B3E5F56" w14:textId="70355BD7" w:rsidR="004A646D" w:rsidRPr="005230B4" w:rsidRDefault="004A646D" w:rsidP="004A646D">
            <w:pPr>
              <w:spacing w:after="0" w:line="240" w:lineRule="auto"/>
              <w:jc w:val="right"/>
              <w:rPr>
                <w:rFonts w:eastAsia="Calibri"/>
                <w:sz w:val="20"/>
                <w:szCs w:val="20"/>
              </w:rPr>
            </w:pPr>
            <w:r w:rsidRPr="005230B4">
              <w:rPr>
                <w:rFonts w:eastAsia="Calibri"/>
                <w:sz w:val="20"/>
                <w:szCs w:val="20"/>
              </w:rPr>
              <w:t>1,400,000*</w:t>
            </w:r>
          </w:p>
          <w:p w14:paraId="25FEFA90" w14:textId="22C1E346" w:rsidR="00FB69C1" w:rsidRPr="005230B4" w:rsidRDefault="004A646D" w:rsidP="00180D73">
            <w:pPr>
              <w:spacing w:after="0" w:line="240" w:lineRule="auto"/>
              <w:jc w:val="right"/>
              <w:rPr>
                <w:rFonts w:eastAsia="Calibri"/>
                <w:sz w:val="20"/>
                <w:szCs w:val="20"/>
              </w:rPr>
            </w:pPr>
            <w:r w:rsidRPr="005230B4">
              <w:rPr>
                <w:rFonts w:eastAsia="Calibri"/>
                <w:sz w:val="20"/>
                <w:szCs w:val="20"/>
              </w:rPr>
              <w:t>(total people)</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1DF2268" w14:textId="77777777" w:rsidR="00F7064C" w:rsidRPr="002713BB" w:rsidRDefault="00F7064C" w:rsidP="00180D73">
            <w:pPr>
              <w:spacing w:after="0" w:line="240" w:lineRule="auto"/>
              <w:jc w:val="right"/>
              <w:rPr>
                <w:rFonts w:eastAsia="Calibri"/>
                <w:sz w:val="20"/>
                <w:szCs w:val="20"/>
              </w:rPr>
            </w:pPr>
          </w:p>
          <w:p w14:paraId="2837BD2F" w14:textId="77777777" w:rsidR="00F7064C" w:rsidRPr="002713BB" w:rsidRDefault="00F7064C" w:rsidP="00180D73">
            <w:pPr>
              <w:spacing w:after="0" w:line="240" w:lineRule="auto"/>
              <w:jc w:val="right"/>
              <w:rPr>
                <w:rFonts w:eastAsia="Calibri"/>
                <w:sz w:val="20"/>
                <w:szCs w:val="20"/>
              </w:rPr>
            </w:pPr>
          </w:p>
          <w:p w14:paraId="7D617FE6" w14:textId="77777777" w:rsidR="00F7064C" w:rsidRPr="002713BB" w:rsidRDefault="00F7064C" w:rsidP="00180D73">
            <w:pPr>
              <w:spacing w:after="0" w:line="240" w:lineRule="auto"/>
              <w:jc w:val="right"/>
              <w:rPr>
                <w:rFonts w:eastAsia="Calibri"/>
                <w:sz w:val="20"/>
                <w:szCs w:val="20"/>
              </w:rPr>
            </w:pPr>
          </w:p>
          <w:p w14:paraId="207493DE" w14:textId="2CA5ABEA" w:rsidR="00F7064C" w:rsidRPr="002713BB" w:rsidRDefault="00F7064C" w:rsidP="00180D73">
            <w:pPr>
              <w:spacing w:after="0" w:line="240" w:lineRule="auto"/>
              <w:jc w:val="right"/>
              <w:rPr>
                <w:rFonts w:eastAsia="Calibri"/>
                <w:sz w:val="20"/>
                <w:szCs w:val="20"/>
              </w:rPr>
            </w:pPr>
            <w:r w:rsidRPr="002713BB">
              <w:rPr>
                <w:rFonts w:eastAsia="Calibri"/>
                <w:sz w:val="20"/>
                <w:szCs w:val="20"/>
              </w:rPr>
              <w:t>1</w:t>
            </w:r>
            <w:r w:rsidR="004C6A1E" w:rsidRPr="002713BB">
              <w:rPr>
                <w:rFonts w:eastAsia="Calibri"/>
                <w:sz w:val="20"/>
                <w:szCs w:val="20"/>
              </w:rPr>
              <w:t>2</w:t>
            </w:r>
            <w:r w:rsidRPr="002713BB">
              <w:rPr>
                <w:rFonts w:eastAsia="Calibri"/>
                <w:sz w:val="20"/>
                <w:szCs w:val="20"/>
              </w:rPr>
              <w:t>,</w:t>
            </w:r>
            <w:r w:rsidR="004C6A1E" w:rsidRPr="002713BB">
              <w:rPr>
                <w:rFonts w:eastAsia="Calibri"/>
                <w:sz w:val="20"/>
                <w:szCs w:val="20"/>
              </w:rPr>
              <w:t>818</w:t>
            </w:r>
            <w:r w:rsidRPr="002713BB">
              <w:rPr>
                <w:rFonts w:eastAsia="Calibri"/>
                <w:sz w:val="20"/>
                <w:szCs w:val="20"/>
              </w:rPr>
              <w:t>,</w:t>
            </w:r>
            <w:r w:rsidR="004C6A1E" w:rsidRPr="002713BB">
              <w:rPr>
                <w:rFonts w:eastAsia="Calibri"/>
                <w:sz w:val="20"/>
                <w:szCs w:val="20"/>
              </w:rPr>
              <w:t>417</w:t>
            </w:r>
          </w:p>
          <w:p w14:paraId="3359621F" w14:textId="4BAF147D" w:rsidR="00F7064C" w:rsidRPr="002713BB" w:rsidRDefault="00D42438" w:rsidP="00180D73">
            <w:pPr>
              <w:spacing w:after="0" w:line="240" w:lineRule="auto"/>
              <w:jc w:val="right"/>
              <w:rPr>
                <w:rFonts w:eastAsia="Calibri"/>
                <w:sz w:val="20"/>
                <w:szCs w:val="20"/>
              </w:rPr>
            </w:pPr>
            <w:r w:rsidRPr="002713BB">
              <w:rPr>
                <w:rFonts w:eastAsia="Calibri"/>
                <w:sz w:val="20"/>
                <w:szCs w:val="20"/>
              </w:rPr>
              <w:t>1</w:t>
            </w:r>
            <w:r w:rsidR="00F7064C" w:rsidRPr="002713BB">
              <w:rPr>
                <w:rFonts w:eastAsia="Calibri"/>
                <w:sz w:val="20"/>
                <w:szCs w:val="20"/>
              </w:rPr>
              <w:t>2,</w:t>
            </w:r>
            <w:r w:rsidRPr="002713BB">
              <w:rPr>
                <w:rFonts w:eastAsia="Calibri"/>
                <w:sz w:val="20"/>
                <w:szCs w:val="20"/>
              </w:rPr>
              <w:t>166</w:t>
            </w:r>
            <w:r w:rsidR="00F7064C" w:rsidRPr="002713BB">
              <w:rPr>
                <w:rFonts w:eastAsia="Calibri"/>
                <w:sz w:val="20"/>
                <w:szCs w:val="20"/>
              </w:rPr>
              <w:t>,</w:t>
            </w:r>
            <w:r w:rsidRPr="002713BB">
              <w:rPr>
                <w:rFonts w:eastAsia="Calibri"/>
                <w:sz w:val="20"/>
                <w:szCs w:val="20"/>
              </w:rPr>
              <w:t>122</w:t>
            </w:r>
          </w:p>
          <w:p w14:paraId="07161B21" w14:textId="77777777" w:rsidR="00F7064C" w:rsidRPr="002713BB" w:rsidRDefault="00F7064C" w:rsidP="00180D73">
            <w:pPr>
              <w:spacing w:after="0" w:line="240" w:lineRule="auto"/>
              <w:jc w:val="right"/>
              <w:rPr>
                <w:rFonts w:eastAsia="Calibri"/>
                <w:b/>
                <w:sz w:val="20"/>
                <w:szCs w:val="20"/>
              </w:rPr>
            </w:pPr>
          </w:p>
          <w:p w14:paraId="3EB31E7E" w14:textId="77777777" w:rsidR="00D12B70" w:rsidRPr="002713BB" w:rsidRDefault="00D12B70" w:rsidP="00180D73">
            <w:pPr>
              <w:spacing w:after="0" w:line="240" w:lineRule="auto"/>
              <w:jc w:val="right"/>
              <w:rPr>
                <w:rFonts w:eastAsia="Calibri"/>
                <w:b/>
                <w:sz w:val="20"/>
                <w:szCs w:val="20"/>
              </w:rPr>
            </w:pPr>
          </w:p>
          <w:p w14:paraId="79C5153C" w14:textId="77777777" w:rsidR="00A10A47" w:rsidRPr="002713BB" w:rsidRDefault="00A10A47" w:rsidP="00180D73">
            <w:pPr>
              <w:spacing w:after="0" w:line="240" w:lineRule="auto"/>
              <w:jc w:val="right"/>
              <w:rPr>
                <w:rFonts w:eastAsia="Calibri"/>
                <w:b/>
                <w:sz w:val="20"/>
                <w:szCs w:val="20"/>
              </w:rPr>
            </w:pPr>
          </w:p>
          <w:p w14:paraId="7EB27E94" w14:textId="5D33BAA6" w:rsidR="00F7064C" w:rsidRPr="002713BB" w:rsidRDefault="00AC7FF6" w:rsidP="00180D73">
            <w:pPr>
              <w:spacing w:after="0" w:line="240" w:lineRule="auto"/>
              <w:jc w:val="right"/>
              <w:rPr>
                <w:rFonts w:eastAsia="Calibri"/>
                <w:sz w:val="20"/>
                <w:szCs w:val="20"/>
              </w:rPr>
            </w:pPr>
            <w:r w:rsidRPr="002713BB">
              <w:rPr>
                <w:rFonts w:eastAsia="Calibri"/>
                <w:sz w:val="20"/>
                <w:szCs w:val="20"/>
              </w:rPr>
              <w:t>TBC</w:t>
            </w:r>
          </w:p>
        </w:tc>
      </w:tr>
      <w:tr w:rsidR="002E7E06" w:rsidRPr="00A47C48" w14:paraId="00931A78" w14:textId="77777777" w:rsidTr="00E869D0">
        <w:trPr>
          <w:trHeight w:val="440"/>
          <w:jc w:val="center"/>
        </w:trPr>
        <w:tc>
          <w:tcPr>
            <w:tcW w:w="3145" w:type="dxa"/>
            <w:vMerge/>
            <w:tcBorders>
              <w:left w:val="single" w:sz="4" w:space="0" w:color="auto"/>
              <w:right w:val="single" w:sz="4" w:space="0" w:color="auto"/>
            </w:tcBorders>
            <w:shd w:val="clear" w:color="auto" w:fill="FFFFFF"/>
          </w:tcPr>
          <w:p w14:paraId="73B558B2" w14:textId="4B44FF7C" w:rsidR="002E7E06" w:rsidRPr="0000532F" w:rsidRDefault="002E7E06" w:rsidP="001A6E7D">
            <w:pPr>
              <w:spacing w:after="0" w:line="240" w:lineRule="auto"/>
              <w:rPr>
                <w:rFonts w:eastAsia="Calibri"/>
                <w:b/>
                <w:sz w:val="20"/>
              </w:rPr>
            </w:pPr>
          </w:p>
        </w:tc>
        <w:tc>
          <w:tcPr>
            <w:tcW w:w="720" w:type="dxa"/>
            <w:vMerge/>
            <w:tcBorders>
              <w:left w:val="single" w:sz="4" w:space="0" w:color="auto"/>
              <w:bottom w:val="single" w:sz="4" w:space="0" w:color="auto"/>
              <w:right w:val="single" w:sz="4" w:space="0" w:color="auto"/>
            </w:tcBorders>
            <w:shd w:val="clear" w:color="auto" w:fill="FFFFFF"/>
          </w:tcPr>
          <w:p w14:paraId="0F189FB3" w14:textId="77777777" w:rsidR="002E7E06" w:rsidRPr="0000532F" w:rsidRDefault="002E7E06" w:rsidP="001A6E7D">
            <w:pPr>
              <w:spacing w:after="0" w:line="240" w:lineRule="auto"/>
              <w:jc w:val="both"/>
              <w:rPr>
                <w:rFonts w:eastAsia="Calibri"/>
                <w:b/>
                <w:sz w:val="20"/>
              </w:rPr>
            </w:pPr>
          </w:p>
        </w:tc>
        <w:tc>
          <w:tcPr>
            <w:tcW w:w="11160" w:type="dxa"/>
            <w:gridSpan w:val="5"/>
            <w:tcBorders>
              <w:left w:val="single" w:sz="4" w:space="0" w:color="auto"/>
              <w:bottom w:val="single" w:sz="4" w:space="0" w:color="auto"/>
              <w:right w:val="single" w:sz="4" w:space="0" w:color="auto"/>
            </w:tcBorders>
            <w:shd w:val="clear" w:color="auto" w:fill="D9D9D9" w:themeFill="background1" w:themeFillShade="D9"/>
          </w:tcPr>
          <w:p w14:paraId="5A8330CB" w14:textId="3BC1D265" w:rsidR="00825911" w:rsidRPr="00A10A47" w:rsidRDefault="002E7E06" w:rsidP="00FC1B77">
            <w:pPr>
              <w:spacing w:after="0" w:line="240" w:lineRule="auto"/>
              <w:rPr>
                <w:rFonts w:eastAsia="Calibri"/>
                <w:sz w:val="18"/>
                <w:szCs w:val="18"/>
              </w:rPr>
            </w:pPr>
            <w:r w:rsidRPr="00A10A47">
              <w:rPr>
                <w:rFonts w:ascii="Calibri" w:eastAsia="Calibri" w:hAnsi="Calibri" w:cs="Times New Roman"/>
                <w:b/>
                <w:sz w:val="18"/>
                <w:szCs w:val="18"/>
                <w:lang w:eastAsia="en-US"/>
              </w:rPr>
              <w:t>Indicator 3.3.1</w:t>
            </w:r>
            <w:r w:rsidR="002E773B" w:rsidRPr="00A10A47">
              <w:rPr>
                <w:rFonts w:ascii="Calibri" w:eastAsia="Calibri" w:hAnsi="Calibri" w:cs="Times New Roman"/>
                <w:b/>
                <w:sz w:val="18"/>
                <w:szCs w:val="18"/>
                <w:lang w:eastAsia="en-US"/>
              </w:rPr>
              <w:t>.a</w:t>
            </w:r>
            <w:r w:rsidRPr="00A10A47">
              <w:rPr>
                <w:rFonts w:ascii="Calibri" w:eastAsia="Calibri" w:hAnsi="Calibri" w:cs="Times New Roman"/>
                <w:b/>
                <w:sz w:val="18"/>
                <w:szCs w:val="18"/>
                <w:lang w:eastAsia="en-US"/>
              </w:rPr>
              <w:t xml:space="preserve"> Note: </w:t>
            </w:r>
            <w:r w:rsidRPr="00A10A47">
              <w:rPr>
                <w:rFonts w:ascii="Calibri" w:eastAsia="Calibri" w:hAnsi="Calibri" w:cs="Times New Roman"/>
                <w:sz w:val="18"/>
                <w:szCs w:val="18"/>
                <w:lang w:eastAsia="en-US"/>
              </w:rPr>
              <w:t>T</w:t>
            </w:r>
            <w:r w:rsidRPr="00A10A47">
              <w:rPr>
                <w:rFonts w:eastAsia="Calibri"/>
                <w:sz w:val="18"/>
                <w:szCs w:val="18"/>
              </w:rPr>
              <w:t xml:space="preserve">racks the number of people that, with UNDP support (on demand </w:t>
            </w:r>
            <w:r w:rsidRPr="00A10A47">
              <w:rPr>
                <w:sz w:val="18"/>
                <w:szCs w:val="18"/>
              </w:rPr>
              <w:t>from programme countries</w:t>
            </w:r>
            <w:r w:rsidRPr="00A10A47">
              <w:rPr>
                <w:rFonts w:eastAsia="Calibri"/>
                <w:sz w:val="18"/>
                <w:szCs w:val="18"/>
              </w:rPr>
              <w:t xml:space="preserve">), </w:t>
            </w:r>
            <w:r w:rsidR="008B522E" w:rsidRPr="00A10A47">
              <w:rPr>
                <w:rFonts w:eastAsia="Calibri"/>
                <w:sz w:val="18"/>
                <w:szCs w:val="18"/>
              </w:rPr>
              <w:t>were reached with</w:t>
            </w:r>
            <w:r w:rsidRPr="00A10A47">
              <w:rPr>
                <w:rFonts w:eastAsia="Calibri"/>
                <w:sz w:val="18"/>
                <w:szCs w:val="18"/>
              </w:rPr>
              <w:t xml:space="preserve"> HIV-related behavioral change communication. Disaggregated data is provided where it is available</w:t>
            </w:r>
            <w:r w:rsidR="00DB2107" w:rsidRPr="00A10A47">
              <w:rPr>
                <w:rFonts w:eastAsia="Calibri"/>
                <w:sz w:val="18"/>
                <w:szCs w:val="18"/>
              </w:rPr>
              <w:t>.</w:t>
            </w:r>
            <w:r w:rsidRPr="00A10A47">
              <w:rPr>
                <w:rFonts w:eastAsia="Calibri"/>
                <w:sz w:val="18"/>
                <w:szCs w:val="18"/>
              </w:rPr>
              <w:t xml:space="preserve"> </w:t>
            </w:r>
            <w:r w:rsidR="00DB2107" w:rsidRPr="00A10A47">
              <w:rPr>
                <w:rFonts w:eastAsia="Calibri"/>
                <w:sz w:val="18"/>
                <w:szCs w:val="18"/>
              </w:rPr>
              <w:t>A</w:t>
            </w:r>
            <w:r w:rsidRPr="00A10A47">
              <w:rPr>
                <w:rFonts w:eastAsia="Calibri"/>
                <w:sz w:val="18"/>
                <w:szCs w:val="18"/>
              </w:rPr>
              <w:t xml:space="preserve">n </w:t>
            </w:r>
            <w:r w:rsidRPr="00A10A47">
              <w:rPr>
                <w:rFonts w:eastAsia="Calibri"/>
                <w:b/>
                <w:sz w:val="18"/>
                <w:szCs w:val="18"/>
              </w:rPr>
              <w:t xml:space="preserve">additional </w:t>
            </w:r>
            <w:r w:rsidR="009C44CE" w:rsidRPr="00A10A47">
              <w:rPr>
                <w:rFonts w:eastAsia="Calibri"/>
                <w:b/>
                <w:sz w:val="18"/>
                <w:szCs w:val="18"/>
              </w:rPr>
              <w:t>1,757,652</w:t>
            </w:r>
            <w:r w:rsidRPr="00A10A47">
              <w:rPr>
                <w:rFonts w:eastAsia="Calibri"/>
                <w:b/>
                <w:sz w:val="18"/>
                <w:szCs w:val="18"/>
              </w:rPr>
              <w:t xml:space="preserve"> people</w:t>
            </w:r>
            <w:r w:rsidRPr="00A10A47">
              <w:rPr>
                <w:rFonts w:eastAsia="Calibri"/>
                <w:sz w:val="18"/>
                <w:szCs w:val="18"/>
              </w:rPr>
              <w:t xml:space="preserve"> </w:t>
            </w:r>
            <w:r w:rsidR="009C44CE" w:rsidRPr="00A10A47">
              <w:rPr>
                <w:rFonts w:eastAsia="Calibri"/>
                <w:sz w:val="18"/>
                <w:szCs w:val="18"/>
              </w:rPr>
              <w:t xml:space="preserve">were reached with </w:t>
            </w:r>
            <w:r w:rsidRPr="00A10A47">
              <w:rPr>
                <w:rFonts w:eastAsia="Calibri"/>
                <w:sz w:val="18"/>
                <w:szCs w:val="18"/>
              </w:rPr>
              <w:t xml:space="preserve">behavioral change communication </w:t>
            </w:r>
            <w:r w:rsidR="009C44CE" w:rsidRPr="00A10A47">
              <w:rPr>
                <w:rFonts w:eastAsia="Calibri"/>
                <w:sz w:val="18"/>
                <w:szCs w:val="18"/>
              </w:rPr>
              <w:t>in 2014 for which sex disaggregation is not available</w:t>
            </w:r>
            <w:r w:rsidR="00AA2673" w:rsidRPr="00A10A47">
              <w:rPr>
                <w:rFonts w:eastAsia="Calibri"/>
                <w:sz w:val="18"/>
                <w:szCs w:val="18"/>
              </w:rPr>
              <w:t xml:space="preserve"> (based on 2014 data currently available)</w:t>
            </w:r>
            <w:r w:rsidRPr="00A10A47">
              <w:rPr>
                <w:rFonts w:eastAsia="Calibri"/>
                <w:sz w:val="18"/>
                <w:szCs w:val="18"/>
              </w:rPr>
              <w:t xml:space="preserve">. Figures reported here </w:t>
            </w:r>
            <w:r w:rsidR="002859EE" w:rsidRPr="00A10A47">
              <w:rPr>
                <w:rFonts w:eastAsia="Calibri"/>
                <w:sz w:val="18"/>
                <w:szCs w:val="18"/>
              </w:rPr>
              <w:t>are not expected to</w:t>
            </w:r>
            <w:r w:rsidRPr="00A10A47">
              <w:rPr>
                <w:rFonts w:eastAsia="Calibri"/>
                <w:sz w:val="18"/>
                <w:szCs w:val="18"/>
              </w:rPr>
              <w:t xml:space="preserve"> match those reported through the Global Fund portfolio, as not all countries where UNDP is an interim Principal Recipient have linked to this ou</w:t>
            </w:r>
            <w:r w:rsidR="007927B0" w:rsidRPr="00A10A47">
              <w:rPr>
                <w:rFonts w:eastAsia="Calibri"/>
                <w:sz w:val="18"/>
                <w:szCs w:val="18"/>
              </w:rPr>
              <w:t>tput</w:t>
            </w:r>
            <w:r w:rsidR="001C749C" w:rsidRPr="00A10A47">
              <w:rPr>
                <w:rFonts w:eastAsia="Calibri"/>
                <w:sz w:val="18"/>
                <w:szCs w:val="18"/>
              </w:rPr>
              <w:t xml:space="preserve">, and UNDP also provides support for behavioral change communication outside the </w:t>
            </w:r>
            <w:r w:rsidR="00A10A47" w:rsidRPr="00A10A47">
              <w:rPr>
                <w:rFonts w:eastAsia="Calibri"/>
                <w:sz w:val="18"/>
                <w:szCs w:val="18"/>
              </w:rPr>
              <w:t>scope of Global Fund projects.</w:t>
            </w:r>
          </w:p>
          <w:p w14:paraId="1125E479" w14:textId="71634E1F" w:rsidR="007D29C1" w:rsidRPr="00A10A47" w:rsidRDefault="007D29C1" w:rsidP="00DE7503">
            <w:pPr>
              <w:spacing w:after="0" w:line="240" w:lineRule="auto"/>
              <w:rPr>
                <w:rFonts w:eastAsia="Calibri"/>
                <w:sz w:val="18"/>
                <w:szCs w:val="18"/>
              </w:rPr>
            </w:pPr>
            <w:r w:rsidRPr="00A10A47">
              <w:rPr>
                <w:rFonts w:ascii="Calibri" w:eastAsia="Calibri" w:hAnsi="Calibri"/>
                <w:b/>
                <w:sz w:val="18"/>
                <w:szCs w:val="18"/>
              </w:rPr>
              <w:t>2014 Reporting Note:</w:t>
            </w:r>
            <w:r w:rsidRPr="00A10A47">
              <w:rPr>
                <w:rFonts w:ascii="Calibri" w:eastAsia="Calibri" w:hAnsi="Calibri"/>
                <w:sz w:val="18"/>
                <w:szCs w:val="18"/>
              </w:rPr>
              <w:t xml:space="preserve"> </w:t>
            </w:r>
            <w:r w:rsidR="002859EE" w:rsidRPr="00A10A47">
              <w:rPr>
                <w:rFonts w:ascii="Calibri" w:eastAsia="Calibri" w:hAnsi="Calibri"/>
                <w:sz w:val="18"/>
                <w:szCs w:val="18"/>
              </w:rPr>
              <w:t xml:space="preserve">Indicator specification was </w:t>
            </w:r>
            <w:r w:rsidR="002859EE" w:rsidRPr="00E35D4F">
              <w:rPr>
                <w:rFonts w:ascii="Calibri" w:eastAsia="Calibri" w:hAnsi="Calibri"/>
                <w:sz w:val="18"/>
                <w:szCs w:val="18"/>
                <w:u w:val="single"/>
              </w:rPr>
              <w:t>revised</w:t>
            </w:r>
            <w:r w:rsidR="002859EE" w:rsidRPr="00A10A47">
              <w:rPr>
                <w:rFonts w:ascii="Calibri" w:eastAsia="Calibri" w:hAnsi="Calibri"/>
                <w:sz w:val="18"/>
                <w:szCs w:val="18"/>
              </w:rPr>
              <w:t>, along with b</w:t>
            </w:r>
            <w:r w:rsidRPr="00A10A47">
              <w:rPr>
                <w:rFonts w:ascii="Calibri" w:eastAsia="Calibri" w:hAnsi="Calibri"/>
                <w:sz w:val="18"/>
                <w:szCs w:val="18"/>
              </w:rPr>
              <w:t>aselines</w:t>
            </w:r>
            <w:r w:rsidR="001C749C" w:rsidRPr="00A10A47">
              <w:rPr>
                <w:rFonts w:ascii="Calibri" w:eastAsia="Calibri" w:hAnsi="Calibri"/>
                <w:sz w:val="18"/>
                <w:szCs w:val="18"/>
              </w:rPr>
              <w:t>,</w:t>
            </w:r>
            <w:r w:rsidRPr="00A10A47">
              <w:rPr>
                <w:rFonts w:ascii="Calibri" w:eastAsia="Calibri" w:hAnsi="Calibri"/>
                <w:sz w:val="18"/>
                <w:szCs w:val="18"/>
              </w:rPr>
              <w:t xml:space="preserve"> </w:t>
            </w:r>
            <w:r w:rsidR="001C749C" w:rsidRPr="00A10A47">
              <w:rPr>
                <w:rFonts w:ascii="Calibri" w:eastAsia="Calibri" w:hAnsi="Calibri"/>
                <w:sz w:val="18"/>
                <w:szCs w:val="18"/>
              </w:rPr>
              <w:t>2</w:t>
            </w:r>
            <w:r w:rsidRPr="00A10A47">
              <w:rPr>
                <w:rFonts w:ascii="Calibri" w:eastAsia="Calibri" w:hAnsi="Calibri"/>
                <w:sz w:val="18"/>
                <w:szCs w:val="18"/>
              </w:rPr>
              <w:t xml:space="preserve">014 </w:t>
            </w:r>
            <w:r w:rsidR="00CA279C" w:rsidRPr="00A10A47">
              <w:rPr>
                <w:rFonts w:ascii="Calibri" w:eastAsia="Calibri" w:hAnsi="Calibri"/>
                <w:sz w:val="18"/>
                <w:szCs w:val="18"/>
              </w:rPr>
              <w:t>m</w:t>
            </w:r>
            <w:r w:rsidRPr="00A10A47">
              <w:rPr>
                <w:rFonts w:ascii="Calibri" w:eastAsia="Calibri" w:hAnsi="Calibri"/>
                <w:sz w:val="18"/>
                <w:szCs w:val="18"/>
              </w:rPr>
              <w:t xml:space="preserve">ilestones </w:t>
            </w:r>
            <w:r w:rsidR="001C749C" w:rsidRPr="00A10A47">
              <w:rPr>
                <w:rFonts w:ascii="Calibri" w:eastAsia="Calibri" w:hAnsi="Calibri"/>
                <w:sz w:val="18"/>
                <w:szCs w:val="18"/>
              </w:rPr>
              <w:t xml:space="preserve">and </w:t>
            </w:r>
            <w:r w:rsidR="002747F9" w:rsidRPr="00A10A47">
              <w:rPr>
                <w:rFonts w:ascii="Calibri" w:eastAsia="Calibri" w:hAnsi="Calibri"/>
                <w:sz w:val="18"/>
                <w:szCs w:val="18"/>
              </w:rPr>
              <w:t xml:space="preserve">2017 </w:t>
            </w:r>
            <w:r w:rsidR="001C749C" w:rsidRPr="00A10A47">
              <w:rPr>
                <w:rFonts w:ascii="Calibri" w:eastAsia="Calibri" w:hAnsi="Calibri"/>
                <w:sz w:val="18"/>
                <w:szCs w:val="18"/>
              </w:rPr>
              <w:t>targets</w:t>
            </w:r>
            <w:r w:rsidR="002859EE" w:rsidRPr="00A10A47">
              <w:rPr>
                <w:rFonts w:ascii="Calibri" w:eastAsia="Calibri" w:hAnsi="Calibri"/>
                <w:sz w:val="18"/>
                <w:szCs w:val="18"/>
              </w:rPr>
              <w:t>,</w:t>
            </w:r>
            <w:r w:rsidRPr="00A10A47">
              <w:rPr>
                <w:rFonts w:ascii="Calibri" w:eastAsia="Calibri" w:hAnsi="Calibri"/>
                <w:sz w:val="18"/>
                <w:szCs w:val="18"/>
              </w:rPr>
              <w:t xml:space="preserve"> to </w:t>
            </w:r>
            <w:r w:rsidR="00B669FB" w:rsidRPr="00A10A47">
              <w:rPr>
                <w:rFonts w:ascii="Calibri" w:eastAsia="Calibri" w:hAnsi="Calibri"/>
                <w:sz w:val="18"/>
                <w:szCs w:val="18"/>
              </w:rPr>
              <w:t xml:space="preserve">capture </w:t>
            </w:r>
            <w:r w:rsidR="000204DD" w:rsidRPr="00A10A47">
              <w:rPr>
                <w:rFonts w:ascii="Calibri" w:eastAsia="Calibri" w:hAnsi="Calibri"/>
                <w:sz w:val="18"/>
                <w:szCs w:val="18"/>
              </w:rPr>
              <w:t>the</w:t>
            </w:r>
            <w:r w:rsidRPr="00A10A47">
              <w:rPr>
                <w:rFonts w:ascii="Calibri" w:eastAsia="Calibri" w:hAnsi="Calibri"/>
                <w:sz w:val="18"/>
                <w:szCs w:val="18"/>
              </w:rPr>
              <w:t xml:space="preserve"> </w:t>
            </w:r>
            <w:r w:rsidR="002859EE" w:rsidRPr="00A10A47">
              <w:rPr>
                <w:rFonts w:ascii="Calibri" w:eastAsia="Calibri" w:hAnsi="Calibri"/>
                <w:sz w:val="18"/>
                <w:szCs w:val="18"/>
                <w:u w:val="single"/>
              </w:rPr>
              <w:t>total</w:t>
            </w:r>
            <w:r w:rsidR="002859EE" w:rsidRPr="00A10A47">
              <w:rPr>
                <w:rFonts w:ascii="Calibri" w:eastAsia="Calibri" w:hAnsi="Calibri"/>
                <w:sz w:val="18"/>
                <w:szCs w:val="18"/>
              </w:rPr>
              <w:t xml:space="preserve"> </w:t>
            </w:r>
            <w:r w:rsidRPr="00A10A47">
              <w:rPr>
                <w:rFonts w:ascii="Calibri" w:eastAsia="Calibri" w:hAnsi="Calibri"/>
                <w:sz w:val="18"/>
                <w:szCs w:val="18"/>
              </w:rPr>
              <w:t xml:space="preserve">number of people supported by UNDP instead of reporting only </w:t>
            </w:r>
            <w:r w:rsidRPr="00E35D4F">
              <w:rPr>
                <w:rFonts w:ascii="Calibri" w:eastAsia="Calibri" w:hAnsi="Calibri"/>
                <w:sz w:val="18"/>
                <w:szCs w:val="18"/>
              </w:rPr>
              <w:t>additional</w:t>
            </w:r>
            <w:r w:rsidRPr="00A10A47">
              <w:rPr>
                <w:rFonts w:ascii="Calibri" w:eastAsia="Calibri" w:hAnsi="Calibri"/>
                <w:sz w:val="18"/>
                <w:szCs w:val="18"/>
              </w:rPr>
              <w:t xml:space="preserve"> people reached</w:t>
            </w:r>
            <w:r w:rsidR="0062193B" w:rsidRPr="00A10A47">
              <w:rPr>
                <w:rFonts w:ascii="Calibri" w:eastAsia="Calibri" w:hAnsi="Calibri"/>
                <w:sz w:val="18"/>
                <w:szCs w:val="18"/>
              </w:rPr>
              <w:t xml:space="preserve"> compared with </w:t>
            </w:r>
            <w:r w:rsidR="003B3580" w:rsidRPr="00A10A47">
              <w:rPr>
                <w:rFonts w:ascii="Calibri" w:eastAsia="Calibri" w:hAnsi="Calibri"/>
                <w:sz w:val="18"/>
                <w:szCs w:val="18"/>
              </w:rPr>
              <w:t>a 2013</w:t>
            </w:r>
            <w:r w:rsidR="0062193B" w:rsidRPr="00A10A47">
              <w:rPr>
                <w:rFonts w:ascii="Calibri" w:eastAsia="Calibri" w:hAnsi="Calibri"/>
                <w:sz w:val="18"/>
                <w:szCs w:val="18"/>
              </w:rPr>
              <w:t xml:space="preserve"> baseline</w:t>
            </w:r>
            <w:r w:rsidR="006D203C" w:rsidRPr="00A10A47">
              <w:rPr>
                <w:rFonts w:ascii="Calibri" w:eastAsia="Calibri" w:hAnsi="Calibri"/>
                <w:sz w:val="18"/>
                <w:szCs w:val="18"/>
              </w:rPr>
              <w:t xml:space="preserve">, </w:t>
            </w:r>
            <w:r w:rsidR="006D203C" w:rsidRPr="00A10A47">
              <w:rPr>
                <w:sz w:val="18"/>
                <w:szCs w:val="18"/>
              </w:rPr>
              <w:t xml:space="preserve">to best reflect </w:t>
            </w:r>
            <w:r w:rsidR="00A10A47" w:rsidRPr="00A10A47">
              <w:rPr>
                <w:sz w:val="18"/>
                <w:szCs w:val="18"/>
              </w:rPr>
              <w:t xml:space="preserve">evolving </w:t>
            </w:r>
            <w:r w:rsidR="006D203C" w:rsidRPr="00A10A47">
              <w:rPr>
                <w:sz w:val="18"/>
                <w:szCs w:val="18"/>
              </w:rPr>
              <w:t xml:space="preserve">HIV prevalence </w:t>
            </w:r>
            <w:r w:rsidR="00A10A47" w:rsidRPr="00A10A47">
              <w:rPr>
                <w:sz w:val="18"/>
                <w:szCs w:val="18"/>
              </w:rPr>
              <w:t xml:space="preserve">rates </w:t>
            </w:r>
            <w:r w:rsidR="006D203C" w:rsidRPr="00A10A47">
              <w:rPr>
                <w:sz w:val="18"/>
                <w:szCs w:val="18"/>
              </w:rPr>
              <w:t>and programme coverage</w:t>
            </w:r>
            <w:r w:rsidR="003B3580" w:rsidRPr="00A10A47">
              <w:rPr>
                <w:rFonts w:ascii="Calibri" w:eastAsia="Calibri" w:hAnsi="Calibri"/>
                <w:sz w:val="18"/>
                <w:szCs w:val="18"/>
              </w:rPr>
              <w:t>.</w:t>
            </w:r>
            <w:r w:rsidRPr="00A10A47">
              <w:rPr>
                <w:rFonts w:ascii="Calibri" w:eastAsia="Calibri" w:hAnsi="Calibri"/>
                <w:sz w:val="18"/>
                <w:szCs w:val="18"/>
              </w:rPr>
              <w:t xml:space="preserve"> </w:t>
            </w:r>
            <w:r w:rsidRPr="00A10A47">
              <w:rPr>
                <w:rFonts w:eastAsia="Calibri"/>
                <w:sz w:val="18"/>
                <w:szCs w:val="18"/>
              </w:rPr>
              <w:t xml:space="preserve">For reference, previous </w:t>
            </w:r>
            <w:r w:rsidR="0062193B" w:rsidRPr="00A10A47">
              <w:rPr>
                <w:rFonts w:ascii="Calibri" w:eastAsia="Calibri" w:hAnsi="Calibri"/>
                <w:sz w:val="18"/>
                <w:szCs w:val="18"/>
              </w:rPr>
              <w:t>b</w:t>
            </w:r>
            <w:r w:rsidRPr="00A10A47">
              <w:rPr>
                <w:rFonts w:ascii="Calibri" w:eastAsia="Calibri" w:hAnsi="Calibri"/>
                <w:sz w:val="18"/>
                <w:szCs w:val="18"/>
              </w:rPr>
              <w:t>aseline</w:t>
            </w:r>
            <w:r w:rsidR="0062193B" w:rsidRPr="00A10A47">
              <w:rPr>
                <w:rFonts w:ascii="Calibri" w:eastAsia="Calibri" w:hAnsi="Calibri"/>
                <w:sz w:val="18"/>
                <w:szCs w:val="18"/>
              </w:rPr>
              <w:t>s</w:t>
            </w:r>
            <w:r w:rsidRPr="00A10A47">
              <w:rPr>
                <w:rFonts w:ascii="Calibri" w:eastAsia="Calibri" w:hAnsi="Calibri"/>
                <w:sz w:val="18"/>
                <w:szCs w:val="18"/>
              </w:rPr>
              <w:t xml:space="preserve"> </w:t>
            </w:r>
            <w:r w:rsidR="0062193B" w:rsidRPr="00A10A47">
              <w:rPr>
                <w:rFonts w:ascii="Calibri" w:eastAsia="Calibri" w:hAnsi="Calibri"/>
                <w:sz w:val="18"/>
                <w:szCs w:val="18"/>
              </w:rPr>
              <w:t>were shown as 0</w:t>
            </w:r>
            <w:r w:rsidR="001C749C" w:rsidRPr="00A10A47">
              <w:rPr>
                <w:rFonts w:ascii="Calibri" w:eastAsia="Calibri" w:hAnsi="Calibri"/>
                <w:sz w:val="18"/>
                <w:szCs w:val="18"/>
              </w:rPr>
              <w:t>;</w:t>
            </w:r>
            <w:r w:rsidR="0062193B" w:rsidRPr="00A10A47">
              <w:rPr>
                <w:rFonts w:ascii="Calibri" w:eastAsia="Calibri" w:hAnsi="Calibri"/>
                <w:sz w:val="18"/>
                <w:szCs w:val="18"/>
              </w:rPr>
              <w:t xml:space="preserve"> previous 2014 </w:t>
            </w:r>
            <w:r w:rsidR="001C749C" w:rsidRPr="00A10A47">
              <w:rPr>
                <w:rFonts w:ascii="Calibri" w:eastAsia="Calibri" w:hAnsi="Calibri"/>
                <w:sz w:val="18"/>
                <w:szCs w:val="18"/>
              </w:rPr>
              <w:t>m</w:t>
            </w:r>
            <w:r w:rsidR="0062193B" w:rsidRPr="00A10A47">
              <w:rPr>
                <w:rFonts w:ascii="Calibri" w:eastAsia="Calibri" w:hAnsi="Calibri"/>
                <w:sz w:val="18"/>
                <w:szCs w:val="18"/>
              </w:rPr>
              <w:t>ilestones were: a</w:t>
            </w:r>
            <w:r w:rsidR="00CA116C" w:rsidRPr="00A10A47">
              <w:rPr>
                <w:rFonts w:ascii="Calibri" w:eastAsia="Calibri" w:hAnsi="Calibri"/>
                <w:sz w:val="18"/>
                <w:szCs w:val="18"/>
              </w:rPr>
              <w:t>.i</w:t>
            </w:r>
            <w:r w:rsidR="0062193B" w:rsidRPr="00A10A47">
              <w:rPr>
                <w:rFonts w:ascii="Calibri" w:eastAsia="Calibri" w:hAnsi="Calibri"/>
                <w:sz w:val="18"/>
                <w:szCs w:val="18"/>
              </w:rPr>
              <w:t xml:space="preserve">) 115,441, </w:t>
            </w:r>
            <w:r w:rsidR="00CA116C" w:rsidRPr="00A10A47">
              <w:rPr>
                <w:rFonts w:ascii="Calibri" w:eastAsia="Calibri" w:hAnsi="Calibri"/>
                <w:sz w:val="18"/>
                <w:szCs w:val="18"/>
              </w:rPr>
              <w:t>a.ii</w:t>
            </w:r>
            <w:r w:rsidR="0062193B" w:rsidRPr="00A10A47">
              <w:rPr>
                <w:rFonts w:ascii="Calibri" w:eastAsia="Calibri" w:hAnsi="Calibri"/>
                <w:sz w:val="18"/>
                <w:szCs w:val="18"/>
              </w:rPr>
              <w:t>) 1,</w:t>
            </w:r>
            <w:r w:rsidR="00BC63E0" w:rsidRPr="00A10A47">
              <w:rPr>
                <w:rFonts w:ascii="Calibri" w:eastAsia="Calibri" w:hAnsi="Calibri"/>
                <w:sz w:val="18"/>
                <w:szCs w:val="18"/>
              </w:rPr>
              <w:t>473,638</w:t>
            </w:r>
            <w:r w:rsidR="001C749C" w:rsidRPr="00A10A47">
              <w:rPr>
                <w:rFonts w:ascii="Calibri" w:eastAsia="Calibri" w:hAnsi="Calibri"/>
                <w:sz w:val="18"/>
                <w:szCs w:val="18"/>
              </w:rPr>
              <w:t xml:space="preserve">; </w:t>
            </w:r>
            <w:r w:rsidR="00BC63E0" w:rsidRPr="00A10A47">
              <w:rPr>
                <w:rFonts w:ascii="Calibri" w:eastAsia="Calibri" w:hAnsi="Calibri"/>
                <w:sz w:val="18"/>
                <w:szCs w:val="18"/>
              </w:rPr>
              <w:t>previous targets were: a</w:t>
            </w:r>
            <w:r w:rsidR="00794BE8" w:rsidRPr="00A10A47">
              <w:rPr>
                <w:rFonts w:ascii="Calibri" w:eastAsia="Calibri" w:hAnsi="Calibri"/>
                <w:sz w:val="18"/>
                <w:szCs w:val="18"/>
              </w:rPr>
              <w:t>.</w:t>
            </w:r>
            <w:r w:rsidR="00CA116C" w:rsidRPr="00A10A47">
              <w:rPr>
                <w:rFonts w:ascii="Calibri" w:eastAsia="Calibri" w:hAnsi="Calibri"/>
                <w:sz w:val="18"/>
                <w:szCs w:val="18"/>
              </w:rPr>
              <w:t>i</w:t>
            </w:r>
            <w:r w:rsidR="00BC63E0" w:rsidRPr="00A10A47">
              <w:rPr>
                <w:rFonts w:ascii="Calibri" w:eastAsia="Calibri" w:hAnsi="Calibri"/>
                <w:sz w:val="18"/>
                <w:szCs w:val="18"/>
              </w:rPr>
              <w:t xml:space="preserve">) 1,456,256, </w:t>
            </w:r>
            <w:r w:rsidR="00794BE8" w:rsidRPr="00A10A47">
              <w:rPr>
                <w:rFonts w:ascii="Calibri" w:eastAsia="Calibri" w:hAnsi="Calibri"/>
                <w:sz w:val="18"/>
                <w:szCs w:val="18"/>
              </w:rPr>
              <w:t>a.</w:t>
            </w:r>
            <w:r w:rsidR="00CA116C" w:rsidRPr="00A10A47">
              <w:rPr>
                <w:rFonts w:ascii="Calibri" w:eastAsia="Calibri" w:hAnsi="Calibri"/>
                <w:sz w:val="18"/>
                <w:szCs w:val="18"/>
              </w:rPr>
              <w:t>ii</w:t>
            </w:r>
            <w:r w:rsidR="00BC63E0" w:rsidRPr="00A10A47">
              <w:rPr>
                <w:rFonts w:ascii="Calibri" w:eastAsia="Calibri" w:hAnsi="Calibri"/>
                <w:sz w:val="18"/>
                <w:szCs w:val="18"/>
              </w:rPr>
              <w:t xml:space="preserve">) 2,209,104. </w:t>
            </w:r>
            <w:r w:rsidR="00A10A47" w:rsidRPr="00A10A47">
              <w:rPr>
                <w:rFonts w:ascii="Calibri" w:eastAsia="Calibri" w:hAnsi="Calibri"/>
                <w:sz w:val="18"/>
                <w:szCs w:val="18"/>
              </w:rPr>
              <w:t>Furthermore, s</w:t>
            </w:r>
            <w:r w:rsidR="006D203C" w:rsidRPr="00A10A47">
              <w:rPr>
                <w:sz w:val="18"/>
                <w:szCs w:val="18"/>
              </w:rPr>
              <w:t>ince reporting timelines are not aligned</w:t>
            </w:r>
            <w:r w:rsidR="00A10A47" w:rsidRPr="00A10A47">
              <w:rPr>
                <w:sz w:val="18"/>
                <w:szCs w:val="18"/>
              </w:rPr>
              <w:t xml:space="preserve"> with Global Fund timelines</w:t>
            </w:r>
            <w:r w:rsidR="006D203C" w:rsidRPr="00A10A47">
              <w:rPr>
                <w:sz w:val="18"/>
                <w:szCs w:val="18"/>
              </w:rPr>
              <w:t xml:space="preserve">, </w:t>
            </w:r>
            <w:r w:rsidRPr="00A10A47">
              <w:rPr>
                <w:rFonts w:eastAsia="Calibri"/>
                <w:sz w:val="18"/>
                <w:szCs w:val="18"/>
              </w:rPr>
              <w:t>2014 actual results data is missing for several countries expected to contribute to results</w:t>
            </w:r>
            <w:r w:rsidR="00A10A47" w:rsidRPr="00A10A47">
              <w:rPr>
                <w:rFonts w:eastAsia="Calibri"/>
                <w:sz w:val="18"/>
                <w:szCs w:val="18"/>
              </w:rPr>
              <w:t>:</w:t>
            </w:r>
            <w:r w:rsidRPr="00A10A47">
              <w:rPr>
                <w:rFonts w:eastAsia="Calibri"/>
                <w:sz w:val="18"/>
                <w:szCs w:val="18"/>
              </w:rPr>
              <w:t xml:space="preserve"> final results will be reported at a later date.</w:t>
            </w:r>
          </w:p>
          <w:p w14:paraId="246B2E07" w14:textId="6B25EAFF" w:rsidR="00BC63E0" w:rsidRPr="00A10A47" w:rsidRDefault="00582E2F" w:rsidP="00582E2F">
            <w:pPr>
              <w:spacing w:after="0" w:line="240" w:lineRule="auto"/>
              <w:rPr>
                <w:rFonts w:eastAsia="Calibri"/>
                <w:sz w:val="18"/>
                <w:szCs w:val="18"/>
              </w:rPr>
            </w:pPr>
            <w:r w:rsidRPr="00A10A47">
              <w:rPr>
                <w:rFonts w:ascii="Calibri" w:eastAsia="Calibri" w:hAnsi="Calibri" w:cs="Times New Roman"/>
                <w:b/>
                <w:sz w:val="18"/>
                <w:szCs w:val="18"/>
                <w:lang w:eastAsia="en-US"/>
              </w:rPr>
              <w:t xml:space="preserve">Indicator 3.3.1.b Note: </w:t>
            </w:r>
            <w:r w:rsidRPr="00A10A47">
              <w:rPr>
                <w:rFonts w:ascii="Calibri" w:eastAsia="Calibri" w:hAnsi="Calibri" w:cs="Times New Roman"/>
                <w:sz w:val="18"/>
                <w:szCs w:val="18"/>
                <w:lang w:eastAsia="en-US"/>
              </w:rPr>
              <w:t>T</w:t>
            </w:r>
            <w:r w:rsidRPr="00A10A47">
              <w:rPr>
                <w:rFonts w:eastAsia="Calibri"/>
                <w:sz w:val="18"/>
                <w:szCs w:val="18"/>
              </w:rPr>
              <w:t xml:space="preserve">racks the number of people that, with UNDP support (on demand </w:t>
            </w:r>
            <w:r w:rsidRPr="00A10A47">
              <w:rPr>
                <w:sz w:val="18"/>
                <w:szCs w:val="18"/>
              </w:rPr>
              <w:t>from programme countries</w:t>
            </w:r>
            <w:r w:rsidRPr="00A10A47">
              <w:rPr>
                <w:rFonts w:eastAsia="Calibri"/>
                <w:sz w:val="18"/>
                <w:szCs w:val="18"/>
              </w:rPr>
              <w:t xml:space="preserve">), have gained access to anti-retroviral (ARV) treatment, from January 2014 onwards. </w:t>
            </w:r>
            <w:r w:rsidR="00E35D4F" w:rsidRPr="00A10A47">
              <w:rPr>
                <w:rFonts w:eastAsia="Calibri"/>
                <w:sz w:val="18"/>
                <w:szCs w:val="18"/>
              </w:rPr>
              <w:t xml:space="preserve">This indicator </w:t>
            </w:r>
            <w:r w:rsidR="00E35D4F">
              <w:rPr>
                <w:rFonts w:eastAsia="Calibri"/>
                <w:sz w:val="18"/>
                <w:szCs w:val="18"/>
              </w:rPr>
              <w:t xml:space="preserve">has been slightly </w:t>
            </w:r>
            <w:r w:rsidR="00E35D4F" w:rsidRPr="006341B0">
              <w:rPr>
                <w:rFonts w:eastAsia="Calibri"/>
                <w:sz w:val="18"/>
                <w:szCs w:val="18"/>
                <w:u w:val="single"/>
              </w:rPr>
              <w:t>revised</w:t>
            </w:r>
            <w:r w:rsidR="00E35D4F">
              <w:rPr>
                <w:rFonts w:eastAsia="Calibri"/>
                <w:sz w:val="18"/>
                <w:szCs w:val="18"/>
              </w:rPr>
              <w:t xml:space="preserve"> to track </w:t>
            </w:r>
            <w:r w:rsidR="00E35D4F" w:rsidRPr="006341B0">
              <w:rPr>
                <w:rFonts w:eastAsia="Calibri"/>
                <w:sz w:val="18"/>
                <w:szCs w:val="18"/>
                <w:u w:val="single"/>
              </w:rPr>
              <w:t>total</w:t>
            </w:r>
            <w:r w:rsidR="00E35D4F">
              <w:rPr>
                <w:rFonts w:eastAsia="Calibri"/>
                <w:sz w:val="18"/>
                <w:szCs w:val="18"/>
              </w:rPr>
              <w:t xml:space="preserve"> numbers of people reached with ARVs </w:t>
            </w:r>
            <w:r w:rsidR="00AF5853" w:rsidRPr="00A10A47">
              <w:rPr>
                <w:rFonts w:eastAsia="Calibri"/>
                <w:sz w:val="18"/>
                <w:szCs w:val="18"/>
              </w:rPr>
              <w:t>using the more robust Global Fund dataset which is subject to a harmonization process</w:t>
            </w:r>
            <w:r w:rsidR="0009757D" w:rsidRPr="00A10A47">
              <w:rPr>
                <w:rFonts w:eastAsia="Calibri"/>
                <w:sz w:val="18"/>
                <w:szCs w:val="18"/>
              </w:rPr>
              <w:t xml:space="preserve"> and captures the majority of UNDP’s support for ARV treatment. T</w:t>
            </w:r>
            <w:r w:rsidR="00AF5853" w:rsidRPr="00A10A47">
              <w:rPr>
                <w:rFonts w:eastAsia="Calibri"/>
                <w:sz w:val="18"/>
                <w:szCs w:val="18"/>
              </w:rPr>
              <w:t xml:space="preserve">he harmonized data for 2014 is not yet published </w:t>
            </w:r>
            <w:r w:rsidR="0009757D" w:rsidRPr="00A10A47">
              <w:rPr>
                <w:rFonts w:eastAsia="Calibri"/>
                <w:sz w:val="18"/>
                <w:szCs w:val="18"/>
              </w:rPr>
              <w:t xml:space="preserve">but will be available </w:t>
            </w:r>
            <w:r w:rsidR="00BC7D55" w:rsidRPr="00A10A47">
              <w:rPr>
                <w:rFonts w:eastAsia="Calibri"/>
                <w:sz w:val="18"/>
                <w:szCs w:val="18"/>
              </w:rPr>
              <w:t>in Q3 2015</w:t>
            </w:r>
            <w:r w:rsidR="0009757D" w:rsidRPr="00A10A47">
              <w:rPr>
                <w:rFonts w:eastAsia="Calibri"/>
                <w:sz w:val="18"/>
                <w:szCs w:val="18"/>
              </w:rPr>
              <w:t>, and will be included in next year’s Annual Report. Sex disaggregated data is not currently published for Global Fund data, however is expected to be available for 2015 results</w:t>
            </w:r>
            <w:r w:rsidR="00611603" w:rsidRPr="00A10A47">
              <w:rPr>
                <w:rFonts w:eastAsia="Calibri"/>
                <w:sz w:val="18"/>
                <w:szCs w:val="18"/>
              </w:rPr>
              <w:t xml:space="preserve">, </w:t>
            </w:r>
            <w:r w:rsidR="00A10A47" w:rsidRPr="00A10A47">
              <w:rPr>
                <w:rFonts w:eastAsia="Calibri"/>
                <w:sz w:val="18"/>
                <w:szCs w:val="18"/>
              </w:rPr>
              <w:t>to be published in 2016 and</w:t>
            </w:r>
            <w:r w:rsidR="0009757D" w:rsidRPr="00A10A47">
              <w:rPr>
                <w:rFonts w:eastAsia="Calibri"/>
                <w:sz w:val="18"/>
                <w:szCs w:val="18"/>
              </w:rPr>
              <w:t xml:space="preserve"> onwards. </w:t>
            </w:r>
          </w:p>
          <w:p w14:paraId="3EB35365" w14:textId="746CF9CC" w:rsidR="00BC63E0" w:rsidRPr="00A10A47" w:rsidRDefault="00BC63E0" w:rsidP="005155BD">
            <w:pPr>
              <w:spacing w:after="0" w:line="240" w:lineRule="auto"/>
              <w:rPr>
                <w:rFonts w:ascii="Calibri" w:eastAsia="Calibri" w:hAnsi="Calibri"/>
                <w:sz w:val="18"/>
                <w:szCs w:val="18"/>
              </w:rPr>
            </w:pPr>
            <w:r w:rsidRPr="00A10A47">
              <w:rPr>
                <w:rFonts w:ascii="Calibri" w:eastAsia="Calibri" w:hAnsi="Calibri"/>
                <w:b/>
                <w:sz w:val="18"/>
                <w:szCs w:val="18"/>
              </w:rPr>
              <w:t>2014 Reporting Note:</w:t>
            </w:r>
            <w:r w:rsidRPr="00A10A47">
              <w:rPr>
                <w:rFonts w:ascii="Calibri" w:eastAsia="Calibri" w:hAnsi="Calibri"/>
                <w:sz w:val="18"/>
                <w:szCs w:val="18"/>
              </w:rPr>
              <w:t xml:space="preserve"> Baseline</w:t>
            </w:r>
            <w:r w:rsidR="00D12B70" w:rsidRPr="00A10A47">
              <w:rPr>
                <w:rFonts w:ascii="Calibri" w:eastAsia="Calibri" w:hAnsi="Calibri"/>
                <w:sz w:val="18"/>
                <w:szCs w:val="18"/>
              </w:rPr>
              <w:t xml:space="preserve"> and</w:t>
            </w:r>
            <w:r w:rsidRPr="00A10A47">
              <w:rPr>
                <w:rFonts w:ascii="Calibri" w:eastAsia="Calibri" w:hAnsi="Calibri"/>
                <w:sz w:val="18"/>
                <w:szCs w:val="18"/>
              </w:rPr>
              <w:t xml:space="preserve"> 2014 milestone </w:t>
            </w:r>
            <w:r w:rsidR="00D12B70" w:rsidRPr="00A10A47">
              <w:rPr>
                <w:rFonts w:ascii="Calibri" w:eastAsia="Calibri" w:hAnsi="Calibri"/>
                <w:sz w:val="18"/>
                <w:szCs w:val="18"/>
              </w:rPr>
              <w:t>have been</w:t>
            </w:r>
            <w:r w:rsidRPr="00A10A47">
              <w:rPr>
                <w:rFonts w:ascii="Calibri" w:eastAsia="Calibri" w:hAnsi="Calibri"/>
                <w:sz w:val="18"/>
                <w:szCs w:val="18"/>
              </w:rPr>
              <w:t xml:space="preserve"> revised </w:t>
            </w:r>
            <w:r w:rsidR="00A57FD3" w:rsidRPr="00A10A47">
              <w:rPr>
                <w:rFonts w:ascii="Calibri" w:eastAsia="Calibri" w:hAnsi="Calibri"/>
                <w:sz w:val="18"/>
                <w:szCs w:val="18"/>
              </w:rPr>
              <w:t xml:space="preserve">on the basis of Global Fund </w:t>
            </w:r>
            <w:r w:rsidR="00611603" w:rsidRPr="00A10A47">
              <w:rPr>
                <w:rFonts w:ascii="Calibri" w:eastAsia="Calibri" w:hAnsi="Calibri"/>
                <w:sz w:val="18"/>
                <w:szCs w:val="18"/>
              </w:rPr>
              <w:t xml:space="preserve">harmonized </w:t>
            </w:r>
            <w:r w:rsidR="00A57FD3" w:rsidRPr="00A10A47">
              <w:rPr>
                <w:rFonts w:ascii="Calibri" w:eastAsia="Calibri" w:hAnsi="Calibri"/>
                <w:sz w:val="18"/>
                <w:szCs w:val="18"/>
              </w:rPr>
              <w:t>data for 2013. Future milestones and target</w:t>
            </w:r>
            <w:r w:rsidR="002747F9" w:rsidRPr="00A10A47">
              <w:rPr>
                <w:rFonts w:ascii="Calibri" w:eastAsia="Calibri" w:hAnsi="Calibri"/>
                <w:sz w:val="18"/>
                <w:szCs w:val="18"/>
              </w:rPr>
              <w:t>s</w:t>
            </w:r>
            <w:r w:rsidR="00A57FD3" w:rsidRPr="00A10A47">
              <w:rPr>
                <w:rFonts w:ascii="Calibri" w:eastAsia="Calibri" w:hAnsi="Calibri"/>
                <w:sz w:val="18"/>
                <w:szCs w:val="18"/>
              </w:rPr>
              <w:t xml:space="preserve"> will be added once </w:t>
            </w:r>
            <w:r w:rsidR="0010125C" w:rsidRPr="00A10A47">
              <w:rPr>
                <w:rFonts w:ascii="Calibri" w:eastAsia="Calibri" w:hAnsi="Calibri"/>
                <w:sz w:val="18"/>
                <w:szCs w:val="18"/>
              </w:rPr>
              <w:t xml:space="preserve">final </w:t>
            </w:r>
            <w:r w:rsidR="00A57FD3" w:rsidRPr="00A10A47">
              <w:rPr>
                <w:rFonts w:ascii="Calibri" w:eastAsia="Calibri" w:hAnsi="Calibri"/>
                <w:sz w:val="18"/>
                <w:szCs w:val="18"/>
              </w:rPr>
              <w:t xml:space="preserve">Global Fund data for 2014 is </w:t>
            </w:r>
            <w:r w:rsidR="0010125C" w:rsidRPr="00A10A47">
              <w:rPr>
                <w:rFonts w:ascii="Calibri" w:eastAsia="Calibri" w:hAnsi="Calibri"/>
                <w:sz w:val="18"/>
                <w:szCs w:val="18"/>
              </w:rPr>
              <w:t>confirmed</w:t>
            </w:r>
            <w:r w:rsidR="00A57FD3" w:rsidRPr="00A10A47">
              <w:rPr>
                <w:rFonts w:ascii="Calibri" w:eastAsia="Calibri" w:hAnsi="Calibri"/>
                <w:sz w:val="18"/>
                <w:szCs w:val="18"/>
              </w:rPr>
              <w:t xml:space="preserve">. </w:t>
            </w:r>
            <w:r w:rsidRPr="00A10A47">
              <w:rPr>
                <w:rFonts w:eastAsia="Calibri"/>
                <w:sz w:val="18"/>
                <w:szCs w:val="18"/>
              </w:rPr>
              <w:t xml:space="preserve">For reference, previous </w:t>
            </w:r>
            <w:r w:rsidRPr="00A10A47">
              <w:rPr>
                <w:rFonts w:ascii="Calibri" w:eastAsia="Calibri" w:hAnsi="Calibri"/>
                <w:sz w:val="18"/>
                <w:szCs w:val="18"/>
              </w:rPr>
              <w:t xml:space="preserve">baselines were shown as 0; previous 2014 milestones were: </w:t>
            </w:r>
            <w:r w:rsidR="00794BE8" w:rsidRPr="00A10A47">
              <w:rPr>
                <w:rFonts w:ascii="Calibri" w:eastAsia="Calibri" w:hAnsi="Calibri"/>
                <w:sz w:val="18"/>
                <w:szCs w:val="18"/>
              </w:rPr>
              <w:t>b.</w:t>
            </w:r>
            <w:r w:rsidR="00CA116C" w:rsidRPr="00A10A47">
              <w:rPr>
                <w:rFonts w:ascii="Calibri" w:eastAsia="Calibri" w:hAnsi="Calibri"/>
                <w:sz w:val="18"/>
                <w:szCs w:val="18"/>
              </w:rPr>
              <w:t>i</w:t>
            </w:r>
            <w:r w:rsidRPr="00A10A47">
              <w:rPr>
                <w:rFonts w:ascii="Calibri" w:eastAsia="Calibri" w:hAnsi="Calibri"/>
                <w:sz w:val="18"/>
                <w:szCs w:val="18"/>
              </w:rPr>
              <w:t xml:space="preserve">) 295,716, </w:t>
            </w:r>
            <w:r w:rsidR="00794BE8" w:rsidRPr="00A10A47">
              <w:rPr>
                <w:rFonts w:ascii="Calibri" w:eastAsia="Calibri" w:hAnsi="Calibri"/>
                <w:sz w:val="18"/>
                <w:szCs w:val="18"/>
              </w:rPr>
              <w:t>b.</w:t>
            </w:r>
            <w:r w:rsidR="00CA116C" w:rsidRPr="00A10A47">
              <w:rPr>
                <w:rFonts w:ascii="Calibri" w:eastAsia="Calibri" w:hAnsi="Calibri"/>
                <w:sz w:val="18"/>
                <w:szCs w:val="18"/>
              </w:rPr>
              <w:t>ii</w:t>
            </w:r>
            <w:r w:rsidRPr="00A10A47">
              <w:rPr>
                <w:rFonts w:ascii="Calibri" w:eastAsia="Calibri" w:hAnsi="Calibri"/>
                <w:sz w:val="18"/>
                <w:szCs w:val="18"/>
              </w:rPr>
              <w:t xml:space="preserve">) 443,352; previous targets were: </w:t>
            </w:r>
            <w:r w:rsidR="00794BE8" w:rsidRPr="00A10A47">
              <w:rPr>
                <w:rFonts w:ascii="Calibri" w:eastAsia="Calibri" w:hAnsi="Calibri"/>
                <w:sz w:val="18"/>
                <w:szCs w:val="18"/>
              </w:rPr>
              <w:t>b.</w:t>
            </w:r>
            <w:r w:rsidR="00CA116C" w:rsidRPr="00A10A47">
              <w:rPr>
                <w:rFonts w:ascii="Calibri" w:eastAsia="Calibri" w:hAnsi="Calibri"/>
                <w:sz w:val="18"/>
                <w:szCs w:val="18"/>
              </w:rPr>
              <w:t>i</w:t>
            </w:r>
            <w:r w:rsidRPr="00A10A47">
              <w:rPr>
                <w:rFonts w:ascii="Calibri" w:eastAsia="Calibri" w:hAnsi="Calibri"/>
                <w:sz w:val="18"/>
                <w:szCs w:val="18"/>
              </w:rPr>
              <w:t xml:space="preserve">) </w:t>
            </w:r>
            <w:r w:rsidR="00794BE8" w:rsidRPr="00A10A47">
              <w:rPr>
                <w:rFonts w:ascii="Calibri" w:eastAsia="Calibri" w:hAnsi="Calibri"/>
                <w:sz w:val="18"/>
                <w:szCs w:val="18"/>
              </w:rPr>
              <w:t>1,065,771, b.</w:t>
            </w:r>
            <w:r w:rsidR="00CA116C" w:rsidRPr="00A10A47">
              <w:rPr>
                <w:rFonts w:ascii="Calibri" w:eastAsia="Calibri" w:hAnsi="Calibri"/>
                <w:sz w:val="18"/>
                <w:szCs w:val="18"/>
              </w:rPr>
              <w:t>ii</w:t>
            </w:r>
            <w:r w:rsidR="00794BE8" w:rsidRPr="00A10A47">
              <w:rPr>
                <w:rFonts w:ascii="Calibri" w:eastAsia="Calibri" w:hAnsi="Calibri"/>
                <w:sz w:val="18"/>
                <w:szCs w:val="18"/>
              </w:rPr>
              <w:t xml:space="preserve">) 1,572,554. </w:t>
            </w:r>
            <w:r w:rsidR="00A10A47" w:rsidRPr="00A10A47">
              <w:rPr>
                <w:rFonts w:eastAsia="Calibri"/>
                <w:sz w:val="18"/>
                <w:szCs w:val="18"/>
              </w:rPr>
              <w:t>*</w:t>
            </w:r>
            <w:r w:rsidR="0010125C" w:rsidRPr="00A10A47">
              <w:rPr>
                <w:rFonts w:eastAsia="Calibri"/>
                <w:sz w:val="18"/>
                <w:szCs w:val="18"/>
              </w:rPr>
              <w:t xml:space="preserve">Provisional results for 2014, </w:t>
            </w:r>
            <w:r w:rsidR="005155BD" w:rsidRPr="00A10A47">
              <w:rPr>
                <w:rFonts w:eastAsia="Calibri"/>
                <w:sz w:val="18"/>
                <w:szCs w:val="18"/>
              </w:rPr>
              <w:t>final harmonized results due Q3</w:t>
            </w:r>
            <w:r w:rsidR="0010125C" w:rsidRPr="00A10A47">
              <w:rPr>
                <w:rFonts w:eastAsia="Calibri"/>
                <w:sz w:val="18"/>
                <w:szCs w:val="18"/>
              </w:rPr>
              <w:t xml:space="preserve">. </w:t>
            </w:r>
          </w:p>
        </w:tc>
      </w:tr>
    </w:tbl>
    <w:p w14:paraId="161CF877" w14:textId="77777777" w:rsidR="00A10A47" w:rsidRDefault="00A10A47">
      <w:r>
        <w:br w:type="page"/>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720"/>
        <w:gridCol w:w="5490"/>
        <w:gridCol w:w="1440"/>
        <w:gridCol w:w="1350"/>
        <w:gridCol w:w="1350"/>
        <w:gridCol w:w="1530"/>
      </w:tblGrid>
      <w:tr w:rsidR="00F7064C" w:rsidRPr="00A47C48" w14:paraId="3230A09D" w14:textId="77777777" w:rsidTr="00B868C4">
        <w:trPr>
          <w:trHeight w:val="512"/>
          <w:jc w:val="center"/>
        </w:trPr>
        <w:tc>
          <w:tcPr>
            <w:tcW w:w="3145" w:type="dxa"/>
            <w:vMerge w:val="restart"/>
            <w:tcBorders>
              <w:left w:val="single" w:sz="4" w:space="0" w:color="auto"/>
              <w:right w:val="single" w:sz="4" w:space="0" w:color="auto"/>
            </w:tcBorders>
            <w:shd w:val="clear" w:color="auto" w:fill="auto"/>
            <w:vAlign w:val="center"/>
            <w:hideMark/>
          </w:tcPr>
          <w:p w14:paraId="266B19BA" w14:textId="13B80824" w:rsidR="00F7064C" w:rsidRPr="0000532F" w:rsidRDefault="00F7064C" w:rsidP="008250A4">
            <w:pPr>
              <w:spacing w:after="0" w:line="240" w:lineRule="auto"/>
              <w:rPr>
                <w:rFonts w:eastAsia="Calibri"/>
                <w:b/>
                <w:sz w:val="20"/>
              </w:rPr>
            </w:pPr>
          </w:p>
        </w:tc>
        <w:tc>
          <w:tcPr>
            <w:tcW w:w="720" w:type="dxa"/>
            <w:vMerge w:val="restart"/>
            <w:tcBorders>
              <w:top w:val="single" w:sz="4" w:space="0" w:color="auto"/>
              <w:left w:val="single" w:sz="4" w:space="0" w:color="auto"/>
              <w:right w:val="single" w:sz="4" w:space="0" w:color="auto"/>
            </w:tcBorders>
            <w:shd w:val="clear" w:color="auto" w:fill="FFFFFF"/>
            <w:hideMark/>
          </w:tcPr>
          <w:p w14:paraId="75C6CDE2" w14:textId="77777777" w:rsidR="00F7064C" w:rsidRPr="0000532F" w:rsidRDefault="00F7064C" w:rsidP="008250A4">
            <w:pPr>
              <w:spacing w:after="0" w:line="240" w:lineRule="auto"/>
              <w:jc w:val="both"/>
              <w:rPr>
                <w:rFonts w:eastAsia="Calibri"/>
                <w:b/>
                <w:sz w:val="20"/>
              </w:rPr>
            </w:pPr>
            <w:r w:rsidRPr="0000532F">
              <w:rPr>
                <w:rFonts w:eastAsia="Calibri"/>
                <w:b/>
                <w:sz w:val="20"/>
              </w:rPr>
              <w:t>3.3.2</w:t>
            </w:r>
          </w:p>
        </w:tc>
        <w:tc>
          <w:tcPr>
            <w:tcW w:w="5490" w:type="dxa"/>
            <w:tcBorders>
              <w:top w:val="single" w:sz="4" w:space="0" w:color="auto"/>
              <w:left w:val="single" w:sz="4" w:space="0" w:color="auto"/>
              <w:right w:val="single" w:sz="4" w:space="0" w:color="auto"/>
            </w:tcBorders>
            <w:shd w:val="clear" w:color="auto" w:fill="FFFFFF"/>
            <w:hideMark/>
          </w:tcPr>
          <w:p w14:paraId="2626EFBA" w14:textId="3BEEA80D" w:rsidR="00F7064C" w:rsidRDefault="00B719A9" w:rsidP="008250A4">
            <w:pPr>
              <w:tabs>
                <w:tab w:val="left" w:pos="5034"/>
              </w:tabs>
              <w:spacing w:after="0" w:line="240" w:lineRule="auto"/>
              <w:rPr>
                <w:rFonts w:eastAsia="Calibri"/>
                <w:sz w:val="20"/>
              </w:rPr>
            </w:pPr>
            <w:r w:rsidRPr="00B719A9">
              <w:rPr>
                <w:rFonts w:eastAsia="Calibri"/>
                <w:b/>
                <w:sz w:val="20"/>
              </w:rPr>
              <w:t>a)</w:t>
            </w:r>
            <w:r>
              <w:rPr>
                <w:rFonts w:eastAsia="Calibri"/>
                <w:sz w:val="20"/>
              </w:rPr>
              <w:t xml:space="preserve"> </w:t>
            </w:r>
            <w:r w:rsidR="00F7064C" w:rsidRPr="0000532F">
              <w:rPr>
                <w:rFonts w:eastAsia="Calibri"/>
                <w:sz w:val="20"/>
              </w:rPr>
              <w:t xml:space="preserve">Percentage of UNDP-managed Global Fund to Fight AIDS, TB and Malaria grants that </w:t>
            </w:r>
            <w:r w:rsidR="00F7064C" w:rsidRPr="000B5DED">
              <w:rPr>
                <w:rFonts w:eastAsia="Calibri"/>
                <w:sz w:val="20"/>
              </w:rPr>
              <w:t>are</w:t>
            </w:r>
            <w:r w:rsidR="00F7064C" w:rsidRPr="0000532F">
              <w:rPr>
                <w:rFonts w:eastAsia="Calibri"/>
                <w:b/>
                <w:sz w:val="20"/>
              </w:rPr>
              <w:t xml:space="preserve"> rated as exceeding or meeting expectations</w:t>
            </w:r>
          </w:p>
          <w:p w14:paraId="4DB1D6BC" w14:textId="061C75BE" w:rsidR="008376B6" w:rsidRPr="00412C47" w:rsidRDefault="008376B6" w:rsidP="00A10A47">
            <w:pPr>
              <w:tabs>
                <w:tab w:val="left" w:pos="5034"/>
              </w:tabs>
              <w:spacing w:before="60" w:after="0" w:line="240" w:lineRule="auto"/>
              <w:rPr>
                <w:rFonts w:eastAsia="Calibri"/>
                <w:b/>
                <w:i/>
                <w:sz w:val="18"/>
                <w:szCs w:val="18"/>
              </w:rPr>
            </w:pPr>
            <w:r w:rsidRPr="00412C47">
              <w:rPr>
                <w:rFonts w:eastAsia="Calibri"/>
                <w:b/>
                <w:i/>
                <w:sz w:val="18"/>
                <w:szCs w:val="18"/>
              </w:rPr>
              <w:t xml:space="preserve">Number of countries </w:t>
            </w:r>
            <w:r w:rsidR="00556F20">
              <w:rPr>
                <w:rFonts w:eastAsia="Calibri"/>
                <w:b/>
                <w:i/>
                <w:sz w:val="18"/>
                <w:szCs w:val="18"/>
              </w:rPr>
              <w:t>with</w:t>
            </w:r>
            <w:r w:rsidR="008516A8">
              <w:rPr>
                <w:rFonts w:eastAsia="Calibri"/>
                <w:b/>
                <w:i/>
                <w:sz w:val="18"/>
                <w:szCs w:val="18"/>
              </w:rPr>
              <w:t xml:space="preserve"> </w:t>
            </w:r>
            <w:r w:rsidR="00556F20">
              <w:rPr>
                <w:rFonts w:eastAsia="Calibri"/>
                <w:b/>
                <w:i/>
                <w:sz w:val="18"/>
                <w:szCs w:val="18"/>
              </w:rPr>
              <w:t>UNDP-</w:t>
            </w:r>
            <w:r w:rsidR="008516A8">
              <w:rPr>
                <w:rFonts w:eastAsia="Calibri"/>
                <w:b/>
                <w:i/>
                <w:sz w:val="18"/>
                <w:szCs w:val="18"/>
              </w:rPr>
              <w:t>manag</w:t>
            </w:r>
            <w:r w:rsidR="00556F20">
              <w:rPr>
                <w:rFonts w:eastAsia="Calibri"/>
                <w:b/>
                <w:i/>
                <w:sz w:val="18"/>
                <w:szCs w:val="18"/>
              </w:rPr>
              <w:t>ed</w:t>
            </w:r>
            <w:r w:rsidR="008516A8">
              <w:rPr>
                <w:rFonts w:eastAsia="Calibri"/>
                <w:b/>
                <w:i/>
                <w:sz w:val="18"/>
                <w:szCs w:val="18"/>
              </w:rPr>
              <w:t xml:space="preserve"> Global Fund gra</w:t>
            </w:r>
            <w:r w:rsidR="00EF7703">
              <w:rPr>
                <w:rFonts w:eastAsia="Calibri"/>
                <w:b/>
                <w:i/>
                <w:sz w:val="18"/>
                <w:szCs w:val="18"/>
              </w:rPr>
              <w:t>nts</w:t>
            </w:r>
            <w:r w:rsidR="00556F20">
              <w:rPr>
                <w:rFonts w:eastAsia="Calibri"/>
                <w:b/>
                <w:i/>
                <w:sz w:val="18"/>
                <w:szCs w:val="18"/>
              </w:rPr>
              <w:t xml:space="preserve"> varies each year</w:t>
            </w:r>
          </w:p>
          <w:p w14:paraId="72E5A3FC" w14:textId="77777777" w:rsidR="00B719A9" w:rsidRPr="00412C47" w:rsidRDefault="00B719A9" w:rsidP="00B719A9">
            <w:pPr>
              <w:tabs>
                <w:tab w:val="left" w:pos="5034"/>
              </w:tabs>
              <w:spacing w:after="0" w:line="240" w:lineRule="auto"/>
              <w:rPr>
                <w:rFonts w:eastAsia="Calibri"/>
                <w:b/>
                <w:sz w:val="20"/>
              </w:rPr>
            </w:pPr>
          </w:p>
          <w:p w14:paraId="35412DF6" w14:textId="302ED170" w:rsidR="00B719A9" w:rsidRPr="00412C47" w:rsidRDefault="00D0623E" w:rsidP="00B719A9">
            <w:pPr>
              <w:tabs>
                <w:tab w:val="left" w:pos="5034"/>
              </w:tabs>
              <w:spacing w:after="0" w:line="240" w:lineRule="auto"/>
              <w:rPr>
                <w:rFonts w:eastAsia="Calibri"/>
                <w:sz w:val="20"/>
              </w:rPr>
            </w:pPr>
            <w:r w:rsidRPr="00412C47">
              <w:rPr>
                <w:rFonts w:eastAsia="Calibri"/>
                <w:b/>
                <w:sz w:val="20"/>
              </w:rPr>
              <w:t>b</w:t>
            </w:r>
            <w:r w:rsidR="00B719A9" w:rsidRPr="00412C47">
              <w:rPr>
                <w:rFonts w:eastAsia="Calibri"/>
                <w:b/>
                <w:sz w:val="20"/>
              </w:rPr>
              <w:t>)</w:t>
            </w:r>
            <w:r w:rsidR="00B719A9" w:rsidRPr="00412C47">
              <w:rPr>
                <w:rFonts w:eastAsia="Calibri"/>
                <w:sz w:val="20"/>
              </w:rPr>
              <w:t xml:space="preserve"> </w:t>
            </w:r>
            <w:r w:rsidRPr="00412C47">
              <w:rPr>
                <w:rFonts w:eastAsia="Calibri"/>
                <w:sz w:val="20"/>
              </w:rPr>
              <w:t xml:space="preserve">Difference between </w:t>
            </w:r>
            <w:r w:rsidR="000B5DED">
              <w:rPr>
                <w:rFonts w:eastAsia="Calibri"/>
                <w:b/>
                <w:sz w:val="20"/>
              </w:rPr>
              <w:t>percentage of</w:t>
            </w:r>
            <w:r w:rsidRPr="00412C47">
              <w:rPr>
                <w:rFonts w:eastAsia="Calibri"/>
                <w:b/>
                <w:sz w:val="20"/>
              </w:rPr>
              <w:t xml:space="preserve"> UNDP-managed Global Fund grants</w:t>
            </w:r>
            <w:r w:rsidRPr="00412C47">
              <w:rPr>
                <w:rFonts w:eastAsia="Calibri"/>
                <w:sz w:val="20"/>
              </w:rPr>
              <w:t xml:space="preserve"> rated as exceeding or meeting expectations, and </w:t>
            </w:r>
            <w:r w:rsidR="000B5DED">
              <w:rPr>
                <w:rFonts w:eastAsia="Calibri"/>
                <w:b/>
                <w:sz w:val="20"/>
              </w:rPr>
              <w:t>percentage of</w:t>
            </w:r>
            <w:r w:rsidRPr="00412C47">
              <w:rPr>
                <w:rFonts w:eastAsia="Calibri"/>
                <w:b/>
                <w:sz w:val="20"/>
              </w:rPr>
              <w:t xml:space="preserve"> other Global Fund</w:t>
            </w:r>
            <w:r w:rsidR="002B407A" w:rsidRPr="00412C47">
              <w:rPr>
                <w:rFonts w:eastAsia="Calibri"/>
                <w:b/>
                <w:sz w:val="20"/>
              </w:rPr>
              <w:t xml:space="preserve"> grant</w:t>
            </w:r>
            <w:r w:rsidRPr="00412C47">
              <w:rPr>
                <w:rFonts w:eastAsia="Calibri"/>
                <w:b/>
                <w:sz w:val="20"/>
              </w:rPr>
              <w:t>s</w:t>
            </w:r>
            <w:r w:rsidRPr="00412C47">
              <w:rPr>
                <w:rFonts w:eastAsia="Calibri"/>
                <w:sz w:val="20"/>
              </w:rPr>
              <w:t xml:space="preserve"> rated as exceeding or meeting expectations</w:t>
            </w:r>
          </w:p>
          <w:p w14:paraId="66D55039" w14:textId="7946C1F4" w:rsidR="00B719A9" w:rsidRPr="00B719A9" w:rsidRDefault="00556F20" w:rsidP="005F0D85">
            <w:pPr>
              <w:tabs>
                <w:tab w:val="left" w:pos="5034"/>
              </w:tabs>
              <w:spacing w:before="60" w:after="0" w:line="240" w:lineRule="auto"/>
              <w:rPr>
                <w:rFonts w:eastAsia="Calibri"/>
                <w:b/>
                <w:i/>
                <w:sz w:val="18"/>
                <w:szCs w:val="18"/>
              </w:rPr>
            </w:pPr>
            <w:r w:rsidRPr="00412C47">
              <w:rPr>
                <w:rFonts w:eastAsia="Calibri"/>
                <w:b/>
                <w:i/>
                <w:sz w:val="18"/>
                <w:szCs w:val="18"/>
              </w:rPr>
              <w:t xml:space="preserve">Number of countries </w:t>
            </w:r>
            <w:r>
              <w:rPr>
                <w:rFonts w:eastAsia="Calibri"/>
                <w:b/>
                <w:i/>
                <w:sz w:val="18"/>
                <w:szCs w:val="18"/>
              </w:rPr>
              <w:t>with UNDP-managed Global Fund grants varies each year</w:t>
            </w:r>
          </w:p>
        </w:tc>
        <w:tc>
          <w:tcPr>
            <w:tcW w:w="1440" w:type="dxa"/>
            <w:tcBorders>
              <w:top w:val="single" w:sz="4" w:space="0" w:color="auto"/>
              <w:left w:val="single" w:sz="4" w:space="0" w:color="auto"/>
              <w:right w:val="single" w:sz="4" w:space="0" w:color="auto"/>
            </w:tcBorders>
            <w:shd w:val="clear" w:color="auto" w:fill="FFFFFF"/>
          </w:tcPr>
          <w:p w14:paraId="648C932D" w14:textId="77777777" w:rsidR="00F7064C" w:rsidRPr="00B96BF9" w:rsidRDefault="002B407A" w:rsidP="002D20EC">
            <w:pPr>
              <w:spacing w:after="0" w:line="240" w:lineRule="auto"/>
              <w:jc w:val="center"/>
              <w:rPr>
                <w:rFonts w:eastAsia="Calibri"/>
                <w:sz w:val="20"/>
              </w:rPr>
            </w:pPr>
            <w:r w:rsidRPr="00B96BF9">
              <w:rPr>
                <w:rFonts w:eastAsia="Calibri"/>
                <w:sz w:val="20"/>
              </w:rPr>
              <w:t>44.6%</w:t>
            </w:r>
          </w:p>
          <w:p w14:paraId="7FF70BFF" w14:textId="22CD5E96" w:rsidR="00B868C4" w:rsidRPr="00B96BF9" w:rsidRDefault="000F57EA" w:rsidP="002D20EC">
            <w:pPr>
              <w:spacing w:after="0" w:line="240" w:lineRule="auto"/>
              <w:jc w:val="center"/>
              <w:rPr>
                <w:rFonts w:eastAsia="Calibri"/>
                <w:sz w:val="20"/>
              </w:rPr>
            </w:pPr>
            <w:r>
              <w:rPr>
                <w:rFonts w:eastAsia="Calibri"/>
                <w:sz w:val="20"/>
              </w:rPr>
              <w:t>(2009-2013)</w:t>
            </w:r>
          </w:p>
          <w:p w14:paraId="43942FFF" w14:textId="77777777" w:rsidR="00B868C4" w:rsidRPr="00B96BF9" w:rsidRDefault="00B868C4" w:rsidP="002D20EC">
            <w:pPr>
              <w:spacing w:after="0" w:line="240" w:lineRule="auto"/>
              <w:jc w:val="center"/>
              <w:rPr>
                <w:rFonts w:eastAsia="Calibri"/>
                <w:sz w:val="20"/>
              </w:rPr>
            </w:pPr>
          </w:p>
          <w:p w14:paraId="270214F1" w14:textId="77777777" w:rsidR="00B868C4" w:rsidRPr="00B96BF9" w:rsidRDefault="00B868C4" w:rsidP="002D20EC">
            <w:pPr>
              <w:spacing w:after="0" w:line="240" w:lineRule="auto"/>
              <w:jc w:val="center"/>
              <w:rPr>
                <w:rFonts w:eastAsia="Calibri"/>
                <w:sz w:val="20"/>
              </w:rPr>
            </w:pPr>
          </w:p>
          <w:p w14:paraId="15EA2A16" w14:textId="77777777" w:rsidR="00B868C4" w:rsidRDefault="00B868C4" w:rsidP="002D20EC">
            <w:pPr>
              <w:spacing w:after="0" w:line="240" w:lineRule="auto"/>
              <w:jc w:val="center"/>
              <w:rPr>
                <w:rFonts w:eastAsia="Calibri"/>
                <w:sz w:val="20"/>
              </w:rPr>
            </w:pPr>
          </w:p>
          <w:p w14:paraId="78201A8C" w14:textId="77777777" w:rsidR="00A10A47" w:rsidRDefault="00A10A47" w:rsidP="002D20EC">
            <w:pPr>
              <w:spacing w:after="0" w:line="240" w:lineRule="auto"/>
              <w:jc w:val="center"/>
              <w:rPr>
                <w:rFonts w:eastAsia="Calibri"/>
                <w:sz w:val="20"/>
              </w:rPr>
            </w:pPr>
          </w:p>
          <w:p w14:paraId="2D4EB69D" w14:textId="77777777" w:rsidR="00B96BF9" w:rsidRDefault="00B96BF9" w:rsidP="00B96BF9">
            <w:pPr>
              <w:spacing w:after="0" w:line="240" w:lineRule="auto"/>
              <w:jc w:val="center"/>
              <w:rPr>
                <w:rFonts w:eastAsia="Calibri"/>
                <w:sz w:val="20"/>
              </w:rPr>
            </w:pPr>
            <w:r w:rsidRPr="00B96BF9">
              <w:rPr>
                <w:rFonts w:eastAsia="Calibri"/>
                <w:sz w:val="20"/>
              </w:rPr>
              <w:t>5.4%</w:t>
            </w:r>
          </w:p>
          <w:p w14:paraId="20737958" w14:textId="545D853D" w:rsidR="000F57EA" w:rsidRPr="00B96BF9" w:rsidRDefault="000F57EA" w:rsidP="00B96BF9">
            <w:pPr>
              <w:spacing w:after="0" w:line="240" w:lineRule="auto"/>
              <w:jc w:val="center"/>
              <w:rPr>
                <w:rFonts w:eastAsia="Calibri"/>
                <w:sz w:val="20"/>
              </w:rPr>
            </w:pPr>
            <w:r>
              <w:rPr>
                <w:rFonts w:eastAsia="Calibri"/>
                <w:sz w:val="20"/>
              </w:rPr>
              <w:t>(2011-2013)</w:t>
            </w:r>
          </w:p>
        </w:tc>
        <w:tc>
          <w:tcPr>
            <w:tcW w:w="1350" w:type="dxa"/>
            <w:tcBorders>
              <w:top w:val="single" w:sz="4" w:space="0" w:color="auto"/>
              <w:left w:val="single" w:sz="4" w:space="0" w:color="auto"/>
              <w:right w:val="single" w:sz="4" w:space="0" w:color="auto"/>
            </w:tcBorders>
            <w:shd w:val="clear" w:color="auto" w:fill="FFFFFF"/>
          </w:tcPr>
          <w:p w14:paraId="4E301E4A" w14:textId="77777777" w:rsidR="00F7064C" w:rsidRPr="00B96BF9" w:rsidRDefault="002B407A" w:rsidP="002D20EC">
            <w:pPr>
              <w:spacing w:after="0" w:line="240" w:lineRule="auto"/>
              <w:jc w:val="center"/>
              <w:rPr>
                <w:rFonts w:eastAsia="Calibri"/>
                <w:sz w:val="20"/>
              </w:rPr>
            </w:pPr>
            <w:r w:rsidRPr="00B96BF9">
              <w:rPr>
                <w:rFonts w:eastAsia="Calibri"/>
                <w:sz w:val="20"/>
              </w:rPr>
              <w:t>60%</w:t>
            </w:r>
          </w:p>
          <w:p w14:paraId="2706DA2C" w14:textId="77777777" w:rsidR="00B96BF9" w:rsidRPr="00B96BF9" w:rsidRDefault="00B96BF9" w:rsidP="002D20EC">
            <w:pPr>
              <w:spacing w:after="0" w:line="240" w:lineRule="auto"/>
              <w:jc w:val="center"/>
              <w:rPr>
                <w:rFonts w:eastAsia="Calibri"/>
                <w:sz w:val="20"/>
              </w:rPr>
            </w:pPr>
          </w:p>
          <w:p w14:paraId="4CEC82EE" w14:textId="77777777" w:rsidR="00B96BF9" w:rsidRPr="00B96BF9" w:rsidRDefault="00B96BF9" w:rsidP="002D20EC">
            <w:pPr>
              <w:spacing w:after="0" w:line="240" w:lineRule="auto"/>
              <w:jc w:val="center"/>
              <w:rPr>
                <w:rFonts w:eastAsia="Calibri"/>
                <w:sz w:val="20"/>
              </w:rPr>
            </w:pPr>
          </w:p>
          <w:p w14:paraId="2867C01A" w14:textId="77777777" w:rsidR="00B96BF9" w:rsidRPr="00B96BF9" w:rsidRDefault="00B96BF9" w:rsidP="002D20EC">
            <w:pPr>
              <w:spacing w:after="0" w:line="240" w:lineRule="auto"/>
              <w:jc w:val="center"/>
              <w:rPr>
                <w:rFonts w:eastAsia="Calibri"/>
                <w:sz w:val="20"/>
              </w:rPr>
            </w:pPr>
          </w:p>
          <w:p w14:paraId="2F415E8B" w14:textId="77777777" w:rsidR="00B96BF9" w:rsidRDefault="00B96BF9" w:rsidP="002D20EC">
            <w:pPr>
              <w:spacing w:after="0" w:line="240" w:lineRule="auto"/>
              <w:jc w:val="center"/>
              <w:rPr>
                <w:rFonts w:eastAsia="Calibri"/>
                <w:sz w:val="20"/>
              </w:rPr>
            </w:pPr>
          </w:p>
          <w:p w14:paraId="69219263" w14:textId="77777777" w:rsidR="00A10A47" w:rsidRDefault="00A10A47" w:rsidP="002D20EC">
            <w:pPr>
              <w:spacing w:after="0" w:line="240" w:lineRule="auto"/>
              <w:jc w:val="center"/>
              <w:rPr>
                <w:rFonts w:eastAsia="Calibri"/>
                <w:sz w:val="20"/>
              </w:rPr>
            </w:pPr>
          </w:p>
          <w:p w14:paraId="0902E842" w14:textId="79D4BDB4" w:rsidR="00B96BF9" w:rsidRPr="00B96BF9" w:rsidRDefault="00B96BF9" w:rsidP="002D20EC">
            <w:pPr>
              <w:spacing w:after="0" w:line="240" w:lineRule="auto"/>
              <w:jc w:val="center"/>
              <w:rPr>
                <w:rFonts w:eastAsia="Calibri"/>
                <w:sz w:val="20"/>
              </w:rPr>
            </w:pPr>
            <w:r w:rsidRPr="00B96BF9">
              <w:rPr>
                <w:rFonts w:eastAsia="Calibri"/>
                <w:sz w:val="20"/>
              </w:rPr>
              <w:t>20%</w:t>
            </w:r>
          </w:p>
        </w:tc>
        <w:tc>
          <w:tcPr>
            <w:tcW w:w="1350" w:type="dxa"/>
            <w:tcBorders>
              <w:top w:val="single" w:sz="4" w:space="0" w:color="auto"/>
              <w:left w:val="single" w:sz="4" w:space="0" w:color="auto"/>
              <w:right w:val="single" w:sz="4" w:space="0" w:color="auto"/>
            </w:tcBorders>
            <w:shd w:val="clear" w:color="auto" w:fill="FFFFFF"/>
          </w:tcPr>
          <w:p w14:paraId="717E9FF8" w14:textId="77777777" w:rsidR="00F7064C" w:rsidRPr="00B96BF9" w:rsidRDefault="002B407A" w:rsidP="002B407A">
            <w:pPr>
              <w:spacing w:after="0" w:line="240" w:lineRule="auto"/>
              <w:jc w:val="center"/>
              <w:rPr>
                <w:rFonts w:eastAsia="Calibri"/>
                <w:sz w:val="20"/>
              </w:rPr>
            </w:pPr>
            <w:r w:rsidRPr="00B96BF9">
              <w:rPr>
                <w:rFonts w:eastAsia="Calibri"/>
                <w:sz w:val="20"/>
              </w:rPr>
              <w:t>62.5</w:t>
            </w:r>
            <w:r w:rsidR="002D20EC" w:rsidRPr="00B96BF9">
              <w:rPr>
                <w:rFonts w:eastAsia="Calibri"/>
                <w:sz w:val="20"/>
              </w:rPr>
              <w:t>%</w:t>
            </w:r>
          </w:p>
          <w:p w14:paraId="21CBD76B" w14:textId="77777777" w:rsidR="00B96BF9" w:rsidRPr="00B96BF9" w:rsidRDefault="00B96BF9" w:rsidP="002B407A">
            <w:pPr>
              <w:spacing w:after="0" w:line="240" w:lineRule="auto"/>
              <w:jc w:val="center"/>
              <w:rPr>
                <w:rFonts w:eastAsia="Calibri"/>
                <w:sz w:val="20"/>
              </w:rPr>
            </w:pPr>
          </w:p>
          <w:p w14:paraId="2413F41F" w14:textId="77777777" w:rsidR="00B96BF9" w:rsidRPr="00B96BF9" w:rsidRDefault="00B96BF9" w:rsidP="002B407A">
            <w:pPr>
              <w:spacing w:after="0" w:line="240" w:lineRule="auto"/>
              <w:jc w:val="center"/>
              <w:rPr>
                <w:rFonts w:eastAsia="Calibri"/>
                <w:sz w:val="20"/>
              </w:rPr>
            </w:pPr>
          </w:p>
          <w:p w14:paraId="2C891158" w14:textId="77777777" w:rsidR="00B96BF9" w:rsidRPr="00B96BF9" w:rsidRDefault="00B96BF9" w:rsidP="002B407A">
            <w:pPr>
              <w:spacing w:after="0" w:line="240" w:lineRule="auto"/>
              <w:jc w:val="center"/>
              <w:rPr>
                <w:rFonts w:eastAsia="Calibri"/>
                <w:sz w:val="20"/>
              </w:rPr>
            </w:pPr>
          </w:p>
          <w:p w14:paraId="216B2CC5" w14:textId="77777777" w:rsidR="00B96BF9" w:rsidRDefault="00B96BF9" w:rsidP="002B407A">
            <w:pPr>
              <w:spacing w:after="0" w:line="240" w:lineRule="auto"/>
              <w:jc w:val="center"/>
              <w:rPr>
                <w:rFonts w:eastAsia="Calibri"/>
                <w:sz w:val="20"/>
              </w:rPr>
            </w:pPr>
          </w:p>
          <w:p w14:paraId="549602C6" w14:textId="77777777" w:rsidR="00A10A47" w:rsidRDefault="00A10A47" w:rsidP="002B407A">
            <w:pPr>
              <w:spacing w:after="0" w:line="240" w:lineRule="auto"/>
              <w:jc w:val="center"/>
              <w:rPr>
                <w:rFonts w:eastAsia="Calibri"/>
                <w:sz w:val="20"/>
              </w:rPr>
            </w:pPr>
          </w:p>
          <w:p w14:paraId="4F94E3CC" w14:textId="27A14634" w:rsidR="00B96BF9" w:rsidRPr="00B96BF9" w:rsidRDefault="00B96BF9" w:rsidP="002B407A">
            <w:pPr>
              <w:spacing w:after="0" w:line="240" w:lineRule="auto"/>
              <w:jc w:val="center"/>
              <w:rPr>
                <w:rFonts w:eastAsia="Calibri"/>
                <w:sz w:val="20"/>
              </w:rPr>
            </w:pPr>
            <w:r w:rsidRPr="00B96BF9">
              <w:rPr>
                <w:rFonts w:eastAsia="Calibri"/>
                <w:sz w:val="20"/>
              </w:rPr>
              <w:t>20.8%</w:t>
            </w:r>
          </w:p>
        </w:tc>
        <w:tc>
          <w:tcPr>
            <w:tcW w:w="1530" w:type="dxa"/>
            <w:tcBorders>
              <w:top w:val="single" w:sz="4" w:space="0" w:color="auto"/>
              <w:left w:val="single" w:sz="4" w:space="0" w:color="auto"/>
              <w:right w:val="single" w:sz="4" w:space="0" w:color="auto"/>
            </w:tcBorders>
            <w:shd w:val="clear" w:color="auto" w:fill="FFFFFF"/>
          </w:tcPr>
          <w:p w14:paraId="710EFB0D" w14:textId="4D39EE8E" w:rsidR="00F7064C" w:rsidRPr="00B96BF9" w:rsidRDefault="00926776" w:rsidP="00B868C4">
            <w:pPr>
              <w:spacing w:after="0" w:line="240" w:lineRule="auto"/>
              <w:jc w:val="center"/>
              <w:rPr>
                <w:rFonts w:eastAsia="Calibri"/>
                <w:sz w:val="20"/>
              </w:rPr>
            </w:pPr>
            <w:r>
              <w:rPr>
                <w:rFonts w:eastAsia="Calibri"/>
                <w:sz w:val="20"/>
              </w:rPr>
              <w:t>55</w:t>
            </w:r>
            <w:r w:rsidR="00B868C4" w:rsidRPr="00B96BF9">
              <w:rPr>
                <w:rFonts w:eastAsia="Calibri"/>
                <w:sz w:val="20"/>
              </w:rPr>
              <w:t>%</w:t>
            </w:r>
          </w:p>
          <w:p w14:paraId="66C20A78" w14:textId="77777777" w:rsidR="00B96BF9" w:rsidRDefault="00B96BF9" w:rsidP="00B868C4">
            <w:pPr>
              <w:spacing w:after="0" w:line="240" w:lineRule="auto"/>
              <w:jc w:val="center"/>
              <w:rPr>
                <w:rFonts w:eastAsia="Calibri"/>
                <w:sz w:val="20"/>
                <w:highlight w:val="yellow"/>
              </w:rPr>
            </w:pPr>
          </w:p>
          <w:p w14:paraId="3D189B66" w14:textId="77777777" w:rsidR="00B96BF9" w:rsidRDefault="00B96BF9" w:rsidP="00B868C4">
            <w:pPr>
              <w:spacing w:after="0" w:line="240" w:lineRule="auto"/>
              <w:jc w:val="center"/>
              <w:rPr>
                <w:rFonts w:eastAsia="Calibri"/>
                <w:sz w:val="20"/>
                <w:highlight w:val="yellow"/>
              </w:rPr>
            </w:pPr>
          </w:p>
          <w:p w14:paraId="740E70EB" w14:textId="77777777" w:rsidR="00B96BF9" w:rsidRDefault="00B96BF9" w:rsidP="00B868C4">
            <w:pPr>
              <w:spacing w:after="0" w:line="240" w:lineRule="auto"/>
              <w:jc w:val="center"/>
              <w:rPr>
                <w:rFonts w:eastAsia="Calibri"/>
                <w:sz w:val="20"/>
                <w:highlight w:val="yellow"/>
              </w:rPr>
            </w:pPr>
          </w:p>
          <w:p w14:paraId="690ED18B" w14:textId="77777777" w:rsidR="00B96BF9" w:rsidRDefault="00B96BF9" w:rsidP="00B868C4">
            <w:pPr>
              <w:spacing w:after="0" w:line="240" w:lineRule="auto"/>
              <w:jc w:val="center"/>
              <w:rPr>
                <w:rFonts w:eastAsia="Calibri"/>
                <w:sz w:val="20"/>
                <w:highlight w:val="yellow"/>
              </w:rPr>
            </w:pPr>
          </w:p>
          <w:p w14:paraId="69427A8E" w14:textId="77777777" w:rsidR="00A10A47" w:rsidRDefault="00A10A47" w:rsidP="00B868C4">
            <w:pPr>
              <w:spacing w:after="0" w:line="240" w:lineRule="auto"/>
              <w:jc w:val="center"/>
              <w:rPr>
                <w:rFonts w:eastAsia="Calibri"/>
                <w:sz w:val="20"/>
                <w:highlight w:val="yellow"/>
              </w:rPr>
            </w:pPr>
          </w:p>
          <w:p w14:paraId="1DF3EF50" w14:textId="31EA62E4" w:rsidR="00B96BF9" w:rsidRPr="00A85FF4" w:rsidRDefault="00B96BF9" w:rsidP="00926776">
            <w:pPr>
              <w:spacing w:after="0" w:line="240" w:lineRule="auto"/>
              <w:jc w:val="center"/>
              <w:rPr>
                <w:rFonts w:eastAsia="Calibri"/>
                <w:sz w:val="20"/>
                <w:highlight w:val="yellow"/>
              </w:rPr>
            </w:pPr>
            <w:r w:rsidRPr="005F0D85">
              <w:rPr>
                <w:rFonts w:eastAsia="Calibri"/>
                <w:sz w:val="20"/>
              </w:rPr>
              <w:t>1</w:t>
            </w:r>
            <w:r w:rsidR="00926776" w:rsidRPr="005F0D85">
              <w:rPr>
                <w:rFonts w:eastAsia="Calibri"/>
                <w:sz w:val="20"/>
              </w:rPr>
              <w:t>0</w:t>
            </w:r>
            <w:r w:rsidRPr="005F0D85">
              <w:rPr>
                <w:rFonts w:eastAsia="Calibri"/>
                <w:sz w:val="20"/>
              </w:rPr>
              <w:t>%</w:t>
            </w:r>
          </w:p>
        </w:tc>
      </w:tr>
      <w:tr w:rsidR="002E7E06" w:rsidRPr="00A47C48" w14:paraId="50E2A388" w14:textId="77777777" w:rsidTr="00E869D0">
        <w:trPr>
          <w:trHeight w:val="512"/>
          <w:jc w:val="center"/>
        </w:trPr>
        <w:tc>
          <w:tcPr>
            <w:tcW w:w="3145" w:type="dxa"/>
            <w:vMerge/>
            <w:tcBorders>
              <w:left w:val="single" w:sz="4" w:space="0" w:color="auto"/>
              <w:right w:val="single" w:sz="4" w:space="0" w:color="auto"/>
            </w:tcBorders>
            <w:shd w:val="clear" w:color="auto" w:fill="auto"/>
            <w:vAlign w:val="center"/>
          </w:tcPr>
          <w:p w14:paraId="0E8E64A1" w14:textId="77777777" w:rsidR="002E7E06" w:rsidRPr="0000532F" w:rsidRDefault="002E7E06" w:rsidP="00A635A3">
            <w:pPr>
              <w:spacing w:after="0" w:line="240" w:lineRule="auto"/>
              <w:rPr>
                <w:rFonts w:eastAsia="Calibri"/>
                <w:b/>
                <w:sz w:val="20"/>
              </w:rPr>
            </w:pPr>
          </w:p>
        </w:tc>
        <w:tc>
          <w:tcPr>
            <w:tcW w:w="720" w:type="dxa"/>
            <w:vMerge/>
            <w:tcBorders>
              <w:left w:val="single" w:sz="4" w:space="0" w:color="auto"/>
              <w:right w:val="single" w:sz="4" w:space="0" w:color="auto"/>
            </w:tcBorders>
            <w:shd w:val="clear" w:color="auto" w:fill="FFFFFF"/>
          </w:tcPr>
          <w:p w14:paraId="07B733CE" w14:textId="77777777" w:rsidR="002E7E06" w:rsidRPr="0000532F" w:rsidRDefault="002E7E06" w:rsidP="00A635A3">
            <w:pPr>
              <w:spacing w:after="0" w:line="240" w:lineRule="auto"/>
              <w:jc w:val="both"/>
              <w:rPr>
                <w:rFonts w:eastAsia="Calibri"/>
                <w:b/>
                <w:sz w:val="20"/>
              </w:rPr>
            </w:pPr>
          </w:p>
        </w:tc>
        <w:tc>
          <w:tcPr>
            <w:tcW w:w="11160" w:type="dxa"/>
            <w:gridSpan w:val="5"/>
            <w:tcBorders>
              <w:left w:val="single" w:sz="4" w:space="0" w:color="auto"/>
              <w:right w:val="single" w:sz="4" w:space="0" w:color="auto"/>
            </w:tcBorders>
            <w:shd w:val="clear" w:color="auto" w:fill="D9D9D9" w:themeFill="background1" w:themeFillShade="D9"/>
          </w:tcPr>
          <w:p w14:paraId="50ED6A50" w14:textId="6B9EBC2B" w:rsidR="002E7E06" w:rsidRPr="00A10A47" w:rsidRDefault="002E7E06" w:rsidP="002D20EC">
            <w:pPr>
              <w:spacing w:after="0" w:line="240" w:lineRule="auto"/>
              <w:rPr>
                <w:rFonts w:eastAsia="Calibri"/>
                <w:sz w:val="18"/>
                <w:szCs w:val="18"/>
              </w:rPr>
            </w:pPr>
            <w:r w:rsidRPr="00A10A47">
              <w:rPr>
                <w:rFonts w:ascii="Calibri" w:eastAsia="Calibri" w:hAnsi="Calibri" w:cs="Times New Roman"/>
                <w:b/>
                <w:sz w:val="18"/>
                <w:szCs w:val="18"/>
                <w:lang w:eastAsia="en-US"/>
              </w:rPr>
              <w:t>Indicator 3.3.2</w:t>
            </w:r>
            <w:r w:rsidR="008132ED" w:rsidRPr="00A10A47">
              <w:rPr>
                <w:rFonts w:ascii="Calibri" w:eastAsia="Calibri" w:hAnsi="Calibri" w:cs="Times New Roman"/>
                <w:b/>
                <w:sz w:val="18"/>
                <w:szCs w:val="18"/>
                <w:lang w:eastAsia="en-US"/>
              </w:rPr>
              <w:t>.a</w:t>
            </w:r>
            <w:r w:rsidRPr="00A10A47">
              <w:rPr>
                <w:rFonts w:ascii="Calibri" w:eastAsia="Calibri" w:hAnsi="Calibri" w:cs="Times New Roman"/>
                <w:b/>
                <w:sz w:val="18"/>
                <w:szCs w:val="18"/>
                <w:lang w:eastAsia="en-US"/>
              </w:rPr>
              <w:t xml:space="preserve"> Note: </w:t>
            </w:r>
            <w:r w:rsidRPr="00A10A47">
              <w:rPr>
                <w:rFonts w:eastAsia="Calibri"/>
                <w:sz w:val="18"/>
                <w:szCs w:val="18"/>
              </w:rPr>
              <w:t>Tracks the percentage of GFATM grants managed by UNDP (</w:t>
            </w:r>
            <w:r w:rsidR="00696C2D" w:rsidRPr="00A10A47">
              <w:rPr>
                <w:rFonts w:eastAsia="Calibri"/>
                <w:sz w:val="18"/>
                <w:szCs w:val="18"/>
              </w:rPr>
              <w:t xml:space="preserve">at the request of </w:t>
            </w:r>
            <w:r w:rsidRPr="00A10A47">
              <w:rPr>
                <w:rFonts w:eastAsia="Calibri"/>
                <w:sz w:val="18"/>
                <w:szCs w:val="18"/>
              </w:rPr>
              <w:t>programme countries</w:t>
            </w:r>
            <w:r w:rsidR="00696C2D" w:rsidRPr="00A10A47">
              <w:rPr>
                <w:rFonts w:eastAsia="Calibri"/>
                <w:sz w:val="18"/>
                <w:szCs w:val="18"/>
              </w:rPr>
              <w:t xml:space="preserve"> </w:t>
            </w:r>
            <w:r w:rsidR="00A10A47">
              <w:rPr>
                <w:rFonts w:eastAsia="Calibri"/>
                <w:sz w:val="18"/>
                <w:szCs w:val="18"/>
              </w:rPr>
              <w:t>and/</w:t>
            </w:r>
            <w:r w:rsidR="00696C2D" w:rsidRPr="00A10A47">
              <w:rPr>
                <w:rFonts w:eastAsia="Calibri"/>
                <w:sz w:val="18"/>
                <w:szCs w:val="18"/>
              </w:rPr>
              <w:t>or the Global Fund</w:t>
            </w:r>
            <w:r w:rsidRPr="00A10A47">
              <w:rPr>
                <w:rFonts w:eastAsia="Calibri"/>
                <w:sz w:val="18"/>
                <w:szCs w:val="18"/>
              </w:rPr>
              <w:t xml:space="preserve">) in a way that </w:t>
            </w:r>
            <w:r w:rsidR="00696C2D" w:rsidRPr="00A10A47">
              <w:rPr>
                <w:rFonts w:eastAsia="Calibri"/>
                <w:sz w:val="18"/>
                <w:szCs w:val="18"/>
              </w:rPr>
              <w:t>meets</w:t>
            </w:r>
            <w:r w:rsidRPr="00A10A47">
              <w:rPr>
                <w:rFonts w:eastAsia="Calibri"/>
                <w:sz w:val="18"/>
                <w:szCs w:val="18"/>
              </w:rPr>
              <w:t xml:space="preserve"> or exceeds expectations (A1 and A2).</w:t>
            </w:r>
            <w:r w:rsidR="002D20EC" w:rsidRPr="00A10A47">
              <w:rPr>
                <w:rFonts w:eastAsia="Calibri"/>
                <w:sz w:val="18"/>
                <w:szCs w:val="18"/>
              </w:rPr>
              <w:t xml:space="preserve"> </w:t>
            </w:r>
          </w:p>
          <w:p w14:paraId="759CD404" w14:textId="7251BA4E" w:rsidR="00112910" w:rsidRPr="00A10A47" w:rsidRDefault="002D20EC" w:rsidP="00112910">
            <w:pPr>
              <w:spacing w:after="0" w:line="240" w:lineRule="auto"/>
              <w:rPr>
                <w:rFonts w:eastAsia="Calibri"/>
                <w:sz w:val="18"/>
                <w:szCs w:val="18"/>
              </w:rPr>
            </w:pPr>
            <w:r w:rsidRPr="00A10A47">
              <w:rPr>
                <w:rFonts w:eastAsia="Calibri"/>
                <w:b/>
                <w:sz w:val="18"/>
                <w:szCs w:val="18"/>
              </w:rPr>
              <w:t xml:space="preserve">2014 Reporting Note: </w:t>
            </w:r>
            <w:r w:rsidRPr="00A10A47">
              <w:rPr>
                <w:rFonts w:eastAsia="Calibri"/>
                <w:sz w:val="18"/>
                <w:szCs w:val="18"/>
              </w:rPr>
              <w:t>Baseline</w:t>
            </w:r>
            <w:r w:rsidR="008132ED" w:rsidRPr="00A10A47">
              <w:rPr>
                <w:rFonts w:eastAsia="Calibri"/>
                <w:sz w:val="18"/>
                <w:szCs w:val="18"/>
              </w:rPr>
              <w:t xml:space="preserve">, </w:t>
            </w:r>
            <w:r w:rsidRPr="00A10A47">
              <w:rPr>
                <w:rFonts w:eastAsia="Calibri"/>
                <w:sz w:val="18"/>
                <w:szCs w:val="18"/>
              </w:rPr>
              <w:t xml:space="preserve">2014 </w:t>
            </w:r>
            <w:r w:rsidR="001701CD" w:rsidRPr="00A10A47">
              <w:rPr>
                <w:rFonts w:eastAsia="Calibri"/>
                <w:sz w:val="18"/>
                <w:szCs w:val="18"/>
              </w:rPr>
              <w:t>m</w:t>
            </w:r>
            <w:r w:rsidRPr="00A10A47">
              <w:rPr>
                <w:rFonts w:eastAsia="Calibri"/>
                <w:sz w:val="18"/>
                <w:szCs w:val="18"/>
              </w:rPr>
              <w:t xml:space="preserve">ilestone </w:t>
            </w:r>
            <w:r w:rsidR="008132ED" w:rsidRPr="00A10A47">
              <w:rPr>
                <w:rFonts w:eastAsia="Calibri"/>
                <w:sz w:val="18"/>
                <w:szCs w:val="18"/>
              </w:rPr>
              <w:t>and 2017 target have been revised</w:t>
            </w:r>
            <w:r w:rsidR="00696C2D" w:rsidRPr="00A10A47">
              <w:rPr>
                <w:rFonts w:eastAsia="Calibri"/>
                <w:sz w:val="18"/>
                <w:szCs w:val="18"/>
              </w:rPr>
              <w:t>. As of 31 January 2015, UNDP is managing 47 Global Fund grants in 25 countries, as wel</w:t>
            </w:r>
            <w:r w:rsidR="00A10A47">
              <w:rPr>
                <w:rFonts w:eastAsia="Calibri"/>
                <w:sz w:val="18"/>
                <w:szCs w:val="18"/>
              </w:rPr>
              <w:t>l as one Regional Grant in Asia-</w:t>
            </w:r>
            <w:r w:rsidR="003E3D4A" w:rsidRPr="00A10A47">
              <w:rPr>
                <w:rFonts w:eastAsia="Calibri"/>
                <w:sz w:val="18"/>
                <w:szCs w:val="18"/>
              </w:rPr>
              <w:t>P</w:t>
            </w:r>
            <w:r w:rsidR="00696C2D" w:rsidRPr="00A10A47">
              <w:rPr>
                <w:rFonts w:eastAsia="Calibri"/>
                <w:sz w:val="18"/>
                <w:szCs w:val="18"/>
              </w:rPr>
              <w:t xml:space="preserve">acific covering another 7 countries. UNDP plays a key role in supporting counties facing challenging circumstances to deliver essential social services financed by the Global Fund. UNDP’s role as Principal Recipient is an interim arrangement that lasts until one or more national entities (i.e. government entities and/or CSOs) are ready and able to take over grant implementation. To date, </w:t>
            </w:r>
            <w:r w:rsidR="00A01F0C" w:rsidRPr="00A10A47">
              <w:rPr>
                <w:rFonts w:eastAsia="Calibri"/>
                <w:sz w:val="18"/>
                <w:szCs w:val="18"/>
              </w:rPr>
              <w:t>UNDP has exited and transferred the Principal Recipient role to national entities in 23 countries.</w:t>
            </w:r>
            <w:r w:rsidR="00171B85" w:rsidRPr="00A10A47">
              <w:rPr>
                <w:rFonts w:eastAsia="Calibri"/>
                <w:sz w:val="18"/>
                <w:szCs w:val="18"/>
              </w:rPr>
              <w:t xml:space="preserve"> In 2014, UNDP transitioned six grants. It</w:t>
            </w:r>
            <w:r w:rsidR="003E3D4A" w:rsidRPr="00A10A47">
              <w:rPr>
                <w:rFonts w:eastAsia="Calibri"/>
                <w:sz w:val="18"/>
                <w:szCs w:val="18"/>
              </w:rPr>
              <w:t xml:space="preserve"> </w:t>
            </w:r>
            <w:r w:rsidR="00171B85" w:rsidRPr="00A10A47">
              <w:rPr>
                <w:rFonts w:eastAsia="Calibri"/>
                <w:sz w:val="18"/>
                <w:szCs w:val="18"/>
              </w:rPr>
              <w:t>is expected that UNDP will transition out of another three countries in 2015 (six grants), another five counties (eight grants) in 2017, and another country (two grants) in 2017. At the same time, new grants are in the pipeline, including Afghanistan, a multi-country grant fo</w:t>
            </w:r>
            <w:r w:rsidR="003E3D4A" w:rsidRPr="00A10A47">
              <w:rPr>
                <w:rFonts w:eastAsia="Calibri"/>
                <w:sz w:val="18"/>
                <w:szCs w:val="18"/>
              </w:rPr>
              <w:t>r</w:t>
            </w:r>
            <w:r w:rsidR="00171B85" w:rsidRPr="00A10A47">
              <w:rPr>
                <w:rFonts w:eastAsia="Calibri"/>
                <w:sz w:val="18"/>
                <w:szCs w:val="18"/>
              </w:rPr>
              <w:t xml:space="preserve"> the Pacific, and a few other countries in Asia, West Africa, and Latin America. The combination of handing over mature, strong performing grants, taking over new often poorl</w:t>
            </w:r>
            <w:r w:rsidR="003E3D4A" w:rsidRPr="00A10A47">
              <w:rPr>
                <w:rFonts w:eastAsia="Calibri"/>
                <w:sz w:val="18"/>
                <w:szCs w:val="18"/>
              </w:rPr>
              <w:t>y performing g</w:t>
            </w:r>
            <w:r w:rsidR="00171B85" w:rsidRPr="00A10A47">
              <w:rPr>
                <w:rFonts w:eastAsia="Calibri"/>
                <w:sz w:val="18"/>
                <w:szCs w:val="18"/>
              </w:rPr>
              <w:t xml:space="preserve">rants, and starting </w:t>
            </w:r>
            <w:r w:rsidR="003E3D4A" w:rsidRPr="00A10A47">
              <w:rPr>
                <w:rFonts w:eastAsia="Calibri"/>
                <w:sz w:val="18"/>
                <w:szCs w:val="18"/>
              </w:rPr>
              <w:t xml:space="preserve">new grants will bring the percentage of GF grants rated A1 or A2 down from 2015 onwards. To reflect this </w:t>
            </w:r>
            <w:r w:rsidR="00A10A47">
              <w:rPr>
                <w:rFonts w:eastAsia="Calibri"/>
                <w:sz w:val="18"/>
                <w:szCs w:val="18"/>
              </w:rPr>
              <w:t>evolving</w:t>
            </w:r>
            <w:r w:rsidR="003E3D4A" w:rsidRPr="00A10A47">
              <w:rPr>
                <w:rFonts w:eastAsia="Calibri"/>
                <w:sz w:val="18"/>
                <w:szCs w:val="18"/>
              </w:rPr>
              <w:t xml:space="preserve"> profile of the portfolio</w:t>
            </w:r>
            <w:r w:rsidR="00A10A47">
              <w:rPr>
                <w:rFonts w:eastAsia="Calibri"/>
                <w:sz w:val="18"/>
                <w:szCs w:val="18"/>
              </w:rPr>
              <w:t>,</w:t>
            </w:r>
            <w:r w:rsidR="003E3D4A" w:rsidRPr="00A10A47">
              <w:rPr>
                <w:rFonts w:eastAsia="Calibri"/>
                <w:sz w:val="18"/>
                <w:szCs w:val="18"/>
              </w:rPr>
              <w:t xml:space="preserve"> the </w:t>
            </w:r>
            <w:r w:rsidR="00A10A47">
              <w:rPr>
                <w:rFonts w:eastAsia="Calibri"/>
                <w:sz w:val="18"/>
                <w:szCs w:val="18"/>
              </w:rPr>
              <w:t xml:space="preserve">current </w:t>
            </w:r>
            <w:r w:rsidR="003E3D4A" w:rsidRPr="00A10A47">
              <w:rPr>
                <w:rFonts w:eastAsia="Calibri"/>
                <w:sz w:val="18"/>
                <w:szCs w:val="18"/>
              </w:rPr>
              <w:t>baseline reflects the average performance of UNDP-rated grants over the 2009-2013</w:t>
            </w:r>
            <w:r w:rsidR="00481322">
              <w:rPr>
                <w:rFonts w:eastAsia="Calibri"/>
                <w:sz w:val="18"/>
                <w:szCs w:val="18"/>
              </w:rPr>
              <w:t xml:space="preserve"> period</w:t>
            </w:r>
            <w:r w:rsidR="003E3D4A" w:rsidRPr="00A10A47">
              <w:rPr>
                <w:rFonts w:eastAsia="Calibri"/>
                <w:sz w:val="18"/>
                <w:szCs w:val="18"/>
              </w:rPr>
              <w:t>.</w:t>
            </w:r>
            <w:r w:rsidRPr="00A10A47">
              <w:rPr>
                <w:rFonts w:eastAsia="Calibri"/>
                <w:sz w:val="18"/>
                <w:szCs w:val="18"/>
              </w:rPr>
              <w:t xml:space="preserve"> For reference, previous baseline </w:t>
            </w:r>
            <w:r w:rsidR="008132ED" w:rsidRPr="00A10A47">
              <w:rPr>
                <w:rFonts w:eastAsia="Calibri"/>
                <w:sz w:val="18"/>
                <w:szCs w:val="18"/>
              </w:rPr>
              <w:t xml:space="preserve">for 2013 only </w:t>
            </w:r>
            <w:r w:rsidRPr="00A10A47">
              <w:rPr>
                <w:rFonts w:eastAsia="Calibri"/>
                <w:sz w:val="18"/>
                <w:szCs w:val="18"/>
              </w:rPr>
              <w:t>was 68%</w:t>
            </w:r>
            <w:r w:rsidR="008132ED" w:rsidRPr="00A10A47">
              <w:rPr>
                <w:rFonts w:eastAsia="Calibri"/>
                <w:sz w:val="18"/>
                <w:szCs w:val="18"/>
              </w:rPr>
              <w:t>,</w:t>
            </w:r>
            <w:r w:rsidRPr="00A10A47">
              <w:rPr>
                <w:rFonts w:eastAsia="Calibri"/>
                <w:sz w:val="18"/>
                <w:szCs w:val="18"/>
              </w:rPr>
              <w:t xml:space="preserve"> previous 2014 milestone w</w:t>
            </w:r>
            <w:r w:rsidR="008132ED" w:rsidRPr="00A10A47">
              <w:rPr>
                <w:rFonts w:eastAsia="Calibri"/>
                <w:sz w:val="18"/>
                <w:szCs w:val="18"/>
              </w:rPr>
              <w:t xml:space="preserve">as 74%, </w:t>
            </w:r>
            <w:r w:rsidR="00583C76">
              <w:rPr>
                <w:rFonts w:eastAsia="Calibri"/>
                <w:sz w:val="18"/>
                <w:szCs w:val="18"/>
              </w:rPr>
              <w:t xml:space="preserve">and </w:t>
            </w:r>
            <w:r w:rsidR="008132ED" w:rsidRPr="00A10A47">
              <w:rPr>
                <w:rFonts w:eastAsia="Calibri"/>
                <w:sz w:val="18"/>
                <w:szCs w:val="18"/>
              </w:rPr>
              <w:t xml:space="preserve">previous target was 90%. </w:t>
            </w:r>
          </w:p>
          <w:p w14:paraId="59F204B1" w14:textId="4C25E2CE" w:rsidR="00112910" w:rsidRPr="00A10A47" w:rsidRDefault="00112910" w:rsidP="00481322">
            <w:pPr>
              <w:spacing w:before="120" w:after="0" w:line="240" w:lineRule="auto"/>
              <w:rPr>
                <w:rFonts w:eastAsia="Calibri"/>
                <w:sz w:val="18"/>
                <w:szCs w:val="18"/>
              </w:rPr>
            </w:pPr>
            <w:r w:rsidRPr="00A10A47">
              <w:rPr>
                <w:rFonts w:ascii="Calibri" w:eastAsia="Calibri" w:hAnsi="Calibri" w:cs="Times New Roman"/>
                <w:b/>
                <w:sz w:val="18"/>
                <w:szCs w:val="18"/>
                <w:lang w:eastAsia="en-US"/>
              </w:rPr>
              <w:t xml:space="preserve">Indicator 3.3.2.b Note: </w:t>
            </w:r>
            <w:r w:rsidRPr="00E35D4F">
              <w:rPr>
                <w:rFonts w:ascii="Calibri" w:eastAsia="Calibri" w:hAnsi="Calibri" w:cs="Times New Roman"/>
                <w:sz w:val="18"/>
                <w:szCs w:val="18"/>
                <w:u w:val="single"/>
                <w:lang w:eastAsia="en-US"/>
              </w:rPr>
              <w:t>New indicator</w:t>
            </w:r>
            <w:r w:rsidRPr="00A10A47">
              <w:rPr>
                <w:rFonts w:ascii="Calibri" w:eastAsia="Calibri" w:hAnsi="Calibri" w:cs="Times New Roman"/>
                <w:b/>
                <w:sz w:val="18"/>
                <w:szCs w:val="18"/>
                <w:lang w:eastAsia="en-US"/>
              </w:rPr>
              <w:t xml:space="preserve"> </w:t>
            </w:r>
            <w:r w:rsidRPr="00A10A47">
              <w:rPr>
                <w:rFonts w:ascii="Calibri" w:eastAsia="Calibri" w:hAnsi="Calibri" w:cs="Times New Roman"/>
                <w:sz w:val="18"/>
                <w:szCs w:val="18"/>
                <w:lang w:eastAsia="en-US"/>
              </w:rPr>
              <w:t xml:space="preserve">reflecting the relative performance of </w:t>
            </w:r>
            <w:r w:rsidR="005D0EEB" w:rsidRPr="00A10A47">
              <w:rPr>
                <w:rFonts w:ascii="Calibri" w:eastAsia="Calibri" w:hAnsi="Calibri" w:cs="Times New Roman"/>
                <w:sz w:val="18"/>
                <w:szCs w:val="18"/>
                <w:lang w:eastAsia="en-US"/>
              </w:rPr>
              <w:t xml:space="preserve">Global Fund </w:t>
            </w:r>
            <w:r w:rsidRPr="00A10A47">
              <w:rPr>
                <w:rFonts w:ascii="Calibri" w:eastAsia="Calibri" w:hAnsi="Calibri" w:cs="Times New Roman"/>
                <w:sz w:val="18"/>
                <w:szCs w:val="18"/>
                <w:lang w:eastAsia="en-US"/>
              </w:rPr>
              <w:t xml:space="preserve">grants managed by UNDP, and </w:t>
            </w:r>
            <w:r w:rsidR="005D0EEB" w:rsidRPr="00A10A47">
              <w:rPr>
                <w:rFonts w:ascii="Calibri" w:eastAsia="Calibri" w:hAnsi="Calibri" w:cs="Times New Roman"/>
                <w:sz w:val="18"/>
                <w:szCs w:val="18"/>
                <w:lang w:eastAsia="en-US"/>
              </w:rPr>
              <w:t xml:space="preserve">Global Fund </w:t>
            </w:r>
            <w:r w:rsidR="00481322">
              <w:rPr>
                <w:rFonts w:ascii="Calibri" w:eastAsia="Calibri" w:hAnsi="Calibri" w:cs="Times New Roman"/>
                <w:sz w:val="18"/>
                <w:szCs w:val="18"/>
                <w:lang w:eastAsia="en-US"/>
              </w:rPr>
              <w:t>grants managed by others</w:t>
            </w:r>
            <w:r w:rsidRPr="00A10A47">
              <w:rPr>
                <w:rFonts w:ascii="Calibri" w:eastAsia="Calibri" w:hAnsi="Calibri" w:cs="Times New Roman"/>
                <w:sz w:val="18"/>
                <w:szCs w:val="18"/>
                <w:lang w:eastAsia="en-US"/>
              </w:rPr>
              <w:t xml:space="preserve">. </w:t>
            </w:r>
            <w:r w:rsidR="0053299D" w:rsidRPr="00A10A47">
              <w:rPr>
                <w:rFonts w:ascii="Calibri" w:eastAsia="Calibri" w:hAnsi="Calibri" w:cs="Times New Roman"/>
                <w:sz w:val="18"/>
                <w:szCs w:val="18"/>
                <w:lang w:eastAsia="en-US"/>
              </w:rPr>
              <w:t xml:space="preserve">Calculated as the difference between the percentage of </w:t>
            </w:r>
            <w:r w:rsidR="000A628B" w:rsidRPr="00A10A47">
              <w:rPr>
                <w:rFonts w:ascii="Calibri" w:eastAsia="Calibri" w:hAnsi="Calibri" w:cs="Times New Roman"/>
                <w:sz w:val="18"/>
                <w:szCs w:val="18"/>
                <w:lang w:eastAsia="en-US"/>
              </w:rPr>
              <w:t xml:space="preserve">Global Fund </w:t>
            </w:r>
            <w:r w:rsidR="0053299D" w:rsidRPr="00A10A47">
              <w:rPr>
                <w:rFonts w:ascii="Calibri" w:eastAsia="Calibri" w:hAnsi="Calibri" w:cs="Times New Roman"/>
                <w:sz w:val="18"/>
                <w:szCs w:val="18"/>
                <w:lang w:eastAsia="en-US"/>
              </w:rPr>
              <w:t xml:space="preserve">grants managed by UNDP </w:t>
            </w:r>
            <w:r w:rsidR="00481322">
              <w:rPr>
                <w:rFonts w:ascii="Calibri" w:eastAsia="Calibri" w:hAnsi="Calibri" w:cs="Times New Roman"/>
                <w:sz w:val="18"/>
                <w:szCs w:val="18"/>
                <w:lang w:eastAsia="en-US"/>
              </w:rPr>
              <w:t xml:space="preserve">which are </w:t>
            </w:r>
            <w:r w:rsidR="0053299D" w:rsidRPr="00A10A47">
              <w:rPr>
                <w:rFonts w:ascii="Calibri" w:eastAsia="Calibri" w:hAnsi="Calibri" w:cs="Times New Roman"/>
                <w:sz w:val="18"/>
                <w:szCs w:val="18"/>
                <w:lang w:eastAsia="en-US"/>
              </w:rPr>
              <w:t xml:space="preserve">rated as A1 or A2 (indicator </w:t>
            </w:r>
            <w:r w:rsidR="00481322">
              <w:rPr>
                <w:rFonts w:ascii="Calibri" w:eastAsia="Calibri" w:hAnsi="Calibri" w:cs="Times New Roman"/>
                <w:sz w:val="18"/>
                <w:szCs w:val="18"/>
                <w:lang w:eastAsia="en-US"/>
              </w:rPr>
              <w:t>3.2.2.</w:t>
            </w:r>
            <w:r w:rsidR="0053299D" w:rsidRPr="00A10A47">
              <w:rPr>
                <w:rFonts w:ascii="Calibri" w:eastAsia="Calibri" w:hAnsi="Calibri" w:cs="Times New Roman"/>
                <w:sz w:val="18"/>
                <w:szCs w:val="18"/>
                <w:lang w:eastAsia="en-US"/>
              </w:rPr>
              <w:t xml:space="preserve">a) </w:t>
            </w:r>
            <w:r w:rsidR="00AE7C2A" w:rsidRPr="00A10A47">
              <w:rPr>
                <w:rFonts w:ascii="Calibri" w:eastAsia="Calibri" w:hAnsi="Calibri" w:cs="Times New Roman"/>
                <w:sz w:val="18"/>
                <w:szCs w:val="18"/>
                <w:lang w:eastAsia="en-US"/>
              </w:rPr>
              <w:t>and t</w:t>
            </w:r>
            <w:r w:rsidRPr="00A10A47">
              <w:rPr>
                <w:rFonts w:eastAsia="Calibri"/>
                <w:sz w:val="18"/>
                <w:szCs w:val="18"/>
              </w:rPr>
              <w:t xml:space="preserve">he percentage of </w:t>
            </w:r>
            <w:r w:rsidR="000A628B" w:rsidRPr="00A10A47">
              <w:rPr>
                <w:rFonts w:eastAsia="Calibri"/>
                <w:sz w:val="18"/>
                <w:szCs w:val="18"/>
              </w:rPr>
              <w:t xml:space="preserve">Global Fund </w:t>
            </w:r>
            <w:r w:rsidRPr="00A10A47">
              <w:rPr>
                <w:rFonts w:eastAsia="Calibri"/>
                <w:sz w:val="18"/>
                <w:szCs w:val="18"/>
              </w:rPr>
              <w:t xml:space="preserve">grants managed by </w:t>
            </w:r>
            <w:r w:rsidR="00AE7C2A" w:rsidRPr="00A10A47">
              <w:rPr>
                <w:rFonts w:eastAsia="Calibri"/>
                <w:sz w:val="18"/>
                <w:szCs w:val="18"/>
              </w:rPr>
              <w:t xml:space="preserve">others </w:t>
            </w:r>
            <w:r w:rsidR="00481322">
              <w:rPr>
                <w:rFonts w:eastAsia="Calibri"/>
                <w:sz w:val="18"/>
                <w:szCs w:val="18"/>
              </w:rPr>
              <w:t xml:space="preserve">which are </w:t>
            </w:r>
            <w:r w:rsidR="00AE7C2A" w:rsidRPr="00A10A47">
              <w:rPr>
                <w:rFonts w:eastAsia="Calibri"/>
                <w:sz w:val="18"/>
                <w:szCs w:val="18"/>
              </w:rPr>
              <w:t xml:space="preserve">rated as A1 or A2. </w:t>
            </w:r>
            <w:r w:rsidR="005F0D85">
              <w:rPr>
                <w:rFonts w:eastAsia="Calibri"/>
                <w:sz w:val="18"/>
                <w:szCs w:val="18"/>
              </w:rPr>
              <w:t>The number of countries reflects those where UNDP is managing Global Fund grants</w:t>
            </w:r>
            <w:r w:rsidR="00556F20">
              <w:rPr>
                <w:rFonts w:eastAsia="Calibri"/>
                <w:sz w:val="18"/>
                <w:szCs w:val="18"/>
              </w:rPr>
              <w:t xml:space="preserve"> in 2014</w:t>
            </w:r>
            <w:r w:rsidR="00D85A74">
              <w:rPr>
                <w:rFonts w:eastAsia="Calibri"/>
                <w:sz w:val="18"/>
                <w:szCs w:val="18"/>
              </w:rPr>
              <w:t>; this number will change over time</w:t>
            </w:r>
            <w:r w:rsidR="007006E5">
              <w:rPr>
                <w:rFonts w:eastAsia="Calibri"/>
                <w:sz w:val="18"/>
                <w:szCs w:val="18"/>
              </w:rPr>
              <w:t xml:space="preserve">. The Global Fund itself currently has grants in over 140 countries. </w:t>
            </w:r>
          </w:p>
          <w:p w14:paraId="1A4B2BF9" w14:textId="5C82DFE6" w:rsidR="00696C2D" w:rsidRPr="00A10A47" w:rsidRDefault="00112910" w:rsidP="00481322">
            <w:pPr>
              <w:spacing w:after="0" w:line="240" w:lineRule="auto"/>
              <w:rPr>
                <w:rFonts w:eastAsia="Calibri"/>
                <w:sz w:val="18"/>
                <w:szCs w:val="18"/>
              </w:rPr>
            </w:pPr>
            <w:r w:rsidRPr="00A10A47">
              <w:rPr>
                <w:rFonts w:eastAsia="Calibri"/>
                <w:b/>
                <w:sz w:val="18"/>
                <w:szCs w:val="18"/>
              </w:rPr>
              <w:t xml:space="preserve">2014 Reporting Note: </w:t>
            </w:r>
            <w:r w:rsidRPr="00A10A47">
              <w:rPr>
                <w:rFonts w:eastAsia="Calibri"/>
                <w:sz w:val="18"/>
                <w:szCs w:val="18"/>
              </w:rPr>
              <w:t>Baseline</w:t>
            </w:r>
            <w:r w:rsidR="00AE7C2A" w:rsidRPr="00A10A47">
              <w:rPr>
                <w:rFonts w:eastAsia="Calibri"/>
                <w:sz w:val="18"/>
                <w:szCs w:val="18"/>
              </w:rPr>
              <w:t xml:space="preserve"> reflects ave</w:t>
            </w:r>
            <w:r w:rsidR="00733E77" w:rsidRPr="00A10A47">
              <w:rPr>
                <w:rFonts w:eastAsia="Calibri"/>
                <w:sz w:val="18"/>
                <w:szCs w:val="18"/>
              </w:rPr>
              <w:t>rage difference in gran</w:t>
            </w:r>
            <w:r w:rsidR="00481322">
              <w:rPr>
                <w:rFonts w:eastAsia="Calibri"/>
                <w:sz w:val="18"/>
                <w:szCs w:val="18"/>
              </w:rPr>
              <w:t xml:space="preserve">t performance from 2011 to 2013, </w:t>
            </w:r>
            <w:r w:rsidR="000A628B" w:rsidRPr="00A10A47">
              <w:rPr>
                <w:rFonts w:eastAsia="Calibri"/>
                <w:sz w:val="18"/>
                <w:szCs w:val="18"/>
              </w:rPr>
              <w:t>which has been measured from</w:t>
            </w:r>
            <w:r w:rsidR="00733E77" w:rsidRPr="00A10A47">
              <w:rPr>
                <w:rFonts w:eastAsia="Calibri"/>
                <w:sz w:val="18"/>
                <w:szCs w:val="18"/>
              </w:rPr>
              <w:t xml:space="preserve"> March 2011 onwards. </w:t>
            </w:r>
            <w:r w:rsidRPr="00A10A47">
              <w:rPr>
                <w:rFonts w:eastAsia="Calibri"/>
                <w:sz w:val="18"/>
                <w:szCs w:val="18"/>
              </w:rPr>
              <w:t xml:space="preserve">2014 milestone </w:t>
            </w:r>
            <w:r w:rsidR="00733E77" w:rsidRPr="00A10A47">
              <w:rPr>
                <w:rFonts w:eastAsia="Calibri"/>
                <w:sz w:val="18"/>
                <w:szCs w:val="18"/>
              </w:rPr>
              <w:t xml:space="preserve">reflects </w:t>
            </w:r>
            <w:r w:rsidR="000A628B" w:rsidRPr="00A10A47">
              <w:rPr>
                <w:rFonts w:eastAsia="Calibri"/>
                <w:sz w:val="18"/>
                <w:szCs w:val="18"/>
              </w:rPr>
              <w:t xml:space="preserve">the </w:t>
            </w:r>
            <w:r w:rsidR="00733E77" w:rsidRPr="00A10A47">
              <w:rPr>
                <w:rFonts w:eastAsia="Calibri"/>
                <w:sz w:val="18"/>
                <w:szCs w:val="18"/>
              </w:rPr>
              <w:t xml:space="preserve">expected high performance of </w:t>
            </w:r>
            <w:r w:rsidR="000A628B" w:rsidRPr="00A10A47">
              <w:rPr>
                <w:rFonts w:eastAsia="Calibri"/>
                <w:sz w:val="18"/>
                <w:szCs w:val="18"/>
              </w:rPr>
              <w:t xml:space="preserve">the </w:t>
            </w:r>
            <w:r w:rsidR="00733E77" w:rsidRPr="00A10A47">
              <w:rPr>
                <w:rFonts w:eastAsia="Calibri"/>
                <w:sz w:val="18"/>
                <w:szCs w:val="18"/>
              </w:rPr>
              <w:t xml:space="preserve">current </w:t>
            </w:r>
            <w:r w:rsidR="00560840" w:rsidRPr="00A10A47">
              <w:rPr>
                <w:rFonts w:eastAsia="Calibri"/>
                <w:sz w:val="18"/>
                <w:szCs w:val="18"/>
              </w:rPr>
              <w:t xml:space="preserve">portfolio of mature </w:t>
            </w:r>
            <w:r w:rsidR="000A628B" w:rsidRPr="00A10A47">
              <w:rPr>
                <w:rFonts w:eastAsia="Calibri"/>
                <w:sz w:val="18"/>
                <w:szCs w:val="18"/>
              </w:rPr>
              <w:t xml:space="preserve">strong performing </w:t>
            </w:r>
            <w:r w:rsidR="00560840" w:rsidRPr="00A10A47">
              <w:rPr>
                <w:rFonts w:eastAsia="Calibri"/>
                <w:sz w:val="18"/>
                <w:szCs w:val="18"/>
              </w:rPr>
              <w:t>UNDP-managed grants</w:t>
            </w:r>
            <w:r w:rsidR="00733E77" w:rsidRPr="00A10A47">
              <w:rPr>
                <w:rFonts w:eastAsia="Calibri"/>
                <w:sz w:val="18"/>
                <w:szCs w:val="18"/>
              </w:rPr>
              <w:t xml:space="preserve">, a lower level is expected </w:t>
            </w:r>
            <w:r w:rsidR="00560840" w:rsidRPr="00A10A47">
              <w:rPr>
                <w:rFonts w:eastAsia="Calibri"/>
                <w:sz w:val="18"/>
                <w:szCs w:val="18"/>
              </w:rPr>
              <w:t>from</w:t>
            </w:r>
            <w:r w:rsidR="00733E77" w:rsidRPr="00A10A47">
              <w:rPr>
                <w:rFonts w:eastAsia="Calibri"/>
                <w:sz w:val="18"/>
                <w:szCs w:val="18"/>
              </w:rPr>
              <w:t xml:space="preserve"> 2015 </w:t>
            </w:r>
            <w:r w:rsidR="005F0D85">
              <w:rPr>
                <w:rFonts w:eastAsia="Calibri"/>
                <w:sz w:val="18"/>
                <w:szCs w:val="18"/>
              </w:rPr>
              <w:t xml:space="preserve">onwards </w:t>
            </w:r>
            <w:r w:rsidR="000A628B" w:rsidRPr="00A10A47">
              <w:rPr>
                <w:rFonts w:eastAsia="Calibri"/>
                <w:sz w:val="18"/>
                <w:szCs w:val="18"/>
              </w:rPr>
              <w:t>for the reasons cited</w:t>
            </w:r>
            <w:r w:rsidR="00481322">
              <w:rPr>
                <w:rFonts w:eastAsia="Calibri"/>
                <w:sz w:val="18"/>
                <w:szCs w:val="18"/>
              </w:rPr>
              <w:t xml:space="preserve"> in Reporting Note for sub-indicator 3.3.2.a</w:t>
            </w:r>
            <w:r w:rsidR="000A628B" w:rsidRPr="00A10A47">
              <w:rPr>
                <w:rFonts w:eastAsia="Calibri"/>
                <w:sz w:val="18"/>
                <w:szCs w:val="18"/>
              </w:rPr>
              <w:t xml:space="preserve"> above</w:t>
            </w:r>
            <w:r w:rsidR="00733E77" w:rsidRPr="00A10A47">
              <w:rPr>
                <w:rFonts w:eastAsia="Calibri"/>
                <w:sz w:val="18"/>
                <w:szCs w:val="18"/>
              </w:rPr>
              <w:t xml:space="preserve">. </w:t>
            </w:r>
          </w:p>
        </w:tc>
      </w:tr>
    </w:tbl>
    <w:p w14:paraId="09CD485A" w14:textId="77777777" w:rsidR="00481322" w:rsidRDefault="00481322">
      <w:r>
        <w:br w:type="page"/>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720"/>
        <w:gridCol w:w="5490"/>
        <w:gridCol w:w="1440"/>
        <w:gridCol w:w="1350"/>
        <w:gridCol w:w="1350"/>
        <w:gridCol w:w="1530"/>
      </w:tblGrid>
      <w:tr w:rsidR="00F7064C" w:rsidRPr="006A02C1" w14:paraId="160853A4" w14:textId="77777777" w:rsidTr="00481322">
        <w:trPr>
          <w:trHeight w:val="64"/>
          <w:jc w:val="center"/>
        </w:trPr>
        <w:tc>
          <w:tcPr>
            <w:tcW w:w="3145" w:type="dxa"/>
            <w:vMerge w:val="restart"/>
            <w:tcBorders>
              <w:top w:val="single" w:sz="4" w:space="0" w:color="auto"/>
              <w:left w:val="single" w:sz="4" w:space="0" w:color="auto"/>
              <w:right w:val="single" w:sz="4" w:space="0" w:color="auto"/>
            </w:tcBorders>
            <w:shd w:val="clear" w:color="auto" w:fill="FFFFFF"/>
            <w:hideMark/>
          </w:tcPr>
          <w:p w14:paraId="21A87B77" w14:textId="0856ECF6" w:rsidR="00F7064C" w:rsidRDefault="00F7064C" w:rsidP="00F33E01">
            <w:pPr>
              <w:spacing w:after="0" w:line="240" w:lineRule="auto"/>
              <w:rPr>
                <w:rFonts w:eastAsia="Calibri"/>
                <w:color w:val="000000"/>
                <w:sz w:val="20"/>
              </w:rPr>
            </w:pPr>
            <w:r w:rsidRPr="0000532F">
              <w:rPr>
                <w:rFonts w:eastAsia="Calibri"/>
                <w:b/>
                <w:color w:val="000000"/>
                <w:sz w:val="20"/>
              </w:rPr>
              <w:t xml:space="preserve">Output 3.4. </w:t>
            </w:r>
            <w:r w:rsidRPr="0000532F">
              <w:rPr>
                <w:rFonts w:eastAsia="Calibri"/>
                <w:color w:val="000000"/>
                <w:sz w:val="20"/>
              </w:rPr>
              <w:t>Functions, financing and capacity of rule of law institutions enabled, including to improv</w:t>
            </w:r>
            <w:r w:rsidR="00E026A8">
              <w:rPr>
                <w:rFonts w:eastAsia="Calibri"/>
                <w:color w:val="000000"/>
                <w:sz w:val="20"/>
              </w:rPr>
              <w:t>e access to justice and redress</w:t>
            </w:r>
          </w:p>
          <w:p w14:paraId="57953CA6" w14:textId="77777777" w:rsidR="00F7064C" w:rsidRDefault="00F7064C" w:rsidP="00F33E01">
            <w:pPr>
              <w:spacing w:after="0" w:line="240" w:lineRule="auto"/>
              <w:rPr>
                <w:rFonts w:eastAsia="Calibri"/>
                <w:sz w:val="20"/>
                <w:szCs w:val="20"/>
              </w:rPr>
            </w:pPr>
          </w:p>
          <w:p w14:paraId="1344A3E5" w14:textId="6F36981F" w:rsidR="00F7064C" w:rsidRPr="0000532F" w:rsidRDefault="00B30E7E" w:rsidP="00B30E7E">
            <w:pPr>
              <w:spacing w:after="0" w:line="240" w:lineRule="auto"/>
              <w:rPr>
                <w:rFonts w:eastAsia="Calibri"/>
                <w:color w:val="000000"/>
                <w:sz w:val="20"/>
              </w:rPr>
            </w:pPr>
            <w:r w:rsidRPr="00B359E7">
              <w:rPr>
                <w:rFonts w:ascii="Calibri" w:eastAsia="Calibri" w:hAnsi="Calibri"/>
                <w:b/>
                <w:i/>
                <w:color w:val="000000"/>
                <w:sz w:val="18"/>
                <w:szCs w:val="18"/>
              </w:rPr>
              <w:t>Number of countries linked:</w:t>
            </w:r>
            <w:r>
              <w:rPr>
                <w:rFonts w:ascii="Calibri" w:eastAsia="Calibri" w:hAnsi="Calibri"/>
                <w:b/>
                <w:color w:val="000000"/>
                <w:sz w:val="18"/>
                <w:szCs w:val="18"/>
              </w:rPr>
              <w:t xml:space="preserve"> 63 (February 2015</w:t>
            </w:r>
            <w:r w:rsidRPr="00B359E7">
              <w:rPr>
                <w:rFonts w:ascii="Calibri" w:eastAsia="Calibri" w:hAnsi="Calibri"/>
                <w:b/>
                <w:color w:val="000000"/>
                <w:sz w:val="18"/>
                <w:szCs w:val="18"/>
              </w:rPr>
              <w:t>)</w:t>
            </w:r>
          </w:p>
        </w:tc>
        <w:tc>
          <w:tcPr>
            <w:tcW w:w="720" w:type="dxa"/>
            <w:vMerge w:val="restart"/>
            <w:tcBorders>
              <w:top w:val="single" w:sz="4" w:space="0" w:color="auto"/>
              <w:left w:val="single" w:sz="4" w:space="0" w:color="auto"/>
              <w:right w:val="single" w:sz="4" w:space="0" w:color="auto"/>
            </w:tcBorders>
            <w:shd w:val="clear" w:color="auto" w:fill="FFFFFF"/>
            <w:hideMark/>
          </w:tcPr>
          <w:p w14:paraId="4B5037C5" w14:textId="77777777" w:rsidR="00F7064C" w:rsidRPr="0032657A" w:rsidRDefault="00F7064C" w:rsidP="00F33E01">
            <w:pPr>
              <w:spacing w:after="0" w:line="240" w:lineRule="auto"/>
              <w:rPr>
                <w:rFonts w:eastAsia="Calibri"/>
                <w:b/>
                <w:color w:val="000000"/>
                <w:sz w:val="20"/>
              </w:rPr>
            </w:pPr>
            <w:r w:rsidRPr="0032657A">
              <w:rPr>
                <w:rFonts w:eastAsia="Calibri"/>
                <w:b/>
                <w:color w:val="000000"/>
                <w:sz w:val="20"/>
              </w:rPr>
              <w:t>3.4.1</w:t>
            </w:r>
          </w:p>
        </w:tc>
        <w:tc>
          <w:tcPr>
            <w:tcW w:w="5490" w:type="dxa"/>
            <w:tcBorders>
              <w:top w:val="single" w:sz="4" w:space="0" w:color="auto"/>
              <w:left w:val="single" w:sz="4" w:space="0" w:color="auto"/>
              <w:right w:val="single" w:sz="4" w:space="0" w:color="auto"/>
            </w:tcBorders>
            <w:shd w:val="clear" w:color="auto" w:fill="FFFFFF"/>
            <w:hideMark/>
          </w:tcPr>
          <w:p w14:paraId="5F786784" w14:textId="70987097" w:rsidR="00F7064C" w:rsidRPr="0013161E" w:rsidRDefault="00F7064C" w:rsidP="00F33E01">
            <w:pPr>
              <w:spacing w:after="0" w:line="240" w:lineRule="auto"/>
              <w:rPr>
                <w:rFonts w:eastAsia="Calibri"/>
                <w:b/>
                <w:sz w:val="20"/>
              </w:rPr>
            </w:pPr>
            <w:r w:rsidRPr="0013161E">
              <w:rPr>
                <w:rFonts w:eastAsia="Calibri"/>
                <w:sz w:val="20"/>
              </w:rPr>
              <w:t>Number of</w:t>
            </w:r>
            <w:r w:rsidR="006F6FF1" w:rsidRPr="0013161E">
              <w:rPr>
                <w:rFonts w:eastAsia="Calibri"/>
                <w:sz w:val="20"/>
              </w:rPr>
              <w:t xml:space="preserve"> </w:t>
            </w:r>
            <w:r w:rsidR="006F6FF1" w:rsidRPr="0013161E">
              <w:rPr>
                <w:rFonts w:eastAsia="Calibri"/>
                <w:b/>
                <w:sz w:val="20"/>
              </w:rPr>
              <w:t>additional</w:t>
            </w:r>
            <w:r w:rsidRPr="000B5DED">
              <w:rPr>
                <w:rFonts w:eastAsia="Calibri"/>
                <w:b/>
                <w:sz w:val="20"/>
              </w:rPr>
              <w:t xml:space="preserve"> people</w:t>
            </w:r>
            <w:r w:rsidRPr="0013161E">
              <w:rPr>
                <w:rFonts w:eastAsia="Calibri"/>
                <w:sz w:val="20"/>
              </w:rPr>
              <w:t xml:space="preserve"> who have </w:t>
            </w:r>
            <w:r w:rsidRPr="0013161E">
              <w:rPr>
                <w:rFonts w:eastAsia="Calibri"/>
                <w:b/>
                <w:sz w:val="20"/>
              </w:rPr>
              <w:t>access to justice</w:t>
            </w:r>
            <w:r w:rsidRPr="0013161E">
              <w:rPr>
                <w:rFonts w:eastAsia="Calibri"/>
                <w:sz w:val="20"/>
              </w:rPr>
              <w:t xml:space="preserve">, disaggregated </w:t>
            </w:r>
            <w:r w:rsidRPr="0013161E">
              <w:rPr>
                <w:rFonts w:eastAsia="Calibri"/>
                <w:b/>
                <w:sz w:val="20"/>
              </w:rPr>
              <w:t>by sex</w:t>
            </w:r>
          </w:p>
          <w:p w14:paraId="292822D3" w14:textId="77777777" w:rsidR="00F7064C" w:rsidRPr="0013161E" w:rsidRDefault="00F7064C" w:rsidP="00F33E01">
            <w:pPr>
              <w:spacing w:after="0" w:line="240" w:lineRule="auto"/>
              <w:rPr>
                <w:rFonts w:eastAsia="Calibri"/>
                <w:b/>
                <w:sz w:val="20"/>
              </w:rPr>
            </w:pPr>
            <w:r w:rsidRPr="0013161E">
              <w:rPr>
                <w:rFonts w:eastAsia="Calibri"/>
                <w:b/>
                <w:sz w:val="20"/>
              </w:rPr>
              <w:t>Access to legal aid services</w:t>
            </w:r>
          </w:p>
          <w:p w14:paraId="03CCB366" w14:textId="5AE2FA47" w:rsidR="00F7064C" w:rsidRPr="0013161E" w:rsidRDefault="00F7064C" w:rsidP="006F161D">
            <w:pPr>
              <w:pStyle w:val="ListParagraph"/>
              <w:numPr>
                <w:ilvl w:val="0"/>
                <w:numId w:val="33"/>
              </w:numPr>
              <w:rPr>
                <w:rFonts w:eastAsia="Calibri"/>
                <w:sz w:val="20"/>
              </w:rPr>
            </w:pPr>
            <w:r w:rsidRPr="0013161E">
              <w:rPr>
                <w:rFonts w:eastAsia="Calibri"/>
                <w:sz w:val="20"/>
              </w:rPr>
              <w:t>Number of additional men</w:t>
            </w:r>
          </w:p>
          <w:p w14:paraId="5F0B131D" w14:textId="0C2F9DE7" w:rsidR="00F7064C" w:rsidRPr="0013161E" w:rsidRDefault="00F7064C" w:rsidP="006F161D">
            <w:pPr>
              <w:pStyle w:val="ListParagraph"/>
              <w:numPr>
                <w:ilvl w:val="0"/>
                <w:numId w:val="33"/>
              </w:numPr>
              <w:rPr>
                <w:rFonts w:eastAsia="Calibri"/>
                <w:sz w:val="20"/>
              </w:rPr>
            </w:pPr>
            <w:r w:rsidRPr="0013161E">
              <w:rPr>
                <w:rFonts w:eastAsia="Calibri"/>
                <w:sz w:val="20"/>
              </w:rPr>
              <w:t>Number of additional women</w:t>
            </w:r>
          </w:p>
          <w:p w14:paraId="46E92F2E" w14:textId="58B54949" w:rsidR="00F7064C" w:rsidRPr="0013161E" w:rsidRDefault="008376B6" w:rsidP="00E731AE">
            <w:pPr>
              <w:spacing w:before="240" w:after="0"/>
              <w:rPr>
                <w:rFonts w:eastAsia="Calibri"/>
                <w:b/>
                <w:i/>
                <w:sz w:val="18"/>
                <w:szCs w:val="18"/>
              </w:rPr>
            </w:pPr>
            <w:r w:rsidRPr="0013161E">
              <w:rPr>
                <w:rFonts w:eastAsia="Calibri"/>
                <w:b/>
                <w:i/>
                <w:sz w:val="18"/>
                <w:szCs w:val="18"/>
              </w:rPr>
              <w:t xml:space="preserve">Number of countries </w:t>
            </w:r>
            <w:r w:rsidR="00EB3D7A" w:rsidRPr="0013161E">
              <w:rPr>
                <w:rFonts w:eastAsia="Calibri"/>
                <w:b/>
                <w:i/>
                <w:sz w:val="18"/>
                <w:szCs w:val="18"/>
              </w:rPr>
              <w:t xml:space="preserve">for which a 2017 target has currently been set under this indicator: </w:t>
            </w:r>
            <w:r w:rsidR="000A12F3" w:rsidRPr="0013161E">
              <w:rPr>
                <w:rFonts w:eastAsia="Calibri"/>
                <w:b/>
                <w:i/>
                <w:sz w:val="18"/>
                <w:szCs w:val="18"/>
              </w:rPr>
              <w:t>31</w:t>
            </w:r>
          </w:p>
          <w:p w14:paraId="1D24DEA3" w14:textId="77777777" w:rsidR="008376B6" w:rsidRPr="0013161E" w:rsidRDefault="008376B6" w:rsidP="008C50EE">
            <w:pPr>
              <w:spacing w:after="0" w:line="240" w:lineRule="auto"/>
              <w:rPr>
                <w:rFonts w:eastAsia="Calibri"/>
                <w:b/>
                <w:sz w:val="20"/>
              </w:rPr>
            </w:pPr>
          </w:p>
          <w:p w14:paraId="7AC3C3E9" w14:textId="77777777" w:rsidR="00F7064C" w:rsidRPr="0013161E" w:rsidRDefault="00F7064C" w:rsidP="008C50EE">
            <w:pPr>
              <w:spacing w:after="0" w:line="240" w:lineRule="auto"/>
              <w:rPr>
                <w:rFonts w:eastAsia="Calibri"/>
                <w:b/>
                <w:sz w:val="20"/>
              </w:rPr>
            </w:pPr>
            <w:r w:rsidRPr="0013161E">
              <w:rPr>
                <w:rFonts w:eastAsia="Calibri"/>
                <w:b/>
                <w:sz w:val="20"/>
              </w:rPr>
              <w:t>Cases receiving judgment in the first instance of the formal justice system</w:t>
            </w:r>
          </w:p>
          <w:p w14:paraId="433FB76F" w14:textId="3F724A5F" w:rsidR="00F7064C" w:rsidRPr="0013161E" w:rsidRDefault="006F6FF1" w:rsidP="006F161D">
            <w:pPr>
              <w:pStyle w:val="ListParagraph"/>
              <w:numPr>
                <w:ilvl w:val="0"/>
                <w:numId w:val="33"/>
              </w:numPr>
              <w:rPr>
                <w:rFonts w:eastAsia="Calibri"/>
                <w:sz w:val="20"/>
              </w:rPr>
            </w:pPr>
            <w:r w:rsidRPr="0013161E">
              <w:rPr>
                <w:rFonts w:eastAsia="Calibri"/>
                <w:sz w:val="20"/>
              </w:rPr>
              <w:t xml:space="preserve">Number of new </w:t>
            </w:r>
            <w:r w:rsidR="00F7064C" w:rsidRPr="0013161E">
              <w:rPr>
                <w:rFonts w:eastAsia="Calibri"/>
                <w:sz w:val="20"/>
              </w:rPr>
              <w:t>GBV cases</w:t>
            </w:r>
          </w:p>
          <w:p w14:paraId="0811ED71" w14:textId="1E9BF7AE" w:rsidR="00F7064C" w:rsidRPr="0013161E" w:rsidRDefault="007E66CF" w:rsidP="006F161D">
            <w:pPr>
              <w:pStyle w:val="ListParagraph"/>
              <w:numPr>
                <w:ilvl w:val="0"/>
                <w:numId w:val="33"/>
              </w:numPr>
              <w:rPr>
                <w:rFonts w:eastAsia="Calibri"/>
                <w:sz w:val="20"/>
              </w:rPr>
            </w:pPr>
            <w:r w:rsidRPr="0013161E">
              <w:rPr>
                <w:rFonts w:eastAsia="Calibri"/>
                <w:sz w:val="20"/>
              </w:rPr>
              <w:t xml:space="preserve">Number of </w:t>
            </w:r>
            <w:r w:rsidR="006F6FF1" w:rsidRPr="0013161E">
              <w:rPr>
                <w:rFonts w:eastAsia="Calibri"/>
                <w:sz w:val="20"/>
              </w:rPr>
              <w:t xml:space="preserve">new </w:t>
            </w:r>
            <w:r w:rsidRPr="0013161E">
              <w:rPr>
                <w:rFonts w:eastAsia="Calibri"/>
                <w:sz w:val="20"/>
              </w:rPr>
              <w:t>non-GBV cases</w:t>
            </w:r>
          </w:p>
          <w:p w14:paraId="7E6CE57A" w14:textId="3ECB2E55" w:rsidR="008376B6" w:rsidRPr="0013161E" w:rsidRDefault="008376B6" w:rsidP="00E731AE">
            <w:pPr>
              <w:spacing w:before="240" w:after="0"/>
              <w:rPr>
                <w:rFonts w:eastAsia="Calibri"/>
                <w:sz w:val="20"/>
              </w:rPr>
            </w:pPr>
            <w:r w:rsidRPr="0013161E">
              <w:rPr>
                <w:rFonts w:eastAsia="Calibri"/>
                <w:b/>
                <w:i/>
                <w:sz w:val="18"/>
                <w:szCs w:val="18"/>
              </w:rPr>
              <w:t xml:space="preserve">Number of countries </w:t>
            </w:r>
            <w:r w:rsidR="00983FF8" w:rsidRPr="0013161E">
              <w:rPr>
                <w:rFonts w:eastAsia="Calibri"/>
                <w:b/>
                <w:i/>
                <w:sz w:val="18"/>
                <w:szCs w:val="18"/>
              </w:rPr>
              <w:t>for which a 2017 target has currently been set under this indicator</w:t>
            </w:r>
            <w:r w:rsidR="000A12F3" w:rsidRPr="0013161E">
              <w:rPr>
                <w:rFonts w:eastAsia="Calibri"/>
                <w:b/>
                <w:i/>
                <w:sz w:val="18"/>
                <w:szCs w:val="18"/>
              </w:rPr>
              <w:t>: 11</w:t>
            </w:r>
          </w:p>
        </w:tc>
        <w:tc>
          <w:tcPr>
            <w:tcW w:w="1440" w:type="dxa"/>
            <w:tcBorders>
              <w:top w:val="single" w:sz="4" w:space="0" w:color="auto"/>
              <w:left w:val="single" w:sz="4" w:space="0" w:color="auto"/>
              <w:right w:val="single" w:sz="4" w:space="0" w:color="auto"/>
            </w:tcBorders>
            <w:shd w:val="clear" w:color="auto" w:fill="FFFFFF"/>
          </w:tcPr>
          <w:p w14:paraId="72133536" w14:textId="77777777" w:rsidR="006C0FF9" w:rsidRDefault="006C0FF9" w:rsidP="00481322">
            <w:pPr>
              <w:spacing w:after="0" w:line="240" w:lineRule="auto"/>
              <w:jc w:val="right"/>
              <w:rPr>
                <w:rFonts w:eastAsia="Calibri"/>
                <w:sz w:val="20"/>
              </w:rPr>
            </w:pPr>
          </w:p>
          <w:p w14:paraId="65ED555F" w14:textId="77777777" w:rsidR="006C0FF9" w:rsidRDefault="006C0FF9" w:rsidP="00481322">
            <w:pPr>
              <w:spacing w:after="0" w:line="240" w:lineRule="auto"/>
              <w:jc w:val="right"/>
              <w:rPr>
                <w:rFonts w:eastAsia="Calibri"/>
                <w:sz w:val="20"/>
              </w:rPr>
            </w:pPr>
          </w:p>
          <w:p w14:paraId="3A263CA5" w14:textId="77777777" w:rsidR="0047784C" w:rsidRDefault="0047784C" w:rsidP="00481322">
            <w:pPr>
              <w:spacing w:after="0" w:line="240" w:lineRule="auto"/>
              <w:jc w:val="right"/>
              <w:rPr>
                <w:rFonts w:eastAsia="Calibri"/>
                <w:sz w:val="20"/>
              </w:rPr>
            </w:pPr>
          </w:p>
          <w:p w14:paraId="32AC7674" w14:textId="235D53E7" w:rsidR="00F7064C" w:rsidRDefault="00F7064C" w:rsidP="00481322">
            <w:pPr>
              <w:spacing w:after="0" w:line="240" w:lineRule="auto"/>
              <w:jc w:val="right"/>
              <w:rPr>
                <w:rFonts w:eastAsia="Calibri"/>
                <w:sz w:val="20"/>
              </w:rPr>
            </w:pPr>
            <w:r>
              <w:rPr>
                <w:rFonts w:eastAsia="Calibri"/>
                <w:sz w:val="20"/>
              </w:rPr>
              <w:t>0</w:t>
            </w:r>
          </w:p>
          <w:p w14:paraId="1D4900CE" w14:textId="4E688907" w:rsidR="00F7064C" w:rsidRDefault="00F7064C" w:rsidP="00481322">
            <w:pPr>
              <w:spacing w:after="0" w:line="240" w:lineRule="auto"/>
              <w:jc w:val="right"/>
              <w:rPr>
                <w:rFonts w:eastAsia="Calibri"/>
                <w:sz w:val="20"/>
              </w:rPr>
            </w:pPr>
            <w:r>
              <w:rPr>
                <w:rFonts w:eastAsia="Calibri"/>
                <w:sz w:val="20"/>
              </w:rPr>
              <w:t>0</w:t>
            </w:r>
          </w:p>
          <w:p w14:paraId="14B0AF50" w14:textId="77777777" w:rsidR="00F7064C" w:rsidRDefault="00F7064C" w:rsidP="00481322">
            <w:pPr>
              <w:spacing w:after="0" w:line="240" w:lineRule="auto"/>
              <w:jc w:val="right"/>
              <w:rPr>
                <w:rFonts w:eastAsia="Calibri"/>
                <w:sz w:val="20"/>
              </w:rPr>
            </w:pPr>
          </w:p>
          <w:p w14:paraId="699CBEE2" w14:textId="77777777" w:rsidR="000A12F3" w:rsidRDefault="000A12F3" w:rsidP="00481322">
            <w:pPr>
              <w:spacing w:after="0" w:line="240" w:lineRule="auto"/>
              <w:jc w:val="right"/>
              <w:rPr>
                <w:rFonts w:eastAsia="Calibri"/>
                <w:sz w:val="20"/>
              </w:rPr>
            </w:pPr>
          </w:p>
          <w:p w14:paraId="594246AF" w14:textId="77777777" w:rsidR="00F7064C" w:rsidRDefault="00F7064C" w:rsidP="00481322">
            <w:pPr>
              <w:spacing w:after="0" w:line="240" w:lineRule="auto"/>
              <w:jc w:val="right"/>
              <w:rPr>
                <w:rFonts w:eastAsia="Calibri"/>
                <w:sz w:val="20"/>
              </w:rPr>
            </w:pPr>
          </w:p>
          <w:p w14:paraId="5E9E915F" w14:textId="77777777" w:rsidR="00F7064C" w:rsidRDefault="00F7064C" w:rsidP="00481322">
            <w:pPr>
              <w:spacing w:after="0" w:line="240" w:lineRule="auto"/>
              <w:jc w:val="right"/>
              <w:rPr>
                <w:rFonts w:eastAsia="Calibri"/>
                <w:sz w:val="20"/>
              </w:rPr>
            </w:pPr>
          </w:p>
          <w:p w14:paraId="0B2D2981" w14:textId="77777777" w:rsidR="00E731AE" w:rsidRDefault="00E731AE" w:rsidP="00481322">
            <w:pPr>
              <w:spacing w:after="0" w:line="240" w:lineRule="auto"/>
              <w:jc w:val="right"/>
              <w:rPr>
                <w:rFonts w:eastAsia="Calibri"/>
                <w:sz w:val="20"/>
              </w:rPr>
            </w:pPr>
          </w:p>
          <w:p w14:paraId="60344122" w14:textId="77777777" w:rsidR="0053534C" w:rsidRDefault="0053534C" w:rsidP="00481322">
            <w:pPr>
              <w:spacing w:after="0" w:line="240" w:lineRule="auto"/>
              <w:jc w:val="right"/>
              <w:rPr>
                <w:rFonts w:eastAsia="Calibri"/>
                <w:sz w:val="20"/>
              </w:rPr>
            </w:pPr>
          </w:p>
          <w:p w14:paraId="043BD5A3" w14:textId="1B5DAFA8" w:rsidR="00F7064C" w:rsidRDefault="00F7064C" w:rsidP="00481322">
            <w:pPr>
              <w:spacing w:after="0" w:line="240" w:lineRule="auto"/>
              <w:jc w:val="right"/>
              <w:rPr>
                <w:rFonts w:eastAsia="Calibri"/>
                <w:sz w:val="20"/>
              </w:rPr>
            </w:pPr>
            <w:r>
              <w:rPr>
                <w:rFonts w:eastAsia="Calibri"/>
                <w:sz w:val="20"/>
              </w:rPr>
              <w:t>0</w:t>
            </w:r>
          </w:p>
          <w:p w14:paraId="77E63992" w14:textId="77777777" w:rsidR="000A12F3" w:rsidRDefault="00F7064C" w:rsidP="00481322">
            <w:pPr>
              <w:spacing w:after="0" w:line="240" w:lineRule="auto"/>
              <w:jc w:val="right"/>
              <w:rPr>
                <w:rFonts w:eastAsia="Calibri"/>
                <w:sz w:val="20"/>
              </w:rPr>
            </w:pPr>
            <w:r>
              <w:rPr>
                <w:rFonts w:eastAsia="Calibri"/>
                <w:sz w:val="20"/>
              </w:rPr>
              <w:t>0</w:t>
            </w:r>
          </w:p>
          <w:p w14:paraId="067F85D1" w14:textId="742878E6" w:rsidR="00F7064C" w:rsidRPr="009F7759" w:rsidRDefault="00F7064C" w:rsidP="00481322">
            <w:pPr>
              <w:spacing w:after="0" w:line="240" w:lineRule="auto"/>
              <w:jc w:val="right"/>
              <w:rPr>
                <w:rFonts w:eastAsia="Calibri"/>
                <w:sz w:val="20"/>
              </w:rPr>
            </w:pPr>
          </w:p>
        </w:tc>
        <w:tc>
          <w:tcPr>
            <w:tcW w:w="1350" w:type="dxa"/>
            <w:tcBorders>
              <w:top w:val="single" w:sz="4" w:space="0" w:color="auto"/>
              <w:left w:val="single" w:sz="4" w:space="0" w:color="auto"/>
              <w:right w:val="single" w:sz="4" w:space="0" w:color="auto"/>
            </w:tcBorders>
            <w:shd w:val="clear" w:color="auto" w:fill="FFFFFF"/>
          </w:tcPr>
          <w:p w14:paraId="653D4DDC" w14:textId="77777777" w:rsidR="00F7064C" w:rsidRPr="00481322" w:rsidRDefault="00F7064C" w:rsidP="00481322">
            <w:pPr>
              <w:spacing w:after="0" w:line="240" w:lineRule="auto"/>
              <w:jc w:val="right"/>
              <w:rPr>
                <w:rFonts w:eastAsia="Calibri"/>
                <w:b/>
                <w:sz w:val="20"/>
              </w:rPr>
            </w:pPr>
          </w:p>
          <w:p w14:paraId="7BE0CDD4" w14:textId="77777777" w:rsidR="00F7064C" w:rsidRPr="00481322" w:rsidRDefault="00F7064C" w:rsidP="00481322">
            <w:pPr>
              <w:spacing w:after="0" w:line="240" w:lineRule="auto"/>
              <w:jc w:val="right"/>
              <w:rPr>
                <w:rFonts w:eastAsia="Calibri"/>
                <w:b/>
                <w:sz w:val="20"/>
              </w:rPr>
            </w:pPr>
          </w:p>
          <w:p w14:paraId="67F16300" w14:textId="77777777" w:rsidR="0047784C" w:rsidRPr="00481322" w:rsidRDefault="0047784C" w:rsidP="00481322">
            <w:pPr>
              <w:spacing w:after="0" w:line="240" w:lineRule="auto"/>
              <w:jc w:val="right"/>
              <w:rPr>
                <w:rFonts w:ascii="Calibri" w:eastAsia="Times New Roman" w:hAnsi="Calibri" w:cs="Times New Roman"/>
                <w:sz w:val="20"/>
                <w:szCs w:val="20"/>
              </w:rPr>
            </w:pPr>
          </w:p>
          <w:p w14:paraId="7A454735" w14:textId="156A9F28" w:rsidR="00F7064C" w:rsidRPr="00481322" w:rsidRDefault="00652E80" w:rsidP="00481322">
            <w:pPr>
              <w:spacing w:after="0" w:line="240" w:lineRule="auto"/>
              <w:jc w:val="right"/>
              <w:rPr>
                <w:rFonts w:ascii="Calibri" w:eastAsia="Times New Roman" w:hAnsi="Calibri" w:cs="Times New Roman"/>
                <w:sz w:val="20"/>
                <w:szCs w:val="20"/>
              </w:rPr>
            </w:pPr>
            <w:r w:rsidRPr="00481322">
              <w:rPr>
                <w:rFonts w:ascii="Calibri" w:eastAsia="Times New Roman" w:hAnsi="Calibri" w:cs="Times New Roman"/>
                <w:sz w:val="20"/>
                <w:szCs w:val="20"/>
              </w:rPr>
              <w:t>382,824</w:t>
            </w:r>
          </w:p>
          <w:p w14:paraId="4EC9AC92" w14:textId="27699180" w:rsidR="00F7064C" w:rsidRPr="00481322" w:rsidRDefault="00652E80" w:rsidP="00481322">
            <w:pPr>
              <w:spacing w:after="0" w:line="240" w:lineRule="auto"/>
              <w:jc w:val="right"/>
              <w:rPr>
                <w:rFonts w:ascii="Calibri" w:eastAsia="Times New Roman" w:hAnsi="Calibri" w:cs="Times New Roman"/>
                <w:sz w:val="20"/>
                <w:szCs w:val="20"/>
              </w:rPr>
            </w:pPr>
            <w:r w:rsidRPr="00481322">
              <w:rPr>
                <w:rFonts w:ascii="Calibri" w:eastAsia="Times New Roman" w:hAnsi="Calibri" w:cs="Times New Roman"/>
                <w:sz w:val="20"/>
                <w:szCs w:val="20"/>
              </w:rPr>
              <w:t>363,286</w:t>
            </w:r>
          </w:p>
          <w:p w14:paraId="29EE41AB" w14:textId="77777777" w:rsidR="00F7064C" w:rsidRPr="00481322" w:rsidRDefault="00F7064C" w:rsidP="00481322">
            <w:pPr>
              <w:spacing w:after="0" w:line="240" w:lineRule="auto"/>
              <w:jc w:val="right"/>
              <w:rPr>
                <w:rFonts w:ascii="Calibri" w:eastAsia="Times New Roman" w:hAnsi="Calibri" w:cs="Times New Roman"/>
                <w:sz w:val="20"/>
                <w:szCs w:val="20"/>
              </w:rPr>
            </w:pPr>
          </w:p>
          <w:p w14:paraId="3D53CF2D" w14:textId="77777777" w:rsidR="000A12F3" w:rsidRPr="00481322" w:rsidRDefault="000A12F3" w:rsidP="00481322">
            <w:pPr>
              <w:spacing w:after="0" w:line="240" w:lineRule="auto"/>
              <w:jc w:val="right"/>
              <w:rPr>
                <w:rFonts w:ascii="Calibri" w:eastAsia="Times New Roman" w:hAnsi="Calibri" w:cs="Times New Roman"/>
                <w:sz w:val="20"/>
                <w:szCs w:val="20"/>
              </w:rPr>
            </w:pPr>
          </w:p>
          <w:p w14:paraId="345A14CA" w14:textId="77777777" w:rsidR="00F7064C" w:rsidRDefault="00F7064C" w:rsidP="00481322">
            <w:pPr>
              <w:spacing w:after="0" w:line="240" w:lineRule="auto"/>
              <w:jc w:val="right"/>
              <w:rPr>
                <w:rFonts w:ascii="Calibri" w:eastAsia="Times New Roman" w:hAnsi="Calibri" w:cs="Times New Roman"/>
                <w:sz w:val="20"/>
                <w:szCs w:val="20"/>
              </w:rPr>
            </w:pPr>
          </w:p>
          <w:p w14:paraId="4FB3AE96" w14:textId="77777777" w:rsidR="0053534C" w:rsidRDefault="0053534C" w:rsidP="00481322">
            <w:pPr>
              <w:spacing w:after="0" w:line="240" w:lineRule="auto"/>
              <w:jc w:val="right"/>
              <w:rPr>
                <w:rFonts w:ascii="Calibri" w:eastAsia="Times New Roman" w:hAnsi="Calibri" w:cs="Times New Roman"/>
                <w:sz w:val="20"/>
                <w:szCs w:val="20"/>
              </w:rPr>
            </w:pPr>
          </w:p>
          <w:p w14:paraId="5E9E00D2" w14:textId="77777777" w:rsidR="00E731AE" w:rsidRPr="00481322" w:rsidRDefault="00E731AE" w:rsidP="00481322">
            <w:pPr>
              <w:spacing w:after="0" w:line="240" w:lineRule="auto"/>
              <w:jc w:val="right"/>
              <w:rPr>
                <w:rFonts w:ascii="Calibri" w:eastAsia="Times New Roman" w:hAnsi="Calibri" w:cs="Times New Roman"/>
                <w:sz w:val="20"/>
                <w:szCs w:val="20"/>
              </w:rPr>
            </w:pPr>
          </w:p>
          <w:p w14:paraId="7EDC50C9" w14:textId="77777777" w:rsidR="00F7064C" w:rsidRPr="00481322" w:rsidRDefault="00F7064C" w:rsidP="00481322">
            <w:pPr>
              <w:spacing w:after="0" w:line="240" w:lineRule="auto"/>
              <w:jc w:val="right"/>
              <w:rPr>
                <w:rFonts w:ascii="Calibri" w:eastAsia="Times New Roman" w:hAnsi="Calibri" w:cs="Times New Roman"/>
                <w:sz w:val="20"/>
                <w:szCs w:val="20"/>
              </w:rPr>
            </w:pPr>
          </w:p>
          <w:p w14:paraId="65143331" w14:textId="44802B27" w:rsidR="00F7064C" w:rsidRPr="00481322" w:rsidRDefault="00F7064C" w:rsidP="00481322">
            <w:pPr>
              <w:spacing w:after="0" w:line="240" w:lineRule="auto"/>
              <w:jc w:val="right"/>
              <w:rPr>
                <w:rFonts w:ascii="Calibri" w:eastAsia="Times New Roman" w:hAnsi="Calibri" w:cs="Times New Roman"/>
                <w:sz w:val="20"/>
                <w:szCs w:val="20"/>
              </w:rPr>
            </w:pPr>
            <w:r w:rsidRPr="00481322">
              <w:rPr>
                <w:rFonts w:ascii="Calibri" w:eastAsia="Times New Roman" w:hAnsi="Calibri" w:cs="Times New Roman"/>
                <w:sz w:val="20"/>
                <w:szCs w:val="20"/>
              </w:rPr>
              <w:t>7,</w:t>
            </w:r>
            <w:r w:rsidR="00D941AE" w:rsidRPr="00481322">
              <w:rPr>
                <w:rFonts w:ascii="Calibri" w:eastAsia="Times New Roman" w:hAnsi="Calibri" w:cs="Times New Roman"/>
                <w:sz w:val="20"/>
                <w:szCs w:val="20"/>
              </w:rPr>
              <w:t>949</w:t>
            </w:r>
          </w:p>
          <w:p w14:paraId="58A5BEFC" w14:textId="77777777" w:rsidR="00F7064C" w:rsidRPr="00481322" w:rsidRDefault="00F7064C" w:rsidP="00481322">
            <w:pPr>
              <w:spacing w:after="0" w:line="240" w:lineRule="auto"/>
              <w:jc w:val="right"/>
              <w:rPr>
                <w:rFonts w:ascii="Calibri" w:eastAsia="Times New Roman" w:hAnsi="Calibri" w:cs="Times New Roman"/>
                <w:sz w:val="20"/>
                <w:szCs w:val="20"/>
              </w:rPr>
            </w:pPr>
            <w:r w:rsidRPr="00481322">
              <w:rPr>
                <w:rFonts w:ascii="Calibri" w:eastAsia="Times New Roman" w:hAnsi="Calibri" w:cs="Times New Roman"/>
                <w:sz w:val="20"/>
                <w:szCs w:val="20"/>
              </w:rPr>
              <w:t>55,448</w:t>
            </w:r>
          </w:p>
          <w:p w14:paraId="52FCC886" w14:textId="77777777" w:rsidR="000A12F3" w:rsidRPr="00481322" w:rsidRDefault="000A12F3" w:rsidP="00481322">
            <w:pPr>
              <w:spacing w:after="0" w:line="240" w:lineRule="auto"/>
              <w:jc w:val="right"/>
              <w:rPr>
                <w:rFonts w:eastAsia="Calibri"/>
                <w:b/>
                <w:sz w:val="20"/>
              </w:rPr>
            </w:pPr>
          </w:p>
        </w:tc>
        <w:tc>
          <w:tcPr>
            <w:tcW w:w="1350" w:type="dxa"/>
            <w:tcBorders>
              <w:top w:val="single" w:sz="4" w:space="0" w:color="auto"/>
              <w:left w:val="single" w:sz="4" w:space="0" w:color="auto"/>
              <w:right w:val="single" w:sz="4" w:space="0" w:color="auto"/>
            </w:tcBorders>
            <w:shd w:val="clear" w:color="auto" w:fill="FFFFFF"/>
          </w:tcPr>
          <w:p w14:paraId="5CF107FC" w14:textId="77777777" w:rsidR="006C0FF9" w:rsidRPr="00311D5C" w:rsidRDefault="006C0FF9" w:rsidP="00481322">
            <w:pPr>
              <w:spacing w:after="0" w:line="240" w:lineRule="auto"/>
              <w:jc w:val="right"/>
              <w:rPr>
                <w:rFonts w:ascii="Calibri" w:eastAsia="Times New Roman" w:hAnsi="Calibri" w:cs="Times New Roman"/>
                <w:color w:val="000000"/>
                <w:sz w:val="20"/>
                <w:szCs w:val="20"/>
              </w:rPr>
            </w:pPr>
          </w:p>
          <w:p w14:paraId="25CC2CA9" w14:textId="77777777" w:rsidR="006C0FF9" w:rsidRPr="00311D5C" w:rsidRDefault="006C0FF9" w:rsidP="00481322">
            <w:pPr>
              <w:spacing w:after="0" w:line="240" w:lineRule="auto"/>
              <w:jc w:val="right"/>
              <w:rPr>
                <w:rFonts w:ascii="Calibri" w:eastAsia="Times New Roman" w:hAnsi="Calibri" w:cs="Times New Roman"/>
                <w:color w:val="000000"/>
                <w:sz w:val="20"/>
                <w:szCs w:val="20"/>
              </w:rPr>
            </w:pPr>
          </w:p>
          <w:p w14:paraId="326FE7C5" w14:textId="77777777" w:rsidR="0047784C" w:rsidRPr="00311D5C" w:rsidRDefault="0047784C" w:rsidP="00481322">
            <w:pPr>
              <w:spacing w:after="0" w:line="240" w:lineRule="auto"/>
              <w:jc w:val="right"/>
              <w:rPr>
                <w:rFonts w:ascii="Calibri" w:eastAsia="Times New Roman" w:hAnsi="Calibri" w:cs="Times New Roman"/>
                <w:color w:val="000000"/>
                <w:sz w:val="20"/>
                <w:szCs w:val="20"/>
              </w:rPr>
            </w:pPr>
          </w:p>
          <w:p w14:paraId="0E3A65F4" w14:textId="5995F7C3" w:rsidR="00652E80" w:rsidRPr="00311D5C" w:rsidRDefault="00652E80" w:rsidP="00481322">
            <w:pPr>
              <w:spacing w:after="0" w:line="240" w:lineRule="auto"/>
              <w:jc w:val="right"/>
              <w:rPr>
                <w:rFonts w:ascii="Calibri" w:eastAsia="Times New Roman" w:hAnsi="Calibri" w:cs="Times New Roman"/>
                <w:color w:val="000000"/>
                <w:sz w:val="20"/>
                <w:szCs w:val="20"/>
              </w:rPr>
            </w:pPr>
            <w:r w:rsidRPr="00311D5C">
              <w:rPr>
                <w:rFonts w:ascii="Calibri" w:eastAsia="Times New Roman" w:hAnsi="Calibri" w:cs="Times New Roman"/>
                <w:color w:val="000000"/>
                <w:sz w:val="20"/>
                <w:szCs w:val="20"/>
              </w:rPr>
              <w:t>3</w:t>
            </w:r>
            <w:r w:rsidR="00DD5C47" w:rsidRPr="00311D5C">
              <w:rPr>
                <w:rFonts w:ascii="Calibri" w:eastAsia="Times New Roman" w:hAnsi="Calibri" w:cs="Times New Roman"/>
                <w:color w:val="000000"/>
                <w:sz w:val="20"/>
                <w:szCs w:val="20"/>
              </w:rPr>
              <w:t>73</w:t>
            </w:r>
            <w:r w:rsidRPr="00311D5C">
              <w:rPr>
                <w:rFonts w:ascii="Calibri" w:eastAsia="Times New Roman" w:hAnsi="Calibri" w:cs="Times New Roman"/>
                <w:color w:val="000000"/>
                <w:sz w:val="20"/>
                <w:szCs w:val="20"/>
              </w:rPr>
              <w:t>,</w:t>
            </w:r>
            <w:r w:rsidR="00DD5C47" w:rsidRPr="00311D5C">
              <w:rPr>
                <w:rFonts w:ascii="Calibri" w:eastAsia="Times New Roman" w:hAnsi="Calibri" w:cs="Times New Roman"/>
                <w:color w:val="000000"/>
                <w:sz w:val="20"/>
                <w:szCs w:val="20"/>
              </w:rPr>
              <w:t>9</w:t>
            </w:r>
            <w:r w:rsidRPr="00311D5C">
              <w:rPr>
                <w:rFonts w:ascii="Calibri" w:eastAsia="Times New Roman" w:hAnsi="Calibri" w:cs="Times New Roman"/>
                <w:color w:val="000000"/>
                <w:sz w:val="20"/>
                <w:szCs w:val="20"/>
              </w:rPr>
              <w:t>46</w:t>
            </w:r>
          </w:p>
          <w:p w14:paraId="7165F14B" w14:textId="743871D4" w:rsidR="00652E80" w:rsidRPr="00311D5C" w:rsidRDefault="00652E80" w:rsidP="00481322">
            <w:pPr>
              <w:spacing w:after="0" w:line="240" w:lineRule="auto"/>
              <w:jc w:val="right"/>
              <w:rPr>
                <w:rFonts w:ascii="Calibri" w:eastAsia="Times New Roman" w:hAnsi="Calibri" w:cs="Times New Roman"/>
                <w:color w:val="000000"/>
                <w:sz w:val="20"/>
                <w:szCs w:val="20"/>
              </w:rPr>
            </w:pPr>
            <w:r w:rsidRPr="00311D5C">
              <w:rPr>
                <w:rFonts w:ascii="Calibri" w:eastAsia="Times New Roman" w:hAnsi="Calibri" w:cs="Times New Roman"/>
                <w:color w:val="000000"/>
                <w:sz w:val="20"/>
                <w:szCs w:val="20"/>
              </w:rPr>
              <w:t>3</w:t>
            </w:r>
            <w:r w:rsidR="00DD5C47" w:rsidRPr="00311D5C">
              <w:rPr>
                <w:rFonts w:ascii="Calibri" w:eastAsia="Times New Roman" w:hAnsi="Calibri" w:cs="Times New Roman"/>
                <w:color w:val="000000"/>
                <w:sz w:val="20"/>
                <w:szCs w:val="20"/>
              </w:rPr>
              <w:t>91</w:t>
            </w:r>
            <w:r w:rsidRPr="00311D5C">
              <w:rPr>
                <w:rFonts w:ascii="Calibri" w:eastAsia="Times New Roman" w:hAnsi="Calibri" w:cs="Times New Roman"/>
                <w:color w:val="000000"/>
                <w:sz w:val="20"/>
                <w:szCs w:val="20"/>
              </w:rPr>
              <w:t>,</w:t>
            </w:r>
            <w:r w:rsidR="00DD5C47" w:rsidRPr="00311D5C">
              <w:rPr>
                <w:rFonts w:ascii="Calibri" w:eastAsia="Times New Roman" w:hAnsi="Calibri" w:cs="Times New Roman"/>
                <w:color w:val="000000"/>
                <w:sz w:val="20"/>
                <w:szCs w:val="20"/>
              </w:rPr>
              <w:t>2</w:t>
            </w:r>
            <w:r w:rsidRPr="00311D5C">
              <w:rPr>
                <w:rFonts w:ascii="Calibri" w:eastAsia="Times New Roman" w:hAnsi="Calibri" w:cs="Times New Roman"/>
                <w:color w:val="000000"/>
                <w:sz w:val="20"/>
                <w:szCs w:val="20"/>
              </w:rPr>
              <w:t>81</w:t>
            </w:r>
          </w:p>
          <w:p w14:paraId="46A5A1D5" w14:textId="3D054CF8" w:rsidR="00F7064C" w:rsidRPr="00311D5C" w:rsidRDefault="00F7064C" w:rsidP="00481322">
            <w:pPr>
              <w:spacing w:after="0" w:line="240" w:lineRule="auto"/>
              <w:jc w:val="right"/>
              <w:rPr>
                <w:rFonts w:eastAsia="Calibri"/>
                <w:b/>
                <w:color w:val="FFFFFF"/>
                <w:sz w:val="20"/>
              </w:rPr>
            </w:pPr>
          </w:p>
          <w:p w14:paraId="6EE6B82A" w14:textId="77777777" w:rsidR="00652E80" w:rsidRPr="00311D5C" w:rsidRDefault="00652E80" w:rsidP="00481322">
            <w:pPr>
              <w:spacing w:after="0" w:line="240" w:lineRule="auto"/>
              <w:jc w:val="right"/>
              <w:rPr>
                <w:rFonts w:eastAsia="Calibri"/>
                <w:b/>
                <w:color w:val="FFFFFF"/>
                <w:sz w:val="20"/>
              </w:rPr>
            </w:pPr>
          </w:p>
          <w:p w14:paraId="533FBA7A" w14:textId="77777777" w:rsidR="000A12F3" w:rsidRDefault="000A12F3" w:rsidP="00481322">
            <w:pPr>
              <w:spacing w:after="0" w:line="240" w:lineRule="auto"/>
              <w:jc w:val="right"/>
              <w:rPr>
                <w:rFonts w:eastAsia="Calibri"/>
                <w:b/>
                <w:color w:val="FFFFFF"/>
                <w:sz w:val="20"/>
              </w:rPr>
            </w:pPr>
          </w:p>
          <w:p w14:paraId="6E9252A6" w14:textId="77777777" w:rsidR="00E731AE" w:rsidRPr="00311D5C" w:rsidRDefault="00E731AE" w:rsidP="00481322">
            <w:pPr>
              <w:spacing w:after="0" w:line="240" w:lineRule="auto"/>
              <w:jc w:val="right"/>
              <w:rPr>
                <w:rFonts w:eastAsia="Calibri"/>
                <w:b/>
                <w:color w:val="FFFFFF"/>
                <w:sz w:val="20"/>
              </w:rPr>
            </w:pPr>
          </w:p>
          <w:p w14:paraId="5B3E4A75" w14:textId="77777777" w:rsidR="00F7064C" w:rsidRDefault="00F7064C" w:rsidP="00481322">
            <w:pPr>
              <w:spacing w:after="0" w:line="240" w:lineRule="auto"/>
              <w:jc w:val="right"/>
              <w:rPr>
                <w:rFonts w:eastAsia="Calibri"/>
                <w:sz w:val="20"/>
              </w:rPr>
            </w:pPr>
          </w:p>
          <w:p w14:paraId="3B3D8649" w14:textId="77777777" w:rsidR="0053534C" w:rsidRPr="00311D5C" w:rsidRDefault="0053534C" w:rsidP="00481322">
            <w:pPr>
              <w:spacing w:after="0" w:line="240" w:lineRule="auto"/>
              <w:jc w:val="right"/>
              <w:rPr>
                <w:rFonts w:eastAsia="Calibri"/>
                <w:sz w:val="20"/>
              </w:rPr>
            </w:pPr>
          </w:p>
          <w:p w14:paraId="44C6AD0B" w14:textId="77777777" w:rsidR="00F7064C" w:rsidRPr="00311D5C" w:rsidRDefault="00D941AE" w:rsidP="00481322">
            <w:pPr>
              <w:spacing w:after="0" w:line="240" w:lineRule="auto"/>
              <w:jc w:val="right"/>
              <w:rPr>
                <w:rFonts w:eastAsia="Calibri"/>
                <w:sz w:val="20"/>
              </w:rPr>
            </w:pPr>
            <w:r w:rsidRPr="00311D5C">
              <w:rPr>
                <w:rFonts w:eastAsia="Calibri"/>
                <w:sz w:val="20"/>
              </w:rPr>
              <w:t>10,354</w:t>
            </w:r>
          </w:p>
          <w:p w14:paraId="44E8F253" w14:textId="77777777" w:rsidR="00D941AE" w:rsidRPr="00311D5C" w:rsidRDefault="00652E80" w:rsidP="00481322">
            <w:pPr>
              <w:spacing w:after="0" w:line="240" w:lineRule="auto"/>
              <w:jc w:val="right"/>
              <w:rPr>
                <w:rFonts w:eastAsia="Calibri"/>
                <w:sz w:val="20"/>
              </w:rPr>
            </w:pPr>
            <w:r w:rsidRPr="00311D5C">
              <w:rPr>
                <w:rFonts w:eastAsia="Calibri"/>
                <w:sz w:val="20"/>
              </w:rPr>
              <w:t>347,904</w:t>
            </w:r>
          </w:p>
          <w:p w14:paraId="67D808E8" w14:textId="10B5A4EB" w:rsidR="000A12F3" w:rsidRPr="00311D5C" w:rsidRDefault="000A12F3" w:rsidP="00481322">
            <w:pPr>
              <w:spacing w:after="0" w:line="240" w:lineRule="auto"/>
              <w:jc w:val="right"/>
              <w:rPr>
                <w:rFonts w:eastAsia="Calibri"/>
                <w:b/>
                <w:color w:val="FFFFFF"/>
                <w:sz w:val="20"/>
              </w:rPr>
            </w:pPr>
          </w:p>
        </w:tc>
        <w:tc>
          <w:tcPr>
            <w:tcW w:w="1530" w:type="dxa"/>
            <w:tcBorders>
              <w:top w:val="single" w:sz="4" w:space="0" w:color="auto"/>
              <w:left w:val="single" w:sz="4" w:space="0" w:color="auto"/>
              <w:right w:val="single" w:sz="4" w:space="0" w:color="auto"/>
            </w:tcBorders>
            <w:shd w:val="clear" w:color="auto" w:fill="FFFFFF"/>
          </w:tcPr>
          <w:p w14:paraId="65DAAA4F" w14:textId="77777777" w:rsidR="00F7064C" w:rsidRPr="00481322" w:rsidRDefault="00F7064C" w:rsidP="00481322">
            <w:pPr>
              <w:spacing w:after="0" w:line="240" w:lineRule="auto"/>
              <w:jc w:val="right"/>
              <w:rPr>
                <w:rFonts w:eastAsia="Calibri"/>
                <w:b/>
                <w:sz w:val="20"/>
              </w:rPr>
            </w:pPr>
          </w:p>
          <w:p w14:paraId="10C48679" w14:textId="77777777" w:rsidR="00F7064C" w:rsidRPr="00481322" w:rsidRDefault="00F7064C" w:rsidP="00481322">
            <w:pPr>
              <w:spacing w:after="0" w:line="240" w:lineRule="auto"/>
              <w:jc w:val="right"/>
              <w:rPr>
                <w:rFonts w:eastAsia="Calibri"/>
                <w:b/>
                <w:sz w:val="20"/>
              </w:rPr>
            </w:pPr>
          </w:p>
          <w:p w14:paraId="0A1B3235" w14:textId="77777777" w:rsidR="0047784C" w:rsidRPr="00481322" w:rsidRDefault="0047784C" w:rsidP="00481322">
            <w:pPr>
              <w:spacing w:after="0" w:line="240" w:lineRule="auto"/>
              <w:jc w:val="right"/>
              <w:rPr>
                <w:rFonts w:ascii="Calibri" w:eastAsia="Times New Roman" w:hAnsi="Calibri" w:cs="Times New Roman"/>
                <w:sz w:val="20"/>
                <w:szCs w:val="20"/>
              </w:rPr>
            </w:pPr>
          </w:p>
          <w:p w14:paraId="5E678767" w14:textId="45A54FFE" w:rsidR="00F7064C" w:rsidRPr="00481322" w:rsidRDefault="00E1029F" w:rsidP="00481322">
            <w:pPr>
              <w:spacing w:after="0" w:line="240" w:lineRule="auto"/>
              <w:jc w:val="right"/>
              <w:rPr>
                <w:rFonts w:ascii="Calibri" w:eastAsia="Times New Roman" w:hAnsi="Calibri" w:cs="Times New Roman"/>
                <w:sz w:val="20"/>
                <w:szCs w:val="20"/>
              </w:rPr>
            </w:pPr>
            <w:r w:rsidRPr="00481322">
              <w:rPr>
                <w:rFonts w:ascii="Calibri" w:eastAsia="Times New Roman" w:hAnsi="Calibri" w:cs="Times New Roman"/>
                <w:sz w:val="20"/>
                <w:szCs w:val="20"/>
              </w:rPr>
              <w:t>910,978</w:t>
            </w:r>
          </w:p>
          <w:p w14:paraId="44C26424" w14:textId="4F1907E2" w:rsidR="00F7064C" w:rsidRPr="00481322" w:rsidRDefault="00E1029F" w:rsidP="00481322">
            <w:pPr>
              <w:spacing w:after="0" w:line="240" w:lineRule="auto"/>
              <w:jc w:val="right"/>
              <w:rPr>
                <w:rFonts w:ascii="Calibri" w:eastAsia="Times New Roman" w:hAnsi="Calibri" w:cs="Times New Roman"/>
                <w:sz w:val="20"/>
                <w:szCs w:val="20"/>
              </w:rPr>
            </w:pPr>
            <w:r w:rsidRPr="00481322">
              <w:rPr>
                <w:rFonts w:ascii="Calibri" w:eastAsia="Times New Roman" w:hAnsi="Calibri" w:cs="Times New Roman"/>
                <w:sz w:val="20"/>
                <w:szCs w:val="20"/>
              </w:rPr>
              <w:t>922,581</w:t>
            </w:r>
          </w:p>
          <w:p w14:paraId="70889E3B" w14:textId="77777777" w:rsidR="00F7064C" w:rsidRPr="00481322" w:rsidRDefault="00F7064C" w:rsidP="00481322">
            <w:pPr>
              <w:spacing w:after="0" w:line="240" w:lineRule="auto"/>
              <w:jc w:val="right"/>
              <w:rPr>
                <w:rFonts w:ascii="Calibri" w:eastAsia="Times New Roman" w:hAnsi="Calibri" w:cs="Times New Roman"/>
                <w:sz w:val="20"/>
                <w:szCs w:val="20"/>
              </w:rPr>
            </w:pPr>
          </w:p>
          <w:p w14:paraId="442B1F84" w14:textId="77777777" w:rsidR="00F7064C" w:rsidRPr="00481322" w:rsidRDefault="00F7064C" w:rsidP="00481322">
            <w:pPr>
              <w:spacing w:after="0" w:line="240" w:lineRule="auto"/>
              <w:jc w:val="right"/>
              <w:rPr>
                <w:rFonts w:ascii="Calibri" w:eastAsia="Times New Roman" w:hAnsi="Calibri" w:cs="Times New Roman"/>
                <w:sz w:val="20"/>
                <w:szCs w:val="20"/>
              </w:rPr>
            </w:pPr>
          </w:p>
          <w:p w14:paraId="4EE1BEF3" w14:textId="77777777" w:rsidR="000A12F3" w:rsidRDefault="000A12F3" w:rsidP="00481322">
            <w:pPr>
              <w:spacing w:after="0" w:line="240" w:lineRule="auto"/>
              <w:jc w:val="right"/>
              <w:rPr>
                <w:rFonts w:ascii="Calibri" w:eastAsia="Times New Roman" w:hAnsi="Calibri" w:cs="Times New Roman"/>
                <w:sz w:val="20"/>
                <w:szCs w:val="20"/>
              </w:rPr>
            </w:pPr>
          </w:p>
          <w:p w14:paraId="42557789" w14:textId="77777777" w:rsidR="0053534C" w:rsidRDefault="0053534C" w:rsidP="00481322">
            <w:pPr>
              <w:spacing w:after="0" w:line="240" w:lineRule="auto"/>
              <w:jc w:val="right"/>
              <w:rPr>
                <w:rFonts w:ascii="Calibri" w:eastAsia="Times New Roman" w:hAnsi="Calibri" w:cs="Times New Roman"/>
                <w:sz w:val="20"/>
                <w:szCs w:val="20"/>
              </w:rPr>
            </w:pPr>
          </w:p>
          <w:p w14:paraId="7E79ACC0" w14:textId="77777777" w:rsidR="00E731AE" w:rsidRPr="00481322" w:rsidRDefault="00E731AE" w:rsidP="00481322">
            <w:pPr>
              <w:spacing w:after="0" w:line="240" w:lineRule="auto"/>
              <w:jc w:val="right"/>
              <w:rPr>
                <w:rFonts w:ascii="Calibri" w:eastAsia="Times New Roman" w:hAnsi="Calibri" w:cs="Times New Roman"/>
                <w:sz w:val="20"/>
                <w:szCs w:val="20"/>
              </w:rPr>
            </w:pPr>
          </w:p>
          <w:p w14:paraId="4564DBF3" w14:textId="77777777" w:rsidR="00F7064C" w:rsidRPr="00481322" w:rsidRDefault="00F7064C" w:rsidP="00481322">
            <w:pPr>
              <w:spacing w:after="0" w:line="240" w:lineRule="auto"/>
              <w:jc w:val="right"/>
              <w:rPr>
                <w:rFonts w:ascii="Calibri" w:eastAsia="Times New Roman" w:hAnsi="Calibri" w:cs="Times New Roman"/>
                <w:sz w:val="20"/>
                <w:szCs w:val="20"/>
              </w:rPr>
            </w:pPr>
          </w:p>
          <w:p w14:paraId="7E0D528B" w14:textId="77777777" w:rsidR="00E1029F" w:rsidRPr="00481322" w:rsidRDefault="00E1029F" w:rsidP="00481322">
            <w:pPr>
              <w:spacing w:after="0" w:line="240" w:lineRule="auto"/>
              <w:jc w:val="right"/>
              <w:rPr>
                <w:rFonts w:ascii="Calibri" w:eastAsia="Times New Roman" w:hAnsi="Calibri" w:cs="Times New Roman"/>
                <w:sz w:val="20"/>
                <w:szCs w:val="20"/>
              </w:rPr>
            </w:pPr>
            <w:r w:rsidRPr="00481322">
              <w:rPr>
                <w:rFonts w:ascii="Calibri" w:eastAsia="Times New Roman" w:hAnsi="Calibri" w:cs="Times New Roman"/>
                <w:sz w:val="20"/>
                <w:szCs w:val="20"/>
              </w:rPr>
              <w:t>29,447</w:t>
            </w:r>
          </w:p>
          <w:p w14:paraId="37A539C3" w14:textId="55715D37" w:rsidR="00F7064C" w:rsidRPr="00481322" w:rsidRDefault="00E1029F" w:rsidP="00481322">
            <w:pPr>
              <w:spacing w:after="0" w:line="240" w:lineRule="auto"/>
              <w:jc w:val="right"/>
              <w:rPr>
                <w:rFonts w:ascii="Calibri" w:eastAsia="Times New Roman" w:hAnsi="Calibri" w:cs="Times New Roman"/>
                <w:sz w:val="20"/>
                <w:szCs w:val="20"/>
              </w:rPr>
            </w:pPr>
            <w:r w:rsidRPr="00481322">
              <w:rPr>
                <w:rFonts w:ascii="Calibri" w:eastAsia="Times New Roman" w:hAnsi="Calibri" w:cs="Times New Roman"/>
                <w:sz w:val="20"/>
                <w:szCs w:val="20"/>
              </w:rPr>
              <w:t>287,918</w:t>
            </w:r>
          </w:p>
          <w:p w14:paraId="24F6402A" w14:textId="77777777" w:rsidR="000A12F3" w:rsidRPr="00481322" w:rsidRDefault="000A12F3" w:rsidP="00481322">
            <w:pPr>
              <w:spacing w:after="0" w:line="240" w:lineRule="auto"/>
              <w:jc w:val="right"/>
              <w:rPr>
                <w:rFonts w:eastAsia="Calibri"/>
                <w:b/>
                <w:sz w:val="20"/>
              </w:rPr>
            </w:pPr>
          </w:p>
        </w:tc>
      </w:tr>
      <w:tr w:rsidR="002E7E06" w:rsidRPr="006A02C1" w14:paraId="7D17E221" w14:textId="77777777" w:rsidTr="00E869D0">
        <w:trPr>
          <w:trHeight w:val="64"/>
          <w:jc w:val="center"/>
        </w:trPr>
        <w:tc>
          <w:tcPr>
            <w:tcW w:w="3145" w:type="dxa"/>
            <w:vMerge/>
            <w:tcBorders>
              <w:left w:val="single" w:sz="4" w:space="0" w:color="auto"/>
              <w:right w:val="single" w:sz="4" w:space="0" w:color="auto"/>
            </w:tcBorders>
            <w:shd w:val="clear" w:color="auto" w:fill="FFFFFF"/>
          </w:tcPr>
          <w:p w14:paraId="587D7FE3" w14:textId="77777777" w:rsidR="002E7E06" w:rsidRPr="0000532F" w:rsidRDefault="002E7E06" w:rsidP="00F33E01">
            <w:pPr>
              <w:spacing w:after="0" w:line="240" w:lineRule="auto"/>
              <w:rPr>
                <w:rFonts w:eastAsia="Calibri"/>
                <w:b/>
                <w:color w:val="000000"/>
                <w:sz w:val="20"/>
              </w:rPr>
            </w:pPr>
          </w:p>
        </w:tc>
        <w:tc>
          <w:tcPr>
            <w:tcW w:w="720" w:type="dxa"/>
            <w:vMerge/>
            <w:tcBorders>
              <w:left w:val="single" w:sz="4" w:space="0" w:color="auto"/>
              <w:right w:val="single" w:sz="4" w:space="0" w:color="auto"/>
            </w:tcBorders>
            <w:shd w:val="clear" w:color="auto" w:fill="FFFFFF"/>
          </w:tcPr>
          <w:p w14:paraId="61A001FA" w14:textId="77777777" w:rsidR="002E7E06" w:rsidRPr="001C1614" w:rsidRDefault="002E7E06" w:rsidP="00F33E01">
            <w:pPr>
              <w:spacing w:after="0" w:line="240" w:lineRule="auto"/>
              <w:rPr>
                <w:rFonts w:eastAsia="Calibri"/>
                <w:b/>
                <w:color w:val="000000"/>
                <w:sz w:val="20"/>
                <w:highlight w:val="yellow"/>
              </w:rPr>
            </w:pPr>
          </w:p>
        </w:tc>
        <w:tc>
          <w:tcPr>
            <w:tcW w:w="11160" w:type="dxa"/>
            <w:gridSpan w:val="5"/>
            <w:tcBorders>
              <w:left w:val="single" w:sz="4" w:space="0" w:color="auto"/>
              <w:right w:val="single" w:sz="4" w:space="0" w:color="auto"/>
            </w:tcBorders>
            <w:shd w:val="clear" w:color="auto" w:fill="D9D9D9" w:themeFill="background1" w:themeFillShade="D9"/>
          </w:tcPr>
          <w:p w14:paraId="08BEAC18" w14:textId="06001F7F" w:rsidR="002E7E06" w:rsidRPr="0013161E" w:rsidRDefault="002E7E06" w:rsidP="00F55176">
            <w:pPr>
              <w:spacing w:after="0" w:line="240" w:lineRule="auto"/>
              <w:rPr>
                <w:rFonts w:eastAsia="Calibri"/>
                <w:sz w:val="18"/>
                <w:szCs w:val="18"/>
              </w:rPr>
            </w:pPr>
            <w:r w:rsidRPr="0013161E">
              <w:rPr>
                <w:rFonts w:ascii="Calibri" w:eastAsia="Calibri" w:hAnsi="Calibri" w:cs="Times New Roman"/>
                <w:b/>
                <w:sz w:val="18"/>
                <w:szCs w:val="18"/>
                <w:lang w:eastAsia="en-US"/>
              </w:rPr>
              <w:t xml:space="preserve">Indicator 3.4.1 Note: </w:t>
            </w:r>
            <w:r w:rsidRPr="0013161E">
              <w:rPr>
                <w:rFonts w:eastAsia="Calibri"/>
                <w:sz w:val="18"/>
                <w:szCs w:val="18"/>
              </w:rPr>
              <w:t xml:space="preserve">Tracks the additional number of UNDP-supported (on demand from programme countries) men and women with access to legal aid services; and the number of cases receiving judgment in the first instance of the formal justice system (disaggregated by whether cases are of Gender Based Violence or other), from January 2014 onwards. </w:t>
            </w:r>
          </w:p>
          <w:p w14:paraId="5278BDD8" w14:textId="271B9E99" w:rsidR="00D941AE" w:rsidRPr="0013161E" w:rsidRDefault="00D941AE" w:rsidP="00481322">
            <w:pPr>
              <w:spacing w:after="0" w:line="240" w:lineRule="auto"/>
              <w:rPr>
                <w:rFonts w:ascii="Calibri" w:eastAsia="Calibri" w:hAnsi="Calibri" w:cs="Times New Roman"/>
                <w:b/>
                <w:sz w:val="18"/>
                <w:szCs w:val="18"/>
                <w:lang w:eastAsia="en-US"/>
              </w:rPr>
            </w:pPr>
            <w:r w:rsidRPr="0013161E">
              <w:rPr>
                <w:rFonts w:eastAsia="Calibri"/>
                <w:b/>
                <w:sz w:val="18"/>
                <w:szCs w:val="18"/>
              </w:rPr>
              <w:t xml:space="preserve">2014 Reporting Note: </w:t>
            </w:r>
            <w:r w:rsidRPr="0013161E">
              <w:rPr>
                <w:rFonts w:eastAsia="Calibri"/>
                <w:sz w:val="18"/>
                <w:szCs w:val="18"/>
              </w:rPr>
              <w:t xml:space="preserve">2014 </w:t>
            </w:r>
            <w:r w:rsidR="000A12F3" w:rsidRPr="0013161E">
              <w:rPr>
                <w:rFonts w:eastAsia="Calibri"/>
                <w:sz w:val="18"/>
                <w:szCs w:val="18"/>
              </w:rPr>
              <w:t>m</w:t>
            </w:r>
            <w:r w:rsidRPr="0013161E">
              <w:rPr>
                <w:rFonts w:eastAsia="Calibri"/>
                <w:sz w:val="18"/>
                <w:szCs w:val="18"/>
              </w:rPr>
              <w:t xml:space="preserve">ilestones </w:t>
            </w:r>
            <w:r w:rsidR="000A12F3" w:rsidRPr="0013161E">
              <w:rPr>
                <w:rFonts w:eastAsia="Calibri"/>
                <w:sz w:val="18"/>
                <w:szCs w:val="18"/>
              </w:rPr>
              <w:t xml:space="preserve">and targets </w:t>
            </w:r>
            <w:r w:rsidRPr="0013161E">
              <w:rPr>
                <w:rFonts w:eastAsia="Calibri"/>
                <w:sz w:val="18"/>
                <w:szCs w:val="18"/>
              </w:rPr>
              <w:t>updated to reflect more complete reporting from country offices</w:t>
            </w:r>
            <w:r w:rsidR="00481322" w:rsidRPr="0013161E">
              <w:rPr>
                <w:rFonts w:eastAsia="Calibri"/>
                <w:sz w:val="18"/>
                <w:szCs w:val="18"/>
              </w:rPr>
              <w:t>, and a calculation formula misspecification</w:t>
            </w:r>
            <w:r w:rsidRPr="0013161E">
              <w:rPr>
                <w:rFonts w:eastAsia="Calibri"/>
                <w:sz w:val="18"/>
                <w:szCs w:val="18"/>
              </w:rPr>
              <w:t>. For reference, previous 2014 milestones were: a) 128,166, b) 132,151, c) 7,865, d) 55,448</w:t>
            </w:r>
            <w:r w:rsidR="000A12F3" w:rsidRPr="0013161E">
              <w:rPr>
                <w:rFonts w:eastAsia="Calibri"/>
                <w:sz w:val="18"/>
                <w:szCs w:val="18"/>
              </w:rPr>
              <w:t>; previous targets were: a) 861,817, b) 865,088, c) 65,412, d) 186,972</w:t>
            </w:r>
            <w:r w:rsidRPr="0013161E">
              <w:rPr>
                <w:rFonts w:eastAsia="Calibri"/>
                <w:sz w:val="18"/>
                <w:szCs w:val="18"/>
              </w:rPr>
              <w:t>.</w:t>
            </w:r>
            <w:r w:rsidR="00E1029F" w:rsidRPr="0013161E">
              <w:rPr>
                <w:rFonts w:eastAsia="Calibri"/>
                <w:sz w:val="18"/>
                <w:szCs w:val="18"/>
              </w:rPr>
              <w:t xml:space="preserve"> </w:t>
            </w:r>
          </w:p>
        </w:tc>
      </w:tr>
      <w:tr w:rsidR="00835812" w:rsidRPr="00A47C48" w14:paraId="5A8E5FCE" w14:textId="77777777" w:rsidTr="00481322">
        <w:trPr>
          <w:trHeight w:val="386"/>
          <w:jc w:val="center"/>
        </w:trPr>
        <w:tc>
          <w:tcPr>
            <w:tcW w:w="3145" w:type="dxa"/>
            <w:vMerge/>
            <w:tcBorders>
              <w:left w:val="single" w:sz="4" w:space="0" w:color="auto"/>
              <w:right w:val="single" w:sz="4" w:space="0" w:color="auto"/>
            </w:tcBorders>
            <w:shd w:val="clear" w:color="auto" w:fill="FFFFFF"/>
          </w:tcPr>
          <w:p w14:paraId="184B03F4" w14:textId="77777777" w:rsidR="00835812" w:rsidRPr="0000532F" w:rsidRDefault="00835812" w:rsidP="00CF497B">
            <w:pPr>
              <w:spacing w:after="0" w:line="240" w:lineRule="auto"/>
              <w:rPr>
                <w:rFonts w:eastAsia="Calibri"/>
                <w:b/>
                <w:color w:val="000000"/>
                <w:sz w:val="20"/>
              </w:rPr>
            </w:pPr>
          </w:p>
        </w:tc>
        <w:tc>
          <w:tcPr>
            <w:tcW w:w="720" w:type="dxa"/>
            <w:vMerge w:val="restart"/>
            <w:tcBorders>
              <w:top w:val="single" w:sz="4" w:space="0" w:color="auto"/>
              <w:left w:val="single" w:sz="4" w:space="0" w:color="auto"/>
              <w:right w:val="single" w:sz="4" w:space="0" w:color="auto"/>
            </w:tcBorders>
            <w:shd w:val="clear" w:color="auto" w:fill="FFFFFF"/>
          </w:tcPr>
          <w:p w14:paraId="10E353C7" w14:textId="77777777" w:rsidR="00835812" w:rsidRPr="0000532F" w:rsidRDefault="00835812" w:rsidP="00CF497B">
            <w:pPr>
              <w:spacing w:after="0" w:line="240" w:lineRule="auto"/>
              <w:rPr>
                <w:rFonts w:eastAsia="Calibri"/>
                <w:b/>
                <w:color w:val="000000"/>
                <w:sz w:val="20"/>
              </w:rPr>
            </w:pPr>
            <w:r w:rsidRPr="0000532F">
              <w:rPr>
                <w:rFonts w:eastAsia="Calibri"/>
                <w:b/>
                <w:color w:val="000000"/>
                <w:sz w:val="20"/>
              </w:rPr>
              <w:t>3.4.2</w:t>
            </w:r>
          </w:p>
        </w:tc>
        <w:tc>
          <w:tcPr>
            <w:tcW w:w="5490" w:type="dxa"/>
            <w:tcBorders>
              <w:top w:val="single" w:sz="4" w:space="0" w:color="auto"/>
              <w:left w:val="single" w:sz="4" w:space="0" w:color="auto"/>
              <w:bottom w:val="single" w:sz="4" w:space="0" w:color="auto"/>
              <w:right w:val="single" w:sz="4" w:space="0" w:color="auto"/>
            </w:tcBorders>
            <w:shd w:val="clear" w:color="auto" w:fill="FFFFFF"/>
          </w:tcPr>
          <w:p w14:paraId="7C11AC3E" w14:textId="69991AF3" w:rsidR="00835812" w:rsidRPr="0013161E" w:rsidRDefault="00835812" w:rsidP="00CF497B">
            <w:pPr>
              <w:spacing w:after="0" w:line="240" w:lineRule="auto"/>
              <w:rPr>
                <w:rFonts w:eastAsia="Calibri"/>
                <w:sz w:val="20"/>
                <w:szCs w:val="20"/>
              </w:rPr>
            </w:pPr>
            <w:r w:rsidRPr="0013161E">
              <w:rPr>
                <w:rFonts w:eastAsia="Calibri"/>
                <w:sz w:val="20"/>
                <w:szCs w:val="20"/>
              </w:rPr>
              <w:t xml:space="preserve">Number of </w:t>
            </w:r>
            <w:r w:rsidR="00BF6D67" w:rsidRPr="0013161E">
              <w:rPr>
                <w:rFonts w:eastAsia="Calibri"/>
                <w:b/>
                <w:sz w:val="20"/>
                <w:szCs w:val="20"/>
              </w:rPr>
              <w:t>additional</w:t>
            </w:r>
            <w:r w:rsidR="00BF6D67" w:rsidRPr="000B5DED">
              <w:rPr>
                <w:rFonts w:eastAsia="Calibri"/>
                <w:b/>
                <w:sz w:val="20"/>
                <w:szCs w:val="20"/>
              </w:rPr>
              <w:t xml:space="preserve"> </w:t>
            </w:r>
            <w:r w:rsidRPr="000B5DED">
              <w:rPr>
                <w:rFonts w:eastAsia="Calibri"/>
                <w:b/>
                <w:sz w:val="20"/>
                <w:szCs w:val="20"/>
              </w:rPr>
              <w:t xml:space="preserve">victims </w:t>
            </w:r>
            <w:r w:rsidRPr="0013161E">
              <w:rPr>
                <w:rFonts w:eastAsia="Calibri"/>
                <w:sz w:val="20"/>
                <w:szCs w:val="20"/>
              </w:rPr>
              <w:t xml:space="preserve">whose grievances cases are addressed within </w:t>
            </w:r>
            <w:r w:rsidRPr="0013161E">
              <w:rPr>
                <w:rFonts w:eastAsia="Calibri"/>
                <w:b/>
                <w:sz w:val="20"/>
                <w:szCs w:val="20"/>
              </w:rPr>
              <w:t>transitional justice processes</w:t>
            </w:r>
            <w:r w:rsidRPr="0013161E">
              <w:rPr>
                <w:rFonts w:eastAsia="Calibri"/>
                <w:sz w:val="20"/>
                <w:szCs w:val="20"/>
              </w:rPr>
              <w:t>, disaggregated by sex.</w:t>
            </w:r>
          </w:p>
          <w:p w14:paraId="4D09B425" w14:textId="751E2021" w:rsidR="00835812" w:rsidRPr="0013161E" w:rsidRDefault="00BF6D67" w:rsidP="006F161D">
            <w:pPr>
              <w:pStyle w:val="ListParagraph"/>
              <w:numPr>
                <w:ilvl w:val="0"/>
                <w:numId w:val="34"/>
              </w:numPr>
              <w:rPr>
                <w:rFonts w:eastAsia="Calibri"/>
                <w:sz w:val="20"/>
                <w:szCs w:val="20"/>
              </w:rPr>
            </w:pPr>
            <w:r w:rsidRPr="0013161E">
              <w:rPr>
                <w:rFonts w:eastAsia="Calibri"/>
                <w:sz w:val="20"/>
                <w:szCs w:val="20"/>
              </w:rPr>
              <w:t>Additional m</w:t>
            </w:r>
            <w:r w:rsidR="00EA4C79" w:rsidRPr="0013161E">
              <w:rPr>
                <w:rFonts w:eastAsia="Calibri"/>
                <w:sz w:val="20"/>
                <w:szCs w:val="20"/>
              </w:rPr>
              <w:t>ale</w:t>
            </w:r>
            <w:r w:rsidRPr="0013161E">
              <w:rPr>
                <w:rFonts w:eastAsia="Calibri"/>
                <w:sz w:val="20"/>
                <w:szCs w:val="20"/>
              </w:rPr>
              <w:t xml:space="preserve"> victims</w:t>
            </w:r>
          </w:p>
          <w:p w14:paraId="2A7DD0BC" w14:textId="62060213" w:rsidR="00835812" w:rsidRPr="0013161E" w:rsidRDefault="00BF6D67" w:rsidP="006F161D">
            <w:pPr>
              <w:pStyle w:val="ListParagraph"/>
              <w:numPr>
                <w:ilvl w:val="0"/>
                <w:numId w:val="34"/>
              </w:numPr>
              <w:rPr>
                <w:rFonts w:eastAsia="Calibri"/>
                <w:sz w:val="20"/>
                <w:szCs w:val="20"/>
              </w:rPr>
            </w:pPr>
            <w:r w:rsidRPr="0013161E">
              <w:rPr>
                <w:rFonts w:eastAsia="Calibri"/>
                <w:sz w:val="20"/>
                <w:szCs w:val="20"/>
              </w:rPr>
              <w:t>Additional f</w:t>
            </w:r>
            <w:r w:rsidR="00835812" w:rsidRPr="0013161E">
              <w:rPr>
                <w:rFonts w:eastAsia="Calibri"/>
                <w:sz w:val="20"/>
                <w:szCs w:val="20"/>
              </w:rPr>
              <w:t xml:space="preserve">emale </w:t>
            </w:r>
            <w:r w:rsidRPr="0013161E">
              <w:rPr>
                <w:rFonts w:eastAsia="Calibri"/>
                <w:sz w:val="20"/>
                <w:szCs w:val="20"/>
              </w:rPr>
              <w:t>victims</w:t>
            </w:r>
          </w:p>
          <w:p w14:paraId="0850BF65" w14:textId="60BC1A70" w:rsidR="008376B6" w:rsidRPr="0013161E" w:rsidDel="00DE15AD" w:rsidRDefault="008376B6" w:rsidP="000B2834">
            <w:pPr>
              <w:spacing w:before="240" w:after="0"/>
              <w:rPr>
                <w:rFonts w:eastAsia="Calibri"/>
                <w:sz w:val="20"/>
                <w:szCs w:val="20"/>
              </w:rPr>
            </w:pPr>
            <w:r w:rsidRPr="0013161E">
              <w:rPr>
                <w:rFonts w:eastAsia="Calibri"/>
                <w:b/>
                <w:i/>
                <w:sz w:val="18"/>
                <w:szCs w:val="18"/>
              </w:rPr>
              <w:t xml:space="preserve">Number of countries </w:t>
            </w:r>
            <w:r w:rsidR="00983FF8" w:rsidRPr="0013161E">
              <w:rPr>
                <w:rFonts w:eastAsia="Calibri"/>
                <w:b/>
                <w:i/>
                <w:sz w:val="18"/>
                <w:szCs w:val="18"/>
              </w:rPr>
              <w:t>for which a 2017 target has currently been set under this indicator</w:t>
            </w:r>
            <w:r w:rsidR="009D1500" w:rsidRPr="0013161E">
              <w:rPr>
                <w:rFonts w:eastAsia="Calibri"/>
                <w:b/>
                <w:i/>
                <w:sz w:val="18"/>
                <w:szCs w:val="18"/>
              </w:rPr>
              <w:t>: 14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702D946E" w14:textId="77777777" w:rsidR="00481322" w:rsidRDefault="00481322" w:rsidP="00481322">
            <w:pPr>
              <w:spacing w:after="0" w:line="240" w:lineRule="auto"/>
              <w:jc w:val="right"/>
              <w:rPr>
                <w:rFonts w:eastAsia="Calibri"/>
                <w:sz w:val="20"/>
              </w:rPr>
            </w:pPr>
          </w:p>
          <w:p w14:paraId="1FA44051" w14:textId="77777777" w:rsidR="00481322" w:rsidRDefault="00481322" w:rsidP="00481322">
            <w:pPr>
              <w:spacing w:after="0" w:line="240" w:lineRule="auto"/>
              <w:jc w:val="right"/>
              <w:rPr>
                <w:rFonts w:eastAsia="Calibri"/>
                <w:sz w:val="20"/>
              </w:rPr>
            </w:pPr>
          </w:p>
          <w:p w14:paraId="7B441CBE" w14:textId="77777777" w:rsidR="00481322" w:rsidRDefault="00481322" w:rsidP="00481322">
            <w:pPr>
              <w:spacing w:after="0" w:line="240" w:lineRule="auto"/>
              <w:jc w:val="right"/>
              <w:rPr>
                <w:rFonts w:eastAsia="Calibri"/>
                <w:sz w:val="20"/>
              </w:rPr>
            </w:pPr>
          </w:p>
          <w:p w14:paraId="1CCB31E7" w14:textId="402F4317" w:rsidR="00835812" w:rsidRDefault="00481322" w:rsidP="00481322">
            <w:pPr>
              <w:spacing w:after="0" w:line="240" w:lineRule="auto"/>
              <w:jc w:val="right"/>
              <w:rPr>
                <w:rFonts w:eastAsia="Calibri"/>
                <w:sz w:val="20"/>
              </w:rPr>
            </w:pPr>
            <w:r>
              <w:rPr>
                <w:rFonts w:eastAsia="Calibri"/>
                <w:sz w:val="20"/>
              </w:rPr>
              <w:t>0</w:t>
            </w:r>
          </w:p>
          <w:p w14:paraId="49D61573" w14:textId="77777777" w:rsidR="00B96BF9" w:rsidRDefault="00835812" w:rsidP="00481322">
            <w:pPr>
              <w:spacing w:after="0" w:line="240" w:lineRule="auto"/>
              <w:jc w:val="right"/>
              <w:rPr>
                <w:rFonts w:eastAsia="Calibri"/>
                <w:sz w:val="20"/>
              </w:rPr>
            </w:pPr>
            <w:r>
              <w:rPr>
                <w:rFonts w:eastAsia="Calibri"/>
                <w:sz w:val="20"/>
              </w:rPr>
              <w:t>0</w:t>
            </w:r>
          </w:p>
          <w:p w14:paraId="3A4624D7" w14:textId="0B335AD8" w:rsidR="00835812" w:rsidRPr="00317119" w:rsidRDefault="00835812" w:rsidP="00481322">
            <w:pPr>
              <w:spacing w:after="0" w:line="240" w:lineRule="auto"/>
              <w:rPr>
                <w:rFonts w:eastAsia="Calibri"/>
                <w:sz w:val="20"/>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30000F3E" w14:textId="77777777" w:rsidR="00835812" w:rsidRDefault="00835812" w:rsidP="00481322">
            <w:pPr>
              <w:spacing w:after="0" w:line="240" w:lineRule="auto"/>
              <w:jc w:val="right"/>
              <w:rPr>
                <w:rFonts w:eastAsia="Calibri"/>
                <w:sz w:val="20"/>
              </w:rPr>
            </w:pPr>
          </w:p>
          <w:p w14:paraId="7F0FA380" w14:textId="77777777" w:rsidR="00481322" w:rsidRPr="00481322" w:rsidRDefault="00481322" w:rsidP="00481322">
            <w:pPr>
              <w:spacing w:after="0" w:line="240" w:lineRule="auto"/>
              <w:jc w:val="right"/>
              <w:rPr>
                <w:rFonts w:eastAsia="Calibri"/>
                <w:sz w:val="20"/>
              </w:rPr>
            </w:pPr>
          </w:p>
          <w:p w14:paraId="0D558DC6" w14:textId="77777777" w:rsidR="00835812" w:rsidRPr="00481322" w:rsidRDefault="00835812" w:rsidP="00481322">
            <w:pPr>
              <w:spacing w:after="0" w:line="240" w:lineRule="auto"/>
              <w:jc w:val="right"/>
              <w:rPr>
                <w:rFonts w:eastAsia="Calibri"/>
                <w:sz w:val="20"/>
              </w:rPr>
            </w:pPr>
          </w:p>
          <w:p w14:paraId="262CAD03" w14:textId="6409F8F7" w:rsidR="00835812" w:rsidRPr="00481322" w:rsidRDefault="00835812" w:rsidP="00481322">
            <w:pPr>
              <w:spacing w:after="0" w:line="240" w:lineRule="auto"/>
              <w:jc w:val="right"/>
              <w:rPr>
                <w:rFonts w:ascii="Calibri" w:eastAsia="Times New Roman" w:hAnsi="Calibri" w:cs="Times New Roman"/>
                <w:sz w:val="20"/>
                <w:szCs w:val="20"/>
              </w:rPr>
            </w:pPr>
            <w:r w:rsidRPr="00481322">
              <w:rPr>
                <w:rFonts w:ascii="Calibri" w:eastAsia="Times New Roman" w:hAnsi="Calibri" w:cs="Times New Roman"/>
                <w:sz w:val="20"/>
                <w:szCs w:val="20"/>
              </w:rPr>
              <w:t>8</w:t>
            </w:r>
            <w:r w:rsidR="005F0238" w:rsidRPr="00481322">
              <w:rPr>
                <w:rFonts w:ascii="Calibri" w:eastAsia="Times New Roman" w:hAnsi="Calibri" w:cs="Times New Roman"/>
                <w:sz w:val="20"/>
                <w:szCs w:val="20"/>
              </w:rPr>
              <w:t>7</w:t>
            </w:r>
            <w:r w:rsidRPr="00481322">
              <w:rPr>
                <w:rFonts w:ascii="Calibri" w:eastAsia="Times New Roman" w:hAnsi="Calibri" w:cs="Times New Roman"/>
                <w:sz w:val="20"/>
                <w:szCs w:val="20"/>
              </w:rPr>
              <w:t>,</w:t>
            </w:r>
            <w:r w:rsidR="005F0238" w:rsidRPr="00481322">
              <w:rPr>
                <w:rFonts w:ascii="Calibri" w:eastAsia="Times New Roman" w:hAnsi="Calibri" w:cs="Times New Roman"/>
                <w:sz w:val="20"/>
                <w:szCs w:val="20"/>
              </w:rPr>
              <w:t>000</w:t>
            </w:r>
          </w:p>
          <w:p w14:paraId="4CCF05CA" w14:textId="77777777" w:rsidR="00835812" w:rsidRPr="00481322" w:rsidRDefault="005F0238" w:rsidP="00481322">
            <w:pPr>
              <w:spacing w:after="0" w:line="240" w:lineRule="auto"/>
              <w:jc w:val="right"/>
              <w:rPr>
                <w:rFonts w:ascii="Calibri" w:eastAsia="Times New Roman" w:hAnsi="Calibri" w:cs="Times New Roman"/>
                <w:sz w:val="20"/>
                <w:szCs w:val="20"/>
              </w:rPr>
            </w:pPr>
            <w:r w:rsidRPr="00481322">
              <w:rPr>
                <w:rFonts w:ascii="Calibri" w:eastAsia="Times New Roman" w:hAnsi="Calibri" w:cs="Times New Roman"/>
                <w:sz w:val="20"/>
                <w:szCs w:val="20"/>
              </w:rPr>
              <w:t>30,054</w:t>
            </w:r>
          </w:p>
          <w:p w14:paraId="1AF61BE4" w14:textId="7A156018" w:rsidR="00B96BF9" w:rsidRPr="00481322" w:rsidRDefault="00B96BF9" w:rsidP="00481322">
            <w:pPr>
              <w:spacing w:after="0" w:line="240" w:lineRule="auto"/>
              <w:rPr>
                <w:rFonts w:ascii="Calibri" w:eastAsia="Times New Roman" w:hAnsi="Calibri"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160056B8" w14:textId="77777777" w:rsidR="00481322" w:rsidRDefault="00481322" w:rsidP="00481322">
            <w:pPr>
              <w:spacing w:after="0" w:line="240" w:lineRule="auto"/>
              <w:jc w:val="right"/>
              <w:rPr>
                <w:rFonts w:eastAsia="Calibri"/>
                <w:sz w:val="20"/>
              </w:rPr>
            </w:pPr>
          </w:p>
          <w:p w14:paraId="260B9601" w14:textId="77777777" w:rsidR="00481322" w:rsidRDefault="00481322" w:rsidP="00481322">
            <w:pPr>
              <w:spacing w:after="0" w:line="240" w:lineRule="auto"/>
              <w:jc w:val="right"/>
              <w:rPr>
                <w:rFonts w:eastAsia="Calibri"/>
                <w:sz w:val="20"/>
              </w:rPr>
            </w:pPr>
          </w:p>
          <w:p w14:paraId="258670F1" w14:textId="77777777" w:rsidR="00481322" w:rsidRDefault="00481322" w:rsidP="00481322">
            <w:pPr>
              <w:spacing w:after="0" w:line="240" w:lineRule="auto"/>
              <w:jc w:val="right"/>
              <w:rPr>
                <w:rFonts w:eastAsia="Calibri"/>
                <w:sz w:val="20"/>
              </w:rPr>
            </w:pPr>
          </w:p>
          <w:p w14:paraId="6E98BE76" w14:textId="6E59A6F1" w:rsidR="00835812" w:rsidRPr="00481322" w:rsidRDefault="00DE1FDF" w:rsidP="00481322">
            <w:pPr>
              <w:spacing w:after="0" w:line="240" w:lineRule="auto"/>
              <w:jc w:val="right"/>
              <w:rPr>
                <w:rFonts w:eastAsia="Calibri"/>
                <w:sz w:val="20"/>
              </w:rPr>
            </w:pPr>
            <w:r w:rsidRPr="00481322">
              <w:rPr>
                <w:rFonts w:eastAsia="Calibri"/>
                <w:sz w:val="20"/>
              </w:rPr>
              <w:t>110,587</w:t>
            </w:r>
          </w:p>
          <w:p w14:paraId="417B8208" w14:textId="77777777" w:rsidR="00835812" w:rsidRPr="00481322" w:rsidRDefault="00DE1FDF" w:rsidP="00481322">
            <w:pPr>
              <w:spacing w:after="0" w:line="240" w:lineRule="auto"/>
              <w:jc w:val="right"/>
              <w:rPr>
                <w:rFonts w:ascii="Calibri" w:eastAsia="Times New Roman" w:hAnsi="Calibri" w:cs="Times New Roman"/>
                <w:sz w:val="20"/>
                <w:szCs w:val="20"/>
              </w:rPr>
            </w:pPr>
            <w:r w:rsidRPr="00481322">
              <w:rPr>
                <w:rFonts w:ascii="Calibri" w:eastAsia="Times New Roman" w:hAnsi="Calibri" w:cs="Times New Roman"/>
                <w:sz w:val="20"/>
                <w:szCs w:val="20"/>
              </w:rPr>
              <w:t>58,454</w:t>
            </w:r>
          </w:p>
          <w:p w14:paraId="391E2C81" w14:textId="7312CA83" w:rsidR="00B96BF9" w:rsidRPr="00481322" w:rsidRDefault="00B96BF9" w:rsidP="00481322">
            <w:pPr>
              <w:spacing w:after="0" w:line="240" w:lineRule="auto"/>
              <w:rPr>
                <w:rFonts w:ascii="Calibri" w:eastAsia="Times New Roman" w:hAnsi="Calibri"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31A79974" w14:textId="77777777" w:rsidR="00481322" w:rsidRDefault="00481322" w:rsidP="00481322">
            <w:pPr>
              <w:spacing w:after="0" w:line="240" w:lineRule="auto"/>
              <w:jc w:val="right"/>
              <w:rPr>
                <w:rFonts w:ascii="Calibri" w:eastAsia="Times New Roman" w:hAnsi="Calibri" w:cs="Times New Roman"/>
                <w:sz w:val="20"/>
                <w:szCs w:val="20"/>
              </w:rPr>
            </w:pPr>
          </w:p>
          <w:p w14:paraId="05B6D10F" w14:textId="77777777" w:rsidR="00481322" w:rsidRDefault="00481322" w:rsidP="00481322">
            <w:pPr>
              <w:spacing w:after="0" w:line="240" w:lineRule="auto"/>
              <w:jc w:val="right"/>
              <w:rPr>
                <w:rFonts w:ascii="Calibri" w:eastAsia="Times New Roman" w:hAnsi="Calibri" w:cs="Times New Roman"/>
                <w:sz w:val="20"/>
                <w:szCs w:val="20"/>
              </w:rPr>
            </w:pPr>
          </w:p>
          <w:p w14:paraId="517EDEBA" w14:textId="77777777" w:rsidR="00481322" w:rsidRDefault="00481322" w:rsidP="00481322">
            <w:pPr>
              <w:spacing w:after="0" w:line="240" w:lineRule="auto"/>
              <w:jc w:val="right"/>
              <w:rPr>
                <w:rFonts w:ascii="Calibri" w:eastAsia="Times New Roman" w:hAnsi="Calibri" w:cs="Times New Roman"/>
                <w:sz w:val="20"/>
                <w:szCs w:val="20"/>
              </w:rPr>
            </w:pPr>
          </w:p>
          <w:p w14:paraId="559E1EA3" w14:textId="69F8C788" w:rsidR="00835812" w:rsidRPr="00481322" w:rsidRDefault="005F0238" w:rsidP="00481322">
            <w:pPr>
              <w:spacing w:after="0" w:line="240" w:lineRule="auto"/>
              <w:jc w:val="right"/>
              <w:rPr>
                <w:rFonts w:ascii="Calibri" w:eastAsia="Times New Roman" w:hAnsi="Calibri" w:cs="Times New Roman"/>
                <w:sz w:val="20"/>
                <w:szCs w:val="20"/>
              </w:rPr>
            </w:pPr>
            <w:r w:rsidRPr="00481322">
              <w:rPr>
                <w:rFonts w:ascii="Calibri" w:eastAsia="Times New Roman" w:hAnsi="Calibri" w:cs="Times New Roman"/>
                <w:sz w:val="20"/>
                <w:szCs w:val="20"/>
              </w:rPr>
              <w:t>221,961</w:t>
            </w:r>
          </w:p>
          <w:p w14:paraId="1E4384F0" w14:textId="77777777" w:rsidR="00835812" w:rsidRPr="00481322" w:rsidRDefault="005F0238" w:rsidP="00481322">
            <w:pPr>
              <w:spacing w:after="0" w:line="240" w:lineRule="auto"/>
              <w:jc w:val="right"/>
              <w:rPr>
                <w:rFonts w:ascii="Calibri" w:eastAsia="Times New Roman" w:hAnsi="Calibri" w:cs="Times New Roman"/>
                <w:sz w:val="20"/>
                <w:szCs w:val="20"/>
              </w:rPr>
            </w:pPr>
            <w:r w:rsidRPr="00481322">
              <w:rPr>
                <w:rFonts w:ascii="Calibri" w:eastAsia="Times New Roman" w:hAnsi="Calibri" w:cs="Times New Roman"/>
                <w:sz w:val="20"/>
                <w:szCs w:val="20"/>
              </w:rPr>
              <w:t>88,297</w:t>
            </w:r>
          </w:p>
          <w:p w14:paraId="2E0A41E3" w14:textId="18B31DD3" w:rsidR="00B96BF9" w:rsidRPr="00481322" w:rsidRDefault="00B96BF9" w:rsidP="00481322">
            <w:pPr>
              <w:spacing w:after="0" w:line="240" w:lineRule="auto"/>
              <w:rPr>
                <w:rFonts w:ascii="Calibri" w:eastAsia="Times New Roman" w:hAnsi="Calibri" w:cs="Times New Roman"/>
                <w:sz w:val="20"/>
                <w:szCs w:val="20"/>
              </w:rPr>
            </w:pPr>
          </w:p>
        </w:tc>
      </w:tr>
      <w:tr w:rsidR="002E7E06" w:rsidRPr="00A47C48" w14:paraId="426E9AF5" w14:textId="77777777" w:rsidTr="00E869D0">
        <w:trPr>
          <w:trHeight w:val="386"/>
          <w:jc w:val="center"/>
        </w:trPr>
        <w:tc>
          <w:tcPr>
            <w:tcW w:w="3145" w:type="dxa"/>
            <w:vMerge/>
            <w:tcBorders>
              <w:left w:val="single" w:sz="4" w:space="0" w:color="auto"/>
              <w:bottom w:val="single" w:sz="4" w:space="0" w:color="auto"/>
              <w:right w:val="single" w:sz="4" w:space="0" w:color="auto"/>
            </w:tcBorders>
            <w:shd w:val="clear" w:color="auto" w:fill="FFFFFF"/>
          </w:tcPr>
          <w:p w14:paraId="22FE4079" w14:textId="77777777" w:rsidR="002E7E06" w:rsidRPr="0000532F" w:rsidRDefault="002E7E06" w:rsidP="00CF497B">
            <w:pPr>
              <w:spacing w:after="0" w:line="240" w:lineRule="auto"/>
              <w:rPr>
                <w:rFonts w:eastAsia="Calibri"/>
                <w:b/>
                <w:color w:val="000000"/>
                <w:sz w:val="20"/>
              </w:rPr>
            </w:pPr>
          </w:p>
        </w:tc>
        <w:tc>
          <w:tcPr>
            <w:tcW w:w="720" w:type="dxa"/>
            <w:vMerge/>
            <w:tcBorders>
              <w:left w:val="single" w:sz="4" w:space="0" w:color="auto"/>
              <w:bottom w:val="single" w:sz="4" w:space="0" w:color="auto"/>
              <w:right w:val="single" w:sz="4" w:space="0" w:color="auto"/>
            </w:tcBorders>
            <w:shd w:val="clear" w:color="auto" w:fill="FFFFFF"/>
          </w:tcPr>
          <w:p w14:paraId="0EFC253F" w14:textId="77777777" w:rsidR="002E7E06" w:rsidRPr="0000532F" w:rsidRDefault="002E7E06" w:rsidP="00CF497B">
            <w:pPr>
              <w:spacing w:after="0" w:line="240" w:lineRule="auto"/>
              <w:rPr>
                <w:rFonts w:eastAsia="Calibri"/>
                <w:b/>
                <w:color w:val="000000"/>
                <w:sz w:val="20"/>
              </w:rPr>
            </w:pPr>
          </w:p>
        </w:tc>
        <w:tc>
          <w:tcPr>
            <w:tcW w:w="11160" w:type="dxa"/>
            <w:gridSpan w:val="5"/>
            <w:tcBorders>
              <w:left w:val="single" w:sz="4" w:space="0" w:color="auto"/>
              <w:bottom w:val="single" w:sz="4" w:space="0" w:color="auto"/>
              <w:right w:val="single" w:sz="4" w:space="0" w:color="auto"/>
            </w:tcBorders>
            <w:shd w:val="clear" w:color="auto" w:fill="D9D9D9" w:themeFill="background1" w:themeFillShade="D9"/>
          </w:tcPr>
          <w:p w14:paraId="14796A1D" w14:textId="55F520E9" w:rsidR="00DE1FDF" w:rsidRPr="00481322" w:rsidRDefault="002E7E06" w:rsidP="00364E2F">
            <w:pPr>
              <w:spacing w:after="0" w:line="240" w:lineRule="auto"/>
              <w:rPr>
                <w:rFonts w:eastAsia="Calibri"/>
                <w:sz w:val="18"/>
                <w:szCs w:val="18"/>
              </w:rPr>
            </w:pPr>
            <w:r w:rsidRPr="00481322">
              <w:rPr>
                <w:rFonts w:ascii="Calibri" w:eastAsia="Calibri" w:hAnsi="Calibri" w:cs="Times New Roman"/>
                <w:b/>
                <w:sz w:val="18"/>
                <w:szCs w:val="20"/>
                <w:lang w:eastAsia="en-US"/>
              </w:rPr>
              <w:t xml:space="preserve">Indicator 3.4.2 Note: </w:t>
            </w:r>
            <w:r w:rsidRPr="00481322">
              <w:rPr>
                <w:rFonts w:eastAsia="Calibri"/>
                <w:sz w:val="18"/>
                <w:szCs w:val="20"/>
              </w:rPr>
              <w:t xml:space="preserve">Tracks the number of additional male and female </w:t>
            </w:r>
            <w:r w:rsidRPr="00481322">
              <w:rPr>
                <w:sz w:val="18"/>
                <w:szCs w:val="20"/>
              </w:rPr>
              <w:t xml:space="preserve">victims who have been provided with transitional justice services to address their grievances, with UNDP support </w:t>
            </w:r>
            <w:r w:rsidRPr="00481322">
              <w:rPr>
                <w:rFonts w:eastAsia="Calibri"/>
                <w:sz w:val="18"/>
                <w:szCs w:val="18"/>
              </w:rPr>
              <w:t xml:space="preserve">(on demand from programme countries), from January 2014 onwards. An </w:t>
            </w:r>
            <w:r w:rsidRPr="00481322">
              <w:rPr>
                <w:rFonts w:eastAsia="Calibri"/>
                <w:b/>
                <w:sz w:val="18"/>
                <w:szCs w:val="18"/>
              </w:rPr>
              <w:t xml:space="preserve">additional </w:t>
            </w:r>
            <w:r w:rsidR="00065E71" w:rsidRPr="00481322">
              <w:rPr>
                <w:rFonts w:eastAsia="Calibri"/>
                <w:b/>
                <w:sz w:val="18"/>
                <w:szCs w:val="18"/>
              </w:rPr>
              <w:t xml:space="preserve">27,300 </w:t>
            </w:r>
            <w:r w:rsidRPr="00481322">
              <w:rPr>
                <w:rFonts w:eastAsia="Calibri"/>
                <w:b/>
                <w:sz w:val="18"/>
                <w:szCs w:val="18"/>
              </w:rPr>
              <w:t>people</w:t>
            </w:r>
            <w:r w:rsidRPr="00481322">
              <w:rPr>
                <w:rFonts w:eastAsia="Calibri"/>
                <w:sz w:val="18"/>
                <w:szCs w:val="18"/>
              </w:rPr>
              <w:t xml:space="preserve"> </w:t>
            </w:r>
            <w:r w:rsidR="00065E71" w:rsidRPr="00481322">
              <w:rPr>
                <w:rFonts w:eastAsia="Calibri"/>
                <w:sz w:val="18"/>
                <w:szCs w:val="18"/>
              </w:rPr>
              <w:t xml:space="preserve">had cases addressed </w:t>
            </w:r>
            <w:r w:rsidR="00364E2F" w:rsidRPr="00481322">
              <w:rPr>
                <w:rFonts w:eastAsia="Calibri"/>
                <w:sz w:val="18"/>
                <w:szCs w:val="18"/>
              </w:rPr>
              <w:t xml:space="preserve">in 2014 for which </w:t>
            </w:r>
            <w:r w:rsidRPr="00481322">
              <w:rPr>
                <w:rFonts w:eastAsia="Calibri"/>
                <w:sz w:val="18"/>
                <w:szCs w:val="18"/>
              </w:rPr>
              <w:t>sex disaggregat</w:t>
            </w:r>
            <w:r w:rsidR="00481322">
              <w:rPr>
                <w:rFonts w:eastAsia="Calibri"/>
                <w:sz w:val="18"/>
                <w:szCs w:val="18"/>
              </w:rPr>
              <w:t>ed data</w:t>
            </w:r>
            <w:r w:rsidRPr="00481322">
              <w:rPr>
                <w:rFonts w:eastAsia="Calibri"/>
                <w:sz w:val="18"/>
                <w:szCs w:val="18"/>
              </w:rPr>
              <w:t xml:space="preserve"> </w:t>
            </w:r>
            <w:r w:rsidR="00364E2F" w:rsidRPr="00481322">
              <w:rPr>
                <w:rFonts w:eastAsia="Calibri"/>
                <w:sz w:val="18"/>
                <w:szCs w:val="18"/>
              </w:rPr>
              <w:t>is</w:t>
            </w:r>
            <w:r w:rsidRPr="00481322">
              <w:rPr>
                <w:rFonts w:eastAsia="Calibri"/>
                <w:sz w:val="18"/>
                <w:szCs w:val="18"/>
              </w:rPr>
              <w:t xml:space="preserve"> not available.</w:t>
            </w:r>
            <w:r w:rsidR="00DE1FDF" w:rsidRPr="00481322">
              <w:rPr>
                <w:rFonts w:eastAsia="Calibri"/>
                <w:sz w:val="18"/>
                <w:szCs w:val="18"/>
              </w:rPr>
              <w:t xml:space="preserve"> </w:t>
            </w:r>
          </w:p>
          <w:p w14:paraId="7A2D99B4" w14:textId="76424F3D" w:rsidR="00C24FAE" w:rsidRPr="00481322" w:rsidRDefault="00C24FAE" w:rsidP="00C24FAE">
            <w:pPr>
              <w:spacing w:after="0" w:line="240" w:lineRule="auto"/>
              <w:rPr>
                <w:rFonts w:eastAsia="Calibri"/>
                <w:sz w:val="18"/>
                <w:szCs w:val="18"/>
              </w:rPr>
            </w:pPr>
            <w:r w:rsidRPr="00481322">
              <w:rPr>
                <w:rFonts w:eastAsia="Calibri"/>
                <w:b/>
                <w:sz w:val="18"/>
                <w:szCs w:val="18"/>
              </w:rPr>
              <w:t xml:space="preserve">2014 Reporting Note: </w:t>
            </w:r>
            <w:r w:rsidRPr="00481322">
              <w:rPr>
                <w:rFonts w:eastAsia="Calibri"/>
                <w:sz w:val="18"/>
                <w:szCs w:val="18"/>
              </w:rPr>
              <w:t>201</w:t>
            </w:r>
            <w:r w:rsidR="005F0238" w:rsidRPr="00481322">
              <w:rPr>
                <w:rFonts w:eastAsia="Calibri"/>
                <w:sz w:val="18"/>
                <w:szCs w:val="18"/>
              </w:rPr>
              <w:t>4 milestones and 201</w:t>
            </w:r>
            <w:r w:rsidRPr="00481322">
              <w:rPr>
                <w:rFonts w:eastAsia="Calibri"/>
                <w:sz w:val="18"/>
                <w:szCs w:val="18"/>
              </w:rPr>
              <w:t xml:space="preserve">7 targets updated to reflect more complete reporting from country offices. For reference, previous </w:t>
            </w:r>
            <w:r w:rsidR="005F0238" w:rsidRPr="00481322">
              <w:rPr>
                <w:rFonts w:eastAsia="Calibri"/>
                <w:sz w:val="18"/>
                <w:szCs w:val="18"/>
              </w:rPr>
              <w:t xml:space="preserve">2014 milestones were: a) 85,498, b) 28,955; previous </w:t>
            </w:r>
            <w:r w:rsidRPr="00481322">
              <w:rPr>
                <w:rFonts w:eastAsia="Calibri"/>
                <w:sz w:val="18"/>
                <w:szCs w:val="18"/>
              </w:rPr>
              <w:t>targets were a) 206,135, b) 67,113.</w:t>
            </w:r>
          </w:p>
        </w:tc>
      </w:tr>
    </w:tbl>
    <w:p w14:paraId="6AFD9FD1" w14:textId="77777777" w:rsidR="00481322" w:rsidRDefault="00481322">
      <w:r>
        <w:br w:type="page"/>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720"/>
        <w:gridCol w:w="5490"/>
        <w:gridCol w:w="1440"/>
        <w:gridCol w:w="1350"/>
        <w:gridCol w:w="1350"/>
        <w:gridCol w:w="1530"/>
      </w:tblGrid>
      <w:tr w:rsidR="00835812" w:rsidRPr="00A47C48" w14:paraId="34789DB4" w14:textId="77777777" w:rsidTr="004A646D">
        <w:trPr>
          <w:trHeight w:val="663"/>
          <w:jc w:val="center"/>
        </w:trPr>
        <w:tc>
          <w:tcPr>
            <w:tcW w:w="3145" w:type="dxa"/>
            <w:vMerge w:val="restart"/>
            <w:tcBorders>
              <w:top w:val="single" w:sz="4" w:space="0" w:color="auto"/>
              <w:left w:val="single" w:sz="4" w:space="0" w:color="auto"/>
              <w:right w:val="single" w:sz="4" w:space="0" w:color="auto"/>
            </w:tcBorders>
            <w:shd w:val="clear" w:color="auto" w:fill="FFFFFF"/>
          </w:tcPr>
          <w:p w14:paraId="283B798E" w14:textId="37FC7412" w:rsidR="00835812" w:rsidRDefault="00835812" w:rsidP="00CF497B">
            <w:pPr>
              <w:spacing w:after="0" w:line="240" w:lineRule="auto"/>
              <w:rPr>
                <w:rFonts w:eastAsia="Calibri"/>
                <w:color w:val="000000"/>
                <w:sz w:val="20"/>
              </w:rPr>
            </w:pPr>
            <w:r w:rsidRPr="0000532F">
              <w:rPr>
                <w:rFonts w:eastAsia="Calibri"/>
                <w:b/>
                <w:color w:val="000000"/>
                <w:sz w:val="20"/>
              </w:rPr>
              <w:t>Output 3.5</w:t>
            </w:r>
            <w:r>
              <w:rPr>
                <w:rFonts w:eastAsia="Calibri"/>
                <w:b/>
                <w:color w:val="000000"/>
                <w:sz w:val="20"/>
              </w:rPr>
              <w:t>.</w:t>
            </w:r>
            <w:r w:rsidRPr="0000532F">
              <w:rPr>
                <w:rFonts w:eastAsia="Calibri"/>
                <w:b/>
                <w:color w:val="000000"/>
                <w:sz w:val="20"/>
              </w:rPr>
              <w:t xml:space="preserve"> </w:t>
            </w:r>
            <w:r>
              <w:rPr>
                <w:rFonts w:eastAsia="Calibri"/>
                <w:color w:val="000000"/>
                <w:sz w:val="20"/>
              </w:rPr>
              <w:t xml:space="preserve">Communities empowered </w:t>
            </w:r>
            <w:r w:rsidRPr="0000532F">
              <w:rPr>
                <w:rFonts w:eastAsia="Calibri"/>
                <w:color w:val="000000"/>
                <w:sz w:val="20"/>
              </w:rPr>
              <w:t>and securi</w:t>
            </w:r>
            <w:r>
              <w:rPr>
                <w:rFonts w:eastAsia="Calibri"/>
                <w:color w:val="000000"/>
                <w:sz w:val="20"/>
              </w:rPr>
              <w:t xml:space="preserve">ty sector institutions enabled </w:t>
            </w:r>
            <w:r w:rsidRPr="0000532F">
              <w:rPr>
                <w:rFonts w:eastAsia="Calibri"/>
                <w:color w:val="000000"/>
                <w:sz w:val="20"/>
              </w:rPr>
              <w:t>for increased citizen safety and r</w:t>
            </w:r>
            <w:r w:rsidR="00367934">
              <w:rPr>
                <w:rFonts w:eastAsia="Calibri"/>
                <w:color w:val="000000"/>
                <w:sz w:val="20"/>
              </w:rPr>
              <w:t>educed levels of armed violence</w:t>
            </w:r>
          </w:p>
          <w:p w14:paraId="0CB2FA2E" w14:textId="77777777" w:rsidR="00835812" w:rsidRDefault="00835812" w:rsidP="00CF497B">
            <w:pPr>
              <w:spacing w:after="0" w:line="240" w:lineRule="auto"/>
              <w:rPr>
                <w:rFonts w:eastAsia="Calibri"/>
                <w:sz w:val="20"/>
                <w:szCs w:val="20"/>
              </w:rPr>
            </w:pPr>
          </w:p>
          <w:p w14:paraId="7CA0B0AC" w14:textId="738D34AA" w:rsidR="00835812" w:rsidRPr="0000532F" w:rsidRDefault="00B30E7E" w:rsidP="00CF004D">
            <w:pPr>
              <w:spacing w:after="0" w:line="240" w:lineRule="auto"/>
              <w:rPr>
                <w:rFonts w:eastAsia="Calibri"/>
                <w:bCs/>
                <w:sz w:val="20"/>
                <w:szCs w:val="18"/>
              </w:rPr>
            </w:pPr>
            <w:r w:rsidRPr="00B359E7">
              <w:rPr>
                <w:rFonts w:ascii="Calibri" w:eastAsia="Calibri" w:hAnsi="Calibri"/>
                <w:b/>
                <w:i/>
                <w:color w:val="000000"/>
                <w:sz w:val="18"/>
                <w:szCs w:val="18"/>
              </w:rPr>
              <w:t>Number of countries linked:</w:t>
            </w:r>
            <w:r>
              <w:rPr>
                <w:rFonts w:ascii="Calibri" w:eastAsia="Calibri" w:hAnsi="Calibri"/>
                <w:b/>
                <w:color w:val="000000"/>
                <w:sz w:val="18"/>
                <w:szCs w:val="18"/>
              </w:rPr>
              <w:t xml:space="preserve"> 4</w:t>
            </w:r>
            <w:r w:rsidR="00CF004D">
              <w:rPr>
                <w:rFonts w:ascii="Calibri" w:eastAsia="Calibri" w:hAnsi="Calibri"/>
                <w:b/>
                <w:color w:val="000000"/>
                <w:sz w:val="18"/>
                <w:szCs w:val="18"/>
              </w:rPr>
              <w:t>8</w:t>
            </w:r>
            <w:r>
              <w:rPr>
                <w:rFonts w:ascii="Calibri" w:eastAsia="Calibri" w:hAnsi="Calibri"/>
                <w:b/>
                <w:color w:val="000000"/>
                <w:sz w:val="18"/>
                <w:szCs w:val="18"/>
              </w:rPr>
              <w:t xml:space="preserve"> (February 2015</w:t>
            </w:r>
            <w:r w:rsidRPr="00B359E7">
              <w:rPr>
                <w:rFonts w:ascii="Calibri" w:eastAsia="Calibri" w:hAnsi="Calibri"/>
                <w:b/>
                <w:color w:val="000000"/>
                <w:sz w:val="18"/>
                <w:szCs w:val="18"/>
              </w:rPr>
              <w:t>)</w:t>
            </w:r>
          </w:p>
        </w:tc>
        <w:tc>
          <w:tcPr>
            <w:tcW w:w="720" w:type="dxa"/>
            <w:vMerge w:val="restart"/>
            <w:tcBorders>
              <w:top w:val="single" w:sz="4" w:space="0" w:color="auto"/>
              <w:left w:val="single" w:sz="4" w:space="0" w:color="auto"/>
              <w:right w:val="single" w:sz="4" w:space="0" w:color="auto"/>
            </w:tcBorders>
            <w:shd w:val="clear" w:color="auto" w:fill="FFFFFF"/>
          </w:tcPr>
          <w:p w14:paraId="3BA6B749" w14:textId="77777777" w:rsidR="00835812" w:rsidRPr="006258F6" w:rsidRDefault="00835812" w:rsidP="00CF497B">
            <w:pPr>
              <w:spacing w:after="0" w:line="240" w:lineRule="auto"/>
              <w:rPr>
                <w:rFonts w:eastAsia="Calibri"/>
                <w:b/>
                <w:sz w:val="20"/>
              </w:rPr>
            </w:pPr>
            <w:r w:rsidRPr="006258F6">
              <w:rPr>
                <w:rFonts w:eastAsia="Calibri"/>
                <w:b/>
                <w:sz w:val="20"/>
              </w:rPr>
              <w:t>3.5.1</w:t>
            </w:r>
          </w:p>
        </w:tc>
        <w:tc>
          <w:tcPr>
            <w:tcW w:w="5490" w:type="dxa"/>
            <w:tcBorders>
              <w:top w:val="single" w:sz="4" w:space="0" w:color="auto"/>
              <w:left w:val="single" w:sz="4" w:space="0" w:color="auto"/>
              <w:bottom w:val="single" w:sz="4" w:space="0" w:color="auto"/>
              <w:right w:val="single" w:sz="4" w:space="0" w:color="auto"/>
            </w:tcBorders>
            <w:shd w:val="clear" w:color="auto" w:fill="FFFFFF"/>
          </w:tcPr>
          <w:p w14:paraId="1737E943" w14:textId="77777777" w:rsidR="00835812" w:rsidRPr="006258F6" w:rsidRDefault="00835812" w:rsidP="001E062F">
            <w:pPr>
              <w:spacing w:after="0" w:line="240" w:lineRule="auto"/>
              <w:rPr>
                <w:rFonts w:eastAsia="Calibri"/>
                <w:sz w:val="20"/>
                <w:szCs w:val="20"/>
              </w:rPr>
            </w:pPr>
            <w:r w:rsidRPr="006258F6">
              <w:rPr>
                <w:rFonts w:eastAsia="Calibri"/>
                <w:sz w:val="20"/>
                <w:szCs w:val="20"/>
              </w:rPr>
              <w:t xml:space="preserve">Number of countries with </w:t>
            </w:r>
            <w:r w:rsidRPr="006258F6">
              <w:rPr>
                <w:rFonts w:eastAsia="Calibri"/>
                <w:b/>
                <w:sz w:val="20"/>
                <w:szCs w:val="20"/>
              </w:rPr>
              <w:t>improved</w:t>
            </w:r>
            <w:r w:rsidRPr="006258F6">
              <w:rPr>
                <w:rFonts w:eastAsia="Calibri"/>
                <w:sz w:val="20"/>
                <w:szCs w:val="20"/>
              </w:rPr>
              <w:t xml:space="preserve"> </w:t>
            </w:r>
            <w:r w:rsidRPr="006258F6">
              <w:rPr>
                <w:rFonts w:eastAsia="Calibri"/>
                <w:b/>
                <w:sz w:val="20"/>
                <w:szCs w:val="20"/>
              </w:rPr>
              <w:t>capacities for security sector governance and oversight</w:t>
            </w:r>
          </w:p>
          <w:p w14:paraId="05D24EA7" w14:textId="137A34BA" w:rsidR="008376B6" w:rsidRPr="006258F6" w:rsidRDefault="008376B6" w:rsidP="000B2834">
            <w:pPr>
              <w:spacing w:before="240" w:after="0" w:line="240" w:lineRule="auto"/>
              <w:rPr>
                <w:rFonts w:eastAsia="Calibri"/>
                <w:sz w:val="20"/>
                <w:szCs w:val="20"/>
              </w:rPr>
            </w:pPr>
            <w:r w:rsidRPr="006258F6">
              <w:rPr>
                <w:rFonts w:eastAsia="Calibri"/>
                <w:b/>
                <w:i/>
                <w:sz w:val="18"/>
                <w:szCs w:val="18"/>
              </w:rPr>
              <w:t xml:space="preserve">Number of countries </w:t>
            </w:r>
            <w:r w:rsidR="00983FF8" w:rsidRPr="006258F6">
              <w:rPr>
                <w:rFonts w:eastAsia="Calibri"/>
                <w:b/>
                <w:i/>
                <w:sz w:val="18"/>
                <w:szCs w:val="18"/>
              </w:rPr>
              <w:t>for which a 2017 target has currently been set under this indicator</w:t>
            </w:r>
            <w:r w:rsidR="00F933BD" w:rsidRPr="006258F6">
              <w:rPr>
                <w:rFonts w:eastAsia="Calibri"/>
                <w:b/>
                <w:i/>
                <w:sz w:val="18"/>
                <w:szCs w:val="18"/>
              </w:rPr>
              <w:t>: 34</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AE1388E" w14:textId="7DBF503D" w:rsidR="00835812" w:rsidRPr="006258F6" w:rsidRDefault="00EA4C79" w:rsidP="00EA4C79">
            <w:pPr>
              <w:spacing w:after="0" w:line="240" w:lineRule="auto"/>
              <w:jc w:val="center"/>
              <w:rPr>
                <w:rFonts w:eastAsia="Calibri"/>
                <w:b/>
                <w:sz w:val="20"/>
              </w:rPr>
            </w:pPr>
            <w:r w:rsidRPr="006258F6">
              <w:rPr>
                <w:rFonts w:eastAsia="Calibri"/>
                <w:sz w:val="20"/>
                <w:szCs w:val="20"/>
              </w:rPr>
              <w:t>0</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2A52246F" w14:textId="1A85FF45" w:rsidR="00835812" w:rsidRPr="006258F6" w:rsidRDefault="00273808" w:rsidP="002E7E06">
            <w:pPr>
              <w:spacing w:after="0" w:line="240" w:lineRule="auto"/>
              <w:jc w:val="center"/>
              <w:rPr>
                <w:rFonts w:eastAsia="Calibri"/>
                <w:b/>
                <w:sz w:val="20"/>
              </w:rPr>
            </w:pPr>
            <w:r w:rsidRPr="006258F6">
              <w:rPr>
                <w:rFonts w:eastAsia="Calibri"/>
                <w:sz w:val="20"/>
                <w:szCs w:val="20"/>
              </w:rPr>
              <w:t>9</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0FDBF197" w14:textId="5F941DBE" w:rsidR="00835812" w:rsidRPr="006258F6" w:rsidRDefault="00273808" w:rsidP="001E062F">
            <w:pPr>
              <w:spacing w:after="0" w:line="240" w:lineRule="auto"/>
              <w:jc w:val="center"/>
              <w:rPr>
                <w:rFonts w:eastAsia="Calibri"/>
                <w:sz w:val="20"/>
              </w:rPr>
            </w:pPr>
            <w:r w:rsidRPr="006258F6">
              <w:rPr>
                <w:rFonts w:eastAsia="Calibri"/>
                <w:sz w:val="20"/>
              </w:rPr>
              <w:t>10</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582F951F" w14:textId="27B3A98C" w:rsidR="00835812" w:rsidRPr="006258F6" w:rsidRDefault="00273808" w:rsidP="001E062F">
            <w:pPr>
              <w:spacing w:after="0" w:line="240" w:lineRule="auto"/>
              <w:jc w:val="center"/>
              <w:rPr>
                <w:rFonts w:eastAsia="Calibri"/>
                <w:b/>
                <w:sz w:val="20"/>
              </w:rPr>
            </w:pPr>
            <w:r w:rsidRPr="006258F6">
              <w:rPr>
                <w:rFonts w:eastAsia="Calibri"/>
                <w:sz w:val="20"/>
                <w:szCs w:val="20"/>
              </w:rPr>
              <w:t>24</w:t>
            </w:r>
          </w:p>
        </w:tc>
      </w:tr>
      <w:tr w:rsidR="002E7E06" w:rsidRPr="00A47C48" w14:paraId="2B5E8E1E" w14:textId="77777777" w:rsidTr="00E869D0">
        <w:trPr>
          <w:trHeight w:val="663"/>
          <w:jc w:val="center"/>
        </w:trPr>
        <w:tc>
          <w:tcPr>
            <w:tcW w:w="3145" w:type="dxa"/>
            <w:vMerge/>
            <w:tcBorders>
              <w:left w:val="single" w:sz="4" w:space="0" w:color="auto"/>
              <w:right w:val="single" w:sz="4" w:space="0" w:color="auto"/>
            </w:tcBorders>
            <w:shd w:val="clear" w:color="auto" w:fill="FFFFFF"/>
          </w:tcPr>
          <w:p w14:paraId="1246DB42" w14:textId="77777777" w:rsidR="002E7E06" w:rsidRPr="0000532F" w:rsidRDefault="002E7E06" w:rsidP="00CF497B">
            <w:pPr>
              <w:spacing w:after="0" w:line="240" w:lineRule="auto"/>
              <w:rPr>
                <w:rFonts w:eastAsia="Calibri"/>
                <w:b/>
                <w:color w:val="000000"/>
                <w:sz w:val="20"/>
              </w:rPr>
            </w:pPr>
          </w:p>
        </w:tc>
        <w:tc>
          <w:tcPr>
            <w:tcW w:w="720" w:type="dxa"/>
            <w:vMerge/>
            <w:tcBorders>
              <w:left w:val="single" w:sz="4" w:space="0" w:color="auto"/>
              <w:bottom w:val="single" w:sz="4" w:space="0" w:color="auto"/>
              <w:right w:val="single" w:sz="4" w:space="0" w:color="auto"/>
            </w:tcBorders>
            <w:shd w:val="clear" w:color="auto" w:fill="FFFFFF"/>
          </w:tcPr>
          <w:p w14:paraId="435636C9" w14:textId="77777777" w:rsidR="002E7E06" w:rsidRPr="006258F6" w:rsidRDefault="002E7E06" w:rsidP="00CF497B">
            <w:pPr>
              <w:spacing w:after="0" w:line="240" w:lineRule="auto"/>
              <w:rPr>
                <w:rFonts w:eastAsia="Calibri"/>
                <w:b/>
                <w:sz w:val="20"/>
              </w:rPr>
            </w:pPr>
          </w:p>
        </w:tc>
        <w:tc>
          <w:tcPr>
            <w:tcW w:w="11160" w:type="dxa"/>
            <w:gridSpan w:val="5"/>
            <w:tcBorders>
              <w:left w:val="single" w:sz="4" w:space="0" w:color="auto"/>
              <w:bottom w:val="single" w:sz="4" w:space="0" w:color="auto"/>
              <w:right w:val="single" w:sz="4" w:space="0" w:color="auto"/>
            </w:tcBorders>
            <w:shd w:val="clear" w:color="auto" w:fill="D9D9D9" w:themeFill="background1" w:themeFillShade="D9"/>
          </w:tcPr>
          <w:p w14:paraId="010A122A" w14:textId="720406F3" w:rsidR="002E7E06" w:rsidRPr="006258F6" w:rsidRDefault="002E7E06" w:rsidP="006D6E20">
            <w:pPr>
              <w:spacing w:after="0" w:line="240" w:lineRule="auto"/>
              <w:rPr>
                <w:rFonts w:eastAsia="Calibri"/>
                <w:sz w:val="18"/>
                <w:szCs w:val="18"/>
              </w:rPr>
            </w:pPr>
            <w:r w:rsidRPr="006258F6">
              <w:rPr>
                <w:rFonts w:ascii="Calibri" w:eastAsia="Calibri" w:hAnsi="Calibri" w:cs="Times New Roman"/>
                <w:b/>
                <w:sz w:val="18"/>
                <w:szCs w:val="20"/>
                <w:lang w:eastAsia="en-US"/>
              </w:rPr>
              <w:t xml:space="preserve">Indicator 3.5.1 Note: </w:t>
            </w:r>
            <w:r w:rsidRPr="006258F6">
              <w:rPr>
                <w:rFonts w:ascii="Calibri" w:eastAsia="Calibri" w:hAnsi="Calibri"/>
                <w:sz w:val="18"/>
                <w:szCs w:val="18"/>
              </w:rPr>
              <w:t xml:space="preserve">Qualitative indicator through which effectiveness of UNDP’s support (on demand </w:t>
            </w:r>
            <w:r w:rsidRPr="006258F6">
              <w:rPr>
                <w:sz w:val="18"/>
                <w:szCs w:val="18"/>
              </w:rPr>
              <w:t>from programme countries</w:t>
            </w:r>
            <w:r w:rsidRPr="006258F6">
              <w:rPr>
                <w:rFonts w:ascii="Calibri" w:eastAsia="Calibri" w:hAnsi="Calibri"/>
                <w:sz w:val="18"/>
                <w:szCs w:val="18"/>
              </w:rPr>
              <w:t>)</w:t>
            </w:r>
            <w:r w:rsidRPr="006258F6">
              <w:rPr>
                <w:sz w:val="18"/>
                <w:szCs w:val="18"/>
              </w:rPr>
              <w:t xml:space="preserve"> to improve capacities for governance and oversight of security sector is </w:t>
            </w:r>
            <w:r w:rsidRPr="006258F6">
              <w:rPr>
                <w:rFonts w:eastAsia="Calibri"/>
                <w:sz w:val="18"/>
                <w:szCs w:val="18"/>
              </w:rPr>
              <w:t xml:space="preserve">tracked using a qualitative rating scale </w:t>
            </w:r>
            <w:r w:rsidRPr="006258F6">
              <w:rPr>
                <w:sz w:val="18"/>
                <w:szCs w:val="20"/>
              </w:rPr>
              <w:t>(1= no improved capacities, 2= slightly improved capacities, 3= improved capacities, 4= significantly improved capacities)</w:t>
            </w:r>
            <w:r w:rsidRPr="006258F6">
              <w:rPr>
                <w:rFonts w:eastAsia="Calibri"/>
                <w:sz w:val="18"/>
                <w:szCs w:val="18"/>
              </w:rPr>
              <w:t xml:space="preserve">, counting the number of countries where </w:t>
            </w:r>
            <w:r w:rsidR="00481322" w:rsidRPr="006258F6">
              <w:rPr>
                <w:rFonts w:eastAsia="Calibri"/>
                <w:sz w:val="18"/>
                <w:szCs w:val="18"/>
              </w:rPr>
              <w:t xml:space="preserve">objective evidence exists that </w:t>
            </w:r>
            <w:r w:rsidRPr="006258F6">
              <w:rPr>
                <w:rFonts w:eastAsia="Calibri"/>
                <w:sz w:val="18"/>
                <w:szCs w:val="18"/>
              </w:rPr>
              <w:t>UNDP support has improved capacities from January 2014 onwards.</w:t>
            </w:r>
          </w:p>
          <w:p w14:paraId="5D80A59E" w14:textId="4CE1B8CB" w:rsidR="00BD6ABF" w:rsidRPr="006258F6" w:rsidRDefault="002E7E06" w:rsidP="00B72410">
            <w:pPr>
              <w:spacing w:after="0" w:line="240" w:lineRule="auto"/>
              <w:rPr>
                <w:rFonts w:eastAsia="Calibri"/>
                <w:sz w:val="18"/>
                <w:szCs w:val="18"/>
              </w:rPr>
            </w:pPr>
            <w:r w:rsidRPr="006258F6">
              <w:rPr>
                <w:rFonts w:eastAsia="Calibri"/>
                <w:b/>
                <w:sz w:val="18"/>
                <w:szCs w:val="18"/>
              </w:rPr>
              <w:t xml:space="preserve">2014 Reporting Note: </w:t>
            </w:r>
            <w:r w:rsidRPr="006258F6">
              <w:rPr>
                <w:rFonts w:eastAsia="Calibri"/>
                <w:sz w:val="18"/>
                <w:szCs w:val="18"/>
              </w:rPr>
              <w:t xml:space="preserve">2014 </w:t>
            </w:r>
            <w:r w:rsidR="00BD6ABF" w:rsidRPr="006258F6">
              <w:rPr>
                <w:rFonts w:eastAsia="Calibri"/>
                <w:sz w:val="18"/>
                <w:szCs w:val="18"/>
              </w:rPr>
              <w:t>m</w:t>
            </w:r>
            <w:r w:rsidRPr="006258F6">
              <w:rPr>
                <w:rFonts w:eastAsia="Calibri"/>
                <w:sz w:val="18"/>
                <w:szCs w:val="18"/>
              </w:rPr>
              <w:t xml:space="preserve">ilestone </w:t>
            </w:r>
            <w:r w:rsidR="00BD6ABF" w:rsidRPr="006258F6">
              <w:rPr>
                <w:rFonts w:eastAsia="Calibri"/>
                <w:sz w:val="18"/>
                <w:szCs w:val="18"/>
              </w:rPr>
              <w:t xml:space="preserve">and 2017 target </w:t>
            </w:r>
            <w:r w:rsidRPr="006258F6">
              <w:rPr>
                <w:rFonts w:eastAsia="Calibri"/>
                <w:sz w:val="18"/>
                <w:szCs w:val="18"/>
              </w:rPr>
              <w:t>updated to reflect more complete reporting from country offices. For reference, previous 2014 milestone was 12</w:t>
            </w:r>
            <w:r w:rsidR="00BD6ABF" w:rsidRPr="006258F6">
              <w:rPr>
                <w:rFonts w:eastAsia="Calibri"/>
                <w:sz w:val="18"/>
                <w:szCs w:val="18"/>
              </w:rPr>
              <w:t>, previous target was 18</w:t>
            </w:r>
            <w:r w:rsidRPr="006258F6">
              <w:rPr>
                <w:rFonts w:eastAsia="Calibri"/>
                <w:sz w:val="18"/>
                <w:szCs w:val="18"/>
              </w:rPr>
              <w:t xml:space="preserve">. </w:t>
            </w:r>
          </w:p>
        </w:tc>
      </w:tr>
      <w:tr w:rsidR="00835812" w:rsidRPr="00B10CBF" w14:paraId="222B86BE" w14:textId="77777777" w:rsidTr="00835812">
        <w:trPr>
          <w:trHeight w:val="485"/>
          <w:jc w:val="center"/>
        </w:trPr>
        <w:tc>
          <w:tcPr>
            <w:tcW w:w="3145" w:type="dxa"/>
            <w:vMerge/>
            <w:tcBorders>
              <w:left w:val="single" w:sz="4" w:space="0" w:color="auto"/>
              <w:right w:val="single" w:sz="4" w:space="0" w:color="auto"/>
            </w:tcBorders>
            <w:shd w:val="clear" w:color="auto" w:fill="FFFFFF"/>
          </w:tcPr>
          <w:p w14:paraId="657EE811" w14:textId="7A678A3B" w:rsidR="00835812" w:rsidRPr="0000532F" w:rsidRDefault="00835812" w:rsidP="00CF497B">
            <w:pPr>
              <w:spacing w:after="0" w:line="240" w:lineRule="auto"/>
              <w:rPr>
                <w:rFonts w:eastAsia="Calibri"/>
                <w:b/>
                <w:color w:val="000000"/>
                <w:sz w:val="20"/>
              </w:rPr>
            </w:pPr>
          </w:p>
        </w:tc>
        <w:tc>
          <w:tcPr>
            <w:tcW w:w="720" w:type="dxa"/>
            <w:vMerge w:val="restart"/>
            <w:tcBorders>
              <w:top w:val="single" w:sz="4" w:space="0" w:color="auto"/>
              <w:left w:val="single" w:sz="4" w:space="0" w:color="auto"/>
              <w:right w:val="single" w:sz="4" w:space="0" w:color="auto"/>
            </w:tcBorders>
            <w:shd w:val="clear" w:color="auto" w:fill="FFFFFF"/>
          </w:tcPr>
          <w:p w14:paraId="5099C5D7" w14:textId="77777777" w:rsidR="00835812" w:rsidRPr="0000532F" w:rsidRDefault="00835812" w:rsidP="00CF497B">
            <w:pPr>
              <w:spacing w:after="0" w:line="240" w:lineRule="auto"/>
              <w:rPr>
                <w:rFonts w:eastAsia="Calibri"/>
                <w:b/>
                <w:color w:val="000000"/>
                <w:sz w:val="20"/>
              </w:rPr>
            </w:pPr>
            <w:r w:rsidRPr="0000532F">
              <w:rPr>
                <w:rFonts w:eastAsia="Calibri"/>
                <w:b/>
                <w:color w:val="000000"/>
                <w:sz w:val="20"/>
              </w:rPr>
              <w:t>3.5.2</w:t>
            </w:r>
          </w:p>
        </w:tc>
        <w:tc>
          <w:tcPr>
            <w:tcW w:w="5490" w:type="dxa"/>
            <w:tcBorders>
              <w:top w:val="single" w:sz="4" w:space="0" w:color="auto"/>
              <w:left w:val="single" w:sz="4" w:space="0" w:color="auto"/>
              <w:bottom w:val="single" w:sz="4" w:space="0" w:color="auto"/>
              <w:right w:val="single" w:sz="4" w:space="0" w:color="auto"/>
            </w:tcBorders>
            <w:shd w:val="clear" w:color="auto" w:fill="FFFFFF"/>
          </w:tcPr>
          <w:p w14:paraId="02C8DFAA" w14:textId="77777777" w:rsidR="00835812" w:rsidRPr="0013161E" w:rsidRDefault="00835812" w:rsidP="00CF497B">
            <w:pPr>
              <w:spacing w:after="0" w:line="240" w:lineRule="auto"/>
              <w:rPr>
                <w:rFonts w:eastAsia="Calibri"/>
                <w:sz w:val="20"/>
                <w:szCs w:val="20"/>
              </w:rPr>
            </w:pPr>
            <w:r w:rsidRPr="0013161E">
              <w:rPr>
                <w:rFonts w:eastAsia="Calibri"/>
                <w:sz w:val="20"/>
                <w:szCs w:val="20"/>
              </w:rPr>
              <w:t xml:space="preserve">Number of countries where gender-sensitive </w:t>
            </w:r>
            <w:r w:rsidRPr="0013161E">
              <w:rPr>
                <w:rFonts w:eastAsia="Calibri"/>
                <w:b/>
                <w:sz w:val="20"/>
                <w:szCs w:val="20"/>
              </w:rPr>
              <w:t>evidence-based security strategies</w:t>
            </w:r>
            <w:r w:rsidRPr="0013161E">
              <w:rPr>
                <w:rFonts w:eastAsia="Calibri"/>
                <w:sz w:val="20"/>
                <w:szCs w:val="20"/>
              </w:rPr>
              <w:t xml:space="preserve"> for reducing armed violence and/or control of small arms are in o</w:t>
            </w:r>
            <w:r w:rsidR="008376B6" w:rsidRPr="0013161E">
              <w:rPr>
                <w:rFonts w:eastAsia="Calibri"/>
                <w:sz w:val="20"/>
                <w:szCs w:val="20"/>
              </w:rPr>
              <w:t>peration at the community level</w:t>
            </w:r>
          </w:p>
          <w:p w14:paraId="3647B800" w14:textId="4FC963F3" w:rsidR="008376B6" w:rsidRPr="0013161E" w:rsidRDefault="008376B6" w:rsidP="000B2834">
            <w:pPr>
              <w:spacing w:before="240" w:after="0" w:line="240" w:lineRule="auto"/>
              <w:rPr>
                <w:rFonts w:eastAsia="Calibri"/>
                <w:sz w:val="20"/>
                <w:szCs w:val="20"/>
              </w:rPr>
            </w:pPr>
            <w:r w:rsidRPr="0013161E">
              <w:rPr>
                <w:rFonts w:eastAsia="Calibri"/>
                <w:b/>
                <w:i/>
                <w:sz w:val="18"/>
                <w:szCs w:val="18"/>
              </w:rPr>
              <w:t xml:space="preserve">Number of countries </w:t>
            </w:r>
            <w:r w:rsidR="00983FF8" w:rsidRPr="0013161E">
              <w:rPr>
                <w:rFonts w:eastAsia="Calibri"/>
                <w:b/>
                <w:i/>
                <w:sz w:val="18"/>
                <w:szCs w:val="18"/>
              </w:rPr>
              <w:t>for which a 2017 target has currently been set under this indicator</w:t>
            </w:r>
            <w:r w:rsidR="008304FF" w:rsidRPr="0013161E">
              <w:rPr>
                <w:rFonts w:eastAsia="Calibri"/>
                <w:b/>
                <w:i/>
                <w:sz w:val="18"/>
                <w:szCs w:val="18"/>
              </w:rPr>
              <w:t>: 30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86229" w14:textId="028E5556" w:rsidR="00835812" w:rsidRPr="0000532F" w:rsidRDefault="00EA4C79" w:rsidP="00EA4C79">
            <w:pPr>
              <w:spacing w:after="0" w:line="240" w:lineRule="auto"/>
              <w:jc w:val="center"/>
              <w:rPr>
                <w:rFonts w:eastAsia="Calibri"/>
                <w:sz w:val="20"/>
              </w:rPr>
            </w:pPr>
            <w:r>
              <w:rPr>
                <w:rFonts w:eastAsia="Calibri"/>
                <w:sz w:val="20"/>
                <w:szCs w:val="20"/>
              </w:rPr>
              <w:t>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1DAB3" w14:textId="77777777" w:rsidR="00835812" w:rsidRPr="0000532F" w:rsidRDefault="00835812" w:rsidP="00CF497B">
            <w:pPr>
              <w:spacing w:after="0" w:line="240" w:lineRule="auto"/>
              <w:jc w:val="center"/>
              <w:rPr>
                <w:rFonts w:eastAsia="Calibri"/>
                <w:sz w:val="20"/>
              </w:rPr>
            </w:pPr>
            <w:r>
              <w:rPr>
                <w:rFonts w:eastAsia="Calibri"/>
                <w:sz w:val="20"/>
                <w:szCs w:val="20"/>
              </w:rPr>
              <w:t>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01DB0" w14:textId="2E239E69" w:rsidR="00835812" w:rsidRPr="0000532F" w:rsidRDefault="005C7F62" w:rsidP="00CF497B">
            <w:pPr>
              <w:spacing w:after="0" w:line="240" w:lineRule="auto"/>
              <w:jc w:val="center"/>
              <w:rPr>
                <w:rFonts w:eastAsia="Calibri"/>
                <w:sz w:val="20"/>
              </w:rPr>
            </w:pPr>
            <w:r>
              <w:rPr>
                <w:rFonts w:eastAsia="Calibri"/>
                <w:sz w:val="20"/>
              </w:rPr>
              <w:t>8</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B319F" w14:textId="205E0AFA" w:rsidR="00835812" w:rsidRPr="0000532F" w:rsidRDefault="00835812" w:rsidP="008304FF">
            <w:pPr>
              <w:spacing w:after="0" w:line="240" w:lineRule="auto"/>
              <w:jc w:val="center"/>
              <w:rPr>
                <w:rFonts w:eastAsia="Calibri"/>
                <w:sz w:val="20"/>
              </w:rPr>
            </w:pPr>
            <w:r>
              <w:rPr>
                <w:rFonts w:eastAsia="Calibri"/>
                <w:sz w:val="20"/>
                <w:szCs w:val="20"/>
              </w:rPr>
              <w:t>2</w:t>
            </w:r>
            <w:r w:rsidR="008304FF">
              <w:rPr>
                <w:rFonts w:eastAsia="Calibri"/>
                <w:sz w:val="20"/>
                <w:szCs w:val="20"/>
              </w:rPr>
              <w:t>5</w:t>
            </w:r>
          </w:p>
        </w:tc>
      </w:tr>
      <w:tr w:rsidR="002E7E06" w:rsidRPr="00B10CBF" w14:paraId="46328613" w14:textId="77777777" w:rsidTr="00E869D0">
        <w:trPr>
          <w:trHeight w:val="485"/>
          <w:jc w:val="center"/>
        </w:trPr>
        <w:tc>
          <w:tcPr>
            <w:tcW w:w="3145" w:type="dxa"/>
            <w:vMerge/>
            <w:tcBorders>
              <w:left w:val="single" w:sz="4" w:space="0" w:color="auto"/>
              <w:right w:val="single" w:sz="4" w:space="0" w:color="auto"/>
            </w:tcBorders>
            <w:shd w:val="clear" w:color="auto" w:fill="FFFFFF"/>
          </w:tcPr>
          <w:p w14:paraId="7ADCE2AA" w14:textId="6F394117" w:rsidR="002E7E06" w:rsidRPr="0000532F" w:rsidRDefault="002E7E06" w:rsidP="00CF497B">
            <w:pPr>
              <w:spacing w:after="0" w:line="240" w:lineRule="auto"/>
              <w:rPr>
                <w:rFonts w:eastAsia="Calibri"/>
                <w:b/>
                <w:color w:val="000000"/>
                <w:sz w:val="20"/>
              </w:rPr>
            </w:pPr>
          </w:p>
        </w:tc>
        <w:tc>
          <w:tcPr>
            <w:tcW w:w="720" w:type="dxa"/>
            <w:vMerge/>
            <w:tcBorders>
              <w:left w:val="single" w:sz="4" w:space="0" w:color="auto"/>
              <w:right w:val="single" w:sz="4" w:space="0" w:color="auto"/>
            </w:tcBorders>
            <w:shd w:val="clear" w:color="auto" w:fill="FFFFFF"/>
          </w:tcPr>
          <w:p w14:paraId="06F08414" w14:textId="77777777" w:rsidR="002E7E06" w:rsidRPr="0000532F" w:rsidRDefault="002E7E06" w:rsidP="00CF497B">
            <w:pPr>
              <w:spacing w:after="0" w:line="240" w:lineRule="auto"/>
              <w:rPr>
                <w:rFonts w:eastAsia="Calibri"/>
                <w:b/>
                <w:color w:val="000000"/>
                <w:sz w:val="20"/>
              </w:rPr>
            </w:pPr>
          </w:p>
        </w:tc>
        <w:tc>
          <w:tcPr>
            <w:tcW w:w="11160" w:type="dxa"/>
            <w:gridSpan w:val="5"/>
            <w:tcBorders>
              <w:left w:val="single" w:sz="4" w:space="0" w:color="auto"/>
              <w:right w:val="single" w:sz="4" w:space="0" w:color="auto"/>
            </w:tcBorders>
            <w:shd w:val="clear" w:color="auto" w:fill="D9D9D9" w:themeFill="background1" w:themeFillShade="D9"/>
          </w:tcPr>
          <w:p w14:paraId="3205A72E" w14:textId="1974A7D7" w:rsidR="002E7E06" w:rsidRPr="00A75284" w:rsidRDefault="002E7E06" w:rsidP="005C7F62">
            <w:pPr>
              <w:spacing w:after="0" w:line="240" w:lineRule="auto"/>
              <w:rPr>
                <w:rFonts w:eastAsia="Calibri"/>
                <w:sz w:val="18"/>
                <w:szCs w:val="18"/>
              </w:rPr>
            </w:pPr>
            <w:r w:rsidRPr="00A75284">
              <w:rPr>
                <w:rFonts w:ascii="Calibri" w:eastAsia="Calibri" w:hAnsi="Calibri" w:cs="Times New Roman"/>
                <w:b/>
                <w:sz w:val="18"/>
                <w:szCs w:val="18"/>
                <w:lang w:eastAsia="en-US"/>
              </w:rPr>
              <w:t xml:space="preserve">Indicator 3.5.2 Note: </w:t>
            </w:r>
            <w:r w:rsidRPr="00A75284">
              <w:rPr>
                <w:rFonts w:ascii="Calibri" w:eastAsia="Calibri" w:hAnsi="Calibri"/>
                <w:sz w:val="18"/>
                <w:szCs w:val="18"/>
              </w:rPr>
              <w:t xml:space="preserve">Qualitative indicator through which effectiveness of UNDP’s support (on demand </w:t>
            </w:r>
            <w:r w:rsidRPr="00A75284">
              <w:rPr>
                <w:sz w:val="18"/>
                <w:szCs w:val="18"/>
              </w:rPr>
              <w:t>from programme countries</w:t>
            </w:r>
            <w:r w:rsidRPr="00A75284">
              <w:rPr>
                <w:rFonts w:ascii="Calibri" w:eastAsia="Calibri" w:hAnsi="Calibri"/>
                <w:sz w:val="18"/>
                <w:szCs w:val="18"/>
              </w:rPr>
              <w:t>)</w:t>
            </w:r>
            <w:r w:rsidRPr="00A75284">
              <w:rPr>
                <w:sz w:val="18"/>
                <w:szCs w:val="18"/>
              </w:rPr>
              <w:t xml:space="preserve"> to community level gender-sensitive and evidence-based security strategies is </w:t>
            </w:r>
            <w:r w:rsidRPr="00A75284">
              <w:rPr>
                <w:rFonts w:eastAsia="Calibri"/>
                <w:sz w:val="18"/>
                <w:szCs w:val="18"/>
              </w:rPr>
              <w:t>tracked using a qualitative rating scale</w:t>
            </w:r>
            <w:r w:rsidRPr="00A75284">
              <w:rPr>
                <w:rFonts w:ascii="Calibri" w:eastAsia="Calibri" w:hAnsi="Calibri" w:cs="Times New Roman"/>
                <w:sz w:val="18"/>
                <w:szCs w:val="18"/>
                <w:lang w:eastAsia="en-US"/>
              </w:rPr>
              <w:t xml:space="preserve"> (1= not adequately, 2= very partially, 3=partially, 4=largely</w:t>
            </w:r>
            <w:r w:rsidRPr="00A75284">
              <w:rPr>
                <w:sz w:val="18"/>
                <w:szCs w:val="18"/>
              </w:rPr>
              <w:t>)</w:t>
            </w:r>
            <w:r w:rsidRPr="00A75284">
              <w:rPr>
                <w:rFonts w:eastAsia="Calibri"/>
                <w:sz w:val="18"/>
                <w:szCs w:val="18"/>
              </w:rPr>
              <w:t xml:space="preserve">, counting the number of countries where </w:t>
            </w:r>
            <w:r w:rsidR="00A75284">
              <w:rPr>
                <w:rFonts w:eastAsia="Calibri"/>
                <w:sz w:val="18"/>
                <w:szCs w:val="18"/>
              </w:rPr>
              <w:t xml:space="preserve">objective evidence exists that </w:t>
            </w:r>
            <w:r w:rsidRPr="00A75284">
              <w:rPr>
                <w:rFonts w:eastAsia="Calibri"/>
                <w:sz w:val="18"/>
                <w:szCs w:val="18"/>
              </w:rPr>
              <w:t xml:space="preserve">UNDP support has led to </w:t>
            </w:r>
            <w:r w:rsidR="00A75284">
              <w:rPr>
                <w:rFonts w:eastAsia="Calibri"/>
                <w:sz w:val="18"/>
                <w:szCs w:val="18"/>
              </w:rPr>
              <w:t>strategies being at least partially operational</w:t>
            </w:r>
            <w:r w:rsidRPr="00A75284">
              <w:rPr>
                <w:rFonts w:eastAsia="Calibri"/>
                <w:sz w:val="18"/>
                <w:szCs w:val="18"/>
              </w:rPr>
              <w:t xml:space="preserve"> from January 2014 onwards.</w:t>
            </w:r>
            <w:r w:rsidR="005C7F62" w:rsidRPr="00A75284">
              <w:rPr>
                <w:rFonts w:eastAsia="Calibri"/>
                <w:sz w:val="18"/>
                <w:szCs w:val="18"/>
              </w:rPr>
              <w:t xml:space="preserve"> </w:t>
            </w:r>
          </w:p>
          <w:p w14:paraId="5407B188" w14:textId="6F771508" w:rsidR="008304FF" w:rsidRPr="00A75284" w:rsidRDefault="008304FF" w:rsidP="008304FF">
            <w:pPr>
              <w:spacing w:after="0" w:line="240" w:lineRule="auto"/>
              <w:rPr>
                <w:rFonts w:ascii="Calibri" w:eastAsia="Calibri" w:hAnsi="Calibri" w:cs="Times New Roman"/>
                <w:b/>
                <w:sz w:val="18"/>
                <w:szCs w:val="18"/>
                <w:lang w:eastAsia="en-US"/>
              </w:rPr>
            </w:pPr>
            <w:r w:rsidRPr="00A75284">
              <w:rPr>
                <w:rFonts w:eastAsia="Calibri"/>
                <w:b/>
                <w:sz w:val="18"/>
                <w:szCs w:val="18"/>
              </w:rPr>
              <w:t xml:space="preserve">2014 Reporting Note: </w:t>
            </w:r>
            <w:r w:rsidRPr="00A75284">
              <w:rPr>
                <w:rFonts w:eastAsia="Calibri"/>
                <w:sz w:val="18"/>
                <w:szCs w:val="18"/>
              </w:rPr>
              <w:t>2017 target updated to reflect more complete reporting from country offices. For reference, previous target was 20.</w:t>
            </w:r>
          </w:p>
        </w:tc>
      </w:tr>
    </w:tbl>
    <w:p w14:paraId="783F9AD6" w14:textId="77777777" w:rsidR="004C0EBA" w:rsidRDefault="004C0EBA" w:rsidP="00724F77"/>
    <w:tbl>
      <w:tblPr>
        <w:tblW w:w="1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5"/>
        <w:gridCol w:w="8910"/>
        <w:gridCol w:w="1530"/>
        <w:gridCol w:w="1620"/>
        <w:gridCol w:w="2250"/>
      </w:tblGrid>
      <w:tr w:rsidR="004E2D72" w:rsidRPr="00283732" w14:paraId="0FE306F4" w14:textId="77777777" w:rsidTr="00EF7BF7">
        <w:trPr>
          <w:trHeight w:val="263"/>
          <w:jc w:val="center"/>
        </w:trPr>
        <w:tc>
          <w:tcPr>
            <w:tcW w:w="14845" w:type="dxa"/>
            <w:gridSpan w:val="5"/>
            <w:tcBorders>
              <w:top w:val="single" w:sz="4" w:space="0" w:color="auto"/>
              <w:left w:val="single" w:sz="4" w:space="0" w:color="auto"/>
              <w:bottom w:val="single" w:sz="4" w:space="0" w:color="auto"/>
              <w:right w:val="single" w:sz="4" w:space="0" w:color="auto"/>
            </w:tcBorders>
            <w:shd w:val="clear" w:color="auto" w:fill="0070C0"/>
          </w:tcPr>
          <w:p w14:paraId="261F0A83" w14:textId="5D427309" w:rsidR="004E2D72" w:rsidRPr="00015A57" w:rsidRDefault="004E2D72" w:rsidP="002966DD">
            <w:pPr>
              <w:spacing w:after="0" w:line="240" w:lineRule="auto"/>
              <w:rPr>
                <w:rFonts w:eastAsia="Calibri"/>
                <w:b/>
                <w:sz w:val="28"/>
                <w:szCs w:val="28"/>
              </w:rPr>
            </w:pPr>
            <w:r w:rsidRPr="00301E5B">
              <w:rPr>
                <w:rStyle w:val="Heading3Char"/>
                <w:rFonts w:asciiTheme="minorHAnsi" w:eastAsia="Calibri" w:hAnsiTheme="minorHAnsi"/>
                <w:color w:val="FFFF00"/>
                <w:sz w:val="24"/>
                <w:szCs w:val="24"/>
                <w:u w:val="single"/>
              </w:rPr>
              <w:t>Outcome 4:</w:t>
            </w:r>
            <w:r>
              <w:rPr>
                <w:rFonts w:eastAsia="Calibri"/>
                <w:b/>
                <w:color w:val="FFFF00"/>
                <w:sz w:val="24"/>
                <w:szCs w:val="24"/>
                <w:lang w:val="x-none" w:eastAsia="x-none"/>
              </w:rPr>
              <w:t xml:space="preserve"> </w:t>
            </w:r>
            <w:r w:rsidRPr="00D639F9">
              <w:rPr>
                <w:rFonts w:eastAsia="Calibri"/>
                <w:b/>
                <w:color w:val="FFFF00"/>
                <w:sz w:val="24"/>
                <w:szCs w:val="24"/>
                <w:lang w:val="x-none" w:eastAsia="x-none"/>
              </w:rPr>
              <w:t>Faster progress is achieved in reducing gender inequality and promoting women’s empowerment</w:t>
            </w:r>
          </w:p>
        </w:tc>
      </w:tr>
      <w:tr w:rsidR="00F41360" w:rsidRPr="00283732" w14:paraId="69DA34CD" w14:textId="77777777" w:rsidTr="00500616">
        <w:trPr>
          <w:trHeight w:val="134"/>
          <w:jc w:val="center"/>
        </w:trPr>
        <w:tc>
          <w:tcPr>
            <w:tcW w:w="9445"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38E7D6F" w14:textId="3B85CACF" w:rsidR="00F41360" w:rsidRPr="0000532F" w:rsidRDefault="00F41360" w:rsidP="002966DD">
            <w:pPr>
              <w:spacing w:after="0" w:line="240" w:lineRule="auto"/>
              <w:rPr>
                <w:rFonts w:eastAsia="Calibri"/>
                <w:b/>
                <w:sz w:val="20"/>
                <w:szCs w:val="20"/>
              </w:rPr>
            </w:pPr>
            <w:r w:rsidRPr="0000532F">
              <w:rPr>
                <w:rFonts w:eastAsia="Calibri"/>
                <w:b/>
                <w:sz w:val="20"/>
                <w:szCs w:val="20"/>
              </w:rPr>
              <w:t>Outcome Indicators</w:t>
            </w:r>
            <w:r w:rsidR="00E62C9B">
              <w:rPr>
                <w:rFonts w:eastAsia="Calibri"/>
                <w:b/>
                <w:sz w:val="20"/>
                <w:szCs w:val="20"/>
              </w:rPr>
              <w:t xml:space="preserve"> </w:t>
            </w:r>
            <w:r w:rsidR="00E62C9B">
              <w:rPr>
                <w:rFonts w:eastAsia="Calibri"/>
                <w:sz w:val="20"/>
              </w:rPr>
              <w:t>(</w:t>
            </w:r>
            <w:r w:rsidR="00E62C9B" w:rsidRPr="009B5098">
              <w:rPr>
                <w:rFonts w:ascii="Calibri" w:eastAsia="SimSun" w:hAnsi="Calibri"/>
                <w:b/>
                <w:sz w:val="18"/>
                <w:szCs w:val="18"/>
                <w:lang w:eastAsia="zh-CN"/>
              </w:rPr>
              <w:t xml:space="preserve">* </w:t>
            </w:r>
            <w:r w:rsidR="00E62C9B" w:rsidRPr="009B5098">
              <w:rPr>
                <w:rFonts w:ascii="Calibri" w:eastAsia="SimSun" w:hAnsi="Calibri"/>
                <w:sz w:val="18"/>
                <w:szCs w:val="18"/>
                <w:lang w:eastAsia="zh-CN"/>
              </w:rPr>
              <w:t>Using lates</w:t>
            </w:r>
            <w:r w:rsidR="00E62C9B">
              <w:rPr>
                <w:rFonts w:ascii="Calibri" w:eastAsia="SimSun" w:hAnsi="Calibri"/>
                <w:sz w:val="18"/>
                <w:szCs w:val="18"/>
                <w:lang w:eastAsia="zh-CN"/>
              </w:rPr>
              <w:t>t data up to the year specified)</w:t>
            </w:r>
          </w:p>
        </w:tc>
        <w:tc>
          <w:tcPr>
            <w:tcW w:w="1530" w:type="dxa"/>
            <w:tcBorders>
              <w:top w:val="single" w:sz="4" w:space="0" w:color="auto"/>
              <w:left w:val="single" w:sz="4" w:space="0" w:color="auto"/>
              <w:bottom w:val="single" w:sz="4" w:space="0" w:color="auto"/>
              <w:right w:val="single" w:sz="4" w:space="0" w:color="auto"/>
            </w:tcBorders>
            <w:shd w:val="clear" w:color="auto" w:fill="F2F2F2"/>
          </w:tcPr>
          <w:p w14:paraId="5C6EC70A" w14:textId="77777777" w:rsidR="00F41360" w:rsidRPr="0000532F" w:rsidRDefault="00F41360" w:rsidP="002966DD">
            <w:pPr>
              <w:spacing w:after="0" w:line="240" w:lineRule="auto"/>
              <w:rPr>
                <w:rFonts w:eastAsia="Calibri"/>
                <w:b/>
                <w:sz w:val="20"/>
                <w:szCs w:val="20"/>
              </w:rPr>
            </w:pPr>
            <w:r w:rsidRPr="0000532F">
              <w:rPr>
                <w:rFonts w:eastAsia="Calibri"/>
                <w:b/>
                <w:sz w:val="20"/>
                <w:szCs w:val="20"/>
              </w:rPr>
              <w:t>Baseline 2013</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14:paraId="1F0D326E" w14:textId="5B722876" w:rsidR="00F41360" w:rsidRPr="0000532F" w:rsidRDefault="00F41360" w:rsidP="002966DD">
            <w:pPr>
              <w:spacing w:after="0" w:line="240" w:lineRule="auto"/>
              <w:rPr>
                <w:rFonts w:eastAsia="Calibri"/>
                <w:b/>
                <w:sz w:val="20"/>
                <w:szCs w:val="20"/>
              </w:rPr>
            </w:pPr>
            <w:r>
              <w:rPr>
                <w:rFonts w:eastAsia="Calibri"/>
                <w:b/>
                <w:sz w:val="20"/>
                <w:szCs w:val="20"/>
              </w:rPr>
              <w:t>Actual 2014</w:t>
            </w:r>
          </w:p>
        </w:tc>
        <w:tc>
          <w:tcPr>
            <w:tcW w:w="2250" w:type="dxa"/>
            <w:tcBorders>
              <w:top w:val="single" w:sz="4" w:space="0" w:color="auto"/>
              <w:left w:val="single" w:sz="4" w:space="0" w:color="auto"/>
              <w:bottom w:val="single" w:sz="4" w:space="0" w:color="auto"/>
              <w:right w:val="single" w:sz="4" w:space="0" w:color="auto"/>
            </w:tcBorders>
            <w:shd w:val="clear" w:color="auto" w:fill="F2F2F2"/>
          </w:tcPr>
          <w:p w14:paraId="20D6C1EC" w14:textId="215A44C6" w:rsidR="00F41360" w:rsidRPr="0000532F" w:rsidRDefault="00F41360" w:rsidP="002966DD">
            <w:pPr>
              <w:spacing w:after="0" w:line="240" w:lineRule="auto"/>
              <w:rPr>
                <w:rFonts w:eastAsia="Calibri"/>
                <w:b/>
                <w:sz w:val="20"/>
                <w:szCs w:val="20"/>
              </w:rPr>
            </w:pPr>
            <w:r w:rsidRPr="0000532F">
              <w:rPr>
                <w:rFonts w:eastAsia="Calibri"/>
                <w:b/>
                <w:sz w:val="20"/>
                <w:szCs w:val="20"/>
              </w:rPr>
              <w:t>Target 2017</w:t>
            </w:r>
          </w:p>
        </w:tc>
      </w:tr>
      <w:tr w:rsidR="00F41360" w:rsidRPr="00123897" w14:paraId="12703335" w14:textId="77777777" w:rsidTr="00500616">
        <w:trPr>
          <w:trHeight w:val="287"/>
          <w:jc w:val="center"/>
        </w:trPr>
        <w:tc>
          <w:tcPr>
            <w:tcW w:w="535" w:type="dxa"/>
            <w:vMerge w:val="restart"/>
            <w:tcBorders>
              <w:top w:val="single" w:sz="4" w:space="0" w:color="auto"/>
              <w:left w:val="single" w:sz="4" w:space="0" w:color="auto"/>
              <w:right w:val="single" w:sz="4" w:space="0" w:color="auto"/>
            </w:tcBorders>
            <w:shd w:val="clear" w:color="auto" w:fill="FFFFFF" w:themeFill="background1"/>
            <w:hideMark/>
          </w:tcPr>
          <w:p w14:paraId="732893E8" w14:textId="77777777" w:rsidR="00F41360" w:rsidRPr="0000532F" w:rsidRDefault="00F41360" w:rsidP="005B61BA">
            <w:pPr>
              <w:spacing w:after="0" w:line="240" w:lineRule="auto"/>
              <w:ind w:right="-117"/>
              <w:rPr>
                <w:b/>
                <w:sz w:val="20"/>
                <w:szCs w:val="20"/>
              </w:rPr>
            </w:pPr>
            <w:r w:rsidRPr="0000532F">
              <w:rPr>
                <w:b/>
                <w:sz w:val="20"/>
                <w:szCs w:val="20"/>
              </w:rPr>
              <w:t>4.1</w:t>
            </w:r>
          </w:p>
        </w:tc>
        <w:tc>
          <w:tcPr>
            <w:tcW w:w="8910" w:type="dxa"/>
            <w:tcBorders>
              <w:top w:val="single" w:sz="4" w:space="0" w:color="auto"/>
              <w:left w:val="single" w:sz="4" w:space="0" w:color="auto"/>
              <w:bottom w:val="single" w:sz="4" w:space="0" w:color="auto"/>
              <w:right w:val="single" w:sz="4" w:space="0" w:color="auto"/>
            </w:tcBorders>
            <w:shd w:val="clear" w:color="auto" w:fill="FFFFFF" w:themeFill="background1"/>
          </w:tcPr>
          <w:p w14:paraId="76BF19A6" w14:textId="1064E6A6" w:rsidR="00F41360" w:rsidRPr="0000532F" w:rsidRDefault="00F41360" w:rsidP="005B61BA">
            <w:pPr>
              <w:spacing w:after="0" w:line="240" w:lineRule="auto"/>
              <w:ind w:right="-117"/>
              <w:rPr>
                <w:b/>
                <w:sz w:val="20"/>
                <w:szCs w:val="20"/>
              </w:rPr>
            </w:pPr>
            <w:r w:rsidRPr="0000532F">
              <w:rPr>
                <w:b/>
                <w:sz w:val="20"/>
                <w:szCs w:val="20"/>
              </w:rPr>
              <w:t xml:space="preserve">Wage gap </w:t>
            </w:r>
            <w:r w:rsidR="0053428A">
              <w:rPr>
                <w:sz w:val="20"/>
                <w:szCs w:val="20"/>
              </w:rPr>
              <w:t>between men and women</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1C47E493" w14:textId="751689F5" w:rsidR="006E56C4" w:rsidRPr="0009395F" w:rsidRDefault="00F41360" w:rsidP="00A6477E">
            <w:pPr>
              <w:spacing w:after="0" w:line="240" w:lineRule="auto"/>
              <w:jc w:val="center"/>
              <w:rPr>
                <w:sz w:val="20"/>
              </w:rPr>
            </w:pPr>
            <w:r w:rsidRPr="0009395F">
              <w:rPr>
                <w:sz w:val="20"/>
              </w:rPr>
              <w:t>18% (201</w:t>
            </w:r>
            <w:r w:rsidR="00A6477E" w:rsidRPr="0009395F">
              <w:rPr>
                <w:sz w:val="20"/>
              </w:rPr>
              <w:t>1</w:t>
            </w:r>
            <w:r w:rsidR="00E62C9B" w:rsidRPr="0009395F">
              <w:rPr>
                <w:sz w:val="20"/>
              </w:rPr>
              <w:t>*</w:t>
            </w:r>
            <w:r w:rsidRPr="0009395F">
              <w:rPr>
                <w:sz w:val="20"/>
              </w:rPr>
              <w:t>)</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6E3D044" w14:textId="4F629AD0" w:rsidR="00F41360" w:rsidRPr="0009395F" w:rsidRDefault="00EA4C79" w:rsidP="005B61BA">
            <w:pPr>
              <w:spacing w:after="0" w:line="240" w:lineRule="auto"/>
              <w:rPr>
                <w:sz w:val="20"/>
              </w:rPr>
            </w:pPr>
            <w:r w:rsidRPr="0009395F">
              <w:rPr>
                <w:sz w:val="20"/>
              </w:rPr>
              <w:t>Not yet available</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0D18AB34" w14:textId="585458E9" w:rsidR="00F41360" w:rsidRPr="005B61BA" w:rsidRDefault="00F41360" w:rsidP="005B61BA">
            <w:pPr>
              <w:spacing w:after="0" w:line="240" w:lineRule="auto"/>
              <w:rPr>
                <w:sz w:val="20"/>
              </w:rPr>
            </w:pPr>
            <w:r w:rsidRPr="005B61BA">
              <w:rPr>
                <w:sz w:val="20"/>
              </w:rPr>
              <w:t>Direction of travel based on past trend:</w:t>
            </w:r>
          </w:p>
          <w:p w14:paraId="066CAE87" w14:textId="77777777" w:rsidR="00F41360" w:rsidRPr="005B61BA" w:rsidRDefault="00F41360" w:rsidP="005B61BA">
            <w:pPr>
              <w:spacing w:after="0" w:line="240" w:lineRule="auto"/>
              <w:rPr>
                <w:sz w:val="20"/>
              </w:rPr>
            </w:pPr>
            <w:r w:rsidRPr="005B61BA">
              <w:rPr>
                <w:b/>
                <w:sz w:val="20"/>
              </w:rPr>
              <w:t>Decrease</w:t>
            </w:r>
            <w:r w:rsidRPr="005B61BA">
              <w:rPr>
                <w:sz w:val="20"/>
              </w:rPr>
              <w:t xml:space="preserve">, 16% (trend) </w:t>
            </w:r>
          </w:p>
        </w:tc>
      </w:tr>
      <w:tr w:rsidR="0050518E" w:rsidRPr="00123897" w14:paraId="2AF24204" w14:textId="77777777" w:rsidTr="00500616">
        <w:trPr>
          <w:trHeight w:val="287"/>
          <w:jc w:val="center"/>
        </w:trPr>
        <w:tc>
          <w:tcPr>
            <w:tcW w:w="535" w:type="dxa"/>
            <w:vMerge/>
            <w:tcBorders>
              <w:left w:val="single" w:sz="4" w:space="0" w:color="auto"/>
              <w:bottom w:val="single" w:sz="4" w:space="0" w:color="auto"/>
              <w:right w:val="single" w:sz="4" w:space="0" w:color="auto"/>
            </w:tcBorders>
            <w:shd w:val="clear" w:color="auto" w:fill="FFFFFF" w:themeFill="background1"/>
          </w:tcPr>
          <w:p w14:paraId="75693AA3" w14:textId="77777777" w:rsidR="0050518E" w:rsidRPr="0000532F" w:rsidRDefault="0050518E" w:rsidP="00D639F9">
            <w:pPr>
              <w:spacing w:after="0" w:line="240" w:lineRule="auto"/>
              <w:ind w:right="-117"/>
              <w:rPr>
                <w:b/>
                <w:sz w:val="20"/>
                <w:szCs w:val="20"/>
              </w:rPr>
            </w:pPr>
          </w:p>
        </w:tc>
        <w:tc>
          <w:tcPr>
            <w:tcW w:w="14310" w:type="dxa"/>
            <w:gridSpan w:val="4"/>
            <w:tcBorders>
              <w:left w:val="single" w:sz="4" w:space="0" w:color="auto"/>
              <w:bottom w:val="single" w:sz="4" w:space="0" w:color="auto"/>
              <w:right w:val="single" w:sz="4" w:space="0" w:color="auto"/>
            </w:tcBorders>
            <w:shd w:val="clear" w:color="auto" w:fill="D9D9D9" w:themeFill="background1" w:themeFillShade="D9"/>
          </w:tcPr>
          <w:p w14:paraId="60FB7CDE" w14:textId="116DFA70" w:rsidR="0050518E" w:rsidRPr="00E8103D" w:rsidRDefault="0050518E" w:rsidP="001B107F">
            <w:pPr>
              <w:spacing w:after="0" w:line="240" w:lineRule="auto"/>
              <w:rPr>
                <w:sz w:val="20"/>
                <w:szCs w:val="20"/>
              </w:rPr>
            </w:pPr>
            <w:r w:rsidRPr="00E8103D">
              <w:rPr>
                <w:rFonts w:eastAsia="Calibri"/>
                <w:b/>
                <w:sz w:val="18"/>
                <w:szCs w:val="18"/>
              </w:rPr>
              <w:t>Source</w:t>
            </w:r>
            <w:r w:rsidRPr="00E8103D">
              <w:rPr>
                <w:rFonts w:eastAsia="Calibri"/>
                <w:sz w:val="18"/>
                <w:szCs w:val="18"/>
              </w:rPr>
              <w:t>: UNDP calculations using data from International Labour Organization (Globa</w:t>
            </w:r>
            <w:r w:rsidR="00E62C9B">
              <w:rPr>
                <w:rFonts w:eastAsia="Calibri"/>
                <w:sz w:val="18"/>
                <w:szCs w:val="18"/>
              </w:rPr>
              <w:t xml:space="preserve">l Wage Database). Simple </w:t>
            </w:r>
            <w:r w:rsidRPr="00E8103D">
              <w:rPr>
                <w:rFonts w:eastAsia="Calibri"/>
                <w:sz w:val="18"/>
                <w:szCs w:val="18"/>
              </w:rPr>
              <w:t>average</w:t>
            </w:r>
            <w:r w:rsidR="00E62C9B">
              <w:rPr>
                <w:rFonts w:eastAsia="Calibri"/>
                <w:sz w:val="18"/>
                <w:szCs w:val="18"/>
              </w:rPr>
              <w:t xml:space="preserve"> for 44 programme countries with data in recent years.</w:t>
            </w:r>
            <w:r w:rsidRPr="00E8103D">
              <w:rPr>
                <w:rFonts w:eastAsia="Calibri"/>
                <w:sz w:val="18"/>
                <w:szCs w:val="18"/>
              </w:rPr>
              <w:t xml:space="preserve"> </w:t>
            </w:r>
            <w:r w:rsidR="001B107F">
              <w:rPr>
                <w:rFonts w:eastAsia="Calibri"/>
                <w:sz w:val="18"/>
                <w:szCs w:val="18"/>
              </w:rPr>
              <w:t>Since there is no internationally-agreed numerical target, target is set (a decrease) on the basis of a t</w:t>
            </w:r>
            <w:r w:rsidRPr="00E8103D">
              <w:rPr>
                <w:rFonts w:eastAsia="Calibri"/>
                <w:sz w:val="18"/>
                <w:szCs w:val="18"/>
              </w:rPr>
              <w:t>rend estimat</w:t>
            </w:r>
            <w:r w:rsidR="001B107F">
              <w:rPr>
                <w:rFonts w:eastAsia="Calibri"/>
                <w:sz w:val="18"/>
                <w:szCs w:val="18"/>
              </w:rPr>
              <w:t>ion</w:t>
            </w:r>
            <w:r w:rsidRPr="00E8103D">
              <w:rPr>
                <w:rFonts w:eastAsia="Calibri"/>
                <w:sz w:val="18"/>
                <w:szCs w:val="18"/>
              </w:rPr>
              <w:t xml:space="preserve"> by UN</w:t>
            </w:r>
            <w:r w:rsidR="001B107F">
              <w:rPr>
                <w:rFonts w:eastAsia="Calibri"/>
                <w:sz w:val="18"/>
                <w:szCs w:val="18"/>
              </w:rPr>
              <w:t>DP, using historical data</w:t>
            </w:r>
            <w:r w:rsidR="00A75284">
              <w:rPr>
                <w:rFonts w:eastAsia="Calibri"/>
                <w:sz w:val="18"/>
                <w:szCs w:val="18"/>
              </w:rPr>
              <w:t>.</w:t>
            </w:r>
          </w:p>
        </w:tc>
      </w:tr>
      <w:tr w:rsidR="00F41360" w:rsidRPr="00123897" w14:paraId="46636EF4" w14:textId="77777777" w:rsidTr="00500616">
        <w:trPr>
          <w:trHeight w:val="70"/>
          <w:jc w:val="center"/>
        </w:trPr>
        <w:tc>
          <w:tcPr>
            <w:tcW w:w="535" w:type="dxa"/>
            <w:vMerge w:val="restart"/>
            <w:tcBorders>
              <w:top w:val="single" w:sz="4" w:space="0" w:color="auto"/>
              <w:left w:val="single" w:sz="4" w:space="0" w:color="auto"/>
              <w:right w:val="single" w:sz="4" w:space="0" w:color="auto"/>
            </w:tcBorders>
            <w:shd w:val="clear" w:color="auto" w:fill="FFFFFF" w:themeFill="background1"/>
            <w:hideMark/>
          </w:tcPr>
          <w:p w14:paraId="2ADB667A" w14:textId="77777777" w:rsidR="00F41360" w:rsidRPr="0000532F" w:rsidRDefault="00F41360" w:rsidP="005B61BA">
            <w:pPr>
              <w:spacing w:after="0" w:line="240" w:lineRule="auto"/>
              <w:ind w:right="-117"/>
              <w:rPr>
                <w:b/>
                <w:sz w:val="20"/>
                <w:szCs w:val="20"/>
              </w:rPr>
            </w:pPr>
            <w:r>
              <w:rPr>
                <w:b/>
                <w:sz w:val="20"/>
                <w:szCs w:val="20"/>
              </w:rPr>
              <w:t>4.2</w:t>
            </w:r>
          </w:p>
        </w:tc>
        <w:tc>
          <w:tcPr>
            <w:tcW w:w="8910" w:type="dxa"/>
            <w:tcBorders>
              <w:top w:val="single" w:sz="4" w:space="0" w:color="auto"/>
              <w:left w:val="single" w:sz="4" w:space="0" w:color="auto"/>
              <w:bottom w:val="single" w:sz="4" w:space="0" w:color="auto"/>
              <w:right w:val="single" w:sz="4" w:space="0" w:color="auto"/>
            </w:tcBorders>
            <w:shd w:val="clear" w:color="auto" w:fill="FFFFFF" w:themeFill="background1"/>
          </w:tcPr>
          <w:p w14:paraId="3DF713B0" w14:textId="0BDE2508" w:rsidR="00F41360" w:rsidRPr="0000532F" w:rsidRDefault="00F41360" w:rsidP="005B61BA">
            <w:pPr>
              <w:spacing w:after="0" w:line="240" w:lineRule="auto"/>
              <w:ind w:right="-117"/>
              <w:rPr>
                <w:b/>
                <w:sz w:val="20"/>
                <w:szCs w:val="20"/>
              </w:rPr>
            </w:pPr>
            <w:r w:rsidRPr="0000532F">
              <w:rPr>
                <w:b/>
                <w:sz w:val="20"/>
                <w:szCs w:val="20"/>
              </w:rPr>
              <w:t>Gender gap in access to credit</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4ABB17B6" w14:textId="77777777" w:rsidR="00F41360" w:rsidRPr="00E8103D" w:rsidRDefault="00F41360" w:rsidP="00EA4C79">
            <w:pPr>
              <w:spacing w:after="0" w:line="240" w:lineRule="auto"/>
              <w:jc w:val="center"/>
              <w:rPr>
                <w:sz w:val="20"/>
              </w:rPr>
            </w:pPr>
            <w:r w:rsidRPr="00E8103D">
              <w:rPr>
                <w:sz w:val="20"/>
              </w:rPr>
              <w:t>7% (2011)</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54752D59" w14:textId="497BF535" w:rsidR="00F41360" w:rsidRPr="005B61BA" w:rsidRDefault="00250AB1" w:rsidP="005B61BA">
            <w:pPr>
              <w:spacing w:after="0" w:line="240" w:lineRule="auto"/>
              <w:rPr>
                <w:sz w:val="20"/>
              </w:rPr>
            </w:pPr>
            <w:r w:rsidRPr="0009395F">
              <w:rPr>
                <w:sz w:val="20"/>
                <w:szCs w:val="20"/>
              </w:rPr>
              <w:t>Not yet available</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0689739E" w14:textId="64C77F8D" w:rsidR="00F41360" w:rsidRPr="005B61BA" w:rsidRDefault="00F41360" w:rsidP="005B61BA">
            <w:pPr>
              <w:spacing w:after="0" w:line="240" w:lineRule="auto"/>
              <w:rPr>
                <w:sz w:val="20"/>
              </w:rPr>
            </w:pPr>
            <w:r w:rsidRPr="005B61BA">
              <w:rPr>
                <w:sz w:val="20"/>
              </w:rPr>
              <w:t>Direction of travel based on past trend:</w:t>
            </w:r>
          </w:p>
          <w:p w14:paraId="62252759" w14:textId="77777777" w:rsidR="00F41360" w:rsidRPr="005B61BA" w:rsidRDefault="00F41360" w:rsidP="005B61BA">
            <w:pPr>
              <w:spacing w:after="0" w:line="240" w:lineRule="auto"/>
              <w:rPr>
                <w:sz w:val="20"/>
              </w:rPr>
            </w:pPr>
            <w:r w:rsidRPr="005B61BA">
              <w:rPr>
                <w:b/>
                <w:sz w:val="20"/>
              </w:rPr>
              <w:t>Decrease</w:t>
            </w:r>
            <w:r w:rsidRPr="005B61BA">
              <w:rPr>
                <w:sz w:val="20"/>
              </w:rPr>
              <w:t xml:space="preserve">, 5% (trend) </w:t>
            </w:r>
          </w:p>
        </w:tc>
      </w:tr>
      <w:tr w:rsidR="0050518E" w:rsidRPr="00123897" w14:paraId="714F1910" w14:textId="77777777" w:rsidTr="00500616">
        <w:trPr>
          <w:trHeight w:val="70"/>
          <w:jc w:val="center"/>
        </w:trPr>
        <w:tc>
          <w:tcPr>
            <w:tcW w:w="535" w:type="dxa"/>
            <w:vMerge/>
            <w:tcBorders>
              <w:left w:val="single" w:sz="4" w:space="0" w:color="auto"/>
              <w:bottom w:val="single" w:sz="4" w:space="0" w:color="auto"/>
              <w:right w:val="single" w:sz="4" w:space="0" w:color="auto"/>
            </w:tcBorders>
            <w:shd w:val="clear" w:color="auto" w:fill="FFFFFF" w:themeFill="background1"/>
          </w:tcPr>
          <w:p w14:paraId="6FA45683" w14:textId="77777777" w:rsidR="0050518E" w:rsidRPr="0000532F" w:rsidRDefault="0050518E" w:rsidP="005B61BA">
            <w:pPr>
              <w:spacing w:after="0" w:line="240" w:lineRule="auto"/>
              <w:ind w:right="-117"/>
              <w:rPr>
                <w:b/>
                <w:sz w:val="20"/>
                <w:szCs w:val="20"/>
              </w:rPr>
            </w:pPr>
          </w:p>
        </w:tc>
        <w:tc>
          <w:tcPr>
            <w:tcW w:w="14310" w:type="dxa"/>
            <w:gridSpan w:val="4"/>
            <w:tcBorders>
              <w:left w:val="single" w:sz="4" w:space="0" w:color="auto"/>
              <w:bottom w:val="single" w:sz="4" w:space="0" w:color="auto"/>
              <w:right w:val="single" w:sz="4" w:space="0" w:color="auto"/>
            </w:tcBorders>
            <w:shd w:val="clear" w:color="auto" w:fill="D9D9D9" w:themeFill="background1" w:themeFillShade="D9"/>
          </w:tcPr>
          <w:p w14:paraId="0E97D18F" w14:textId="01515A97" w:rsidR="0050518E" w:rsidRPr="00E8103D" w:rsidRDefault="0050518E" w:rsidP="001B107F">
            <w:pPr>
              <w:spacing w:after="0" w:line="240" w:lineRule="auto"/>
              <w:rPr>
                <w:sz w:val="20"/>
                <w:szCs w:val="20"/>
              </w:rPr>
            </w:pPr>
            <w:r w:rsidRPr="00E8103D">
              <w:rPr>
                <w:rFonts w:eastAsia="Calibri"/>
                <w:b/>
                <w:sz w:val="18"/>
                <w:szCs w:val="18"/>
              </w:rPr>
              <w:t>Source</w:t>
            </w:r>
            <w:r w:rsidRPr="00E8103D">
              <w:rPr>
                <w:rFonts w:eastAsia="Calibri"/>
                <w:sz w:val="18"/>
                <w:szCs w:val="18"/>
              </w:rPr>
              <w:t>: UNDP calculations based on World Bank, Global FINDEX database. It measures the gap between the percentage of adult men that have an account at a formal financial institution and the percentage of adult women that have an account at a formal financial institution. Baseli</w:t>
            </w:r>
            <w:r w:rsidR="00E62C9B">
              <w:rPr>
                <w:rFonts w:eastAsia="Calibri"/>
                <w:sz w:val="18"/>
                <w:szCs w:val="18"/>
              </w:rPr>
              <w:t>ne is the simple average for 111</w:t>
            </w:r>
            <w:r w:rsidRPr="00E8103D">
              <w:rPr>
                <w:rFonts w:eastAsia="Calibri"/>
                <w:sz w:val="18"/>
                <w:szCs w:val="18"/>
              </w:rPr>
              <w:t xml:space="preserve"> programme countries for 2011. </w:t>
            </w:r>
            <w:r w:rsidR="001B107F">
              <w:rPr>
                <w:rFonts w:eastAsia="Calibri"/>
                <w:sz w:val="18"/>
                <w:szCs w:val="18"/>
              </w:rPr>
              <w:t>Projected t</w:t>
            </w:r>
            <w:r w:rsidRPr="00E8103D">
              <w:rPr>
                <w:rFonts w:eastAsia="Calibri"/>
                <w:sz w:val="18"/>
                <w:szCs w:val="18"/>
              </w:rPr>
              <w:t>rend estimated by UNDP consistent with a 25% reduction of the differential in access to credit between men and women at the national level.</w:t>
            </w:r>
          </w:p>
        </w:tc>
      </w:tr>
    </w:tbl>
    <w:p w14:paraId="74E96ED7" w14:textId="77777777" w:rsidR="001B107F" w:rsidRDefault="001B107F">
      <w:r>
        <w:br w:type="page"/>
      </w:r>
    </w:p>
    <w:tbl>
      <w:tblPr>
        <w:tblW w:w="1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5"/>
        <w:gridCol w:w="2610"/>
        <w:gridCol w:w="900"/>
        <w:gridCol w:w="5400"/>
        <w:gridCol w:w="1440"/>
        <w:gridCol w:w="90"/>
        <w:gridCol w:w="1260"/>
        <w:gridCol w:w="360"/>
        <w:gridCol w:w="900"/>
        <w:gridCol w:w="1350"/>
      </w:tblGrid>
      <w:tr w:rsidR="00F41360" w:rsidRPr="00123897" w14:paraId="7965F0EC" w14:textId="77777777" w:rsidTr="00500616">
        <w:trPr>
          <w:trHeight w:val="368"/>
          <w:jc w:val="center"/>
        </w:trPr>
        <w:tc>
          <w:tcPr>
            <w:tcW w:w="535" w:type="dxa"/>
            <w:vMerge w:val="restart"/>
            <w:tcBorders>
              <w:top w:val="single" w:sz="4" w:space="0" w:color="auto"/>
              <w:left w:val="single" w:sz="4" w:space="0" w:color="auto"/>
              <w:right w:val="single" w:sz="4" w:space="0" w:color="auto"/>
            </w:tcBorders>
            <w:shd w:val="clear" w:color="auto" w:fill="FFFFFF" w:themeFill="background1"/>
            <w:hideMark/>
          </w:tcPr>
          <w:p w14:paraId="02816AE9" w14:textId="290D0E46" w:rsidR="00F41360" w:rsidRPr="0000532F" w:rsidRDefault="00F41360" w:rsidP="005B61BA">
            <w:pPr>
              <w:spacing w:after="0" w:line="240" w:lineRule="auto"/>
              <w:ind w:right="-117"/>
              <w:rPr>
                <w:b/>
                <w:sz w:val="20"/>
                <w:szCs w:val="20"/>
              </w:rPr>
            </w:pPr>
            <w:r w:rsidRPr="0000532F">
              <w:rPr>
                <w:b/>
                <w:sz w:val="20"/>
                <w:szCs w:val="20"/>
              </w:rPr>
              <w:t>4.3</w:t>
            </w:r>
          </w:p>
        </w:tc>
        <w:tc>
          <w:tcPr>
            <w:tcW w:w="89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9EF15EE" w14:textId="6E9D6A09" w:rsidR="00F41360" w:rsidRPr="0000532F" w:rsidRDefault="00F41360" w:rsidP="005B61BA">
            <w:pPr>
              <w:spacing w:after="0" w:line="240" w:lineRule="auto"/>
              <w:ind w:right="-117"/>
              <w:rPr>
                <w:b/>
                <w:sz w:val="20"/>
                <w:szCs w:val="20"/>
              </w:rPr>
            </w:pPr>
            <w:r w:rsidRPr="0000532F">
              <w:rPr>
                <w:sz w:val="20"/>
                <w:szCs w:val="20"/>
              </w:rPr>
              <w:t xml:space="preserve">[Harmonized Indicator with UN women] </w:t>
            </w:r>
            <w:r w:rsidRPr="00734ABD">
              <w:rPr>
                <w:sz w:val="20"/>
                <w:szCs w:val="20"/>
              </w:rPr>
              <w:t>Percentage of countries where there is evidence that</w:t>
            </w:r>
            <w:r w:rsidRPr="0000532F">
              <w:rPr>
                <w:b/>
                <w:sz w:val="20"/>
                <w:szCs w:val="20"/>
              </w:rPr>
              <w:t xml:space="preserve"> national prevalence of physical and/or sexual violence experienced by women has decreased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292887" w14:textId="14D9F9F4" w:rsidR="00F41360" w:rsidRPr="00E8103D" w:rsidRDefault="00F41360" w:rsidP="00EA4C79">
            <w:pPr>
              <w:jc w:val="center"/>
              <w:rPr>
                <w:sz w:val="20"/>
              </w:rPr>
            </w:pPr>
            <w:r w:rsidRPr="00E8103D">
              <w:rPr>
                <w:sz w:val="20"/>
              </w:rPr>
              <w:t>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35E909" w14:textId="337ACD8E" w:rsidR="00F41360" w:rsidRPr="005B61BA" w:rsidRDefault="00250AB1" w:rsidP="005B61BA">
            <w:pPr>
              <w:rPr>
                <w:sz w:val="20"/>
              </w:rPr>
            </w:pPr>
            <w:r w:rsidRPr="0009395F">
              <w:rPr>
                <w:sz w:val="20"/>
                <w:szCs w:val="20"/>
              </w:rPr>
              <w:t>Not yet available</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047E16" w14:textId="0956B7B2" w:rsidR="00F41360" w:rsidRPr="005B61BA" w:rsidRDefault="00F41360" w:rsidP="00EA4C79">
            <w:pPr>
              <w:jc w:val="center"/>
              <w:rPr>
                <w:sz w:val="20"/>
              </w:rPr>
            </w:pPr>
            <w:r w:rsidRPr="005B61BA">
              <w:rPr>
                <w:sz w:val="20"/>
              </w:rPr>
              <w:t>10%</w:t>
            </w:r>
          </w:p>
        </w:tc>
      </w:tr>
      <w:tr w:rsidR="0050518E" w:rsidRPr="00123897" w14:paraId="12434C4B" w14:textId="77777777" w:rsidTr="00500616">
        <w:trPr>
          <w:trHeight w:val="368"/>
          <w:jc w:val="center"/>
        </w:trPr>
        <w:tc>
          <w:tcPr>
            <w:tcW w:w="535" w:type="dxa"/>
            <w:vMerge/>
            <w:tcBorders>
              <w:left w:val="single" w:sz="4" w:space="0" w:color="auto"/>
              <w:bottom w:val="single" w:sz="4" w:space="0" w:color="auto"/>
              <w:right w:val="single" w:sz="4" w:space="0" w:color="auto"/>
            </w:tcBorders>
            <w:shd w:val="clear" w:color="auto" w:fill="FFFFFF" w:themeFill="background1"/>
          </w:tcPr>
          <w:p w14:paraId="56D89341" w14:textId="77777777" w:rsidR="0050518E" w:rsidRPr="0000532F" w:rsidRDefault="0050518E" w:rsidP="005B61BA">
            <w:pPr>
              <w:spacing w:after="0" w:line="240" w:lineRule="auto"/>
              <w:ind w:right="-117"/>
              <w:rPr>
                <w:b/>
                <w:sz w:val="20"/>
                <w:szCs w:val="20"/>
              </w:rPr>
            </w:pPr>
          </w:p>
        </w:tc>
        <w:tc>
          <w:tcPr>
            <w:tcW w:w="14310" w:type="dxa"/>
            <w:gridSpan w:val="9"/>
            <w:tcBorders>
              <w:left w:val="single" w:sz="4" w:space="0" w:color="auto"/>
              <w:bottom w:val="single" w:sz="4" w:space="0" w:color="auto"/>
              <w:right w:val="single" w:sz="4" w:space="0" w:color="auto"/>
            </w:tcBorders>
            <w:shd w:val="clear" w:color="auto" w:fill="D9D9D9" w:themeFill="background1" w:themeFillShade="D9"/>
          </w:tcPr>
          <w:p w14:paraId="4D9618D4" w14:textId="3A4E2A86" w:rsidR="0050518E" w:rsidRPr="00E8103D" w:rsidRDefault="0050518E" w:rsidP="005B61BA">
            <w:pPr>
              <w:spacing w:after="0" w:line="240" w:lineRule="auto"/>
              <w:rPr>
                <w:sz w:val="20"/>
                <w:szCs w:val="20"/>
              </w:rPr>
            </w:pPr>
            <w:r w:rsidRPr="00E8103D">
              <w:rPr>
                <w:rFonts w:eastAsia="Calibri"/>
                <w:b/>
                <w:sz w:val="18"/>
                <w:szCs w:val="18"/>
              </w:rPr>
              <w:t>Source</w:t>
            </w:r>
            <w:r w:rsidRPr="00E8103D">
              <w:rPr>
                <w:rFonts w:eastAsia="Calibri"/>
                <w:sz w:val="18"/>
                <w:szCs w:val="18"/>
              </w:rPr>
              <w:t>: information is collected by UN Women from publicly available sources for both intimate partner and non-partner violence. Target (</w:t>
            </w:r>
            <w:r w:rsidRPr="00E8103D">
              <w:rPr>
                <w:sz w:val="18"/>
                <w:szCs w:val="18"/>
              </w:rPr>
              <w:t>10% of countries have a decrease in prevalence of physical or sexual abuse</w:t>
            </w:r>
            <w:r w:rsidRPr="00E8103D">
              <w:rPr>
                <w:rFonts w:eastAsia="Calibri"/>
                <w:sz w:val="18"/>
                <w:szCs w:val="18"/>
              </w:rPr>
              <w:t>) taken from UN Women Impact Indicator 3B (Updated Development Result Framework, Annex C in UN-Women Strategic Plan 2014-2017</w:t>
            </w:r>
            <w:r w:rsidR="001B107F">
              <w:rPr>
                <w:rFonts w:eastAsia="Calibri"/>
                <w:sz w:val="18"/>
                <w:szCs w:val="18"/>
              </w:rPr>
              <w:t xml:space="preserve">). </w:t>
            </w:r>
          </w:p>
        </w:tc>
      </w:tr>
      <w:tr w:rsidR="00F41360" w:rsidRPr="00123897" w14:paraId="092B4C21" w14:textId="77777777" w:rsidTr="00500616">
        <w:trPr>
          <w:trHeight w:val="206"/>
          <w:jc w:val="center"/>
        </w:trPr>
        <w:tc>
          <w:tcPr>
            <w:tcW w:w="535" w:type="dxa"/>
            <w:vMerge w:val="restart"/>
            <w:tcBorders>
              <w:top w:val="single" w:sz="4" w:space="0" w:color="auto"/>
              <w:left w:val="single" w:sz="4" w:space="0" w:color="auto"/>
              <w:right w:val="single" w:sz="4" w:space="0" w:color="auto"/>
            </w:tcBorders>
            <w:shd w:val="clear" w:color="auto" w:fill="FFFFFF" w:themeFill="background1"/>
          </w:tcPr>
          <w:p w14:paraId="3AD29377" w14:textId="77777777" w:rsidR="00F41360" w:rsidRPr="00D639F9" w:rsidRDefault="00F41360" w:rsidP="00DE6FDF">
            <w:pPr>
              <w:spacing w:after="0" w:line="240" w:lineRule="auto"/>
              <w:ind w:right="-152"/>
              <w:rPr>
                <w:b/>
                <w:sz w:val="20"/>
                <w:szCs w:val="20"/>
              </w:rPr>
            </w:pPr>
            <w:r w:rsidRPr="00D639F9">
              <w:rPr>
                <w:b/>
                <w:sz w:val="20"/>
                <w:szCs w:val="20"/>
              </w:rPr>
              <w:t>4.4</w:t>
            </w:r>
          </w:p>
        </w:tc>
        <w:tc>
          <w:tcPr>
            <w:tcW w:w="8910" w:type="dxa"/>
            <w:gridSpan w:val="3"/>
            <w:tcBorders>
              <w:top w:val="single" w:sz="4" w:space="0" w:color="auto"/>
              <w:left w:val="single" w:sz="4" w:space="0" w:color="auto"/>
              <w:right w:val="single" w:sz="4" w:space="0" w:color="auto"/>
            </w:tcBorders>
            <w:shd w:val="clear" w:color="auto" w:fill="FFFFFF" w:themeFill="background1"/>
          </w:tcPr>
          <w:p w14:paraId="56D1D949" w14:textId="367CAD41" w:rsidR="00F41360" w:rsidRDefault="00F41360" w:rsidP="00DE6FDF">
            <w:pPr>
              <w:spacing w:after="0" w:line="240" w:lineRule="auto"/>
              <w:ind w:right="-152"/>
              <w:rPr>
                <w:sz w:val="20"/>
                <w:szCs w:val="20"/>
              </w:rPr>
            </w:pPr>
            <w:r w:rsidRPr="0000532F">
              <w:rPr>
                <w:sz w:val="20"/>
                <w:szCs w:val="20"/>
              </w:rPr>
              <w:t xml:space="preserve">Proportion of </w:t>
            </w:r>
            <w:r w:rsidRPr="0000532F">
              <w:rPr>
                <w:b/>
                <w:sz w:val="20"/>
                <w:szCs w:val="20"/>
              </w:rPr>
              <w:t>decision making</w:t>
            </w:r>
            <w:r w:rsidRPr="0000532F">
              <w:rPr>
                <w:sz w:val="20"/>
                <w:szCs w:val="20"/>
              </w:rPr>
              <w:t xml:space="preserve"> positions (executive, legislative and judicial) occupied by women at national level</w:t>
            </w:r>
          </w:p>
          <w:p w14:paraId="4B89B576" w14:textId="77777777" w:rsidR="00F41360" w:rsidRPr="00DE6FDF" w:rsidRDefault="00F41360" w:rsidP="00DE6FDF">
            <w:pPr>
              <w:spacing w:after="0" w:line="240" w:lineRule="auto"/>
              <w:ind w:left="413" w:right="702"/>
              <w:rPr>
                <w:sz w:val="20"/>
              </w:rPr>
            </w:pPr>
            <w:r w:rsidRPr="00DE6FDF">
              <w:rPr>
                <w:sz w:val="20"/>
              </w:rPr>
              <w:t xml:space="preserve">a) Proportion of women in </w:t>
            </w:r>
            <w:r w:rsidRPr="00DE6FDF">
              <w:rPr>
                <w:b/>
                <w:sz w:val="20"/>
              </w:rPr>
              <w:t>Parliaments</w:t>
            </w:r>
          </w:p>
          <w:p w14:paraId="7D0357F0" w14:textId="77777777" w:rsidR="00F41360" w:rsidRPr="00DE6FDF" w:rsidRDefault="00F41360" w:rsidP="00DE6FDF">
            <w:pPr>
              <w:spacing w:after="0" w:line="240" w:lineRule="auto"/>
              <w:ind w:left="413" w:right="-152"/>
              <w:rPr>
                <w:sz w:val="20"/>
              </w:rPr>
            </w:pPr>
            <w:r w:rsidRPr="00DE6FDF">
              <w:rPr>
                <w:sz w:val="20"/>
              </w:rPr>
              <w:t xml:space="preserve">b) Proportion of women in </w:t>
            </w:r>
            <w:r w:rsidRPr="00DE6FDF">
              <w:rPr>
                <w:b/>
                <w:sz w:val="20"/>
              </w:rPr>
              <w:t>Ministerial positions</w:t>
            </w:r>
          </w:p>
          <w:p w14:paraId="04519DDC" w14:textId="77777777" w:rsidR="00F41360" w:rsidRPr="0000532F" w:rsidRDefault="00F41360" w:rsidP="00782AB1">
            <w:pPr>
              <w:spacing w:after="0" w:line="240" w:lineRule="auto"/>
              <w:ind w:left="413" w:right="-152"/>
              <w:rPr>
                <w:sz w:val="20"/>
                <w:szCs w:val="20"/>
              </w:rPr>
            </w:pPr>
            <w:r w:rsidRPr="00DE6FDF">
              <w:rPr>
                <w:sz w:val="20"/>
              </w:rPr>
              <w:t xml:space="preserve">c) Proportion of women in </w:t>
            </w:r>
            <w:r w:rsidRPr="00DE6FDF">
              <w:rPr>
                <w:b/>
                <w:sz w:val="20"/>
              </w:rPr>
              <w:t>highest Court</w:t>
            </w:r>
          </w:p>
        </w:tc>
        <w:tc>
          <w:tcPr>
            <w:tcW w:w="1530" w:type="dxa"/>
            <w:gridSpan w:val="2"/>
            <w:tcBorders>
              <w:top w:val="single" w:sz="4" w:space="0" w:color="auto"/>
              <w:left w:val="single" w:sz="4" w:space="0" w:color="auto"/>
              <w:right w:val="single" w:sz="4" w:space="0" w:color="auto"/>
            </w:tcBorders>
            <w:shd w:val="clear" w:color="auto" w:fill="FFFFFF" w:themeFill="background1"/>
            <w:vAlign w:val="bottom"/>
          </w:tcPr>
          <w:p w14:paraId="46335754" w14:textId="77777777" w:rsidR="00C16637" w:rsidRPr="0009395F" w:rsidRDefault="00C16637" w:rsidP="00782AB1">
            <w:pPr>
              <w:spacing w:after="0" w:line="240" w:lineRule="auto"/>
              <w:rPr>
                <w:sz w:val="20"/>
              </w:rPr>
            </w:pPr>
          </w:p>
          <w:p w14:paraId="3AAA0E94" w14:textId="77777777" w:rsidR="00C16637" w:rsidRPr="0009395F" w:rsidRDefault="00C16637" w:rsidP="00782AB1">
            <w:pPr>
              <w:spacing w:after="0" w:line="240" w:lineRule="auto"/>
              <w:rPr>
                <w:sz w:val="20"/>
              </w:rPr>
            </w:pPr>
          </w:p>
          <w:p w14:paraId="4A21A436" w14:textId="67BE78E5" w:rsidR="00F41360" w:rsidRPr="0009395F" w:rsidRDefault="00B64A5C" w:rsidP="00782AB1">
            <w:pPr>
              <w:spacing w:after="0" w:line="240" w:lineRule="auto"/>
              <w:rPr>
                <w:sz w:val="20"/>
              </w:rPr>
            </w:pPr>
            <w:r w:rsidRPr="0009395F">
              <w:rPr>
                <w:sz w:val="20"/>
              </w:rPr>
              <w:t>a) 20.8</w:t>
            </w:r>
            <w:r w:rsidR="00F41360" w:rsidRPr="0009395F">
              <w:rPr>
                <w:sz w:val="20"/>
              </w:rPr>
              <w:t>% (2013)</w:t>
            </w:r>
          </w:p>
          <w:p w14:paraId="07A59AAA" w14:textId="65119A84" w:rsidR="00F41360" w:rsidRPr="0009395F" w:rsidRDefault="00F41360" w:rsidP="00782AB1">
            <w:pPr>
              <w:spacing w:after="0" w:line="240" w:lineRule="auto"/>
              <w:rPr>
                <w:sz w:val="20"/>
              </w:rPr>
            </w:pPr>
            <w:r w:rsidRPr="0009395F">
              <w:rPr>
                <w:sz w:val="20"/>
              </w:rPr>
              <w:t>b) 15.7% (2013)</w:t>
            </w:r>
          </w:p>
          <w:p w14:paraId="772B2693" w14:textId="6F61A4A6" w:rsidR="00F41360" w:rsidRPr="0009395F" w:rsidRDefault="00F41360" w:rsidP="00D825A5">
            <w:pPr>
              <w:spacing w:after="0" w:line="240" w:lineRule="auto"/>
              <w:rPr>
                <w:b/>
                <w:sz w:val="20"/>
              </w:rPr>
            </w:pPr>
            <w:r w:rsidRPr="0009395F">
              <w:rPr>
                <w:sz w:val="20"/>
              </w:rPr>
              <w:t>c) 26% (2013)</w:t>
            </w:r>
          </w:p>
        </w:tc>
        <w:tc>
          <w:tcPr>
            <w:tcW w:w="1620" w:type="dxa"/>
            <w:gridSpan w:val="2"/>
            <w:tcBorders>
              <w:top w:val="single" w:sz="4" w:space="0" w:color="auto"/>
              <w:left w:val="single" w:sz="4" w:space="0" w:color="auto"/>
              <w:right w:val="single" w:sz="4" w:space="0" w:color="auto"/>
            </w:tcBorders>
            <w:shd w:val="clear" w:color="auto" w:fill="FFFFFF" w:themeFill="background1"/>
          </w:tcPr>
          <w:p w14:paraId="35726F9F" w14:textId="77777777" w:rsidR="00C16637" w:rsidRPr="0009395F" w:rsidRDefault="00C16637" w:rsidP="00462E9B">
            <w:pPr>
              <w:spacing w:after="0" w:line="240" w:lineRule="auto"/>
              <w:rPr>
                <w:sz w:val="20"/>
              </w:rPr>
            </w:pPr>
          </w:p>
          <w:p w14:paraId="0231051A" w14:textId="77777777" w:rsidR="00C16637" w:rsidRPr="0009395F" w:rsidRDefault="00C16637" w:rsidP="00462E9B">
            <w:pPr>
              <w:spacing w:after="0" w:line="240" w:lineRule="auto"/>
              <w:rPr>
                <w:sz w:val="20"/>
              </w:rPr>
            </w:pPr>
          </w:p>
          <w:p w14:paraId="07BCDA17" w14:textId="21A874F7" w:rsidR="00462E9B" w:rsidRPr="0009395F" w:rsidRDefault="00D825A5" w:rsidP="00462E9B">
            <w:pPr>
              <w:spacing w:after="0" w:line="240" w:lineRule="auto"/>
              <w:rPr>
                <w:b/>
                <w:sz w:val="20"/>
              </w:rPr>
            </w:pPr>
            <w:r w:rsidRPr="0009395F">
              <w:rPr>
                <w:sz w:val="20"/>
              </w:rPr>
              <w:t>a) 21</w:t>
            </w:r>
            <w:r w:rsidR="00741364" w:rsidRPr="0009395F">
              <w:rPr>
                <w:sz w:val="20"/>
              </w:rPr>
              <w:t>.0</w:t>
            </w:r>
            <w:r w:rsidRPr="0009395F">
              <w:rPr>
                <w:sz w:val="20"/>
              </w:rPr>
              <w:t>%</w:t>
            </w:r>
          </w:p>
          <w:p w14:paraId="73075B6D" w14:textId="42D4F650" w:rsidR="00462E9B" w:rsidRPr="0009395F" w:rsidRDefault="00462E9B" w:rsidP="00462E9B">
            <w:pPr>
              <w:spacing w:after="0" w:line="240" w:lineRule="auto"/>
              <w:rPr>
                <w:sz w:val="20"/>
              </w:rPr>
            </w:pPr>
            <w:r w:rsidRPr="0009395F">
              <w:rPr>
                <w:sz w:val="20"/>
              </w:rPr>
              <w:t>b) 16.1%</w:t>
            </w:r>
          </w:p>
          <w:p w14:paraId="2AA74B3F" w14:textId="04D448A1" w:rsidR="00462E9B" w:rsidRPr="0009395F" w:rsidRDefault="001F0863" w:rsidP="007E64CE">
            <w:pPr>
              <w:spacing w:after="0" w:line="240" w:lineRule="auto"/>
              <w:rPr>
                <w:b/>
                <w:sz w:val="20"/>
                <w:szCs w:val="20"/>
              </w:rPr>
            </w:pPr>
            <w:r w:rsidRPr="0009395F">
              <w:rPr>
                <w:sz w:val="20"/>
              </w:rPr>
              <w:t>c) 2</w:t>
            </w:r>
            <w:r w:rsidR="007E64CE" w:rsidRPr="0009395F">
              <w:rPr>
                <w:sz w:val="20"/>
              </w:rPr>
              <w:t>7</w:t>
            </w:r>
            <w:r w:rsidRPr="0009395F">
              <w:rPr>
                <w:sz w:val="20"/>
              </w:rPr>
              <w:t>%</w:t>
            </w:r>
            <w:r w:rsidR="00CE72BD" w:rsidRPr="0009395F">
              <w:rPr>
                <w:sz w:val="20"/>
              </w:rPr>
              <w:t>*</w:t>
            </w:r>
          </w:p>
        </w:tc>
        <w:tc>
          <w:tcPr>
            <w:tcW w:w="2250" w:type="dxa"/>
            <w:gridSpan w:val="2"/>
            <w:tcBorders>
              <w:top w:val="single" w:sz="4" w:space="0" w:color="auto"/>
              <w:left w:val="single" w:sz="4" w:space="0" w:color="auto"/>
              <w:right w:val="single" w:sz="4" w:space="0" w:color="auto"/>
            </w:tcBorders>
            <w:shd w:val="clear" w:color="auto" w:fill="FFFFFF" w:themeFill="background1"/>
            <w:vAlign w:val="bottom"/>
          </w:tcPr>
          <w:p w14:paraId="4D73C5CB" w14:textId="38CEC53C" w:rsidR="00F41360" w:rsidRPr="00E8103D" w:rsidRDefault="00F41360" w:rsidP="001A37D0">
            <w:pPr>
              <w:spacing w:after="0" w:line="240" w:lineRule="auto"/>
              <w:jc w:val="center"/>
              <w:rPr>
                <w:b/>
                <w:sz w:val="20"/>
                <w:szCs w:val="20"/>
              </w:rPr>
            </w:pPr>
            <w:r w:rsidRPr="00E8103D">
              <w:rPr>
                <w:b/>
                <w:sz w:val="20"/>
                <w:szCs w:val="20"/>
              </w:rPr>
              <w:t>30% women in decision making</w:t>
            </w:r>
            <w:r w:rsidR="00356FEE">
              <w:rPr>
                <w:b/>
                <w:sz w:val="20"/>
                <w:szCs w:val="20"/>
              </w:rPr>
              <w:t xml:space="preserve"> positions</w:t>
            </w:r>
          </w:p>
          <w:p w14:paraId="6D77E844" w14:textId="77777777" w:rsidR="00F41360" w:rsidRPr="00E8103D" w:rsidRDefault="00F41360" w:rsidP="001A37D0">
            <w:pPr>
              <w:spacing w:after="0" w:line="240" w:lineRule="auto"/>
              <w:jc w:val="center"/>
              <w:rPr>
                <w:sz w:val="20"/>
                <w:szCs w:val="20"/>
              </w:rPr>
            </w:pPr>
            <w:r w:rsidRPr="00E8103D">
              <w:rPr>
                <w:sz w:val="20"/>
                <w:szCs w:val="20"/>
              </w:rPr>
              <w:t>a) 22.7% (trend)</w:t>
            </w:r>
          </w:p>
          <w:p w14:paraId="2C166BA5" w14:textId="77777777" w:rsidR="00F41360" w:rsidRPr="00E8103D" w:rsidRDefault="00F41360" w:rsidP="001A37D0">
            <w:pPr>
              <w:spacing w:after="0" w:line="240" w:lineRule="auto"/>
              <w:jc w:val="center"/>
              <w:rPr>
                <w:sz w:val="20"/>
                <w:szCs w:val="20"/>
              </w:rPr>
            </w:pPr>
            <w:r w:rsidRPr="00E8103D">
              <w:rPr>
                <w:sz w:val="20"/>
                <w:szCs w:val="20"/>
              </w:rPr>
              <w:t>b) 16.8% (trend)</w:t>
            </w:r>
          </w:p>
          <w:p w14:paraId="732C64FE" w14:textId="77777777" w:rsidR="00F41360" w:rsidRPr="00E8103D" w:rsidRDefault="00F41360" w:rsidP="001A37D0">
            <w:pPr>
              <w:spacing w:after="0" w:line="240" w:lineRule="auto"/>
              <w:jc w:val="center"/>
              <w:rPr>
                <w:b/>
                <w:sz w:val="20"/>
                <w:szCs w:val="20"/>
              </w:rPr>
            </w:pPr>
            <w:r w:rsidRPr="00E8103D">
              <w:rPr>
                <w:sz w:val="20"/>
                <w:szCs w:val="20"/>
              </w:rPr>
              <w:t>c) Not available</w:t>
            </w:r>
          </w:p>
        </w:tc>
      </w:tr>
      <w:tr w:rsidR="0050518E" w:rsidRPr="00123897" w14:paraId="1FBE83DE" w14:textId="77777777" w:rsidTr="00500616">
        <w:trPr>
          <w:trHeight w:val="206"/>
          <w:jc w:val="center"/>
        </w:trPr>
        <w:tc>
          <w:tcPr>
            <w:tcW w:w="535" w:type="dxa"/>
            <w:vMerge/>
            <w:tcBorders>
              <w:left w:val="single" w:sz="4" w:space="0" w:color="auto"/>
              <w:right w:val="single" w:sz="4" w:space="0" w:color="auto"/>
            </w:tcBorders>
            <w:shd w:val="clear" w:color="auto" w:fill="FFFFFF" w:themeFill="background1"/>
          </w:tcPr>
          <w:p w14:paraId="5D14382C" w14:textId="77777777" w:rsidR="0050518E" w:rsidRPr="0000532F" w:rsidRDefault="0050518E" w:rsidP="005B61BA">
            <w:pPr>
              <w:spacing w:after="0" w:line="240" w:lineRule="auto"/>
              <w:ind w:right="-152"/>
              <w:rPr>
                <w:sz w:val="20"/>
                <w:szCs w:val="20"/>
              </w:rPr>
            </w:pPr>
          </w:p>
        </w:tc>
        <w:tc>
          <w:tcPr>
            <w:tcW w:w="14310" w:type="dxa"/>
            <w:gridSpan w:val="9"/>
            <w:tcBorders>
              <w:left w:val="single" w:sz="4" w:space="0" w:color="auto"/>
              <w:right w:val="single" w:sz="4" w:space="0" w:color="auto"/>
            </w:tcBorders>
            <w:shd w:val="clear" w:color="auto" w:fill="D9D9D9" w:themeFill="background1" w:themeFillShade="D9"/>
          </w:tcPr>
          <w:p w14:paraId="7E1CEC65" w14:textId="355AC183" w:rsidR="0050518E" w:rsidRPr="001B107F" w:rsidRDefault="0050518E" w:rsidP="00D825A5">
            <w:pPr>
              <w:spacing w:after="0" w:line="240" w:lineRule="auto"/>
              <w:rPr>
                <w:rFonts w:eastAsia="Calibri"/>
                <w:sz w:val="18"/>
                <w:szCs w:val="18"/>
              </w:rPr>
            </w:pPr>
            <w:r w:rsidRPr="001B107F">
              <w:rPr>
                <w:rFonts w:eastAsia="Calibri"/>
                <w:b/>
                <w:sz w:val="18"/>
                <w:szCs w:val="18"/>
              </w:rPr>
              <w:t>Source</w:t>
            </w:r>
            <w:r w:rsidRPr="001B107F">
              <w:rPr>
                <w:rFonts w:eastAsia="Calibri"/>
                <w:sz w:val="18"/>
                <w:szCs w:val="18"/>
              </w:rPr>
              <w:t>: UNDP calculations based on the following sources. The participation of women in Ministerial Positions and in lower or single house in parliaments comes from Inter-Parliamentary Union,</w:t>
            </w:r>
            <w:r w:rsidR="004F785D" w:rsidRPr="001B107F">
              <w:rPr>
                <w:rFonts w:eastAsia="Calibri"/>
                <w:sz w:val="18"/>
                <w:szCs w:val="18"/>
              </w:rPr>
              <w:t xml:space="preserve"> based on 146</w:t>
            </w:r>
            <w:r w:rsidR="00E62C9B" w:rsidRPr="001B107F">
              <w:rPr>
                <w:rFonts w:eastAsia="Calibri"/>
                <w:sz w:val="18"/>
                <w:szCs w:val="18"/>
              </w:rPr>
              <w:t xml:space="preserve"> (145 in the case of b)</w:t>
            </w:r>
            <w:r w:rsidR="004F785D" w:rsidRPr="001B107F">
              <w:rPr>
                <w:rFonts w:eastAsia="Calibri"/>
                <w:sz w:val="18"/>
                <w:szCs w:val="18"/>
              </w:rPr>
              <w:t xml:space="preserve"> and 147</w:t>
            </w:r>
            <w:r w:rsidRPr="001B107F">
              <w:rPr>
                <w:rFonts w:eastAsia="Calibri"/>
                <w:sz w:val="18"/>
                <w:szCs w:val="18"/>
              </w:rPr>
              <w:t xml:space="preserve"> programme countries</w:t>
            </w:r>
            <w:r w:rsidR="004F785D" w:rsidRPr="001B107F">
              <w:rPr>
                <w:rFonts w:eastAsia="Calibri"/>
                <w:sz w:val="18"/>
                <w:szCs w:val="18"/>
              </w:rPr>
              <w:t xml:space="preserve"> for 2013 and 2014</w:t>
            </w:r>
            <w:r w:rsidR="00E62C9B" w:rsidRPr="001B107F">
              <w:rPr>
                <w:rFonts w:eastAsia="Calibri"/>
                <w:sz w:val="18"/>
                <w:szCs w:val="18"/>
              </w:rPr>
              <w:t>,</w:t>
            </w:r>
            <w:r w:rsidR="004F785D" w:rsidRPr="001B107F">
              <w:rPr>
                <w:rFonts w:eastAsia="Calibri"/>
                <w:sz w:val="18"/>
                <w:szCs w:val="18"/>
              </w:rPr>
              <w:t xml:space="preserve"> respectively</w:t>
            </w:r>
            <w:r w:rsidRPr="001B107F">
              <w:rPr>
                <w:rFonts w:eastAsia="Calibri"/>
                <w:sz w:val="18"/>
                <w:szCs w:val="18"/>
              </w:rPr>
              <w:t xml:space="preserve">. </w:t>
            </w:r>
            <w:r w:rsidR="00E62C9B" w:rsidRPr="001B107F">
              <w:rPr>
                <w:rFonts w:eastAsia="Calibri"/>
                <w:sz w:val="18"/>
                <w:szCs w:val="18"/>
              </w:rPr>
              <w:t xml:space="preserve">The proportion of women in parliaments increased (decreased) in 33 (26) countries. The proportion of women in ministerial positions increased (decreased) in 45 (54) countries. </w:t>
            </w:r>
            <w:r w:rsidRPr="001B107F">
              <w:rPr>
                <w:rFonts w:eastAsia="Calibri"/>
                <w:sz w:val="18"/>
                <w:szCs w:val="18"/>
              </w:rPr>
              <w:t xml:space="preserve">Figures represent the aggregate proportion (sum of women in office divided by the sum of seats). The participation of women in the highest national court, comes from national sources for 102 programme countries, compiled by UNDP. </w:t>
            </w:r>
            <w:r w:rsidR="00A95307" w:rsidRPr="001B107F">
              <w:rPr>
                <w:rFonts w:eastAsia="Calibri"/>
                <w:sz w:val="18"/>
                <w:szCs w:val="18"/>
              </w:rPr>
              <w:t xml:space="preserve">The international target of 30% of women in decision making positions comes from ECOSOC Report E/1990/90. </w:t>
            </w:r>
            <w:r w:rsidR="00A95307" w:rsidRPr="001B107F">
              <w:rPr>
                <w:rFonts w:eastAsia="SimSun"/>
                <w:sz w:val="18"/>
                <w:szCs w:val="18"/>
                <w:lang w:eastAsia="zh-CN"/>
              </w:rPr>
              <w:t xml:space="preserve">UNDP estimated </w:t>
            </w:r>
            <w:r w:rsidR="00E86CFB" w:rsidRPr="001B107F">
              <w:rPr>
                <w:rFonts w:eastAsia="SimSun"/>
                <w:sz w:val="18"/>
                <w:szCs w:val="18"/>
                <w:lang w:eastAsia="zh-CN"/>
              </w:rPr>
              <w:t xml:space="preserve">2017 </w:t>
            </w:r>
            <w:r w:rsidR="003E5D7E" w:rsidRPr="001B107F">
              <w:rPr>
                <w:rFonts w:eastAsia="SimSun"/>
                <w:sz w:val="18"/>
                <w:szCs w:val="18"/>
                <w:lang w:eastAsia="zh-CN"/>
              </w:rPr>
              <w:t xml:space="preserve">expected </w:t>
            </w:r>
            <w:r w:rsidR="00E86CFB" w:rsidRPr="001B107F">
              <w:rPr>
                <w:rFonts w:eastAsia="SimSun"/>
                <w:sz w:val="18"/>
                <w:szCs w:val="18"/>
                <w:lang w:eastAsia="zh-CN"/>
              </w:rPr>
              <w:t xml:space="preserve">values </w:t>
            </w:r>
            <w:r w:rsidR="00A95307" w:rsidRPr="001B107F">
              <w:rPr>
                <w:rFonts w:eastAsia="SimSun"/>
                <w:sz w:val="18"/>
                <w:szCs w:val="18"/>
                <w:lang w:eastAsia="zh-CN"/>
              </w:rPr>
              <w:t>based on historical figures</w:t>
            </w:r>
            <w:r w:rsidR="00A95307" w:rsidRPr="001B107F">
              <w:rPr>
                <w:rFonts w:eastAsia="Calibri"/>
                <w:sz w:val="18"/>
                <w:szCs w:val="18"/>
              </w:rPr>
              <w:t>.</w:t>
            </w:r>
          </w:p>
          <w:p w14:paraId="6BBBD3F0" w14:textId="340BB375" w:rsidR="0050518E" w:rsidRPr="001B107F" w:rsidRDefault="0050518E" w:rsidP="00CE72BD">
            <w:pPr>
              <w:spacing w:after="0" w:line="240" w:lineRule="auto"/>
              <w:rPr>
                <w:rFonts w:eastAsia="Calibri"/>
                <w:sz w:val="18"/>
                <w:szCs w:val="18"/>
              </w:rPr>
            </w:pPr>
            <w:r w:rsidRPr="001B107F">
              <w:rPr>
                <w:rFonts w:eastAsia="Calibri"/>
                <w:b/>
                <w:sz w:val="18"/>
                <w:szCs w:val="18"/>
              </w:rPr>
              <w:t xml:space="preserve">2014 Reporting Note: </w:t>
            </w:r>
            <w:r w:rsidRPr="001B107F">
              <w:rPr>
                <w:rFonts w:eastAsia="Calibri"/>
                <w:sz w:val="18"/>
                <w:szCs w:val="18"/>
              </w:rPr>
              <w:t xml:space="preserve">Baseline updated to reflect final 2013 data from international sources for component (a). For reference, previous baseline was 20.4%. </w:t>
            </w:r>
            <w:r w:rsidR="008F4374" w:rsidRPr="001B107F">
              <w:rPr>
                <w:rFonts w:eastAsia="Calibri"/>
                <w:sz w:val="18"/>
                <w:szCs w:val="18"/>
              </w:rPr>
              <w:t xml:space="preserve">*Progress data for part (c) is currently based on 2014 data for only 30 countries. </w:t>
            </w:r>
          </w:p>
        </w:tc>
      </w:tr>
      <w:tr w:rsidR="00C935C5" w:rsidRPr="00283732" w14:paraId="76CDB41A" w14:textId="77777777" w:rsidTr="00500616">
        <w:trPr>
          <w:trHeight w:val="260"/>
          <w:jc w:val="center"/>
        </w:trPr>
        <w:tc>
          <w:tcPr>
            <w:tcW w:w="3145" w:type="dxa"/>
            <w:gridSpan w:val="2"/>
            <w:vMerge w:val="restart"/>
            <w:tcBorders>
              <w:top w:val="single" w:sz="4" w:space="0" w:color="auto"/>
              <w:left w:val="single" w:sz="4" w:space="0" w:color="auto"/>
              <w:right w:val="single" w:sz="4" w:space="0" w:color="auto"/>
            </w:tcBorders>
            <w:shd w:val="clear" w:color="auto" w:fill="DAEEF3"/>
            <w:hideMark/>
          </w:tcPr>
          <w:p w14:paraId="6AD5A1DB" w14:textId="1FAC9A29" w:rsidR="00C935C5" w:rsidRPr="0000532F" w:rsidRDefault="00C447CB" w:rsidP="005B61BA">
            <w:pPr>
              <w:spacing w:after="0" w:line="240" w:lineRule="auto"/>
              <w:rPr>
                <w:rFonts w:eastAsia="Calibri"/>
                <w:i/>
                <w:sz w:val="20"/>
                <w:szCs w:val="20"/>
              </w:rPr>
            </w:pPr>
            <w:r>
              <w:br w:type="page"/>
            </w:r>
            <w:r w:rsidR="00C935C5" w:rsidRPr="0000532F">
              <w:rPr>
                <w:rFonts w:eastAsia="Calibri"/>
                <w:sz w:val="20"/>
                <w:szCs w:val="20"/>
              </w:rPr>
              <w:br w:type="page"/>
            </w:r>
            <w:r w:rsidR="00C935C5" w:rsidRPr="0000532F">
              <w:rPr>
                <w:rFonts w:eastAsia="Calibri"/>
                <w:b/>
                <w:sz w:val="20"/>
                <w:szCs w:val="20"/>
              </w:rPr>
              <w:t xml:space="preserve">Output </w:t>
            </w:r>
            <w:r w:rsidR="00C935C5" w:rsidRPr="00B2372F">
              <w:rPr>
                <w:rFonts w:ascii="Calibri" w:eastAsia="Calibri" w:hAnsi="Calibri"/>
                <w:i/>
                <w:sz w:val="18"/>
                <w:szCs w:val="18"/>
              </w:rPr>
              <w:t>(UNDP provides specific support for the following results, based on national demand)</w:t>
            </w:r>
          </w:p>
        </w:tc>
        <w:tc>
          <w:tcPr>
            <w:tcW w:w="6300" w:type="dxa"/>
            <w:gridSpan w:val="2"/>
            <w:vMerge w:val="restart"/>
            <w:tcBorders>
              <w:top w:val="single" w:sz="4" w:space="0" w:color="auto"/>
              <w:left w:val="single" w:sz="4" w:space="0" w:color="auto"/>
              <w:right w:val="single" w:sz="4" w:space="0" w:color="auto"/>
            </w:tcBorders>
            <w:shd w:val="clear" w:color="auto" w:fill="DAEEF3"/>
            <w:hideMark/>
          </w:tcPr>
          <w:p w14:paraId="20AF2FF8" w14:textId="77777777" w:rsidR="00C935C5" w:rsidRPr="0000532F" w:rsidRDefault="00C935C5" w:rsidP="005B61BA">
            <w:pPr>
              <w:spacing w:after="0" w:line="240" w:lineRule="auto"/>
              <w:rPr>
                <w:rFonts w:eastAsia="Calibri"/>
                <w:i/>
                <w:sz w:val="20"/>
                <w:szCs w:val="20"/>
              </w:rPr>
            </w:pPr>
            <w:r w:rsidRPr="0000532F">
              <w:rPr>
                <w:rFonts w:eastAsia="Calibri"/>
                <w:b/>
                <w:sz w:val="20"/>
                <w:szCs w:val="20"/>
              </w:rPr>
              <w:t xml:space="preserve">Output Indicator </w:t>
            </w:r>
            <w:r w:rsidRPr="00B2372F">
              <w:rPr>
                <w:rFonts w:ascii="Calibri" w:eastAsia="Calibri" w:hAnsi="Calibri"/>
                <w:i/>
                <w:sz w:val="18"/>
                <w:szCs w:val="18"/>
              </w:rPr>
              <w:t xml:space="preserve">(output indicators measure only those results which are specifically </w:t>
            </w:r>
            <w:r w:rsidRPr="00B2372F">
              <w:rPr>
                <w:rFonts w:ascii="Calibri" w:eastAsia="Calibri" w:hAnsi="Calibri"/>
                <w:i/>
                <w:sz w:val="18"/>
                <w:szCs w:val="18"/>
                <w:u w:val="single"/>
              </w:rPr>
              <w:t>supported</w:t>
            </w:r>
            <w:r w:rsidRPr="00B2372F">
              <w:rPr>
                <w:rFonts w:ascii="Calibri" w:eastAsia="Calibri" w:hAnsi="Calibri"/>
                <w:i/>
                <w:sz w:val="18"/>
                <w:szCs w:val="18"/>
              </w:rPr>
              <w:t xml:space="preserve"> by UNDP, in response to demand from programme countries)</w:t>
            </w:r>
          </w:p>
        </w:tc>
        <w:tc>
          <w:tcPr>
            <w:tcW w:w="1440" w:type="dxa"/>
            <w:vMerge w:val="restart"/>
            <w:tcBorders>
              <w:top w:val="single" w:sz="4" w:space="0" w:color="auto"/>
              <w:left w:val="single" w:sz="4" w:space="0" w:color="auto"/>
              <w:right w:val="single" w:sz="4" w:space="0" w:color="auto"/>
            </w:tcBorders>
            <w:shd w:val="clear" w:color="auto" w:fill="DAEEF3"/>
          </w:tcPr>
          <w:p w14:paraId="7BCFF5A9" w14:textId="3A8F333E" w:rsidR="00C935C5" w:rsidRPr="0000532F" w:rsidRDefault="00C935C5" w:rsidP="005B78CE">
            <w:pPr>
              <w:spacing w:after="0" w:line="240" w:lineRule="auto"/>
              <w:jc w:val="center"/>
              <w:rPr>
                <w:rFonts w:eastAsia="Calibri"/>
                <w:b/>
                <w:sz w:val="20"/>
                <w:szCs w:val="20"/>
              </w:rPr>
            </w:pPr>
            <w:r w:rsidRPr="0000532F">
              <w:rPr>
                <w:rFonts w:eastAsia="Calibri"/>
                <w:b/>
                <w:sz w:val="20"/>
                <w:szCs w:val="20"/>
              </w:rPr>
              <w:t>Baseline</w:t>
            </w:r>
            <w:r>
              <w:rPr>
                <w:rFonts w:eastAsia="Calibri"/>
                <w:b/>
                <w:sz w:val="20"/>
                <w:szCs w:val="20"/>
              </w:rPr>
              <w:t xml:space="preserve"> </w:t>
            </w:r>
          </w:p>
        </w:tc>
        <w:tc>
          <w:tcPr>
            <w:tcW w:w="2610" w:type="dxa"/>
            <w:gridSpan w:val="4"/>
            <w:tcBorders>
              <w:top w:val="single" w:sz="4" w:space="0" w:color="auto"/>
              <w:left w:val="single" w:sz="4" w:space="0" w:color="auto"/>
              <w:bottom w:val="single" w:sz="4" w:space="0" w:color="auto"/>
              <w:right w:val="single" w:sz="4" w:space="0" w:color="auto"/>
            </w:tcBorders>
            <w:shd w:val="clear" w:color="auto" w:fill="DAEEF3"/>
          </w:tcPr>
          <w:p w14:paraId="32565A39" w14:textId="3D9774C6" w:rsidR="00C935C5" w:rsidRPr="0000532F" w:rsidRDefault="00C935C5" w:rsidP="005B78CE">
            <w:pPr>
              <w:spacing w:after="0" w:line="240" w:lineRule="auto"/>
              <w:jc w:val="center"/>
              <w:rPr>
                <w:rFonts w:eastAsia="Calibri"/>
                <w:b/>
                <w:sz w:val="20"/>
                <w:szCs w:val="20"/>
              </w:rPr>
            </w:pPr>
            <w:r>
              <w:rPr>
                <w:rFonts w:eastAsia="Calibri"/>
                <w:b/>
                <w:sz w:val="20"/>
                <w:szCs w:val="20"/>
              </w:rPr>
              <w:t>M</w:t>
            </w:r>
            <w:r w:rsidR="005B78CE">
              <w:rPr>
                <w:rFonts w:eastAsia="Calibri"/>
                <w:b/>
                <w:sz w:val="20"/>
                <w:szCs w:val="20"/>
              </w:rPr>
              <w:t>ilestones</w:t>
            </w:r>
          </w:p>
        </w:tc>
        <w:tc>
          <w:tcPr>
            <w:tcW w:w="1350" w:type="dxa"/>
            <w:vMerge w:val="restart"/>
            <w:tcBorders>
              <w:top w:val="single" w:sz="4" w:space="0" w:color="auto"/>
              <w:left w:val="single" w:sz="4" w:space="0" w:color="auto"/>
              <w:right w:val="single" w:sz="4" w:space="0" w:color="auto"/>
            </w:tcBorders>
            <w:shd w:val="clear" w:color="auto" w:fill="DAEEF3"/>
          </w:tcPr>
          <w:p w14:paraId="096B5CA4" w14:textId="241864C6" w:rsidR="00C935C5" w:rsidRPr="0000532F" w:rsidRDefault="00C935C5" w:rsidP="005B78CE">
            <w:pPr>
              <w:spacing w:after="0" w:line="240" w:lineRule="auto"/>
              <w:jc w:val="center"/>
              <w:rPr>
                <w:rFonts w:eastAsia="Calibri"/>
                <w:b/>
                <w:sz w:val="20"/>
                <w:szCs w:val="20"/>
              </w:rPr>
            </w:pPr>
            <w:r w:rsidRPr="0000532F">
              <w:rPr>
                <w:rFonts w:eastAsia="Calibri"/>
                <w:b/>
                <w:sz w:val="20"/>
                <w:szCs w:val="20"/>
              </w:rPr>
              <w:t>Target</w:t>
            </w:r>
          </w:p>
        </w:tc>
      </w:tr>
      <w:tr w:rsidR="00C935C5" w:rsidRPr="00283732" w14:paraId="64CFB19C" w14:textId="77777777" w:rsidTr="00500616">
        <w:trPr>
          <w:trHeight w:val="260"/>
          <w:jc w:val="center"/>
        </w:trPr>
        <w:tc>
          <w:tcPr>
            <w:tcW w:w="3145" w:type="dxa"/>
            <w:gridSpan w:val="2"/>
            <w:vMerge/>
            <w:tcBorders>
              <w:left w:val="single" w:sz="4" w:space="0" w:color="auto"/>
              <w:right w:val="single" w:sz="4" w:space="0" w:color="auto"/>
            </w:tcBorders>
            <w:shd w:val="clear" w:color="auto" w:fill="DAEEF3"/>
          </w:tcPr>
          <w:p w14:paraId="37595585" w14:textId="77777777" w:rsidR="00C935C5" w:rsidRPr="0000532F" w:rsidRDefault="00C935C5" w:rsidP="005B61BA">
            <w:pPr>
              <w:spacing w:after="0" w:line="240" w:lineRule="auto"/>
              <w:rPr>
                <w:rFonts w:eastAsia="Calibri"/>
                <w:sz w:val="20"/>
                <w:szCs w:val="20"/>
              </w:rPr>
            </w:pPr>
          </w:p>
        </w:tc>
        <w:tc>
          <w:tcPr>
            <w:tcW w:w="6300" w:type="dxa"/>
            <w:gridSpan w:val="2"/>
            <w:vMerge/>
            <w:tcBorders>
              <w:left w:val="single" w:sz="4" w:space="0" w:color="auto"/>
              <w:right w:val="single" w:sz="4" w:space="0" w:color="auto"/>
            </w:tcBorders>
            <w:shd w:val="clear" w:color="auto" w:fill="DAEEF3"/>
          </w:tcPr>
          <w:p w14:paraId="7932A974" w14:textId="77777777" w:rsidR="00C935C5" w:rsidRPr="0000532F" w:rsidRDefault="00C935C5" w:rsidP="005B61BA">
            <w:pPr>
              <w:spacing w:after="0" w:line="240" w:lineRule="auto"/>
              <w:rPr>
                <w:rFonts w:eastAsia="Calibri"/>
                <w:b/>
                <w:sz w:val="20"/>
                <w:szCs w:val="20"/>
              </w:rPr>
            </w:pPr>
          </w:p>
        </w:tc>
        <w:tc>
          <w:tcPr>
            <w:tcW w:w="1440" w:type="dxa"/>
            <w:vMerge/>
            <w:tcBorders>
              <w:left w:val="single" w:sz="4" w:space="0" w:color="auto"/>
              <w:bottom w:val="single" w:sz="4" w:space="0" w:color="auto"/>
              <w:right w:val="single" w:sz="4" w:space="0" w:color="auto"/>
            </w:tcBorders>
            <w:shd w:val="clear" w:color="auto" w:fill="DAEEF3"/>
          </w:tcPr>
          <w:p w14:paraId="279BB4B0" w14:textId="77777777" w:rsidR="00C935C5" w:rsidRPr="0000532F" w:rsidRDefault="00C935C5" w:rsidP="005B61BA">
            <w:pPr>
              <w:spacing w:after="0" w:line="240" w:lineRule="auto"/>
              <w:jc w:val="center"/>
              <w:rPr>
                <w:rFonts w:eastAsia="Calibri"/>
                <w:b/>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14:paraId="4A45126B" w14:textId="499EC7CA" w:rsidR="00C935C5" w:rsidRPr="0000532F" w:rsidRDefault="00C935C5" w:rsidP="00C935C5">
            <w:pPr>
              <w:spacing w:after="0" w:line="240" w:lineRule="auto"/>
              <w:jc w:val="center"/>
              <w:rPr>
                <w:rFonts w:eastAsia="Calibri"/>
                <w:b/>
                <w:sz w:val="20"/>
                <w:szCs w:val="20"/>
              </w:rPr>
            </w:pPr>
            <w:r>
              <w:rPr>
                <w:rFonts w:eastAsia="Calibri"/>
                <w:b/>
                <w:sz w:val="20"/>
                <w:szCs w:val="20"/>
              </w:rPr>
              <w:t>Planned</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14:paraId="1B6F8CFF" w14:textId="6B636A72" w:rsidR="00C935C5" w:rsidRPr="0000532F" w:rsidRDefault="00C935C5" w:rsidP="00C935C5">
            <w:pPr>
              <w:spacing w:after="0" w:line="240" w:lineRule="auto"/>
              <w:jc w:val="center"/>
              <w:rPr>
                <w:rFonts w:eastAsia="Calibri"/>
                <w:b/>
                <w:sz w:val="20"/>
                <w:szCs w:val="20"/>
              </w:rPr>
            </w:pPr>
            <w:r>
              <w:rPr>
                <w:rFonts w:eastAsia="Calibri"/>
                <w:b/>
                <w:sz w:val="20"/>
                <w:szCs w:val="20"/>
              </w:rPr>
              <w:t>Actual</w:t>
            </w:r>
          </w:p>
        </w:tc>
        <w:tc>
          <w:tcPr>
            <w:tcW w:w="1350" w:type="dxa"/>
            <w:vMerge/>
            <w:tcBorders>
              <w:left w:val="single" w:sz="4" w:space="0" w:color="auto"/>
              <w:bottom w:val="single" w:sz="4" w:space="0" w:color="auto"/>
              <w:right w:val="single" w:sz="4" w:space="0" w:color="auto"/>
            </w:tcBorders>
            <w:shd w:val="clear" w:color="auto" w:fill="DAEEF3"/>
          </w:tcPr>
          <w:p w14:paraId="2180C9F0" w14:textId="77777777" w:rsidR="00C935C5" w:rsidRPr="0000532F" w:rsidRDefault="00C935C5" w:rsidP="005B61BA">
            <w:pPr>
              <w:spacing w:after="0" w:line="240" w:lineRule="auto"/>
              <w:jc w:val="center"/>
              <w:rPr>
                <w:rFonts w:eastAsia="Calibri"/>
                <w:b/>
                <w:sz w:val="20"/>
                <w:szCs w:val="20"/>
              </w:rPr>
            </w:pPr>
          </w:p>
        </w:tc>
      </w:tr>
      <w:tr w:rsidR="00C935C5" w:rsidRPr="00283732" w14:paraId="72ECA47A" w14:textId="77777777" w:rsidTr="00500616">
        <w:trPr>
          <w:jc w:val="center"/>
        </w:trPr>
        <w:tc>
          <w:tcPr>
            <w:tcW w:w="3145" w:type="dxa"/>
            <w:gridSpan w:val="2"/>
            <w:vMerge/>
            <w:tcBorders>
              <w:left w:val="single" w:sz="4" w:space="0" w:color="auto"/>
              <w:bottom w:val="single" w:sz="4" w:space="0" w:color="auto"/>
              <w:right w:val="single" w:sz="4" w:space="0" w:color="auto"/>
            </w:tcBorders>
            <w:shd w:val="clear" w:color="auto" w:fill="DAEEF3"/>
          </w:tcPr>
          <w:p w14:paraId="4C832FF2" w14:textId="77777777" w:rsidR="00C935C5" w:rsidRPr="0000532F" w:rsidRDefault="00C935C5" w:rsidP="005B61BA">
            <w:pPr>
              <w:spacing w:after="0" w:line="240" w:lineRule="auto"/>
              <w:rPr>
                <w:rFonts w:eastAsia="Calibri"/>
                <w:sz w:val="20"/>
                <w:szCs w:val="20"/>
              </w:rPr>
            </w:pPr>
          </w:p>
        </w:tc>
        <w:tc>
          <w:tcPr>
            <w:tcW w:w="6300" w:type="dxa"/>
            <w:gridSpan w:val="2"/>
            <w:vMerge/>
            <w:tcBorders>
              <w:left w:val="single" w:sz="4" w:space="0" w:color="auto"/>
              <w:bottom w:val="single" w:sz="4" w:space="0" w:color="auto"/>
              <w:right w:val="single" w:sz="4" w:space="0" w:color="auto"/>
            </w:tcBorders>
            <w:shd w:val="clear" w:color="auto" w:fill="DAEEF3"/>
          </w:tcPr>
          <w:p w14:paraId="5FD34355" w14:textId="77777777" w:rsidR="00C935C5" w:rsidRPr="0000532F" w:rsidRDefault="00C935C5" w:rsidP="005B61BA">
            <w:pPr>
              <w:spacing w:after="0" w:line="240" w:lineRule="auto"/>
              <w:rPr>
                <w:rFonts w:eastAsia="Calibri"/>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AEEF3"/>
          </w:tcPr>
          <w:p w14:paraId="46CB0DB6" w14:textId="77777777" w:rsidR="00C935C5" w:rsidRPr="006A4CAD" w:rsidRDefault="00C935C5" w:rsidP="005B61BA">
            <w:pPr>
              <w:spacing w:after="0" w:line="240" w:lineRule="auto"/>
              <w:jc w:val="center"/>
              <w:rPr>
                <w:rFonts w:eastAsia="Calibri"/>
                <w:b/>
                <w:sz w:val="20"/>
                <w:szCs w:val="20"/>
              </w:rPr>
            </w:pPr>
            <w:r w:rsidRPr="006A4CAD">
              <w:rPr>
                <w:rFonts w:eastAsia="Calibri"/>
                <w:b/>
                <w:sz w:val="20"/>
                <w:szCs w:val="20"/>
              </w:rPr>
              <w:t>2013</w:t>
            </w:r>
          </w:p>
        </w:tc>
        <w:tc>
          <w:tcPr>
            <w:tcW w:w="1350" w:type="dxa"/>
            <w:gridSpan w:val="2"/>
            <w:tcBorders>
              <w:top w:val="single" w:sz="4" w:space="0" w:color="auto"/>
              <w:left w:val="single" w:sz="4" w:space="0" w:color="auto"/>
              <w:bottom w:val="single" w:sz="4" w:space="0" w:color="auto"/>
              <w:right w:val="single" w:sz="4" w:space="0" w:color="auto"/>
            </w:tcBorders>
            <w:shd w:val="clear" w:color="auto" w:fill="DAEEF3"/>
          </w:tcPr>
          <w:p w14:paraId="76D9E64A" w14:textId="77777777" w:rsidR="00C935C5" w:rsidRPr="006A4CAD" w:rsidRDefault="00C935C5" w:rsidP="005B61BA">
            <w:pPr>
              <w:spacing w:after="0" w:line="240" w:lineRule="auto"/>
              <w:jc w:val="center"/>
              <w:rPr>
                <w:rFonts w:eastAsia="Calibri"/>
                <w:b/>
                <w:sz w:val="20"/>
                <w:szCs w:val="20"/>
              </w:rPr>
            </w:pPr>
            <w:r w:rsidRPr="006A4CAD">
              <w:rPr>
                <w:rFonts w:eastAsia="Calibri"/>
                <w:b/>
                <w:sz w:val="20"/>
                <w:szCs w:val="20"/>
              </w:rPr>
              <w:t>2014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AEEF3"/>
          </w:tcPr>
          <w:p w14:paraId="2064A9A8" w14:textId="34A94660" w:rsidR="00C935C5" w:rsidRPr="006A4CAD" w:rsidRDefault="00C935C5" w:rsidP="005B61BA">
            <w:pPr>
              <w:spacing w:after="0" w:line="240" w:lineRule="auto"/>
              <w:jc w:val="center"/>
              <w:rPr>
                <w:rFonts w:eastAsia="Calibri"/>
                <w:b/>
                <w:sz w:val="20"/>
                <w:szCs w:val="20"/>
              </w:rPr>
            </w:pPr>
            <w:r>
              <w:rPr>
                <w:rFonts w:eastAsia="Calibri"/>
                <w:b/>
                <w:sz w:val="20"/>
                <w:szCs w:val="20"/>
              </w:rPr>
              <w:t>2014</w:t>
            </w:r>
          </w:p>
        </w:tc>
        <w:tc>
          <w:tcPr>
            <w:tcW w:w="1350" w:type="dxa"/>
            <w:tcBorders>
              <w:top w:val="single" w:sz="4" w:space="0" w:color="auto"/>
              <w:left w:val="single" w:sz="4" w:space="0" w:color="auto"/>
              <w:bottom w:val="single" w:sz="4" w:space="0" w:color="auto"/>
              <w:right w:val="single" w:sz="4" w:space="0" w:color="auto"/>
            </w:tcBorders>
            <w:shd w:val="clear" w:color="auto" w:fill="DAEEF3"/>
          </w:tcPr>
          <w:p w14:paraId="50CD66C6" w14:textId="77777777" w:rsidR="00C935C5" w:rsidRPr="006A4CAD" w:rsidRDefault="00C935C5" w:rsidP="005B61BA">
            <w:pPr>
              <w:spacing w:after="0" w:line="240" w:lineRule="auto"/>
              <w:jc w:val="center"/>
              <w:rPr>
                <w:rFonts w:eastAsia="Calibri"/>
                <w:b/>
                <w:sz w:val="20"/>
                <w:szCs w:val="20"/>
              </w:rPr>
            </w:pPr>
            <w:r w:rsidRPr="006A4CAD">
              <w:rPr>
                <w:rFonts w:eastAsia="Calibri"/>
                <w:b/>
                <w:sz w:val="20"/>
                <w:szCs w:val="20"/>
              </w:rPr>
              <w:t>2017</w:t>
            </w:r>
          </w:p>
        </w:tc>
      </w:tr>
      <w:tr w:rsidR="00316F01" w:rsidRPr="00954FCD" w14:paraId="2FA7A122" w14:textId="77777777" w:rsidTr="00500616">
        <w:trPr>
          <w:trHeight w:val="548"/>
          <w:jc w:val="center"/>
        </w:trPr>
        <w:tc>
          <w:tcPr>
            <w:tcW w:w="3145" w:type="dxa"/>
            <w:gridSpan w:val="2"/>
            <w:vMerge w:val="restart"/>
            <w:tcBorders>
              <w:top w:val="single" w:sz="4" w:space="0" w:color="auto"/>
              <w:left w:val="single" w:sz="4" w:space="0" w:color="auto"/>
              <w:right w:val="single" w:sz="4" w:space="0" w:color="auto"/>
            </w:tcBorders>
            <w:shd w:val="clear" w:color="auto" w:fill="FFFFFF"/>
            <w:hideMark/>
          </w:tcPr>
          <w:p w14:paraId="7B6EC165" w14:textId="53D4D9D6" w:rsidR="00316F01" w:rsidRDefault="00316F01" w:rsidP="00316F01">
            <w:pPr>
              <w:spacing w:after="0" w:line="240" w:lineRule="auto"/>
              <w:rPr>
                <w:rFonts w:eastAsia="Calibri"/>
                <w:sz w:val="20"/>
                <w:szCs w:val="20"/>
              </w:rPr>
            </w:pPr>
            <w:r w:rsidRPr="0000532F">
              <w:rPr>
                <w:rFonts w:eastAsia="Calibri"/>
                <w:b/>
                <w:sz w:val="20"/>
                <w:szCs w:val="20"/>
              </w:rPr>
              <w:t xml:space="preserve">Output 4.1. </w:t>
            </w:r>
            <w:r w:rsidRPr="0000532F">
              <w:rPr>
                <w:rFonts w:eastAsia="Calibri"/>
                <w:sz w:val="20"/>
                <w:szCs w:val="20"/>
              </w:rPr>
              <w:t>Country led measures accelerated to advance women’s economic empowerment</w:t>
            </w:r>
          </w:p>
          <w:p w14:paraId="62FE413E" w14:textId="77777777" w:rsidR="00316F01" w:rsidRDefault="00316F01" w:rsidP="00316F01">
            <w:pPr>
              <w:spacing w:after="0" w:line="240" w:lineRule="auto"/>
              <w:rPr>
                <w:rFonts w:eastAsia="Calibri"/>
                <w:sz w:val="20"/>
                <w:szCs w:val="20"/>
              </w:rPr>
            </w:pPr>
          </w:p>
          <w:p w14:paraId="4F19C39C" w14:textId="64F0B837" w:rsidR="00316F01" w:rsidRPr="00E36333" w:rsidRDefault="00251884" w:rsidP="00316F01">
            <w:pPr>
              <w:spacing w:after="0" w:line="240" w:lineRule="auto"/>
              <w:rPr>
                <w:rFonts w:eastAsia="Calibri"/>
                <w:color w:val="000000"/>
                <w:sz w:val="20"/>
              </w:rPr>
            </w:pPr>
            <w:r w:rsidRPr="00B359E7">
              <w:rPr>
                <w:rFonts w:ascii="Calibri" w:eastAsia="Calibri" w:hAnsi="Calibri"/>
                <w:b/>
                <w:i/>
                <w:color w:val="000000"/>
                <w:sz w:val="18"/>
                <w:szCs w:val="18"/>
              </w:rPr>
              <w:t>Number of countries linked:</w:t>
            </w:r>
            <w:r>
              <w:rPr>
                <w:rFonts w:ascii="Calibri" w:eastAsia="Calibri" w:hAnsi="Calibri"/>
                <w:b/>
                <w:color w:val="000000"/>
                <w:sz w:val="18"/>
                <w:szCs w:val="18"/>
              </w:rPr>
              <w:t xml:space="preserve"> 18 (February 2015</w:t>
            </w:r>
            <w:r w:rsidRPr="00B359E7">
              <w:rPr>
                <w:rFonts w:ascii="Calibri" w:eastAsia="Calibri" w:hAnsi="Calibri"/>
                <w:b/>
                <w:color w:val="000000"/>
                <w:sz w:val="18"/>
                <w:szCs w:val="18"/>
              </w:rPr>
              <w:t>)</w:t>
            </w:r>
          </w:p>
        </w:tc>
        <w:tc>
          <w:tcPr>
            <w:tcW w:w="900" w:type="dxa"/>
            <w:vMerge w:val="restart"/>
            <w:tcBorders>
              <w:top w:val="single" w:sz="4" w:space="0" w:color="auto"/>
              <w:left w:val="single" w:sz="4" w:space="0" w:color="auto"/>
              <w:right w:val="single" w:sz="4" w:space="0" w:color="auto"/>
            </w:tcBorders>
            <w:shd w:val="clear" w:color="auto" w:fill="FFFFFF"/>
          </w:tcPr>
          <w:p w14:paraId="2A721A94" w14:textId="77777777" w:rsidR="00316F01" w:rsidRPr="00A66343" w:rsidRDefault="00316F01" w:rsidP="00316F01">
            <w:pPr>
              <w:spacing w:after="0" w:line="240" w:lineRule="auto"/>
              <w:rPr>
                <w:rFonts w:eastAsia="Calibri"/>
                <w:b/>
                <w:sz w:val="20"/>
                <w:szCs w:val="20"/>
              </w:rPr>
            </w:pPr>
            <w:r w:rsidRPr="00A66343">
              <w:rPr>
                <w:rFonts w:eastAsia="Calibri"/>
                <w:b/>
                <w:sz w:val="20"/>
                <w:szCs w:val="20"/>
              </w:rPr>
              <w:t>4.1.1</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14:paraId="735C00EA" w14:textId="77777777" w:rsidR="008376B6" w:rsidRPr="0013161E" w:rsidRDefault="00316F01" w:rsidP="00316F01">
            <w:pPr>
              <w:spacing w:after="0" w:line="240" w:lineRule="auto"/>
              <w:rPr>
                <w:rFonts w:eastAsia="Calibri"/>
                <w:sz w:val="20"/>
                <w:szCs w:val="20"/>
              </w:rPr>
            </w:pPr>
            <w:r w:rsidRPr="0013161E">
              <w:rPr>
                <w:rFonts w:eastAsia="Calibri"/>
                <w:sz w:val="20"/>
                <w:szCs w:val="20"/>
              </w:rPr>
              <w:t xml:space="preserve">Number of countries where </w:t>
            </w:r>
            <w:r w:rsidRPr="000B5DED">
              <w:rPr>
                <w:rFonts w:eastAsia="Calibri"/>
                <w:b/>
                <w:sz w:val="20"/>
                <w:szCs w:val="20"/>
              </w:rPr>
              <w:t>policies</w:t>
            </w:r>
            <w:r w:rsidRPr="0013161E">
              <w:rPr>
                <w:rFonts w:eastAsia="Calibri"/>
                <w:sz w:val="20"/>
                <w:szCs w:val="20"/>
              </w:rPr>
              <w:t xml:space="preserve"> to promote </w:t>
            </w:r>
            <w:r w:rsidRPr="0013161E">
              <w:rPr>
                <w:rFonts w:eastAsia="Calibri"/>
                <w:b/>
                <w:sz w:val="20"/>
                <w:szCs w:val="20"/>
              </w:rPr>
              <w:t xml:space="preserve">women’s economic empowerment </w:t>
            </w:r>
            <w:r w:rsidR="008376B6" w:rsidRPr="0013161E">
              <w:rPr>
                <w:rFonts w:eastAsia="Calibri"/>
                <w:sz w:val="20"/>
                <w:szCs w:val="20"/>
              </w:rPr>
              <w:t xml:space="preserve">show </w:t>
            </w:r>
            <w:r w:rsidR="008376B6" w:rsidRPr="000B5DED">
              <w:rPr>
                <w:rFonts w:eastAsia="Calibri"/>
                <w:b/>
                <w:sz w:val="20"/>
                <w:szCs w:val="20"/>
              </w:rPr>
              <w:t>improved</w:t>
            </w:r>
            <w:r w:rsidR="008376B6" w:rsidRPr="0013161E">
              <w:rPr>
                <w:rFonts w:eastAsia="Calibri"/>
                <w:sz w:val="20"/>
                <w:szCs w:val="20"/>
              </w:rPr>
              <w:t xml:space="preserve"> implementation</w:t>
            </w:r>
          </w:p>
          <w:p w14:paraId="7672709C" w14:textId="7F04FFE2" w:rsidR="008376B6" w:rsidRPr="0013161E" w:rsidRDefault="008376B6" w:rsidP="00D37201">
            <w:pPr>
              <w:spacing w:before="240" w:after="0" w:line="240" w:lineRule="auto"/>
              <w:rPr>
                <w:rFonts w:eastAsia="Calibri"/>
                <w:sz w:val="20"/>
                <w:szCs w:val="20"/>
              </w:rPr>
            </w:pPr>
            <w:r w:rsidRPr="0013161E">
              <w:rPr>
                <w:rFonts w:eastAsia="Calibri"/>
                <w:b/>
                <w:i/>
                <w:sz w:val="18"/>
                <w:szCs w:val="18"/>
              </w:rPr>
              <w:t xml:space="preserve">Number of countries </w:t>
            </w:r>
            <w:r w:rsidR="00983FF8" w:rsidRPr="0013161E">
              <w:rPr>
                <w:rFonts w:eastAsia="Calibri"/>
                <w:b/>
                <w:i/>
                <w:sz w:val="18"/>
                <w:szCs w:val="18"/>
              </w:rPr>
              <w:t>for which a 2017 target has currently been set under this indicator</w:t>
            </w:r>
            <w:r w:rsidR="00A35C62" w:rsidRPr="0013161E">
              <w:rPr>
                <w:rFonts w:eastAsia="Calibri"/>
                <w:b/>
                <w:i/>
                <w:sz w:val="18"/>
                <w:szCs w:val="18"/>
              </w:rPr>
              <w:t>: 16</w:t>
            </w:r>
          </w:p>
        </w:tc>
        <w:tc>
          <w:tcPr>
            <w:tcW w:w="1440" w:type="dxa"/>
            <w:tcBorders>
              <w:top w:val="single" w:sz="4" w:space="0" w:color="auto"/>
              <w:left w:val="single" w:sz="4" w:space="0" w:color="auto"/>
              <w:right w:val="single" w:sz="4" w:space="0" w:color="auto"/>
            </w:tcBorders>
            <w:shd w:val="clear" w:color="auto" w:fill="FFFFFF"/>
            <w:vAlign w:val="center"/>
          </w:tcPr>
          <w:p w14:paraId="1F571080" w14:textId="7FEC9EC9" w:rsidR="00316F01" w:rsidRPr="0013161E" w:rsidRDefault="00EE683F" w:rsidP="005B2F8A">
            <w:pPr>
              <w:spacing w:after="0" w:line="240" w:lineRule="auto"/>
              <w:jc w:val="center"/>
              <w:rPr>
                <w:rFonts w:eastAsia="Calibri"/>
                <w:sz w:val="20"/>
                <w:szCs w:val="20"/>
              </w:rPr>
            </w:pPr>
            <w:r w:rsidRPr="0013161E">
              <w:rPr>
                <w:rFonts w:eastAsia="Calibri"/>
                <w:sz w:val="20"/>
                <w:szCs w:val="20"/>
              </w:rPr>
              <w:t>0</w:t>
            </w:r>
          </w:p>
        </w:tc>
        <w:tc>
          <w:tcPr>
            <w:tcW w:w="1350" w:type="dxa"/>
            <w:gridSpan w:val="2"/>
            <w:tcBorders>
              <w:top w:val="single" w:sz="4" w:space="0" w:color="auto"/>
              <w:left w:val="single" w:sz="4" w:space="0" w:color="auto"/>
              <w:right w:val="single" w:sz="4" w:space="0" w:color="auto"/>
            </w:tcBorders>
            <w:shd w:val="clear" w:color="auto" w:fill="FFFFFF"/>
            <w:vAlign w:val="center"/>
          </w:tcPr>
          <w:p w14:paraId="6A20D3D7" w14:textId="77777777" w:rsidR="00316F01" w:rsidRPr="0013161E" w:rsidRDefault="00A32419" w:rsidP="00316F01">
            <w:pPr>
              <w:spacing w:after="0" w:line="240" w:lineRule="auto"/>
              <w:jc w:val="center"/>
              <w:rPr>
                <w:rFonts w:eastAsia="Calibri"/>
                <w:sz w:val="20"/>
                <w:szCs w:val="20"/>
              </w:rPr>
            </w:pPr>
            <w:r w:rsidRPr="0013161E">
              <w:rPr>
                <w:rFonts w:eastAsia="Calibri"/>
                <w:sz w:val="20"/>
                <w:szCs w:val="20"/>
              </w:rPr>
              <w:t>4</w:t>
            </w:r>
          </w:p>
        </w:tc>
        <w:tc>
          <w:tcPr>
            <w:tcW w:w="1260" w:type="dxa"/>
            <w:gridSpan w:val="2"/>
            <w:tcBorders>
              <w:top w:val="single" w:sz="4" w:space="0" w:color="auto"/>
              <w:left w:val="single" w:sz="4" w:space="0" w:color="auto"/>
              <w:right w:val="single" w:sz="4" w:space="0" w:color="auto"/>
            </w:tcBorders>
            <w:shd w:val="clear" w:color="auto" w:fill="FFFFFF"/>
            <w:vAlign w:val="center"/>
          </w:tcPr>
          <w:p w14:paraId="086BDB0A" w14:textId="0A549D93" w:rsidR="00316F01" w:rsidRPr="0013161E" w:rsidRDefault="00291ECE" w:rsidP="00316F01">
            <w:pPr>
              <w:spacing w:after="0" w:line="240" w:lineRule="auto"/>
              <w:jc w:val="center"/>
              <w:rPr>
                <w:rFonts w:eastAsia="Calibri"/>
                <w:sz w:val="20"/>
                <w:szCs w:val="20"/>
              </w:rPr>
            </w:pPr>
            <w:r w:rsidRPr="0013161E">
              <w:rPr>
                <w:rFonts w:eastAsia="Calibri"/>
                <w:sz w:val="20"/>
                <w:szCs w:val="20"/>
              </w:rPr>
              <w:t>5</w:t>
            </w:r>
          </w:p>
        </w:tc>
        <w:tc>
          <w:tcPr>
            <w:tcW w:w="1350" w:type="dxa"/>
            <w:tcBorders>
              <w:top w:val="single" w:sz="4" w:space="0" w:color="auto"/>
              <w:left w:val="single" w:sz="4" w:space="0" w:color="auto"/>
              <w:right w:val="single" w:sz="4" w:space="0" w:color="auto"/>
            </w:tcBorders>
            <w:shd w:val="clear" w:color="auto" w:fill="FFFFFF"/>
            <w:vAlign w:val="center"/>
          </w:tcPr>
          <w:p w14:paraId="2CBED2BE" w14:textId="77777777" w:rsidR="00316F01" w:rsidRPr="0013161E" w:rsidRDefault="00A32419" w:rsidP="00316F01">
            <w:pPr>
              <w:spacing w:after="0" w:line="240" w:lineRule="auto"/>
              <w:jc w:val="center"/>
              <w:rPr>
                <w:rFonts w:eastAsia="Calibri"/>
                <w:sz w:val="20"/>
                <w:szCs w:val="20"/>
              </w:rPr>
            </w:pPr>
            <w:r w:rsidRPr="0013161E">
              <w:rPr>
                <w:rFonts w:eastAsia="Calibri"/>
                <w:sz w:val="20"/>
                <w:szCs w:val="20"/>
              </w:rPr>
              <w:t>12</w:t>
            </w:r>
          </w:p>
        </w:tc>
      </w:tr>
      <w:tr w:rsidR="005B61BA" w:rsidRPr="00954FCD" w14:paraId="34383E28" w14:textId="77777777" w:rsidTr="00500616">
        <w:trPr>
          <w:trHeight w:val="719"/>
          <w:jc w:val="center"/>
        </w:trPr>
        <w:tc>
          <w:tcPr>
            <w:tcW w:w="3145" w:type="dxa"/>
            <w:gridSpan w:val="2"/>
            <w:vMerge/>
            <w:tcBorders>
              <w:left w:val="single" w:sz="4" w:space="0" w:color="auto"/>
              <w:bottom w:val="single" w:sz="4" w:space="0" w:color="auto"/>
              <w:right w:val="single" w:sz="4" w:space="0" w:color="auto"/>
            </w:tcBorders>
            <w:shd w:val="clear" w:color="auto" w:fill="FFFFFF"/>
          </w:tcPr>
          <w:p w14:paraId="4CDD7496" w14:textId="2B9C0D77" w:rsidR="005B61BA" w:rsidRPr="0000532F" w:rsidRDefault="005B61BA" w:rsidP="005B61BA">
            <w:pPr>
              <w:spacing w:after="0" w:line="240" w:lineRule="auto"/>
              <w:rPr>
                <w:rFonts w:eastAsia="Calibri"/>
                <w:b/>
                <w:sz w:val="20"/>
                <w:szCs w:val="20"/>
              </w:rPr>
            </w:pPr>
          </w:p>
        </w:tc>
        <w:tc>
          <w:tcPr>
            <w:tcW w:w="900" w:type="dxa"/>
            <w:vMerge/>
            <w:tcBorders>
              <w:left w:val="single" w:sz="4" w:space="0" w:color="auto"/>
              <w:bottom w:val="single" w:sz="4" w:space="0" w:color="auto"/>
              <w:right w:val="single" w:sz="4" w:space="0" w:color="auto"/>
            </w:tcBorders>
            <w:shd w:val="clear" w:color="auto" w:fill="FFFFFF"/>
          </w:tcPr>
          <w:p w14:paraId="66CE7329" w14:textId="77777777" w:rsidR="005B61BA" w:rsidRPr="00A66343" w:rsidRDefault="005B61BA" w:rsidP="005B61BA">
            <w:pPr>
              <w:spacing w:after="0" w:line="240" w:lineRule="auto"/>
              <w:rPr>
                <w:rFonts w:eastAsia="Calibri"/>
                <w:b/>
                <w:sz w:val="20"/>
                <w:szCs w:val="20"/>
              </w:rPr>
            </w:pPr>
          </w:p>
        </w:tc>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24CF7A" w14:textId="1AA56198" w:rsidR="005B61BA" w:rsidRPr="0013161E" w:rsidRDefault="005B61BA" w:rsidP="002E69AC">
            <w:pPr>
              <w:spacing w:after="0" w:line="240" w:lineRule="auto"/>
              <w:rPr>
                <w:rFonts w:ascii="Calibri" w:eastAsia="Calibri" w:hAnsi="Calibri" w:cs="Times New Roman"/>
                <w:b/>
                <w:sz w:val="18"/>
                <w:szCs w:val="18"/>
                <w:lang w:eastAsia="en-US"/>
              </w:rPr>
            </w:pPr>
            <w:r w:rsidRPr="0013161E">
              <w:rPr>
                <w:rFonts w:ascii="Calibri" w:eastAsia="Calibri" w:hAnsi="Calibri" w:cs="Times New Roman"/>
                <w:b/>
                <w:sz w:val="18"/>
                <w:szCs w:val="18"/>
                <w:lang w:eastAsia="en-US"/>
              </w:rPr>
              <w:t>Indicator 4.1.1 Note:</w:t>
            </w:r>
            <w:r w:rsidR="00316F01" w:rsidRPr="0013161E">
              <w:rPr>
                <w:rFonts w:ascii="Calibri" w:eastAsia="Calibri" w:hAnsi="Calibri" w:cs="Times New Roman"/>
                <w:b/>
                <w:sz w:val="18"/>
                <w:szCs w:val="18"/>
                <w:lang w:eastAsia="en-US"/>
              </w:rPr>
              <w:t xml:space="preserve"> </w:t>
            </w:r>
            <w:r w:rsidR="007F3C5D" w:rsidRPr="0013161E">
              <w:rPr>
                <w:color w:val="000000" w:themeColor="text1"/>
                <w:sz w:val="18"/>
                <w:szCs w:val="18"/>
              </w:rPr>
              <w:t>Q</w:t>
            </w:r>
            <w:r w:rsidR="00316F01" w:rsidRPr="0013161E">
              <w:rPr>
                <w:color w:val="000000" w:themeColor="text1"/>
                <w:sz w:val="18"/>
                <w:szCs w:val="18"/>
              </w:rPr>
              <w:t xml:space="preserve">ualitative indicator </w:t>
            </w:r>
            <w:r w:rsidR="007F3C5D" w:rsidRPr="0013161E">
              <w:rPr>
                <w:rFonts w:ascii="Calibri" w:eastAsia="Calibri" w:hAnsi="Calibri"/>
                <w:sz w:val="18"/>
                <w:szCs w:val="18"/>
              </w:rPr>
              <w:t xml:space="preserve">through which effectiveness of UNDP’s support (on demand </w:t>
            </w:r>
            <w:r w:rsidR="007F3C5D" w:rsidRPr="0013161E">
              <w:rPr>
                <w:sz w:val="18"/>
                <w:szCs w:val="18"/>
              </w:rPr>
              <w:t>from programme countries</w:t>
            </w:r>
            <w:r w:rsidR="007F3C5D" w:rsidRPr="0013161E">
              <w:rPr>
                <w:rFonts w:ascii="Calibri" w:eastAsia="Calibri" w:hAnsi="Calibri"/>
                <w:sz w:val="18"/>
                <w:szCs w:val="18"/>
              </w:rPr>
              <w:t>)</w:t>
            </w:r>
            <w:r w:rsidR="007F3C5D" w:rsidRPr="0013161E">
              <w:rPr>
                <w:sz w:val="18"/>
                <w:szCs w:val="18"/>
              </w:rPr>
              <w:t xml:space="preserve"> to</w:t>
            </w:r>
            <w:r w:rsidR="00316F01" w:rsidRPr="0013161E">
              <w:rPr>
                <w:color w:val="000000" w:themeColor="text1"/>
                <w:sz w:val="18"/>
                <w:szCs w:val="18"/>
              </w:rPr>
              <w:t xml:space="preserve"> develop and implement policies to promote women’s economic empowerment</w:t>
            </w:r>
            <w:r w:rsidR="00C8047B" w:rsidRPr="0013161E">
              <w:rPr>
                <w:color w:val="000000" w:themeColor="text1"/>
                <w:sz w:val="18"/>
                <w:szCs w:val="18"/>
              </w:rPr>
              <w:t xml:space="preserve"> is </w:t>
            </w:r>
            <w:r w:rsidR="00C8047B" w:rsidRPr="0013161E">
              <w:rPr>
                <w:rFonts w:eastAsia="Calibri"/>
                <w:sz w:val="18"/>
                <w:szCs w:val="18"/>
              </w:rPr>
              <w:t>tracked using a qualitative rating scale</w:t>
            </w:r>
            <w:r w:rsidR="00C8047B" w:rsidRPr="0013161E">
              <w:rPr>
                <w:rFonts w:ascii="Calibri" w:eastAsia="Calibri" w:hAnsi="Calibri" w:cs="Times New Roman"/>
                <w:sz w:val="20"/>
                <w:szCs w:val="20"/>
                <w:lang w:eastAsia="en-US"/>
              </w:rPr>
              <w:t xml:space="preserve"> </w:t>
            </w:r>
            <w:r w:rsidR="00316F01" w:rsidRPr="0013161E">
              <w:rPr>
                <w:rFonts w:eastAsia="Calibri"/>
                <w:color w:val="000000" w:themeColor="text1"/>
                <w:sz w:val="18"/>
                <w:szCs w:val="18"/>
              </w:rPr>
              <w:t>(1= not adequately, 2= very partiall</w:t>
            </w:r>
            <w:r w:rsidR="00C8047B" w:rsidRPr="0013161E">
              <w:rPr>
                <w:rFonts w:eastAsia="Calibri"/>
                <w:color w:val="000000" w:themeColor="text1"/>
                <w:sz w:val="18"/>
                <w:szCs w:val="18"/>
              </w:rPr>
              <w:t xml:space="preserve">y, 3= partially and 4= largely), counting </w:t>
            </w:r>
            <w:r w:rsidR="00316F01" w:rsidRPr="0013161E">
              <w:rPr>
                <w:rFonts w:eastAsia="Calibri"/>
                <w:color w:val="000000" w:themeColor="text1"/>
                <w:sz w:val="18"/>
                <w:szCs w:val="18"/>
              </w:rPr>
              <w:t xml:space="preserve">the number of countries where </w:t>
            </w:r>
            <w:r w:rsidR="002E69AC" w:rsidRPr="0013161E">
              <w:rPr>
                <w:rFonts w:eastAsia="Calibri"/>
                <w:color w:val="000000" w:themeColor="text1"/>
                <w:sz w:val="18"/>
                <w:szCs w:val="18"/>
              </w:rPr>
              <w:t xml:space="preserve">objective evidence exists that </w:t>
            </w:r>
            <w:r w:rsidR="00316F01" w:rsidRPr="0013161E">
              <w:rPr>
                <w:rFonts w:eastAsia="Calibri"/>
                <w:color w:val="000000" w:themeColor="text1"/>
                <w:sz w:val="18"/>
                <w:szCs w:val="18"/>
              </w:rPr>
              <w:t xml:space="preserve">UNDP support has led to </w:t>
            </w:r>
            <w:r w:rsidR="00606873" w:rsidRPr="0013161E">
              <w:rPr>
                <w:rFonts w:eastAsia="Calibri"/>
                <w:color w:val="000000" w:themeColor="text1"/>
                <w:sz w:val="18"/>
                <w:szCs w:val="18"/>
              </w:rPr>
              <w:t>measurable</w:t>
            </w:r>
            <w:r w:rsidR="00192D55" w:rsidRPr="0013161E">
              <w:rPr>
                <w:rFonts w:eastAsia="Calibri"/>
                <w:color w:val="000000" w:themeColor="text1"/>
                <w:sz w:val="18"/>
                <w:szCs w:val="18"/>
              </w:rPr>
              <w:t xml:space="preserve"> change </w:t>
            </w:r>
            <w:r w:rsidR="000176EC" w:rsidRPr="0013161E">
              <w:rPr>
                <w:rFonts w:eastAsia="Calibri"/>
                <w:color w:val="000000" w:themeColor="text1"/>
                <w:sz w:val="18"/>
                <w:szCs w:val="18"/>
              </w:rPr>
              <w:t>from January 2014 onwards</w:t>
            </w:r>
            <w:r w:rsidR="00192D55" w:rsidRPr="0013161E">
              <w:rPr>
                <w:rFonts w:eastAsia="Calibri"/>
                <w:color w:val="000000" w:themeColor="text1"/>
                <w:sz w:val="18"/>
                <w:szCs w:val="18"/>
              </w:rPr>
              <w:t>.</w:t>
            </w:r>
          </w:p>
        </w:tc>
      </w:tr>
    </w:tbl>
    <w:p w14:paraId="16F73B81" w14:textId="77777777" w:rsidR="002E69AC" w:rsidRDefault="002E69AC">
      <w:r>
        <w:br w:type="page"/>
      </w:r>
    </w:p>
    <w:tbl>
      <w:tblPr>
        <w:tblW w:w="1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45"/>
        <w:gridCol w:w="900"/>
        <w:gridCol w:w="5400"/>
        <w:gridCol w:w="1440"/>
        <w:gridCol w:w="1350"/>
        <w:gridCol w:w="1260"/>
        <w:gridCol w:w="1350"/>
      </w:tblGrid>
      <w:tr w:rsidR="005B61BA" w:rsidRPr="005F1C78" w14:paraId="3377C09D" w14:textId="77777777" w:rsidTr="00500616">
        <w:trPr>
          <w:trHeight w:val="512"/>
          <w:jc w:val="center"/>
        </w:trPr>
        <w:tc>
          <w:tcPr>
            <w:tcW w:w="3145" w:type="dxa"/>
            <w:vMerge w:val="restart"/>
            <w:tcBorders>
              <w:top w:val="single" w:sz="4" w:space="0" w:color="auto"/>
              <w:left w:val="single" w:sz="4" w:space="0" w:color="auto"/>
              <w:right w:val="single" w:sz="4" w:space="0" w:color="auto"/>
            </w:tcBorders>
            <w:shd w:val="clear" w:color="auto" w:fill="FFFFFF"/>
            <w:hideMark/>
          </w:tcPr>
          <w:p w14:paraId="6CB55F44" w14:textId="431EFDB1" w:rsidR="005B61BA" w:rsidRDefault="005B61BA" w:rsidP="005B61BA">
            <w:pPr>
              <w:spacing w:after="0" w:line="240" w:lineRule="auto"/>
              <w:rPr>
                <w:rFonts w:eastAsia="Calibri"/>
                <w:sz w:val="20"/>
                <w:szCs w:val="20"/>
              </w:rPr>
            </w:pPr>
            <w:r w:rsidRPr="0000532F">
              <w:rPr>
                <w:rFonts w:eastAsia="Calibri"/>
                <w:b/>
                <w:sz w:val="20"/>
                <w:szCs w:val="20"/>
              </w:rPr>
              <w:t>Output 4.2.</w:t>
            </w:r>
            <w:r w:rsidRPr="0000532F">
              <w:rPr>
                <w:rFonts w:eastAsia="Calibri"/>
                <w:sz w:val="20"/>
                <w:szCs w:val="20"/>
              </w:rPr>
              <w:t xml:space="preserve"> Measures in place and implemented across sectors to prevent and respond to Sexual an</w:t>
            </w:r>
            <w:r w:rsidR="006E0AB2">
              <w:rPr>
                <w:rFonts w:eastAsia="Calibri"/>
                <w:sz w:val="20"/>
                <w:szCs w:val="20"/>
              </w:rPr>
              <w:t>d Gender Based Violence (SGBV)</w:t>
            </w:r>
          </w:p>
          <w:p w14:paraId="0514B2A3" w14:textId="77777777" w:rsidR="005B61BA" w:rsidRDefault="005B61BA" w:rsidP="005B61BA">
            <w:pPr>
              <w:spacing w:after="0" w:line="240" w:lineRule="auto"/>
              <w:rPr>
                <w:rFonts w:eastAsia="Calibri"/>
                <w:sz w:val="20"/>
                <w:szCs w:val="20"/>
              </w:rPr>
            </w:pPr>
          </w:p>
          <w:p w14:paraId="0615BF4E" w14:textId="6491B3FD" w:rsidR="005B61BA" w:rsidRPr="00E36333" w:rsidRDefault="00B30E7E" w:rsidP="00251884">
            <w:pPr>
              <w:spacing w:after="0" w:line="240" w:lineRule="auto"/>
              <w:rPr>
                <w:rFonts w:eastAsia="Calibri"/>
                <w:color w:val="000000"/>
                <w:sz w:val="20"/>
              </w:rPr>
            </w:pPr>
            <w:r w:rsidRPr="00B359E7">
              <w:rPr>
                <w:rFonts w:ascii="Calibri" w:eastAsia="Calibri" w:hAnsi="Calibri"/>
                <w:b/>
                <w:i/>
                <w:color w:val="000000"/>
                <w:sz w:val="18"/>
                <w:szCs w:val="18"/>
              </w:rPr>
              <w:t>Number of countries linked:</w:t>
            </w:r>
            <w:r>
              <w:rPr>
                <w:rFonts w:ascii="Calibri" w:eastAsia="Calibri" w:hAnsi="Calibri"/>
                <w:b/>
                <w:color w:val="000000"/>
                <w:sz w:val="18"/>
                <w:szCs w:val="18"/>
              </w:rPr>
              <w:t xml:space="preserve"> </w:t>
            </w:r>
            <w:r w:rsidR="00251884">
              <w:rPr>
                <w:rFonts w:ascii="Calibri" w:eastAsia="Calibri" w:hAnsi="Calibri"/>
                <w:b/>
                <w:color w:val="000000"/>
                <w:sz w:val="18"/>
                <w:szCs w:val="18"/>
              </w:rPr>
              <w:t>25</w:t>
            </w:r>
            <w:r>
              <w:rPr>
                <w:rFonts w:ascii="Calibri" w:eastAsia="Calibri" w:hAnsi="Calibri"/>
                <w:b/>
                <w:color w:val="000000"/>
                <w:sz w:val="18"/>
                <w:szCs w:val="18"/>
              </w:rPr>
              <w:t xml:space="preserve"> (February 2015</w:t>
            </w:r>
            <w:r w:rsidRPr="00B359E7">
              <w:rPr>
                <w:rFonts w:ascii="Calibri" w:eastAsia="Calibri" w:hAnsi="Calibri"/>
                <w:b/>
                <w:color w:val="000000"/>
                <w:sz w:val="18"/>
                <w:szCs w:val="18"/>
              </w:rPr>
              <w:t>)</w:t>
            </w:r>
          </w:p>
        </w:tc>
        <w:tc>
          <w:tcPr>
            <w:tcW w:w="900" w:type="dxa"/>
            <w:vMerge w:val="restart"/>
            <w:tcBorders>
              <w:top w:val="single" w:sz="4" w:space="0" w:color="auto"/>
              <w:left w:val="single" w:sz="4" w:space="0" w:color="auto"/>
              <w:right w:val="single" w:sz="4" w:space="0" w:color="auto"/>
            </w:tcBorders>
            <w:shd w:val="clear" w:color="auto" w:fill="FFFFFF"/>
            <w:hideMark/>
          </w:tcPr>
          <w:p w14:paraId="0B58CDA2" w14:textId="77777777" w:rsidR="005B61BA" w:rsidRPr="00A66343" w:rsidRDefault="005B61BA" w:rsidP="005B61BA">
            <w:pPr>
              <w:spacing w:after="0" w:line="240" w:lineRule="auto"/>
              <w:jc w:val="both"/>
              <w:rPr>
                <w:rFonts w:eastAsia="Calibri"/>
                <w:b/>
                <w:sz w:val="20"/>
                <w:szCs w:val="20"/>
              </w:rPr>
            </w:pPr>
            <w:r w:rsidRPr="00A66343">
              <w:rPr>
                <w:rFonts w:eastAsia="Calibri"/>
                <w:b/>
                <w:sz w:val="20"/>
                <w:szCs w:val="20"/>
              </w:rPr>
              <w:t>4.2.1</w:t>
            </w:r>
          </w:p>
        </w:tc>
        <w:tc>
          <w:tcPr>
            <w:tcW w:w="5400" w:type="dxa"/>
            <w:tcBorders>
              <w:top w:val="single" w:sz="4" w:space="0" w:color="auto"/>
              <w:left w:val="single" w:sz="4" w:space="0" w:color="auto"/>
              <w:right w:val="single" w:sz="4" w:space="0" w:color="auto"/>
            </w:tcBorders>
            <w:shd w:val="clear" w:color="auto" w:fill="FFFFFF"/>
            <w:hideMark/>
          </w:tcPr>
          <w:p w14:paraId="1E8C8169" w14:textId="078078AE" w:rsidR="005B61BA" w:rsidRPr="0013161E" w:rsidRDefault="005B61BA" w:rsidP="005B61BA">
            <w:pPr>
              <w:spacing w:after="0" w:line="240" w:lineRule="auto"/>
              <w:rPr>
                <w:rFonts w:eastAsia="Calibri"/>
                <w:sz w:val="20"/>
                <w:szCs w:val="20"/>
              </w:rPr>
            </w:pPr>
            <w:r w:rsidRPr="0013161E">
              <w:rPr>
                <w:rFonts w:eastAsia="Calibri"/>
                <w:sz w:val="20"/>
                <w:szCs w:val="20"/>
              </w:rPr>
              <w:t>Number of countries that have a</w:t>
            </w:r>
            <w:r w:rsidR="001E0F9F" w:rsidRPr="0013161E">
              <w:rPr>
                <w:rFonts w:eastAsia="Calibri"/>
                <w:sz w:val="20"/>
                <w:szCs w:val="20"/>
              </w:rPr>
              <w:t xml:space="preserve"> </w:t>
            </w:r>
            <w:r w:rsidR="001E0F9F" w:rsidRPr="000B5DED">
              <w:rPr>
                <w:rFonts w:eastAsia="Calibri"/>
                <w:b/>
                <w:sz w:val="20"/>
                <w:szCs w:val="20"/>
              </w:rPr>
              <w:t>strengthened</w:t>
            </w:r>
            <w:r w:rsidRPr="000B5DED">
              <w:rPr>
                <w:rFonts w:eastAsia="Calibri"/>
                <w:b/>
                <w:sz w:val="20"/>
                <w:szCs w:val="20"/>
              </w:rPr>
              <w:t xml:space="preserve"> </w:t>
            </w:r>
            <w:r w:rsidRPr="0013161E">
              <w:rPr>
                <w:rFonts w:eastAsia="Calibri"/>
                <w:b/>
                <w:sz w:val="20"/>
                <w:szCs w:val="20"/>
              </w:rPr>
              <w:t>legal and/or policy framework</w:t>
            </w:r>
            <w:r w:rsidRPr="0013161E">
              <w:rPr>
                <w:rFonts w:eastAsia="Calibri"/>
                <w:sz w:val="20"/>
                <w:szCs w:val="20"/>
              </w:rPr>
              <w:t xml:space="preserve"> </w:t>
            </w:r>
            <w:r w:rsidRPr="0013161E">
              <w:rPr>
                <w:rFonts w:eastAsia="Calibri"/>
                <w:b/>
                <w:sz w:val="20"/>
                <w:szCs w:val="20"/>
              </w:rPr>
              <w:t>in place</w:t>
            </w:r>
            <w:r w:rsidRPr="0013161E">
              <w:rPr>
                <w:rFonts w:eastAsia="Calibri"/>
                <w:sz w:val="20"/>
                <w:szCs w:val="20"/>
              </w:rPr>
              <w:t xml:space="preserve"> to prevent and address s</w:t>
            </w:r>
            <w:r w:rsidR="008376B6" w:rsidRPr="0013161E">
              <w:rPr>
                <w:rFonts w:eastAsia="Calibri"/>
                <w:sz w:val="20"/>
                <w:szCs w:val="20"/>
              </w:rPr>
              <w:t>exual and gender based violence</w:t>
            </w:r>
          </w:p>
          <w:p w14:paraId="68D57F77" w14:textId="1A5F74D0" w:rsidR="008376B6" w:rsidRPr="0013161E" w:rsidRDefault="008376B6" w:rsidP="00D37201">
            <w:pPr>
              <w:spacing w:before="240" w:after="0" w:line="240" w:lineRule="auto"/>
              <w:rPr>
                <w:sz w:val="20"/>
                <w:szCs w:val="20"/>
              </w:rPr>
            </w:pPr>
            <w:r w:rsidRPr="0013161E">
              <w:rPr>
                <w:rFonts w:eastAsia="Calibri"/>
                <w:b/>
                <w:i/>
                <w:sz w:val="18"/>
                <w:szCs w:val="18"/>
              </w:rPr>
              <w:t xml:space="preserve">Number of countries </w:t>
            </w:r>
            <w:r w:rsidR="00983FF8" w:rsidRPr="0013161E">
              <w:rPr>
                <w:rFonts w:eastAsia="Calibri"/>
                <w:b/>
                <w:i/>
                <w:sz w:val="18"/>
                <w:szCs w:val="18"/>
              </w:rPr>
              <w:t>for which a 2017 target has currently been set under this indicator</w:t>
            </w:r>
            <w:r w:rsidR="00E77AA7" w:rsidRPr="0013161E">
              <w:rPr>
                <w:rFonts w:eastAsia="Calibri"/>
                <w:b/>
                <w:i/>
                <w:sz w:val="18"/>
                <w:szCs w:val="18"/>
              </w:rPr>
              <w:t>: 24</w:t>
            </w:r>
          </w:p>
        </w:tc>
        <w:tc>
          <w:tcPr>
            <w:tcW w:w="1440" w:type="dxa"/>
            <w:tcBorders>
              <w:top w:val="single" w:sz="4" w:space="0" w:color="auto"/>
              <w:left w:val="single" w:sz="4" w:space="0" w:color="auto"/>
              <w:right w:val="single" w:sz="4" w:space="0" w:color="auto"/>
            </w:tcBorders>
            <w:shd w:val="clear" w:color="auto" w:fill="FFFFFF"/>
            <w:vAlign w:val="center"/>
          </w:tcPr>
          <w:p w14:paraId="6187DA3C" w14:textId="062D161F" w:rsidR="005B61BA" w:rsidRPr="0000532F" w:rsidRDefault="00267A6D" w:rsidP="005B2F8A">
            <w:pPr>
              <w:spacing w:after="0" w:line="240" w:lineRule="auto"/>
              <w:jc w:val="center"/>
              <w:rPr>
                <w:rFonts w:eastAsia="Calibri"/>
                <w:sz w:val="20"/>
                <w:szCs w:val="20"/>
              </w:rPr>
            </w:pPr>
            <w:r>
              <w:rPr>
                <w:rFonts w:eastAsia="Calibri"/>
                <w:sz w:val="20"/>
                <w:szCs w:val="20"/>
              </w:rPr>
              <w:t>0</w:t>
            </w:r>
          </w:p>
        </w:tc>
        <w:tc>
          <w:tcPr>
            <w:tcW w:w="1350" w:type="dxa"/>
            <w:tcBorders>
              <w:top w:val="single" w:sz="4" w:space="0" w:color="auto"/>
              <w:left w:val="single" w:sz="4" w:space="0" w:color="auto"/>
              <w:right w:val="single" w:sz="4" w:space="0" w:color="auto"/>
            </w:tcBorders>
            <w:shd w:val="clear" w:color="auto" w:fill="FFFFFF"/>
            <w:vAlign w:val="center"/>
          </w:tcPr>
          <w:p w14:paraId="33CC201E" w14:textId="54A6AD15" w:rsidR="005B61BA" w:rsidRPr="0000532F" w:rsidRDefault="00291ECE" w:rsidP="00DB5276">
            <w:pPr>
              <w:spacing w:after="0" w:line="240" w:lineRule="auto"/>
              <w:jc w:val="center"/>
              <w:rPr>
                <w:rFonts w:eastAsia="Calibri"/>
                <w:sz w:val="20"/>
                <w:szCs w:val="20"/>
              </w:rPr>
            </w:pPr>
            <w:r>
              <w:rPr>
                <w:rFonts w:eastAsia="Calibri"/>
                <w:sz w:val="20"/>
                <w:szCs w:val="20"/>
              </w:rPr>
              <w:t>3</w:t>
            </w:r>
          </w:p>
        </w:tc>
        <w:tc>
          <w:tcPr>
            <w:tcW w:w="1260" w:type="dxa"/>
            <w:tcBorders>
              <w:top w:val="single" w:sz="4" w:space="0" w:color="auto"/>
              <w:left w:val="single" w:sz="4" w:space="0" w:color="auto"/>
              <w:right w:val="single" w:sz="4" w:space="0" w:color="auto"/>
            </w:tcBorders>
            <w:shd w:val="clear" w:color="auto" w:fill="FFFFFF"/>
            <w:vAlign w:val="center"/>
          </w:tcPr>
          <w:p w14:paraId="38F8DD17" w14:textId="194AEC40" w:rsidR="005B61BA" w:rsidRPr="0000532F" w:rsidRDefault="00291ECE" w:rsidP="00DB5276">
            <w:pPr>
              <w:spacing w:after="0" w:line="240" w:lineRule="auto"/>
              <w:jc w:val="center"/>
              <w:rPr>
                <w:rFonts w:eastAsia="Calibri"/>
                <w:sz w:val="20"/>
                <w:szCs w:val="20"/>
              </w:rPr>
            </w:pPr>
            <w:r>
              <w:rPr>
                <w:rFonts w:eastAsia="Calibri"/>
                <w:sz w:val="20"/>
                <w:szCs w:val="20"/>
              </w:rPr>
              <w:t>5</w:t>
            </w:r>
          </w:p>
        </w:tc>
        <w:tc>
          <w:tcPr>
            <w:tcW w:w="1350" w:type="dxa"/>
            <w:tcBorders>
              <w:top w:val="single" w:sz="4" w:space="0" w:color="auto"/>
              <w:left w:val="single" w:sz="4" w:space="0" w:color="auto"/>
              <w:right w:val="single" w:sz="4" w:space="0" w:color="auto"/>
            </w:tcBorders>
            <w:shd w:val="clear" w:color="auto" w:fill="FFFFFF"/>
            <w:vAlign w:val="center"/>
          </w:tcPr>
          <w:p w14:paraId="3E468C0E" w14:textId="738D5670" w:rsidR="005B61BA" w:rsidRPr="0000532F" w:rsidRDefault="00813722" w:rsidP="00E77AA7">
            <w:pPr>
              <w:spacing w:after="0" w:line="240" w:lineRule="auto"/>
              <w:jc w:val="center"/>
              <w:rPr>
                <w:rFonts w:eastAsia="Calibri"/>
                <w:sz w:val="20"/>
                <w:szCs w:val="20"/>
              </w:rPr>
            </w:pPr>
            <w:r>
              <w:rPr>
                <w:rFonts w:eastAsia="Calibri"/>
                <w:sz w:val="20"/>
                <w:szCs w:val="20"/>
              </w:rPr>
              <w:t>2</w:t>
            </w:r>
            <w:r w:rsidR="00E77AA7">
              <w:rPr>
                <w:rFonts w:eastAsia="Calibri"/>
                <w:sz w:val="20"/>
                <w:szCs w:val="20"/>
              </w:rPr>
              <w:t>3</w:t>
            </w:r>
          </w:p>
        </w:tc>
      </w:tr>
      <w:tr w:rsidR="005B61BA" w:rsidRPr="005F1C78" w14:paraId="7384E9C8" w14:textId="77777777" w:rsidTr="00500616">
        <w:trPr>
          <w:trHeight w:val="512"/>
          <w:jc w:val="center"/>
        </w:trPr>
        <w:tc>
          <w:tcPr>
            <w:tcW w:w="3145" w:type="dxa"/>
            <w:vMerge/>
            <w:tcBorders>
              <w:left w:val="single" w:sz="4" w:space="0" w:color="auto"/>
              <w:right w:val="single" w:sz="4" w:space="0" w:color="auto"/>
            </w:tcBorders>
            <w:shd w:val="clear" w:color="auto" w:fill="FFFFFF"/>
          </w:tcPr>
          <w:p w14:paraId="14252479" w14:textId="0F4D558A" w:rsidR="005B61BA" w:rsidRPr="0000532F" w:rsidRDefault="005B61BA" w:rsidP="005B61BA">
            <w:pPr>
              <w:spacing w:after="0" w:line="240" w:lineRule="auto"/>
              <w:rPr>
                <w:rFonts w:eastAsia="Calibri"/>
                <w:b/>
                <w:sz w:val="20"/>
                <w:szCs w:val="20"/>
              </w:rPr>
            </w:pPr>
          </w:p>
        </w:tc>
        <w:tc>
          <w:tcPr>
            <w:tcW w:w="900" w:type="dxa"/>
            <w:vMerge/>
            <w:tcBorders>
              <w:left w:val="single" w:sz="4" w:space="0" w:color="auto"/>
              <w:right w:val="single" w:sz="4" w:space="0" w:color="auto"/>
            </w:tcBorders>
            <w:shd w:val="clear" w:color="auto" w:fill="FFFFFF"/>
          </w:tcPr>
          <w:p w14:paraId="6FF4FCD6" w14:textId="77777777" w:rsidR="005B61BA" w:rsidRPr="00A66343" w:rsidRDefault="005B61BA" w:rsidP="005B61BA">
            <w:pPr>
              <w:spacing w:after="0" w:line="240" w:lineRule="auto"/>
              <w:jc w:val="both"/>
              <w:rPr>
                <w:rFonts w:eastAsia="Calibri"/>
                <w:b/>
                <w:sz w:val="20"/>
                <w:szCs w:val="20"/>
              </w:rPr>
            </w:pPr>
          </w:p>
        </w:tc>
        <w:tc>
          <w:tcPr>
            <w:tcW w:w="10800" w:type="dxa"/>
            <w:gridSpan w:val="5"/>
            <w:tcBorders>
              <w:top w:val="single" w:sz="4" w:space="0" w:color="auto"/>
              <w:left w:val="single" w:sz="4" w:space="0" w:color="auto"/>
              <w:right w:val="single" w:sz="4" w:space="0" w:color="auto"/>
            </w:tcBorders>
            <w:shd w:val="clear" w:color="auto" w:fill="D9D9D9" w:themeFill="background1" w:themeFillShade="D9"/>
          </w:tcPr>
          <w:p w14:paraId="6A56231F" w14:textId="2BE86743" w:rsidR="005B61BA" w:rsidRPr="0013161E" w:rsidRDefault="005B61BA" w:rsidP="000176EC">
            <w:pPr>
              <w:spacing w:after="0" w:line="240" w:lineRule="auto"/>
              <w:rPr>
                <w:rFonts w:eastAsia="Calibri"/>
                <w:sz w:val="18"/>
                <w:szCs w:val="18"/>
              </w:rPr>
            </w:pPr>
            <w:r w:rsidRPr="0013161E">
              <w:rPr>
                <w:rFonts w:ascii="Calibri" w:eastAsia="Calibri" w:hAnsi="Calibri" w:cs="Times New Roman"/>
                <w:b/>
                <w:sz w:val="18"/>
                <w:szCs w:val="18"/>
                <w:lang w:eastAsia="en-US"/>
              </w:rPr>
              <w:t>Indicator 4.2.1 Note:</w:t>
            </w:r>
            <w:r w:rsidR="00B35C30" w:rsidRPr="0013161E">
              <w:rPr>
                <w:rFonts w:ascii="Calibri" w:eastAsia="Calibri" w:hAnsi="Calibri" w:cs="Times New Roman"/>
                <w:b/>
                <w:sz w:val="18"/>
                <w:szCs w:val="18"/>
                <w:lang w:eastAsia="en-US"/>
              </w:rPr>
              <w:t xml:space="preserve"> </w:t>
            </w:r>
            <w:r w:rsidR="003D5441" w:rsidRPr="0013161E">
              <w:rPr>
                <w:sz w:val="18"/>
                <w:szCs w:val="18"/>
              </w:rPr>
              <w:t xml:space="preserve">Qualitative indicator </w:t>
            </w:r>
            <w:r w:rsidR="003D5441" w:rsidRPr="0013161E">
              <w:rPr>
                <w:rFonts w:ascii="Calibri" w:eastAsia="Calibri" w:hAnsi="Calibri"/>
                <w:sz w:val="18"/>
                <w:szCs w:val="18"/>
              </w:rPr>
              <w:t xml:space="preserve">through which effectiveness of UNDP’s support (on demand </w:t>
            </w:r>
            <w:r w:rsidR="003D5441" w:rsidRPr="0013161E">
              <w:rPr>
                <w:sz w:val="18"/>
                <w:szCs w:val="18"/>
              </w:rPr>
              <w:t>from programme countries</w:t>
            </w:r>
            <w:r w:rsidR="003D5441" w:rsidRPr="0013161E">
              <w:rPr>
                <w:rFonts w:ascii="Calibri" w:eastAsia="Calibri" w:hAnsi="Calibri"/>
                <w:sz w:val="18"/>
                <w:szCs w:val="18"/>
              </w:rPr>
              <w:t>)</w:t>
            </w:r>
            <w:r w:rsidR="00B35C30" w:rsidRPr="0013161E">
              <w:rPr>
                <w:sz w:val="18"/>
                <w:szCs w:val="18"/>
              </w:rPr>
              <w:t xml:space="preserve"> for partners to put in place legal and</w:t>
            </w:r>
            <w:r w:rsidR="003D5441" w:rsidRPr="0013161E">
              <w:rPr>
                <w:sz w:val="18"/>
                <w:szCs w:val="18"/>
              </w:rPr>
              <w:t>/or</w:t>
            </w:r>
            <w:r w:rsidR="00B35C30" w:rsidRPr="0013161E">
              <w:rPr>
                <w:sz w:val="18"/>
                <w:szCs w:val="18"/>
              </w:rPr>
              <w:t xml:space="preserve"> policy frameworks to prevent and address sexual and gender based violence (SGBV)</w:t>
            </w:r>
            <w:r w:rsidR="00B35C30" w:rsidRPr="0013161E">
              <w:rPr>
                <w:rFonts w:cs="Arial"/>
                <w:sz w:val="18"/>
                <w:szCs w:val="18"/>
              </w:rPr>
              <w:t>, specified as</w:t>
            </w:r>
            <w:r w:rsidR="00B35C30" w:rsidRPr="0013161E">
              <w:rPr>
                <w:sz w:val="18"/>
                <w:szCs w:val="18"/>
              </w:rPr>
              <w:t xml:space="preserve"> </w:t>
            </w:r>
            <w:r w:rsidR="00013C40" w:rsidRPr="0013161E">
              <w:rPr>
                <w:sz w:val="18"/>
                <w:szCs w:val="18"/>
              </w:rPr>
              <w:t xml:space="preserve">(i) </w:t>
            </w:r>
            <w:r w:rsidR="00B35C30" w:rsidRPr="0013161E">
              <w:rPr>
                <w:sz w:val="18"/>
                <w:szCs w:val="18"/>
              </w:rPr>
              <w:t xml:space="preserve">a comprehensive definition of SGBV, </w:t>
            </w:r>
            <w:r w:rsidR="00013C40" w:rsidRPr="0013161E">
              <w:rPr>
                <w:sz w:val="18"/>
                <w:szCs w:val="18"/>
              </w:rPr>
              <w:t xml:space="preserve">(ii) </w:t>
            </w:r>
            <w:r w:rsidR="00B35C30" w:rsidRPr="0013161E">
              <w:rPr>
                <w:sz w:val="18"/>
                <w:szCs w:val="18"/>
              </w:rPr>
              <w:t xml:space="preserve">adequate framework of SGBV offences with appropriate criminal penalties, </w:t>
            </w:r>
            <w:r w:rsidR="00013C40" w:rsidRPr="0013161E">
              <w:rPr>
                <w:sz w:val="18"/>
                <w:szCs w:val="18"/>
              </w:rPr>
              <w:t xml:space="preserve">(iii) </w:t>
            </w:r>
            <w:r w:rsidR="00B35C30" w:rsidRPr="0013161E">
              <w:rPr>
                <w:sz w:val="18"/>
                <w:szCs w:val="18"/>
              </w:rPr>
              <w:t>protection and occupation orders available along with enforcement mechanisms,</w:t>
            </w:r>
            <w:r w:rsidR="00013C40" w:rsidRPr="0013161E">
              <w:rPr>
                <w:sz w:val="18"/>
                <w:szCs w:val="18"/>
              </w:rPr>
              <w:t xml:space="preserve"> (iv)</w:t>
            </w:r>
            <w:r w:rsidR="00B35C30" w:rsidRPr="0013161E">
              <w:rPr>
                <w:sz w:val="18"/>
                <w:szCs w:val="18"/>
              </w:rPr>
              <w:t xml:space="preserve"> specific duties to prevent and addres</w:t>
            </w:r>
            <w:r w:rsidR="003D5441" w:rsidRPr="0013161E">
              <w:rPr>
                <w:sz w:val="18"/>
                <w:szCs w:val="18"/>
              </w:rPr>
              <w:t xml:space="preserve">s SGBV, </w:t>
            </w:r>
            <w:r w:rsidR="00013C40" w:rsidRPr="0013161E">
              <w:rPr>
                <w:sz w:val="18"/>
                <w:szCs w:val="18"/>
              </w:rPr>
              <w:t xml:space="preserve">(v) </w:t>
            </w:r>
            <w:r w:rsidR="003D5441" w:rsidRPr="0013161E">
              <w:rPr>
                <w:sz w:val="18"/>
                <w:szCs w:val="18"/>
              </w:rPr>
              <w:t xml:space="preserve">SGBV regulations, </w:t>
            </w:r>
            <w:r w:rsidR="009F5058" w:rsidRPr="0013161E">
              <w:rPr>
                <w:sz w:val="18"/>
                <w:szCs w:val="18"/>
              </w:rPr>
              <w:t xml:space="preserve">and/or (vi) appropriate budget to implement and enforce SGBV laws and policies, </w:t>
            </w:r>
            <w:r w:rsidR="003D5441" w:rsidRPr="0013161E">
              <w:rPr>
                <w:sz w:val="18"/>
                <w:szCs w:val="18"/>
              </w:rPr>
              <w:t xml:space="preserve">is </w:t>
            </w:r>
            <w:r w:rsidR="00B87982" w:rsidRPr="0013161E">
              <w:rPr>
                <w:rFonts w:eastAsia="Calibri"/>
                <w:sz w:val="18"/>
                <w:szCs w:val="18"/>
              </w:rPr>
              <w:t>tracked using a qualitative rating scale</w:t>
            </w:r>
            <w:r w:rsidR="00B87982" w:rsidRPr="0013161E">
              <w:rPr>
                <w:rFonts w:ascii="Calibri" w:eastAsia="Calibri" w:hAnsi="Calibri" w:cs="Times New Roman"/>
                <w:sz w:val="20"/>
                <w:szCs w:val="20"/>
                <w:lang w:eastAsia="en-US"/>
              </w:rPr>
              <w:t xml:space="preserve"> </w:t>
            </w:r>
            <w:r w:rsidR="00B87982" w:rsidRPr="0013161E">
              <w:rPr>
                <w:rFonts w:eastAsia="Calibri"/>
                <w:sz w:val="18"/>
                <w:szCs w:val="18"/>
              </w:rPr>
              <w:t xml:space="preserve">(1= not adequately, 2= very partially, 3= partially and 4= largely), counting the number of countries where </w:t>
            </w:r>
            <w:r w:rsidR="002E69AC" w:rsidRPr="0013161E">
              <w:rPr>
                <w:rFonts w:eastAsia="Calibri"/>
                <w:sz w:val="18"/>
                <w:szCs w:val="18"/>
              </w:rPr>
              <w:t>objective evidence exist</w:t>
            </w:r>
            <w:r w:rsidR="00B526F8" w:rsidRPr="0013161E">
              <w:rPr>
                <w:rFonts w:eastAsia="Calibri"/>
                <w:sz w:val="18"/>
                <w:szCs w:val="18"/>
              </w:rPr>
              <w:t>s</w:t>
            </w:r>
            <w:r w:rsidR="002E69AC" w:rsidRPr="0013161E">
              <w:rPr>
                <w:rFonts w:eastAsia="Calibri"/>
                <w:sz w:val="18"/>
                <w:szCs w:val="18"/>
              </w:rPr>
              <w:t xml:space="preserve"> that </w:t>
            </w:r>
            <w:r w:rsidR="00B87982" w:rsidRPr="0013161E">
              <w:rPr>
                <w:rFonts w:eastAsia="Calibri"/>
                <w:sz w:val="18"/>
                <w:szCs w:val="18"/>
              </w:rPr>
              <w:t>UNDP</w:t>
            </w:r>
            <w:r w:rsidR="009D5E0C" w:rsidRPr="0013161E">
              <w:rPr>
                <w:rFonts w:eastAsia="Calibri"/>
                <w:sz w:val="18"/>
                <w:szCs w:val="18"/>
              </w:rPr>
              <w:t>-</w:t>
            </w:r>
            <w:r w:rsidR="00B87982" w:rsidRPr="0013161E">
              <w:rPr>
                <w:rFonts w:eastAsia="Calibri"/>
                <w:sz w:val="18"/>
                <w:szCs w:val="18"/>
              </w:rPr>
              <w:t>support</w:t>
            </w:r>
            <w:r w:rsidR="009D5E0C" w:rsidRPr="0013161E">
              <w:rPr>
                <w:rFonts w:eastAsia="Calibri"/>
                <w:sz w:val="18"/>
                <w:szCs w:val="18"/>
              </w:rPr>
              <w:t>ed frameworks show</w:t>
            </w:r>
            <w:r w:rsidR="00B87982" w:rsidRPr="0013161E">
              <w:rPr>
                <w:rFonts w:eastAsia="Calibri"/>
                <w:sz w:val="18"/>
                <w:szCs w:val="18"/>
              </w:rPr>
              <w:t xml:space="preserve"> change </w:t>
            </w:r>
            <w:r w:rsidR="000176EC" w:rsidRPr="0013161E">
              <w:rPr>
                <w:rFonts w:eastAsia="Calibri"/>
                <w:sz w:val="18"/>
                <w:szCs w:val="18"/>
              </w:rPr>
              <w:t>from January 2014 onwards</w:t>
            </w:r>
            <w:r w:rsidR="00B87982" w:rsidRPr="0013161E">
              <w:rPr>
                <w:rFonts w:eastAsia="Calibri"/>
                <w:sz w:val="18"/>
                <w:szCs w:val="18"/>
              </w:rPr>
              <w:t>.</w:t>
            </w:r>
          </w:p>
          <w:p w14:paraId="24949781" w14:textId="0AC6185A" w:rsidR="00291ECE" w:rsidRPr="0013161E" w:rsidRDefault="00291ECE" w:rsidP="00E77AA7">
            <w:pPr>
              <w:spacing w:after="0" w:line="240" w:lineRule="auto"/>
              <w:rPr>
                <w:rFonts w:ascii="Calibri" w:eastAsia="Calibri" w:hAnsi="Calibri" w:cs="Times New Roman"/>
                <w:b/>
                <w:sz w:val="18"/>
                <w:szCs w:val="18"/>
                <w:lang w:eastAsia="en-US"/>
              </w:rPr>
            </w:pPr>
            <w:r w:rsidRPr="0013161E">
              <w:rPr>
                <w:rFonts w:eastAsia="Calibri"/>
                <w:b/>
                <w:sz w:val="18"/>
                <w:szCs w:val="18"/>
              </w:rPr>
              <w:t xml:space="preserve">2014 Reporting Note: </w:t>
            </w:r>
            <w:r w:rsidRPr="0013161E">
              <w:rPr>
                <w:rFonts w:eastAsia="Calibri"/>
                <w:sz w:val="18"/>
                <w:szCs w:val="18"/>
              </w:rPr>
              <w:t xml:space="preserve">2014 </w:t>
            </w:r>
            <w:r w:rsidR="00E77AA7" w:rsidRPr="0013161E">
              <w:rPr>
                <w:rFonts w:eastAsia="Calibri"/>
                <w:sz w:val="18"/>
                <w:szCs w:val="18"/>
              </w:rPr>
              <w:t>m</w:t>
            </w:r>
            <w:r w:rsidRPr="0013161E">
              <w:rPr>
                <w:rFonts w:eastAsia="Calibri"/>
                <w:sz w:val="18"/>
                <w:szCs w:val="18"/>
              </w:rPr>
              <w:t xml:space="preserve">ilestone </w:t>
            </w:r>
            <w:r w:rsidR="00E77AA7" w:rsidRPr="0013161E">
              <w:rPr>
                <w:rFonts w:eastAsia="Calibri"/>
                <w:sz w:val="18"/>
                <w:szCs w:val="18"/>
              </w:rPr>
              <w:t xml:space="preserve">and 2017 target </w:t>
            </w:r>
            <w:r w:rsidRPr="0013161E">
              <w:rPr>
                <w:rFonts w:eastAsia="Calibri"/>
                <w:sz w:val="18"/>
                <w:szCs w:val="18"/>
              </w:rPr>
              <w:t>updated to reflect more complete reporting from country offices. For reference, previous 2014 milestone was 4</w:t>
            </w:r>
            <w:r w:rsidR="00E77AA7" w:rsidRPr="0013161E">
              <w:rPr>
                <w:rFonts w:eastAsia="Calibri"/>
                <w:sz w:val="18"/>
                <w:szCs w:val="18"/>
              </w:rPr>
              <w:t>, previous target was 22</w:t>
            </w:r>
            <w:r w:rsidR="00821B9D" w:rsidRPr="0013161E">
              <w:rPr>
                <w:rFonts w:eastAsia="Calibri"/>
                <w:sz w:val="18"/>
                <w:szCs w:val="18"/>
              </w:rPr>
              <w:t>.</w:t>
            </w:r>
          </w:p>
        </w:tc>
      </w:tr>
      <w:tr w:rsidR="005B61BA" w:rsidRPr="00283732" w14:paraId="7517E82E" w14:textId="77777777" w:rsidTr="00500616">
        <w:trPr>
          <w:trHeight w:val="530"/>
          <w:jc w:val="center"/>
        </w:trPr>
        <w:tc>
          <w:tcPr>
            <w:tcW w:w="3145" w:type="dxa"/>
            <w:vMerge/>
            <w:tcBorders>
              <w:left w:val="single" w:sz="4" w:space="0" w:color="auto"/>
              <w:right w:val="single" w:sz="4" w:space="0" w:color="auto"/>
            </w:tcBorders>
            <w:shd w:val="clear" w:color="auto" w:fill="auto"/>
            <w:vAlign w:val="center"/>
            <w:hideMark/>
          </w:tcPr>
          <w:p w14:paraId="4D098728" w14:textId="77777777" w:rsidR="005B61BA" w:rsidRPr="0000532F" w:rsidRDefault="005B61BA" w:rsidP="005B61BA">
            <w:pPr>
              <w:spacing w:after="0" w:line="240" w:lineRule="auto"/>
              <w:rPr>
                <w:rFonts w:eastAsia="Calibri"/>
                <w:b/>
                <w:sz w:val="20"/>
                <w:szCs w:val="20"/>
              </w:rPr>
            </w:pPr>
          </w:p>
        </w:tc>
        <w:tc>
          <w:tcPr>
            <w:tcW w:w="900" w:type="dxa"/>
            <w:vMerge w:val="restart"/>
            <w:tcBorders>
              <w:top w:val="single" w:sz="4" w:space="0" w:color="auto"/>
              <w:left w:val="single" w:sz="4" w:space="0" w:color="auto"/>
              <w:right w:val="single" w:sz="4" w:space="0" w:color="auto"/>
            </w:tcBorders>
            <w:shd w:val="clear" w:color="auto" w:fill="FFFFFF"/>
            <w:hideMark/>
          </w:tcPr>
          <w:p w14:paraId="0192D9C9" w14:textId="77777777" w:rsidR="005B61BA" w:rsidRPr="00A66343" w:rsidRDefault="005B61BA" w:rsidP="005B61BA">
            <w:pPr>
              <w:spacing w:after="0" w:line="240" w:lineRule="auto"/>
              <w:jc w:val="both"/>
              <w:rPr>
                <w:rFonts w:eastAsia="Calibri"/>
                <w:b/>
                <w:sz w:val="20"/>
                <w:szCs w:val="20"/>
              </w:rPr>
            </w:pPr>
            <w:r w:rsidRPr="00A66343">
              <w:rPr>
                <w:rFonts w:eastAsia="Calibri"/>
                <w:b/>
                <w:sz w:val="20"/>
                <w:szCs w:val="20"/>
              </w:rPr>
              <w:t>4.2.2</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14:paraId="737351B3" w14:textId="797FBFBF" w:rsidR="005B61BA" w:rsidRPr="0013161E" w:rsidRDefault="005B61BA" w:rsidP="005B61BA">
            <w:pPr>
              <w:spacing w:after="0" w:line="240" w:lineRule="auto"/>
              <w:ind w:left="26"/>
              <w:rPr>
                <w:rFonts w:eastAsia="Calibri"/>
                <w:sz w:val="20"/>
                <w:szCs w:val="20"/>
              </w:rPr>
            </w:pPr>
            <w:r w:rsidRPr="0013161E">
              <w:rPr>
                <w:rFonts w:eastAsia="Calibri"/>
                <w:sz w:val="20"/>
                <w:szCs w:val="20"/>
              </w:rPr>
              <w:t xml:space="preserve">Number of </w:t>
            </w:r>
            <w:r w:rsidR="00295479" w:rsidRPr="000B5DED">
              <w:rPr>
                <w:rFonts w:eastAsia="Calibri"/>
                <w:b/>
                <w:sz w:val="20"/>
                <w:szCs w:val="20"/>
              </w:rPr>
              <w:t xml:space="preserve">additional </w:t>
            </w:r>
            <w:r w:rsidRPr="000B5DED">
              <w:rPr>
                <w:rFonts w:eastAsia="Calibri"/>
                <w:b/>
                <w:sz w:val="20"/>
                <w:szCs w:val="20"/>
              </w:rPr>
              <w:t>countries</w:t>
            </w:r>
            <w:r w:rsidRPr="0013161E">
              <w:rPr>
                <w:rFonts w:eastAsia="Calibri"/>
                <w:sz w:val="20"/>
                <w:szCs w:val="20"/>
              </w:rPr>
              <w:t xml:space="preserve"> with </w:t>
            </w:r>
            <w:r w:rsidRPr="0013161E">
              <w:rPr>
                <w:sz w:val="20"/>
                <w:szCs w:val="20"/>
              </w:rPr>
              <w:t xml:space="preserve">multi-sectorial </w:t>
            </w:r>
            <w:r w:rsidRPr="0013161E">
              <w:rPr>
                <w:rFonts w:eastAsia="Calibri"/>
                <w:b/>
                <w:sz w:val="20"/>
                <w:szCs w:val="20"/>
              </w:rPr>
              <w:t>services in place</w:t>
            </w:r>
            <w:r w:rsidRPr="0013161E">
              <w:rPr>
                <w:rFonts w:eastAsia="Calibri"/>
                <w:sz w:val="20"/>
                <w:szCs w:val="20"/>
              </w:rPr>
              <w:t xml:space="preserve"> (including justice and security services) to </w:t>
            </w:r>
            <w:r w:rsidRPr="0013161E">
              <w:rPr>
                <w:rFonts w:eastAsia="Calibri"/>
                <w:b/>
                <w:sz w:val="20"/>
                <w:szCs w:val="20"/>
              </w:rPr>
              <w:t>prevent and address SGBV</w:t>
            </w:r>
            <w:r w:rsidRPr="0013161E">
              <w:rPr>
                <w:rFonts w:eastAsia="Calibri"/>
                <w:sz w:val="20"/>
                <w:szCs w:val="20"/>
              </w:rPr>
              <w:t xml:space="preserve"> </w:t>
            </w:r>
          </w:p>
          <w:p w14:paraId="79B995BC" w14:textId="37F059D2" w:rsidR="008376B6" w:rsidRPr="0013161E" w:rsidRDefault="008376B6" w:rsidP="00D37201">
            <w:pPr>
              <w:spacing w:before="240" w:after="0" w:line="240" w:lineRule="auto"/>
              <w:ind w:left="26"/>
              <w:rPr>
                <w:sz w:val="20"/>
                <w:szCs w:val="20"/>
              </w:rPr>
            </w:pPr>
            <w:r w:rsidRPr="0013161E">
              <w:rPr>
                <w:rFonts w:eastAsia="Calibri"/>
                <w:b/>
                <w:i/>
                <w:sz w:val="18"/>
                <w:szCs w:val="18"/>
              </w:rPr>
              <w:t xml:space="preserve">Number of countries </w:t>
            </w:r>
            <w:r w:rsidR="00983FF8" w:rsidRPr="0013161E">
              <w:rPr>
                <w:rFonts w:eastAsia="Calibri"/>
                <w:b/>
                <w:i/>
                <w:sz w:val="18"/>
                <w:szCs w:val="18"/>
              </w:rPr>
              <w:t>for which a 2017 target has currently been set under this indicator</w:t>
            </w:r>
            <w:r w:rsidR="00247B47" w:rsidRPr="0013161E">
              <w:rPr>
                <w:rFonts w:eastAsia="Calibri"/>
                <w:b/>
                <w:i/>
                <w:sz w:val="18"/>
                <w:szCs w:val="18"/>
              </w:rPr>
              <w:t>: 9</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FB24375" w14:textId="5FC5B263" w:rsidR="005B61BA" w:rsidRPr="008A5E60" w:rsidRDefault="00D87500" w:rsidP="005B2F8A">
            <w:pPr>
              <w:spacing w:after="0" w:line="240" w:lineRule="auto"/>
              <w:jc w:val="center"/>
              <w:rPr>
                <w:rFonts w:eastAsia="Calibri"/>
                <w:sz w:val="20"/>
                <w:szCs w:val="20"/>
              </w:rPr>
            </w:pPr>
            <w:r w:rsidRPr="008A5E60">
              <w:rPr>
                <w:rFonts w:eastAsia="Calibri"/>
                <w:sz w:val="20"/>
                <w:szCs w:val="20"/>
              </w:rPr>
              <w:t>0</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54D2D61D" w14:textId="77777777" w:rsidR="005B61BA" w:rsidRPr="0000532F" w:rsidRDefault="00D87500" w:rsidP="002376B9">
            <w:pPr>
              <w:spacing w:after="0" w:line="240" w:lineRule="auto"/>
              <w:jc w:val="center"/>
              <w:rPr>
                <w:rFonts w:eastAsia="Calibri"/>
                <w:sz w:val="20"/>
                <w:szCs w:val="20"/>
              </w:rPr>
            </w:pPr>
            <w:r>
              <w:rPr>
                <w:rFonts w:eastAsia="Calibri"/>
                <w:sz w:val="20"/>
                <w:szCs w:val="20"/>
              </w:rPr>
              <w:t>1</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376D04FB" w14:textId="01A37B67" w:rsidR="005B61BA" w:rsidRPr="0000532F" w:rsidRDefault="00291ECE" w:rsidP="002376B9">
            <w:pPr>
              <w:spacing w:after="0" w:line="240" w:lineRule="auto"/>
              <w:jc w:val="center"/>
              <w:rPr>
                <w:rFonts w:eastAsia="Calibri"/>
                <w:sz w:val="20"/>
                <w:szCs w:val="20"/>
              </w:rPr>
            </w:pPr>
            <w:r>
              <w:rPr>
                <w:rFonts w:eastAsia="Calibri"/>
                <w:sz w:val="20"/>
                <w:szCs w:val="20"/>
              </w:rPr>
              <w:t>2</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6C64E0FB" w14:textId="6FD330DD" w:rsidR="005B61BA" w:rsidRPr="0000532F" w:rsidRDefault="00DE4FE9" w:rsidP="002376B9">
            <w:pPr>
              <w:spacing w:after="0" w:line="240" w:lineRule="auto"/>
              <w:jc w:val="center"/>
              <w:rPr>
                <w:rFonts w:eastAsia="Calibri"/>
                <w:sz w:val="20"/>
                <w:szCs w:val="20"/>
              </w:rPr>
            </w:pPr>
            <w:r>
              <w:rPr>
                <w:rFonts w:eastAsia="Calibri"/>
                <w:sz w:val="20"/>
                <w:szCs w:val="20"/>
              </w:rPr>
              <w:t>9</w:t>
            </w:r>
          </w:p>
        </w:tc>
      </w:tr>
      <w:tr w:rsidR="005B61BA" w:rsidRPr="00283732" w14:paraId="203555FD" w14:textId="77777777" w:rsidTr="00500616">
        <w:trPr>
          <w:trHeight w:val="530"/>
          <w:jc w:val="center"/>
        </w:trPr>
        <w:tc>
          <w:tcPr>
            <w:tcW w:w="3145" w:type="dxa"/>
            <w:vMerge/>
            <w:tcBorders>
              <w:left w:val="single" w:sz="4" w:space="0" w:color="auto"/>
              <w:bottom w:val="single" w:sz="4" w:space="0" w:color="auto"/>
              <w:right w:val="single" w:sz="4" w:space="0" w:color="auto"/>
            </w:tcBorders>
            <w:shd w:val="clear" w:color="auto" w:fill="auto"/>
            <w:vAlign w:val="center"/>
          </w:tcPr>
          <w:p w14:paraId="3133153D" w14:textId="77777777" w:rsidR="005B61BA" w:rsidRPr="0000532F" w:rsidRDefault="005B61BA" w:rsidP="005B61BA">
            <w:pPr>
              <w:spacing w:after="0" w:line="240" w:lineRule="auto"/>
              <w:rPr>
                <w:rFonts w:eastAsia="Calibri"/>
                <w:b/>
                <w:sz w:val="20"/>
                <w:szCs w:val="20"/>
              </w:rPr>
            </w:pPr>
          </w:p>
        </w:tc>
        <w:tc>
          <w:tcPr>
            <w:tcW w:w="900" w:type="dxa"/>
            <w:vMerge/>
            <w:tcBorders>
              <w:left w:val="single" w:sz="4" w:space="0" w:color="auto"/>
              <w:bottom w:val="single" w:sz="4" w:space="0" w:color="auto"/>
              <w:right w:val="single" w:sz="4" w:space="0" w:color="auto"/>
            </w:tcBorders>
            <w:shd w:val="clear" w:color="auto" w:fill="FFFFFF"/>
          </w:tcPr>
          <w:p w14:paraId="0FC287A0" w14:textId="77777777" w:rsidR="005B61BA" w:rsidRPr="0000532F" w:rsidRDefault="005B61BA" w:rsidP="005B61BA">
            <w:pPr>
              <w:spacing w:after="0" w:line="240" w:lineRule="auto"/>
              <w:jc w:val="both"/>
              <w:rPr>
                <w:rFonts w:eastAsia="Calibri"/>
                <w:b/>
                <w:sz w:val="20"/>
                <w:szCs w:val="20"/>
              </w:rPr>
            </w:pPr>
          </w:p>
        </w:tc>
        <w:tc>
          <w:tcPr>
            <w:tcW w:w="108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E72955" w14:textId="3AD81664" w:rsidR="005B61BA" w:rsidRPr="00B526F8" w:rsidRDefault="005B61BA" w:rsidP="006779D4">
            <w:pPr>
              <w:spacing w:after="0" w:line="240" w:lineRule="auto"/>
              <w:rPr>
                <w:rFonts w:eastAsia="Calibri"/>
                <w:sz w:val="18"/>
                <w:szCs w:val="18"/>
              </w:rPr>
            </w:pPr>
            <w:r w:rsidRPr="00B526F8">
              <w:rPr>
                <w:rFonts w:ascii="Calibri" w:eastAsia="Calibri" w:hAnsi="Calibri" w:cs="Times New Roman"/>
                <w:b/>
                <w:sz w:val="18"/>
                <w:szCs w:val="18"/>
                <w:lang w:eastAsia="en-US"/>
              </w:rPr>
              <w:t>Indicator 4.2.2 Note:</w:t>
            </w:r>
            <w:r w:rsidR="00B35C30" w:rsidRPr="00B526F8">
              <w:rPr>
                <w:rFonts w:ascii="Calibri" w:eastAsia="Calibri" w:hAnsi="Calibri" w:cs="Times New Roman"/>
                <w:b/>
                <w:sz w:val="18"/>
                <w:szCs w:val="18"/>
                <w:lang w:eastAsia="en-US"/>
              </w:rPr>
              <w:t xml:space="preserve"> </w:t>
            </w:r>
            <w:r w:rsidR="00BB38C2" w:rsidRPr="00B526F8">
              <w:rPr>
                <w:sz w:val="18"/>
                <w:szCs w:val="18"/>
              </w:rPr>
              <w:t xml:space="preserve">Qualitative indicator </w:t>
            </w:r>
            <w:r w:rsidR="00BB38C2" w:rsidRPr="00B526F8">
              <w:rPr>
                <w:rFonts w:ascii="Calibri" w:eastAsia="Calibri" w:hAnsi="Calibri"/>
                <w:sz w:val="18"/>
                <w:szCs w:val="18"/>
              </w:rPr>
              <w:t xml:space="preserve">through which effectiveness of UNDP’s support (on demand </w:t>
            </w:r>
            <w:r w:rsidR="00BB38C2" w:rsidRPr="00B526F8">
              <w:rPr>
                <w:sz w:val="18"/>
                <w:szCs w:val="18"/>
              </w:rPr>
              <w:t>from programme countries</w:t>
            </w:r>
            <w:r w:rsidR="00BB38C2" w:rsidRPr="00B526F8">
              <w:rPr>
                <w:rFonts w:ascii="Calibri" w:eastAsia="Calibri" w:hAnsi="Calibri"/>
                <w:sz w:val="18"/>
                <w:szCs w:val="18"/>
              </w:rPr>
              <w:t>)</w:t>
            </w:r>
            <w:r w:rsidR="00BB38C2" w:rsidRPr="00B526F8">
              <w:rPr>
                <w:sz w:val="18"/>
                <w:szCs w:val="18"/>
              </w:rPr>
              <w:t xml:space="preserve"> </w:t>
            </w:r>
            <w:r w:rsidR="0034319E" w:rsidRPr="00B526F8">
              <w:rPr>
                <w:sz w:val="18"/>
                <w:szCs w:val="18"/>
              </w:rPr>
              <w:t>to</w:t>
            </w:r>
            <w:r w:rsidR="00BB38C2" w:rsidRPr="00B526F8">
              <w:rPr>
                <w:sz w:val="18"/>
                <w:szCs w:val="18"/>
              </w:rPr>
              <w:t xml:space="preserve"> </w:t>
            </w:r>
            <w:r w:rsidR="00B35C30" w:rsidRPr="00B526F8">
              <w:rPr>
                <w:sz w:val="18"/>
                <w:szCs w:val="18"/>
              </w:rPr>
              <w:t xml:space="preserve">creation and/or strengthening of </w:t>
            </w:r>
            <w:r w:rsidR="00B35C30" w:rsidRPr="00B526F8">
              <w:rPr>
                <w:rFonts w:eastAsia="Calibri"/>
                <w:sz w:val="18"/>
                <w:szCs w:val="18"/>
              </w:rPr>
              <w:t xml:space="preserve">one or more </w:t>
            </w:r>
            <w:r w:rsidR="0034319E" w:rsidRPr="00B526F8">
              <w:rPr>
                <w:rFonts w:eastAsia="Calibri"/>
                <w:sz w:val="18"/>
                <w:szCs w:val="18"/>
              </w:rPr>
              <w:t>SGBV services (specified as</w:t>
            </w:r>
            <w:r w:rsidR="00B35C30" w:rsidRPr="00B526F8">
              <w:rPr>
                <w:rFonts w:eastAsia="Calibri"/>
                <w:sz w:val="18"/>
                <w:szCs w:val="18"/>
              </w:rPr>
              <w:t xml:space="preserve"> policing services, legal aid and justice services, health and HIV services, economic and employment assistance, other related</w:t>
            </w:r>
            <w:r w:rsidR="005970BB" w:rsidRPr="00B526F8">
              <w:rPr>
                <w:rFonts w:eastAsia="Calibri"/>
                <w:sz w:val="18"/>
                <w:szCs w:val="18"/>
              </w:rPr>
              <w:t xml:space="preserve"> services</w:t>
            </w:r>
            <w:r w:rsidR="0034319E" w:rsidRPr="00B526F8">
              <w:rPr>
                <w:rFonts w:eastAsia="Calibri"/>
                <w:sz w:val="18"/>
                <w:szCs w:val="18"/>
              </w:rPr>
              <w:t>)</w:t>
            </w:r>
            <w:r w:rsidR="005970BB" w:rsidRPr="00B526F8">
              <w:rPr>
                <w:rFonts w:eastAsia="Calibri"/>
                <w:sz w:val="18"/>
                <w:szCs w:val="18"/>
              </w:rPr>
              <w:t xml:space="preserve">, </w:t>
            </w:r>
            <w:r w:rsidR="005970BB" w:rsidRPr="00B526F8">
              <w:rPr>
                <w:sz w:val="18"/>
                <w:szCs w:val="18"/>
              </w:rPr>
              <w:t xml:space="preserve">is </w:t>
            </w:r>
            <w:r w:rsidR="005970BB" w:rsidRPr="00B526F8">
              <w:rPr>
                <w:rFonts w:eastAsia="Calibri"/>
                <w:sz w:val="18"/>
                <w:szCs w:val="18"/>
              </w:rPr>
              <w:t xml:space="preserve">tracked using a </w:t>
            </w:r>
            <w:r w:rsidR="003A32B1" w:rsidRPr="00B526F8">
              <w:rPr>
                <w:rFonts w:eastAsia="Calibri"/>
                <w:sz w:val="18"/>
                <w:szCs w:val="18"/>
              </w:rPr>
              <w:t>binary</w:t>
            </w:r>
            <w:r w:rsidR="005970BB" w:rsidRPr="00B526F8">
              <w:rPr>
                <w:rFonts w:eastAsia="Calibri"/>
                <w:sz w:val="18"/>
                <w:szCs w:val="18"/>
              </w:rPr>
              <w:t xml:space="preserve"> scale</w:t>
            </w:r>
            <w:r w:rsidR="005970BB" w:rsidRPr="00B526F8">
              <w:rPr>
                <w:rFonts w:ascii="Calibri" w:eastAsia="Calibri" w:hAnsi="Calibri" w:cs="Times New Roman"/>
                <w:sz w:val="20"/>
                <w:szCs w:val="20"/>
                <w:lang w:eastAsia="en-US"/>
              </w:rPr>
              <w:t xml:space="preserve"> </w:t>
            </w:r>
            <w:r w:rsidR="005970BB" w:rsidRPr="00B526F8">
              <w:rPr>
                <w:rFonts w:eastAsia="Calibri"/>
                <w:sz w:val="18"/>
                <w:szCs w:val="18"/>
              </w:rPr>
              <w:t>(</w:t>
            </w:r>
            <w:r w:rsidR="0034319E" w:rsidRPr="00B526F8">
              <w:rPr>
                <w:rFonts w:eastAsia="Calibri"/>
                <w:sz w:val="18"/>
                <w:szCs w:val="18"/>
              </w:rPr>
              <w:t>no</w:t>
            </w:r>
            <w:r w:rsidR="005970BB" w:rsidRPr="00B526F8">
              <w:rPr>
                <w:rFonts w:eastAsia="Calibri"/>
                <w:sz w:val="18"/>
                <w:szCs w:val="18"/>
              </w:rPr>
              <w:t xml:space="preserve">= </w:t>
            </w:r>
            <w:r w:rsidR="0034319E" w:rsidRPr="00B526F8">
              <w:rPr>
                <w:rFonts w:eastAsia="Calibri"/>
                <w:sz w:val="18"/>
                <w:szCs w:val="18"/>
              </w:rPr>
              <w:t>non-existen</w:t>
            </w:r>
            <w:r w:rsidR="003A32B1" w:rsidRPr="00B526F8">
              <w:rPr>
                <w:rFonts w:eastAsia="Calibri"/>
                <w:sz w:val="18"/>
                <w:szCs w:val="18"/>
              </w:rPr>
              <w:t>t</w:t>
            </w:r>
            <w:r w:rsidR="005970BB" w:rsidRPr="00B526F8">
              <w:rPr>
                <w:rFonts w:eastAsia="Calibri"/>
                <w:sz w:val="18"/>
                <w:szCs w:val="18"/>
              </w:rPr>
              <w:t xml:space="preserve">; </w:t>
            </w:r>
            <w:r w:rsidR="003A32B1" w:rsidRPr="00B526F8">
              <w:rPr>
                <w:rFonts w:eastAsia="Calibri"/>
                <w:sz w:val="18"/>
                <w:szCs w:val="18"/>
              </w:rPr>
              <w:t>yes</w:t>
            </w:r>
            <w:r w:rsidR="005970BB" w:rsidRPr="00B526F8">
              <w:rPr>
                <w:rFonts w:eastAsia="Calibri"/>
                <w:sz w:val="18"/>
                <w:szCs w:val="18"/>
              </w:rPr>
              <w:t>=</w:t>
            </w:r>
            <w:r w:rsidR="0034319E" w:rsidRPr="00B526F8">
              <w:rPr>
                <w:rFonts w:eastAsia="Calibri"/>
                <w:sz w:val="18"/>
                <w:szCs w:val="18"/>
              </w:rPr>
              <w:t>existen</w:t>
            </w:r>
            <w:r w:rsidR="003A32B1" w:rsidRPr="00B526F8">
              <w:rPr>
                <w:rFonts w:eastAsia="Calibri"/>
                <w:sz w:val="18"/>
                <w:szCs w:val="18"/>
              </w:rPr>
              <w:t>t</w:t>
            </w:r>
            <w:r w:rsidR="005970BB" w:rsidRPr="00B526F8">
              <w:rPr>
                <w:rFonts w:eastAsia="Calibri"/>
                <w:sz w:val="18"/>
                <w:szCs w:val="18"/>
              </w:rPr>
              <w:t xml:space="preserve">), counting the number of countries where </w:t>
            </w:r>
            <w:r w:rsidR="00B526F8">
              <w:rPr>
                <w:rFonts w:eastAsia="Calibri"/>
                <w:sz w:val="18"/>
                <w:szCs w:val="18"/>
              </w:rPr>
              <w:t xml:space="preserve">objective evidence exists that </w:t>
            </w:r>
            <w:r w:rsidR="005970BB" w:rsidRPr="00B526F8">
              <w:rPr>
                <w:rFonts w:eastAsia="Calibri"/>
                <w:sz w:val="18"/>
                <w:szCs w:val="18"/>
              </w:rPr>
              <w:t>UNDP</w:t>
            </w:r>
            <w:r w:rsidR="001B600B" w:rsidRPr="00B526F8">
              <w:rPr>
                <w:rFonts w:eastAsia="Calibri"/>
                <w:sz w:val="18"/>
                <w:szCs w:val="18"/>
              </w:rPr>
              <w:t xml:space="preserve"> </w:t>
            </w:r>
            <w:r w:rsidR="005970BB" w:rsidRPr="00B526F8">
              <w:rPr>
                <w:rFonts w:eastAsia="Calibri"/>
                <w:sz w:val="18"/>
                <w:szCs w:val="18"/>
              </w:rPr>
              <w:t>support</w:t>
            </w:r>
            <w:r w:rsidR="003A32B1" w:rsidRPr="00B526F8">
              <w:rPr>
                <w:rFonts w:eastAsia="Calibri"/>
                <w:sz w:val="18"/>
                <w:szCs w:val="18"/>
              </w:rPr>
              <w:t xml:space="preserve"> has led to </w:t>
            </w:r>
            <w:r w:rsidR="001B600B" w:rsidRPr="00B526F8">
              <w:rPr>
                <w:rFonts w:eastAsia="Calibri"/>
                <w:sz w:val="18"/>
                <w:szCs w:val="18"/>
              </w:rPr>
              <w:t xml:space="preserve">new and/or strengthened </w:t>
            </w:r>
            <w:r w:rsidR="003A32B1" w:rsidRPr="00B526F8">
              <w:rPr>
                <w:rFonts w:eastAsia="Calibri"/>
                <w:sz w:val="18"/>
                <w:szCs w:val="18"/>
              </w:rPr>
              <w:t xml:space="preserve">services </w:t>
            </w:r>
            <w:r w:rsidR="006779D4" w:rsidRPr="00B526F8">
              <w:rPr>
                <w:rFonts w:eastAsia="Calibri"/>
                <w:sz w:val="18"/>
                <w:szCs w:val="18"/>
              </w:rPr>
              <w:t>being in place</w:t>
            </w:r>
            <w:r w:rsidR="002B0B5F" w:rsidRPr="00B526F8">
              <w:rPr>
                <w:rFonts w:eastAsia="Calibri"/>
                <w:sz w:val="18"/>
                <w:szCs w:val="18"/>
              </w:rPr>
              <w:t>, from January 2014 onwards</w:t>
            </w:r>
            <w:r w:rsidR="007572B1" w:rsidRPr="00B526F8">
              <w:rPr>
                <w:rFonts w:eastAsia="Calibri"/>
                <w:sz w:val="18"/>
                <w:szCs w:val="18"/>
              </w:rPr>
              <w:t>.</w:t>
            </w:r>
            <w:r w:rsidR="00DE4FE9" w:rsidRPr="00B526F8">
              <w:rPr>
                <w:rFonts w:eastAsia="Calibri"/>
                <w:sz w:val="18"/>
                <w:szCs w:val="18"/>
              </w:rPr>
              <w:t xml:space="preserve"> </w:t>
            </w:r>
          </w:p>
          <w:p w14:paraId="34D9BD06" w14:textId="60B8AFA6" w:rsidR="00DE4FE9" w:rsidRPr="00B526F8" w:rsidRDefault="00DE4FE9" w:rsidP="00DE4FE9">
            <w:pPr>
              <w:spacing w:after="0" w:line="240" w:lineRule="auto"/>
              <w:rPr>
                <w:rFonts w:ascii="Calibri" w:eastAsia="Calibri" w:hAnsi="Calibri" w:cs="Times New Roman"/>
                <w:b/>
                <w:sz w:val="18"/>
                <w:szCs w:val="18"/>
                <w:lang w:eastAsia="en-US"/>
              </w:rPr>
            </w:pPr>
            <w:r w:rsidRPr="00B526F8">
              <w:rPr>
                <w:rFonts w:eastAsia="Calibri"/>
                <w:b/>
                <w:sz w:val="18"/>
                <w:szCs w:val="18"/>
              </w:rPr>
              <w:t xml:space="preserve">2014 Reporting Note: </w:t>
            </w:r>
            <w:r w:rsidRPr="00B526F8">
              <w:rPr>
                <w:rFonts w:eastAsia="Calibri"/>
                <w:sz w:val="18"/>
                <w:szCs w:val="18"/>
              </w:rPr>
              <w:t>2017 target updated to reflect more complete reporting from country offices. For reference, previous target was 8.</w:t>
            </w:r>
          </w:p>
        </w:tc>
      </w:tr>
      <w:tr w:rsidR="00E36333" w:rsidRPr="00AF411A" w14:paraId="4E40CD54" w14:textId="77777777" w:rsidTr="00500616">
        <w:trPr>
          <w:trHeight w:val="836"/>
          <w:jc w:val="center"/>
        </w:trPr>
        <w:tc>
          <w:tcPr>
            <w:tcW w:w="3145" w:type="dxa"/>
            <w:vMerge w:val="restart"/>
            <w:tcBorders>
              <w:top w:val="single" w:sz="4" w:space="0" w:color="auto"/>
              <w:left w:val="single" w:sz="4" w:space="0" w:color="auto"/>
              <w:right w:val="single" w:sz="4" w:space="0" w:color="auto"/>
            </w:tcBorders>
            <w:shd w:val="clear" w:color="auto" w:fill="FFFFFF"/>
            <w:hideMark/>
          </w:tcPr>
          <w:p w14:paraId="39309756" w14:textId="0D2966AB" w:rsidR="00E36333" w:rsidRDefault="00E36333" w:rsidP="00E36333">
            <w:pPr>
              <w:spacing w:after="0" w:line="240" w:lineRule="auto"/>
              <w:rPr>
                <w:rFonts w:eastAsia="Calibri"/>
                <w:sz w:val="20"/>
                <w:szCs w:val="20"/>
              </w:rPr>
            </w:pPr>
            <w:r w:rsidRPr="0000532F">
              <w:rPr>
                <w:rFonts w:eastAsia="Calibri"/>
                <w:b/>
                <w:sz w:val="20"/>
                <w:szCs w:val="20"/>
              </w:rPr>
              <w:t xml:space="preserve">Output 4.3. </w:t>
            </w:r>
            <w:r w:rsidRPr="0000532F">
              <w:rPr>
                <w:rFonts w:eastAsia="Calibri"/>
                <w:sz w:val="20"/>
                <w:szCs w:val="20"/>
              </w:rPr>
              <w:t>Evidence-informed national strategies and partnerships to advance gender equality and women’s empowerment</w:t>
            </w:r>
          </w:p>
          <w:p w14:paraId="182AA293" w14:textId="77777777" w:rsidR="00E36333" w:rsidRDefault="00E36333" w:rsidP="00E36333">
            <w:pPr>
              <w:spacing w:after="0" w:line="240" w:lineRule="auto"/>
              <w:rPr>
                <w:rFonts w:eastAsia="Calibri"/>
                <w:sz w:val="20"/>
                <w:szCs w:val="20"/>
              </w:rPr>
            </w:pPr>
          </w:p>
          <w:p w14:paraId="36AB9D32" w14:textId="4F5E398C" w:rsidR="00E36333" w:rsidRPr="00E36333" w:rsidRDefault="00251884" w:rsidP="007A0554">
            <w:pPr>
              <w:spacing w:after="0" w:line="240" w:lineRule="auto"/>
              <w:rPr>
                <w:rFonts w:eastAsia="Calibri"/>
                <w:color w:val="000000"/>
                <w:sz w:val="20"/>
              </w:rPr>
            </w:pPr>
            <w:r w:rsidRPr="00B359E7">
              <w:rPr>
                <w:rFonts w:ascii="Calibri" w:eastAsia="Calibri" w:hAnsi="Calibri"/>
                <w:b/>
                <w:i/>
                <w:color w:val="000000"/>
                <w:sz w:val="18"/>
                <w:szCs w:val="18"/>
              </w:rPr>
              <w:t>Number of countries linked:</w:t>
            </w:r>
            <w:r>
              <w:rPr>
                <w:rFonts w:ascii="Calibri" w:eastAsia="Calibri" w:hAnsi="Calibri"/>
                <w:b/>
                <w:color w:val="000000"/>
                <w:sz w:val="18"/>
                <w:szCs w:val="18"/>
              </w:rPr>
              <w:t xml:space="preserve"> 1</w:t>
            </w:r>
            <w:r w:rsidR="007A0554">
              <w:rPr>
                <w:rFonts w:ascii="Calibri" w:eastAsia="Calibri" w:hAnsi="Calibri"/>
                <w:b/>
                <w:color w:val="000000"/>
                <w:sz w:val="18"/>
                <w:szCs w:val="18"/>
              </w:rPr>
              <w:t>8</w:t>
            </w:r>
            <w:r>
              <w:rPr>
                <w:rFonts w:ascii="Calibri" w:eastAsia="Calibri" w:hAnsi="Calibri"/>
                <w:b/>
                <w:color w:val="000000"/>
                <w:sz w:val="18"/>
                <w:szCs w:val="18"/>
              </w:rPr>
              <w:t xml:space="preserve"> (February 2015</w:t>
            </w:r>
            <w:r w:rsidRPr="00B359E7">
              <w:rPr>
                <w:rFonts w:ascii="Calibri" w:eastAsia="Calibri" w:hAnsi="Calibri"/>
                <w:b/>
                <w:color w:val="000000"/>
                <w:sz w:val="18"/>
                <w:szCs w:val="18"/>
              </w:rPr>
              <w:t>)</w:t>
            </w:r>
          </w:p>
        </w:tc>
        <w:tc>
          <w:tcPr>
            <w:tcW w:w="900" w:type="dxa"/>
            <w:vMerge w:val="restart"/>
            <w:tcBorders>
              <w:top w:val="single" w:sz="4" w:space="0" w:color="auto"/>
              <w:left w:val="single" w:sz="4" w:space="0" w:color="auto"/>
              <w:right w:val="single" w:sz="4" w:space="0" w:color="auto"/>
            </w:tcBorders>
            <w:shd w:val="clear" w:color="auto" w:fill="FFFFFF"/>
          </w:tcPr>
          <w:p w14:paraId="70BA5F0D" w14:textId="77777777" w:rsidR="00E36333" w:rsidRPr="004007F3" w:rsidRDefault="00E36333" w:rsidP="00E36333">
            <w:pPr>
              <w:spacing w:after="0" w:line="240" w:lineRule="auto"/>
              <w:rPr>
                <w:rFonts w:eastAsia="Calibri"/>
                <w:b/>
                <w:sz w:val="20"/>
                <w:szCs w:val="20"/>
              </w:rPr>
            </w:pPr>
            <w:r w:rsidRPr="004007F3">
              <w:rPr>
                <w:rFonts w:eastAsia="Calibri"/>
                <w:b/>
                <w:sz w:val="20"/>
                <w:szCs w:val="20"/>
              </w:rPr>
              <w:t>4.3.2</w:t>
            </w:r>
          </w:p>
        </w:tc>
        <w:tc>
          <w:tcPr>
            <w:tcW w:w="5400" w:type="dxa"/>
            <w:tcBorders>
              <w:top w:val="single" w:sz="4" w:space="0" w:color="auto"/>
              <w:left w:val="single" w:sz="4" w:space="0" w:color="auto"/>
              <w:right w:val="single" w:sz="4" w:space="0" w:color="auto"/>
            </w:tcBorders>
            <w:shd w:val="clear" w:color="auto" w:fill="FFFFFF"/>
          </w:tcPr>
          <w:p w14:paraId="1867F27F" w14:textId="77777777" w:rsidR="00E36333" w:rsidRPr="0013161E" w:rsidRDefault="00E36333" w:rsidP="00E36333">
            <w:pPr>
              <w:spacing w:after="0" w:line="240" w:lineRule="auto"/>
              <w:rPr>
                <w:rFonts w:eastAsia="Calibri"/>
                <w:sz w:val="20"/>
                <w:szCs w:val="20"/>
              </w:rPr>
            </w:pPr>
            <w:r w:rsidRPr="0013161E">
              <w:rPr>
                <w:rFonts w:eastAsia="Calibri"/>
                <w:sz w:val="20"/>
                <w:szCs w:val="20"/>
              </w:rPr>
              <w:t xml:space="preserve">Number of countries with </w:t>
            </w:r>
            <w:r w:rsidRPr="0013161E">
              <w:rPr>
                <w:rFonts w:eastAsia="Calibri"/>
                <w:b/>
                <w:sz w:val="20"/>
                <w:szCs w:val="20"/>
              </w:rPr>
              <w:t>mechanisms</w:t>
            </w:r>
            <w:r w:rsidRPr="0013161E">
              <w:rPr>
                <w:rFonts w:eastAsia="Calibri"/>
                <w:sz w:val="20"/>
                <w:szCs w:val="20"/>
              </w:rPr>
              <w:t xml:space="preserve"> in place to collect, disseminate </w:t>
            </w:r>
            <w:r w:rsidRPr="0013161E">
              <w:rPr>
                <w:rFonts w:eastAsia="Calibri"/>
                <w:b/>
                <w:sz w:val="20"/>
                <w:szCs w:val="20"/>
              </w:rPr>
              <w:t>sex-disaggregated data and gender statistics,</w:t>
            </w:r>
            <w:r w:rsidRPr="0013161E">
              <w:rPr>
                <w:rFonts w:eastAsia="Calibri"/>
                <w:sz w:val="20"/>
                <w:szCs w:val="20"/>
              </w:rPr>
              <w:t xml:space="preserve"> and apply gender analysis</w:t>
            </w:r>
          </w:p>
          <w:p w14:paraId="38DD7866" w14:textId="52833181" w:rsidR="008376B6" w:rsidRPr="0013161E" w:rsidRDefault="008376B6" w:rsidP="00D37201">
            <w:pPr>
              <w:spacing w:before="240" w:after="0" w:line="240" w:lineRule="auto"/>
              <w:rPr>
                <w:rFonts w:eastAsia="Calibri"/>
                <w:sz w:val="20"/>
                <w:szCs w:val="20"/>
              </w:rPr>
            </w:pPr>
            <w:r w:rsidRPr="0013161E">
              <w:rPr>
                <w:rFonts w:eastAsia="Calibri"/>
                <w:b/>
                <w:i/>
                <w:sz w:val="18"/>
                <w:szCs w:val="18"/>
              </w:rPr>
              <w:t xml:space="preserve">Number of countries </w:t>
            </w:r>
            <w:r w:rsidR="00983FF8" w:rsidRPr="0013161E">
              <w:rPr>
                <w:rFonts w:eastAsia="Calibri"/>
                <w:b/>
                <w:i/>
                <w:sz w:val="18"/>
                <w:szCs w:val="18"/>
              </w:rPr>
              <w:t>for which a 2017 target has currently been set under this indicator</w:t>
            </w:r>
            <w:r w:rsidR="00513281" w:rsidRPr="0013161E">
              <w:rPr>
                <w:rFonts w:eastAsia="Calibri"/>
                <w:b/>
                <w:i/>
                <w:sz w:val="18"/>
                <w:szCs w:val="18"/>
              </w:rPr>
              <w:t>: 14</w:t>
            </w:r>
          </w:p>
        </w:tc>
        <w:tc>
          <w:tcPr>
            <w:tcW w:w="1440" w:type="dxa"/>
            <w:tcBorders>
              <w:top w:val="single" w:sz="4" w:space="0" w:color="auto"/>
              <w:left w:val="single" w:sz="4" w:space="0" w:color="auto"/>
              <w:right w:val="single" w:sz="4" w:space="0" w:color="auto"/>
            </w:tcBorders>
            <w:shd w:val="clear" w:color="auto" w:fill="FFFFFF"/>
            <w:vAlign w:val="center"/>
          </w:tcPr>
          <w:p w14:paraId="2360B281" w14:textId="7A170599" w:rsidR="00E36333" w:rsidRPr="0013161E" w:rsidRDefault="000E107F" w:rsidP="005B2F8A">
            <w:pPr>
              <w:spacing w:after="0" w:line="240" w:lineRule="auto"/>
              <w:jc w:val="center"/>
              <w:rPr>
                <w:rFonts w:eastAsia="Calibri"/>
                <w:sz w:val="20"/>
                <w:szCs w:val="20"/>
              </w:rPr>
            </w:pPr>
            <w:r w:rsidRPr="0013161E">
              <w:rPr>
                <w:rFonts w:eastAsia="Calibri"/>
                <w:sz w:val="20"/>
                <w:szCs w:val="20"/>
              </w:rPr>
              <w:t>2</w:t>
            </w:r>
          </w:p>
        </w:tc>
        <w:tc>
          <w:tcPr>
            <w:tcW w:w="1350" w:type="dxa"/>
            <w:tcBorders>
              <w:top w:val="single" w:sz="4" w:space="0" w:color="auto"/>
              <w:left w:val="single" w:sz="4" w:space="0" w:color="auto"/>
              <w:right w:val="single" w:sz="4" w:space="0" w:color="auto"/>
            </w:tcBorders>
            <w:shd w:val="clear" w:color="auto" w:fill="FFFFFF"/>
            <w:vAlign w:val="center"/>
          </w:tcPr>
          <w:p w14:paraId="4FACC359" w14:textId="620B4AF3" w:rsidR="00E36333" w:rsidRPr="0013161E" w:rsidRDefault="00291ECE" w:rsidP="00E36333">
            <w:pPr>
              <w:spacing w:after="0" w:line="240" w:lineRule="auto"/>
              <w:jc w:val="center"/>
              <w:rPr>
                <w:rFonts w:eastAsia="Calibri"/>
                <w:sz w:val="20"/>
                <w:szCs w:val="20"/>
              </w:rPr>
            </w:pPr>
            <w:r w:rsidRPr="0013161E">
              <w:rPr>
                <w:rFonts w:eastAsia="Calibri"/>
                <w:sz w:val="20"/>
                <w:szCs w:val="20"/>
              </w:rPr>
              <w:t>3</w:t>
            </w:r>
          </w:p>
        </w:tc>
        <w:tc>
          <w:tcPr>
            <w:tcW w:w="1260" w:type="dxa"/>
            <w:tcBorders>
              <w:top w:val="single" w:sz="4" w:space="0" w:color="auto"/>
              <w:left w:val="single" w:sz="4" w:space="0" w:color="auto"/>
              <w:right w:val="single" w:sz="4" w:space="0" w:color="auto"/>
            </w:tcBorders>
            <w:shd w:val="clear" w:color="auto" w:fill="FFFFFF"/>
            <w:vAlign w:val="center"/>
          </w:tcPr>
          <w:p w14:paraId="31CF07EC" w14:textId="66472E0F" w:rsidR="00E36333" w:rsidRPr="0013161E" w:rsidRDefault="00291ECE" w:rsidP="00E36333">
            <w:pPr>
              <w:spacing w:after="0" w:line="240" w:lineRule="auto"/>
              <w:jc w:val="center"/>
              <w:rPr>
                <w:rFonts w:eastAsia="Calibri"/>
                <w:sz w:val="20"/>
                <w:szCs w:val="20"/>
              </w:rPr>
            </w:pPr>
            <w:r w:rsidRPr="0013161E">
              <w:rPr>
                <w:rFonts w:eastAsia="Calibri"/>
                <w:sz w:val="20"/>
                <w:szCs w:val="20"/>
              </w:rPr>
              <w:t>3</w:t>
            </w:r>
          </w:p>
        </w:tc>
        <w:tc>
          <w:tcPr>
            <w:tcW w:w="1350" w:type="dxa"/>
            <w:tcBorders>
              <w:top w:val="single" w:sz="4" w:space="0" w:color="auto"/>
              <w:left w:val="single" w:sz="4" w:space="0" w:color="auto"/>
              <w:right w:val="single" w:sz="4" w:space="0" w:color="auto"/>
            </w:tcBorders>
            <w:shd w:val="clear" w:color="auto" w:fill="FFFFFF"/>
            <w:vAlign w:val="center"/>
          </w:tcPr>
          <w:p w14:paraId="6E6FB35C" w14:textId="2E1BAB08" w:rsidR="00E36333" w:rsidRPr="0013161E" w:rsidRDefault="00513281" w:rsidP="00E36333">
            <w:pPr>
              <w:spacing w:after="0" w:line="240" w:lineRule="auto"/>
              <w:jc w:val="center"/>
              <w:rPr>
                <w:rFonts w:eastAsia="Calibri"/>
                <w:sz w:val="20"/>
                <w:szCs w:val="20"/>
              </w:rPr>
            </w:pPr>
            <w:r w:rsidRPr="0013161E">
              <w:rPr>
                <w:rFonts w:eastAsia="Calibri"/>
                <w:sz w:val="20"/>
                <w:szCs w:val="20"/>
              </w:rPr>
              <w:t>11</w:t>
            </w:r>
          </w:p>
        </w:tc>
      </w:tr>
      <w:tr w:rsidR="001A4227" w:rsidRPr="00AF411A" w14:paraId="5AD64D5D" w14:textId="77777777" w:rsidTr="00500616">
        <w:trPr>
          <w:trHeight w:val="647"/>
          <w:jc w:val="center"/>
        </w:trPr>
        <w:tc>
          <w:tcPr>
            <w:tcW w:w="3145" w:type="dxa"/>
            <w:vMerge/>
            <w:tcBorders>
              <w:left w:val="single" w:sz="4" w:space="0" w:color="auto"/>
              <w:bottom w:val="single" w:sz="4" w:space="0" w:color="auto"/>
              <w:right w:val="single" w:sz="4" w:space="0" w:color="auto"/>
            </w:tcBorders>
            <w:shd w:val="clear" w:color="auto" w:fill="FFFFFF"/>
          </w:tcPr>
          <w:p w14:paraId="2711E190" w14:textId="77777777" w:rsidR="001A4227" w:rsidRPr="0000532F" w:rsidRDefault="001A4227" w:rsidP="005B61BA">
            <w:pPr>
              <w:spacing w:after="0" w:line="240" w:lineRule="auto"/>
              <w:rPr>
                <w:rFonts w:eastAsia="Calibri"/>
                <w:b/>
                <w:sz w:val="20"/>
                <w:szCs w:val="20"/>
              </w:rPr>
            </w:pPr>
          </w:p>
        </w:tc>
        <w:tc>
          <w:tcPr>
            <w:tcW w:w="900" w:type="dxa"/>
            <w:vMerge/>
            <w:tcBorders>
              <w:left w:val="single" w:sz="4" w:space="0" w:color="auto"/>
              <w:right w:val="single" w:sz="4" w:space="0" w:color="auto"/>
            </w:tcBorders>
            <w:shd w:val="clear" w:color="auto" w:fill="FFFFFF"/>
          </w:tcPr>
          <w:p w14:paraId="7407272D" w14:textId="77777777" w:rsidR="001A4227" w:rsidRPr="001C1614" w:rsidRDefault="001A4227" w:rsidP="005B61BA">
            <w:pPr>
              <w:spacing w:after="0" w:line="240" w:lineRule="auto"/>
              <w:rPr>
                <w:rFonts w:eastAsia="Calibri"/>
                <w:b/>
                <w:sz w:val="20"/>
                <w:szCs w:val="20"/>
                <w:highlight w:val="yellow"/>
              </w:rPr>
            </w:pPr>
          </w:p>
        </w:tc>
        <w:tc>
          <w:tcPr>
            <w:tcW w:w="10800" w:type="dxa"/>
            <w:gridSpan w:val="5"/>
            <w:tcBorders>
              <w:top w:val="single" w:sz="4" w:space="0" w:color="auto"/>
              <w:left w:val="single" w:sz="4" w:space="0" w:color="auto"/>
              <w:right w:val="single" w:sz="4" w:space="0" w:color="auto"/>
            </w:tcBorders>
            <w:shd w:val="clear" w:color="auto" w:fill="D9D9D9" w:themeFill="background1" w:themeFillShade="D9"/>
          </w:tcPr>
          <w:p w14:paraId="1DFDD9E6" w14:textId="554AA33F" w:rsidR="001A4227" w:rsidRPr="0013161E" w:rsidRDefault="001A4227" w:rsidP="004007F3">
            <w:pPr>
              <w:spacing w:after="0" w:line="240" w:lineRule="auto"/>
              <w:rPr>
                <w:rFonts w:eastAsia="Calibri"/>
                <w:sz w:val="18"/>
                <w:szCs w:val="18"/>
              </w:rPr>
            </w:pPr>
            <w:r w:rsidRPr="0013161E">
              <w:rPr>
                <w:rFonts w:ascii="Calibri" w:eastAsia="Calibri" w:hAnsi="Calibri" w:cs="Times New Roman"/>
                <w:b/>
                <w:sz w:val="18"/>
                <w:szCs w:val="18"/>
                <w:lang w:eastAsia="en-US"/>
              </w:rPr>
              <w:t xml:space="preserve">Indicator 4.3.2 Note: </w:t>
            </w:r>
            <w:r w:rsidRPr="0013161E">
              <w:rPr>
                <w:sz w:val="18"/>
                <w:szCs w:val="18"/>
              </w:rPr>
              <w:t xml:space="preserve">Qualitative indicator </w:t>
            </w:r>
            <w:r w:rsidRPr="0013161E">
              <w:rPr>
                <w:rFonts w:ascii="Calibri" w:eastAsia="Calibri" w:hAnsi="Calibri"/>
                <w:sz w:val="18"/>
                <w:szCs w:val="18"/>
              </w:rPr>
              <w:t xml:space="preserve">through which effectiveness of UNDP’s support (on demand </w:t>
            </w:r>
            <w:r w:rsidRPr="0013161E">
              <w:rPr>
                <w:sz w:val="18"/>
                <w:szCs w:val="18"/>
              </w:rPr>
              <w:t>from programme countries</w:t>
            </w:r>
            <w:r w:rsidRPr="0013161E">
              <w:rPr>
                <w:rFonts w:ascii="Calibri" w:eastAsia="Calibri" w:hAnsi="Calibri"/>
                <w:sz w:val="18"/>
                <w:szCs w:val="18"/>
              </w:rPr>
              <w:t>)</w:t>
            </w:r>
            <w:r w:rsidRPr="0013161E">
              <w:rPr>
                <w:sz w:val="18"/>
                <w:szCs w:val="18"/>
              </w:rPr>
              <w:t xml:space="preserve"> to put in place mechanisms to collect, disseminate sex-disaggregated data and gender statistics, and apply gender analysis, is </w:t>
            </w:r>
            <w:r w:rsidR="00B526F8" w:rsidRPr="0013161E">
              <w:rPr>
                <w:sz w:val="18"/>
                <w:szCs w:val="18"/>
              </w:rPr>
              <w:t>t</w:t>
            </w:r>
            <w:r w:rsidRPr="0013161E">
              <w:rPr>
                <w:rFonts w:eastAsia="Calibri"/>
                <w:sz w:val="18"/>
                <w:szCs w:val="18"/>
              </w:rPr>
              <w:t xml:space="preserve">racked using a qualitative rating scale (1= little evidence, 2= moderate evidence and 3= consistent evidence), counting the number of countries where </w:t>
            </w:r>
            <w:r w:rsidR="00B526F8" w:rsidRPr="0013161E">
              <w:rPr>
                <w:rFonts w:eastAsia="Calibri"/>
                <w:sz w:val="18"/>
                <w:szCs w:val="18"/>
              </w:rPr>
              <w:t xml:space="preserve">objective </w:t>
            </w:r>
            <w:r w:rsidRPr="0013161E">
              <w:rPr>
                <w:rFonts w:eastAsia="Calibri"/>
                <w:sz w:val="18"/>
                <w:szCs w:val="18"/>
              </w:rPr>
              <w:t xml:space="preserve">evidence </w:t>
            </w:r>
            <w:r w:rsidR="00B526F8" w:rsidRPr="0013161E">
              <w:rPr>
                <w:rFonts w:eastAsia="Calibri"/>
                <w:sz w:val="18"/>
                <w:szCs w:val="18"/>
              </w:rPr>
              <w:t>exists that</w:t>
            </w:r>
            <w:r w:rsidRPr="0013161E">
              <w:rPr>
                <w:rFonts w:eastAsia="Calibri"/>
                <w:sz w:val="18"/>
                <w:szCs w:val="18"/>
              </w:rPr>
              <w:t xml:space="preserve"> UNDP-supported mechanisms </w:t>
            </w:r>
            <w:r w:rsidR="00B526F8" w:rsidRPr="0013161E">
              <w:rPr>
                <w:rFonts w:eastAsia="Calibri"/>
                <w:sz w:val="18"/>
                <w:szCs w:val="18"/>
              </w:rPr>
              <w:t>are in place to collect and/or disseminate</w:t>
            </w:r>
            <w:r w:rsidRPr="0013161E">
              <w:rPr>
                <w:rFonts w:eastAsia="Calibri"/>
                <w:sz w:val="18"/>
                <w:szCs w:val="18"/>
              </w:rPr>
              <w:t xml:space="preserve"> sex-disaggregated data </w:t>
            </w:r>
            <w:r w:rsidR="00B526F8" w:rsidRPr="0013161E">
              <w:rPr>
                <w:rFonts w:eastAsia="Calibri"/>
                <w:sz w:val="18"/>
                <w:szCs w:val="18"/>
              </w:rPr>
              <w:t>and apply gender analysis</w:t>
            </w:r>
            <w:r w:rsidRPr="0013161E">
              <w:rPr>
                <w:rFonts w:eastAsia="Calibri"/>
                <w:sz w:val="18"/>
                <w:szCs w:val="18"/>
              </w:rPr>
              <w:t xml:space="preserve">. </w:t>
            </w:r>
          </w:p>
          <w:p w14:paraId="5176EFB1" w14:textId="10416C53" w:rsidR="001A4227" w:rsidRPr="0013161E" w:rsidRDefault="001A4227" w:rsidP="00B526F8">
            <w:pPr>
              <w:spacing w:after="0" w:line="240" w:lineRule="auto"/>
              <w:rPr>
                <w:rFonts w:ascii="Calibri" w:eastAsia="Calibri" w:hAnsi="Calibri" w:cs="Times New Roman"/>
                <w:b/>
                <w:sz w:val="18"/>
                <w:szCs w:val="18"/>
                <w:lang w:eastAsia="en-US"/>
              </w:rPr>
            </w:pPr>
            <w:r w:rsidRPr="0013161E">
              <w:rPr>
                <w:rFonts w:eastAsia="Calibri"/>
                <w:b/>
                <w:sz w:val="18"/>
                <w:szCs w:val="18"/>
              </w:rPr>
              <w:t xml:space="preserve">2014 Reporting Note: </w:t>
            </w:r>
            <w:r w:rsidR="000E107F" w:rsidRPr="0013161E">
              <w:rPr>
                <w:rFonts w:eastAsia="Calibri"/>
                <w:sz w:val="18"/>
                <w:szCs w:val="18"/>
              </w:rPr>
              <w:t>Baseline</w:t>
            </w:r>
            <w:r w:rsidR="00513281" w:rsidRPr="0013161E">
              <w:rPr>
                <w:rFonts w:eastAsia="Calibri"/>
                <w:sz w:val="18"/>
                <w:szCs w:val="18"/>
              </w:rPr>
              <w:t>,</w:t>
            </w:r>
            <w:r w:rsidR="000E107F" w:rsidRPr="0013161E">
              <w:rPr>
                <w:rFonts w:eastAsia="Calibri"/>
                <w:sz w:val="18"/>
                <w:szCs w:val="18"/>
              </w:rPr>
              <w:t xml:space="preserve"> 2014 </w:t>
            </w:r>
            <w:r w:rsidR="00513281" w:rsidRPr="0013161E">
              <w:rPr>
                <w:rFonts w:eastAsia="Calibri"/>
                <w:sz w:val="18"/>
                <w:szCs w:val="18"/>
              </w:rPr>
              <w:t>m</w:t>
            </w:r>
            <w:r w:rsidR="000E107F" w:rsidRPr="0013161E">
              <w:rPr>
                <w:rFonts w:eastAsia="Calibri"/>
                <w:sz w:val="18"/>
                <w:szCs w:val="18"/>
              </w:rPr>
              <w:t>ilestone</w:t>
            </w:r>
            <w:r w:rsidRPr="0013161E">
              <w:rPr>
                <w:rFonts w:eastAsia="Calibri"/>
                <w:sz w:val="18"/>
                <w:szCs w:val="18"/>
              </w:rPr>
              <w:t xml:space="preserve"> </w:t>
            </w:r>
            <w:r w:rsidR="00513281" w:rsidRPr="0013161E">
              <w:rPr>
                <w:rFonts w:eastAsia="Calibri"/>
                <w:sz w:val="18"/>
                <w:szCs w:val="18"/>
              </w:rPr>
              <w:t xml:space="preserve">and 2017 target </w:t>
            </w:r>
            <w:r w:rsidRPr="0013161E">
              <w:rPr>
                <w:rFonts w:eastAsia="Calibri"/>
                <w:sz w:val="18"/>
                <w:szCs w:val="18"/>
              </w:rPr>
              <w:t>updated to reflect more complete</w:t>
            </w:r>
            <w:r w:rsidR="000E107F" w:rsidRPr="0013161E">
              <w:rPr>
                <w:rFonts w:eastAsia="Calibri"/>
                <w:sz w:val="18"/>
                <w:szCs w:val="18"/>
              </w:rPr>
              <w:t xml:space="preserve"> reporting from country offices, f</w:t>
            </w:r>
            <w:r w:rsidRPr="0013161E">
              <w:rPr>
                <w:rFonts w:eastAsia="Calibri"/>
                <w:sz w:val="18"/>
                <w:szCs w:val="18"/>
              </w:rPr>
              <w:t xml:space="preserve">or reference, previous </w:t>
            </w:r>
            <w:r w:rsidR="00ED1627" w:rsidRPr="0013161E">
              <w:rPr>
                <w:rFonts w:eastAsia="Calibri"/>
                <w:sz w:val="18"/>
                <w:szCs w:val="18"/>
              </w:rPr>
              <w:t xml:space="preserve">baseline was 1, previous </w:t>
            </w:r>
            <w:r w:rsidRPr="0013161E">
              <w:rPr>
                <w:rFonts w:eastAsia="Calibri"/>
                <w:sz w:val="18"/>
                <w:szCs w:val="18"/>
              </w:rPr>
              <w:t>2014 milestone was 2</w:t>
            </w:r>
            <w:r w:rsidR="00B526F8" w:rsidRPr="0013161E">
              <w:rPr>
                <w:rFonts w:eastAsia="Calibri"/>
                <w:sz w:val="18"/>
                <w:szCs w:val="18"/>
              </w:rPr>
              <w:t xml:space="preserve">, and </w:t>
            </w:r>
            <w:r w:rsidR="00513281" w:rsidRPr="0013161E">
              <w:rPr>
                <w:rFonts w:eastAsia="Calibri"/>
                <w:sz w:val="18"/>
                <w:szCs w:val="18"/>
              </w:rPr>
              <w:t>previous target was 10</w:t>
            </w:r>
            <w:r w:rsidR="00ED1627" w:rsidRPr="0013161E">
              <w:rPr>
                <w:rFonts w:eastAsia="Calibri"/>
                <w:sz w:val="18"/>
                <w:szCs w:val="18"/>
              </w:rPr>
              <w:t>.</w:t>
            </w:r>
          </w:p>
        </w:tc>
      </w:tr>
      <w:tr w:rsidR="00BD51CD" w:rsidRPr="002419D5" w14:paraId="19C41022" w14:textId="77777777" w:rsidTr="00500616">
        <w:trPr>
          <w:trHeight w:val="440"/>
          <w:jc w:val="center"/>
        </w:trPr>
        <w:tc>
          <w:tcPr>
            <w:tcW w:w="3145" w:type="dxa"/>
            <w:vMerge w:val="restart"/>
            <w:tcBorders>
              <w:top w:val="single" w:sz="4" w:space="0" w:color="auto"/>
              <w:left w:val="single" w:sz="4" w:space="0" w:color="auto"/>
              <w:right w:val="single" w:sz="4" w:space="0" w:color="auto"/>
            </w:tcBorders>
            <w:shd w:val="clear" w:color="auto" w:fill="FFFFFF"/>
            <w:hideMark/>
          </w:tcPr>
          <w:p w14:paraId="6A62D07C" w14:textId="4016F8F1" w:rsidR="00BD51CD" w:rsidRDefault="00BD51CD" w:rsidP="00BD51CD">
            <w:pPr>
              <w:spacing w:after="0" w:line="240" w:lineRule="auto"/>
              <w:rPr>
                <w:rFonts w:eastAsia="Calibri"/>
                <w:sz w:val="20"/>
                <w:szCs w:val="20"/>
              </w:rPr>
            </w:pPr>
            <w:r w:rsidRPr="0000532F">
              <w:rPr>
                <w:rFonts w:eastAsia="Calibri"/>
                <w:b/>
                <w:sz w:val="20"/>
                <w:szCs w:val="20"/>
              </w:rPr>
              <w:t xml:space="preserve">Output 4.4. </w:t>
            </w:r>
            <w:r w:rsidRPr="0000532F">
              <w:rPr>
                <w:rFonts w:eastAsia="Calibri"/>
                <w:sz w:val="20"/>
                <w:szCs w:val="20"/>
              </w:rPr>
              <w:t>Measures in place to increase</w:t>
            </w:r>
            <w:r w:rsidRPr="0000532F">
              <w:rPr>
                <w:rFonts w:eastAsia="Calibri"/>
                <w:b/>
                <w:sz w:val="20"/>
                <w:szCs w:val="20"/>
              </w:rPr>
              <w:t xml:space="preserve"> </w:t>
            </w:r>
            <w:r w:rsidRPr="0000532F">
              <w:rPr>
                <w:rFonts w:eastAsia="Calibri"/>
                <w:sz w:val="20"/>
                <w:szCs w:val="20"/>
              </w:rPr>
              <w:t>women’s p</w:t>
            </w:r>
            <w:r w:rsidR="006E0AB2">
              <w:rPr>
                <w:rFonts w:eastAsia="Calibri"/>
                <w:sz w:val="20"/>
                <w:szCs w:val="20"/>
              </w:rPr>
              <w:t>articipation in decision-making</w:t>
            </w:r>
          </w:p>
          <w:p w14:paraId="6BE50DDF" w14:textId="77777777" w:rsidR="00BD51CD" w:rsidRDefault="00BD51CD" w:rsidP="00BD51CD">
            <w:pPr>
              <w:spacing w:after="0" w:line="240" w:lineRule="auto"/>
              <w:rPr>
                <w:rFonts w:eastAsia="Calibri"/>
                <w:sz w:val="20"/>
                <w:szCs w:val="20"/>
              </w:rPr>
            </w:pPr>
          </w:p>
          <w:p w14:paraId="4D520245" w14:textId="66778CFD" w:rsidR="00BD51CD" w:rsidRPr="00E36333" w:rsidRDefault="00251884" w:rsidP="007A0554">
            <w:pPr>
              <w:spacing w:after="0" w:line="240" w:lineRule="auto"/>
              <w:rPr>
                <w:rFonts w:eastAsia="Calibri"/>
                <w:color w:val="000000"/>
                <w:sz w:val="20"/>
              </w:rPr>
            </w:pPr>
            <w:r w:rsidRPr="00B359E7">
              <w:rPr>
                <w:rFonts w:ascii="Calibri" w:eastAsia="Calibri" w:hAnsi="Calibri"/>
                <w:b/>
                <w:i/>
                <w:color w:val="000000"/>
                <w:sz w:val="18"/>
                <w:szCs w:val="18"/>
              </w:rPr>
              <w:t>Number of countries linked:</w:t>
            </w:r>
            <w:r>
              <w:rPr>
                <w:rFonts w:ascii="Calibri" w:eastAsia="Calibri" w:hAnsi="Calibri"/>
                <w:b/>
                <w:color w:val="000000"/>
                <w:sz w:val="18"/>
                <w:szCs w:val="18"/>
              </w:rPr>
              <w:t xml:space="preserve"> 3</w:t>
            </w:r>
            <w:r w:rsidR="007A0554">
              <w:rPr>
                <w:rFonts w:ascii="Calibri" w:eastAsia="Calibri" w:hAnsi="Calibri"/>
                <w:b/>
                <w:color w:val="000000"/>
                <w:sz w:val="18"/>
                <w:szCs w:val="18"/>
              </w:rPr>
              <w:t>0</w:t>
            </w:r>
            <w:r>
              <w:rPr>
                <w:rFonts w:ascii="Calibri" w:eastAsia="Calibri" w:hAnsi="Calibri"/>
                <w:b/>
                <w:color w:val="000000"/>
                <w:sz w:val="18"/>
                <w:szCs w:val="18"/>
              </w:rPr>
              <w:t xml:space="preserve"> (February 2015</w:t>
            </w:r>
            <w:r w:rsidRPr="00B359E7">
              <w:rPr>
                <w:rFonts w:ascii="Calibri" w:eastAsia="Calibri" w:hAnsi="Calibri"/>
                <w:b/>
                <w:color w:val="000000"/>
                <w:sz w:val="18"/>
                <w:szCs w:val="18"/>
              </w:rPr>
              <w:t>)</w:t>
            </w:r>
          </w:p>
        </w:tc>
        <w:tc>
          <w:tcPr>
            <w:tcW w:w="900" w:type="dxa"/>
            <w:vMerge w:val="restart"/>
            <w:tcBorders>
              <w:top w:val="single" w:sz="4" w:space="0" w:color="auto"/>
              <w:left w:val="single" w:sz="4" w:space="0" w:color="auto"/>
              <w:right w:val="single" w:sz="4" w:space="0" w:color="auto"/>
            </w:tcBorders>
            <w:shd w:val="clear" w:color="auto" w:fill="FFFFFF"/>
          </w:tcPr>
          <w:p w14:paraId="5E2DFE63" w14:textId="77777777" w:rsidR="00BD51CD" w:rsidRPr="0000532F" w:rsidRDefault="00BD51CD" w:rsidP="00BD51CD">
            <w:pPr>
              <w:spacing w:after="0" w:line="240" w:lineRule="auto"/>
              <w:rPr>
                <w:rFonts w:eastAsia="Calibri"/>
                <w:b/>
                <w:sz w:val="20"/>
                <w:szCs w:val="20"/>
              </w:rPr>
            </w:pPr>
            <w:r w:rsidRPr="0000532F">
              <w:rPr>
                <w:rFonts w:eastAsia="Calibri"/>
                <w:b/>
                <w:sz w:val="20"/>
                <w:szCs w:val="20"/>
              </w:rPr>
              <w:t>4.4.1</w:t>
            </w:r>
          </w:p>
        </w:tc>
        <w:tc>
          <w:tcPr>
            <w:tcW w:w="5400" w:type="dxa"/>
            <w:tcBorders>
              <w:top w:val="single" w:sz="4" w:space="0" w:color="auto"/>
              <w:left w:val="single" w:sz="4" w:space="0" w:color="auto"/>
              <w:right w:val="single" w:sz="4" w:space="0" w:color="auto"/>
            </w:tcBorders>
            <w:shd w:val="clear" w:color="auto" w:fill="FFFFFF"/>
            <w:hideMark/>
          </w:tcPr>
          <w:p w14:paraId="2584F655" w14:textId="77777777" w:rsidR="00BD51CD" w:rsidRPr="0013161E" w:rsidRDefault="00BD51CD" w:rsidP="00BD51CD">
            <w:pPr>
              <w:spacing w:after="0" w:line="240" w:lineRule="auto"/>
              <w:rPr>
                <w:rFonts w:eastAsia="Calibri"/>
                <w:b/>
                <w:sz w:val="20"/>
                <w:szCs w:val="20"/>
              </w:rPr>
            </w:pPr>
            <w:r w:rsidRPr="0013161E">
              <w:rPr>
                <w:rFonts w:eastAsia="Calibri"/>
                <w:sz w:val="20"/>
                <w:szCs w:val="20"/>
              </w:rPr>
              <w:t xml:space="preserve">Number of </w:t>
            </w:r>
            <w:r w:rsidRPr="0013161E">
              <w:rPr>
                <w:rFonts w:eastAsia="Calibri"/>
                <w:b/>
                <w:sz w:val="20"/>
                <w:szCs w:val="20"/>
              </w:rPr>
              <w:t>laws and policies</w:t>
            </w:r>
            <w:r w:rsidRPr="0013161E">
              <w:rPr>
                <w:rFonts w:eastAsia="Calibri"/>
                <w:sz w:val="20"/>
                <w:szCs w:val="20"/>
              </w:rPr>
              <w:t xml:space="preserve"> in place to secure </w:t>
            </w:r>
            <w:r w:rsidRPr="0013161E">
              <w:rPr>
                <w:rFonts w:eastAsia="Calibri"/>
                <w:b/>
                <w:sz w:val="20"/>
                <w:szCs w:val="20"/>
              </w:rPr>
              <w:t>women’s participation in decision making.</w:t>
            </w:r>
          </w:p>
          <w:p w14:paraId="78EAD099" w14:textId="00633760" w:rsidR="00BD51CD" w:rsidRPr="0013161E" w:rsidRDefault="00BD51CD" w:rsidP="006F161D">
            <w:pPr>
              <w:pStyle w:val="ListParagraph"/>
              <w:numPr>
                <w:ilvl w:val="0"/>
                <w:numId w:val="35"/>
              </w:numPr>
              <w:rPr>
                <w:rFonts w:eastAsia="Calibri"/>
                <w:sz w:val="20"/>
                <w:szCs w:val="20"/>
              </w:rPr>
            </w:pPr>
            <w:r w:rsidRPr="0013161E">
              <w:rPr>
                <w:rFonts w:eastAsia="Calibri"/>
                <w:sz w:val="20"/>
                <w:szCs w:val="20"/>
              </w:rPr>
              <w:t xml:space="preserve">New laws and policies </w:t>
            </w:r>
          </w:p>
          <w:p w14:paraId="2027700C" w14:textId="77777777" w:rsidR="00BD51CD" w:rsidRPr="0013161E" w:rsidRDefault="00BD51CD" w:rsidP="006F161D">
            <w:pPr>
              <w:pStyle w:val="ListParagraph"/>
              <w:numPr>
                <w:ilvl w:val="0"/>
                <w:numId w:val="35"/>
              </w:numPr>
              <w:rPr>
                <w:rFonts w:eastAsia="Calibri"/>
                <w:sz w:val="20"/>
                <w:szCs w:val="20"/>
              </w:rPr>
            </w:pPr>
            <w:r w:rsidRPr="0013161E">
              <w:rPr>
                <w:rFonts w:eastAsia="Calibri"/>
                <w:sz w:val="20"/>
                <w:szCs w:val="20"/>
              </w:rPr>
              <w:t>Strengthened laws and policies</w:t>
            </w:r>
            <w:r w:rsidR="00CB0162" w:rsidRPr="0013161E">
              <w:rPr>
                <w:rFonts w:eastAsia="Calibri"/>
                <w:sz w:val="20"/>
                <w:szCs w:val="20"/>
              </w:rPr>
              <w:t xml:space="preserve"> </w:t>
            </w:r>
          </w:p>
          <w:p w14:paraId="635186D9" w14:textId="71E062C8" w:rsidR="008376B6" w:rsidRPr="0013161E" w:rsidRDefault="008376B6" w:rsidP="00D37201">
            <w:pPr>
              <w:spacing w:before="240" w:after="0"/>
              <w:rPr>
                <w:rFonts w:eastAsia="Calibri"/>
                <w:sz w:val="20"/>
                <w:szCs w:val="20"/>
              </w:rPr>
            </w:pPr>
            <w:r w:rsidRPr="0013161E">
              <w:rPr>
                <w:rFonts w:eastAsia="Calibri"/>
                <w:b/>
                <w:i/>
                <w:sz w:val="18"/>
                <w:szCs w:val="18"/>
              </w:rPr>
              <w:t xml:space="preserve">Number of countries </w:t>
            </w:r>
            <w:r w:rsidR="00983FF8" w:rsidRPr="0013161E">
              <w:rPr>
                <w:rFonts w:eastAsia="Calibri"/>
                <w:b/>
                <w:i/>
                <w:sz w:val="18"/>
                <w:szCs w:val="18"/>
              </w:rPr>
              <w:t>for which a 2017 target has currently been set under this indicator</w:t>
            </w:r>
            <w:r w:rsidR="004D3BC4" w:rsidRPr="0013161E">
              <w:rPr>
                <w:rFonts w:eastAsia="Calibri"/>
                <w:b/>
                <w:i/>
                <w:sz w:val="18"/>
                <w:szCs w:val="18"/>
              </w:rPr>
              <w:t>: a) 11, b) 13</w:t>
            </w:r>
          </w:p>
        </w:tc>
        <w:tc>
          <w:tcPr>
            <w:tcW w:w="1440" w:type="dxa"/>
            <w:tcBorders>
              <w:top w:val="single" w:sz="4" w:space="0" w:color="auto"/>
              <w:left w:val="single" w:sz="4" w:space="0" w:color="auto"/>
              <w:right w:val="single" w:sz="4" w:space="0" w:color="auto"/>
            </w:tcBorders>
            <w:shd w:val="clear" w:color="auto" w:fill="FFFFFF"/>
            <w:vAlign w:val="center"/>
          </w:tcPr>
          <w:p w14:paraId="49AF2A0B" w14:textId="77777777" w:rsidR="00BD51CD" w:rsidRDefault="00BD51CD" w:rsidP="00BD51CD">
            <w:pPr>
              <w:spacing w:after="0" w:line="240" w:lineRule="auto"/>
              <w:jc w:val="center"/>
              <w:rPr>
                <w:sz w:val="20"/>
                <w:szCs w:val="20"/>
              </w:rPr>
            </w:pPr>
          </w:p>
          <w:p w14:paraId="18C6A110" w14:textId="77777777" w:rsidR="00BD51CD" w:rsidRDefault="00CB0162" w:rsidP="00BD51CD">
            <w:pPr>
              <w:spacing w:after="0" w:line="240" w:lineRule="auto"/>
              <w:jc w:val="center"/>
              <w:rPr>
                <w:sz w:val="20"/>
                <w:szCs w:val="20"/>
              </w:rPr>
            </w:pPr>
            <w:r>
              <w:rPr>
                <w:sz w:val="20"/>
                <w:szCs w:val="20"/>
              </w:rPr>
              <w:t>0</w:t>
            </w:r>
          </w:p>
          <w:p w14:paraId="171DAA72" w14:textId="77777777" w:rsidR="00BD51CD" w:rsidRPr="0000532F" w:rsidRDefault="00CB0162" w:rsidP="00CB0162">
            <w:pPr>
              <w:spacing w:after="0" w:line="240" w:lineRule="auto"/>
              <w:jc w:val="center"/>
              <w:rPr>
                <w:sz w:val="20"/>
                <w:szCs w:val="20"/>
              </w:rPr>
            </w:pPr>
            <w:r>
              <w:rPr>
                <w:sz w:val="20"/>
                <w:szCs w:val="20"/>
              </w:rPr>
              <w:t>0</w:t>
            </w:r>
          </w:p>
        </w:tc>
        <w:tc>
          <w:tcPr>
            <w:tcW w:w="1350" w:type="dxa"/>
            <w:tcBorders>
              <w:top w:val="single" w:sz="4" w:space="0" w:color="auto"/>
              <w:left w:val="single" w:sz="4" w:space="0" w:color="auto"/>
              <w:right w:val="single" w:sz="4" w:space="0" w:color="auto"/>
            </w:tcBorders>
            <w:shd w:val="clear" w:color="auto" w:fill="FFFFFF"/>
            <w:vAlign w:val="center"/>
          </w:tcPr>
          <w:p w14:paraId="6820A3C4" w14:textId="77777777" w:rsidR="00BD51CD" w:rsidRDefault="00BD51CD" w:rsidP="00BD51CD">
            <w:pPr>
              <w:spacing w:after="0" w:line="240" w:lineRule="auto"/>
              <w:jc w:val="center"/>
              <w:rPr>
                <w:sz w:val="20"/>
                <w:szCs w:val="20"/>
              </w:rPr>
            </w:pPr>
          </w:p>
          <w:p w14:paraId="35594197" w14:textId="77777777" w:rsidR="00BD51CD" w:rsidRDefault="00BD51CD" w:rsidP="00BD51CD">
            <w:pPr>
              <w:spacing w:after="0" w:line="240" w:lineRule="auto"/>
              <w:jc w:val="center"/>
              <w:rPr>
                <w:sz w:val="20"/>
                <w:szCs w:val="20"/>
              </w:rPr>
            </w:pPr>
            <w:r>
              <w:rPr>
                <w:sz w:val="20"/>
                <w:szCs w:val="20"/>
              </w:rPr>
              <w:t>10</w:t>
            </w:r>
          </w:p>
          <w:p w14:paraId="3C36155F" w14:textId="31387B3F" w:rsidR="00BD51CD" w:rsidRPr="0000532F" w:rsidRDefault="00D121E4" w:rsidP="00BD51CD">
            <w:pPr>
              <w:spacing w:after="0" w:line="240" w:lineRule="auto"/>
              <w:jc w:val="center"/>
              <w:rPr>
                <w:sz w:val="20"/>
                <w:szCs w:val="20"/>
              </w:rPr>
            </w:pPr>
            <w:r>
              <w:rPr>
                <w:sz w:val="20"/>
                <w:szCs w:val="20"/>
              </w:rPr>
              <w:t>15</w:t>
            </w:r>
          </w:p>
        </w:tc>
        <w:tc>
          <w:tcPr>
            <w:tcW w:w="1260" w:type="dxa"/>
            <w:tcBorders>
              <w:top w:val="single" w:sz="4" w:space="0" w:color="auto"/>
              <w:left w:val="single" w:sz="4" w:space="0" w:color="auto"/>
              <w:right w:val="single" w:sz="4" w:space="0" w:color="auto"/>
            </w:tcBorders>
            <w:shd w:val="clear" w:color="auto" w:fill="FFFFFF"/>
            <w:vAlign w:val="center"/>
          </w:tcPr>
          <w:p w14:paraId="01DEBD59" w14:textId="77777777" w:rsidR="00BD51CD" w:rsidRDefault="00BD51CD" w:rsidP="00BD51CD">
            <w:pPr>
              <w:spacing w:after="0" w:line="240" w:lineRule="auto"/>
              <w:jc w:val="center"/>
              <w:rPr>
                <w:sz w:val="20"/>
                <w:szCs w:val="20"/>
              </w:rPr>
            </w:pPr>
          </w:p>
          <w:p w14:paraId="5EDCE438" w14:textId="06431B0F" w:rsidR="00BD51CD" w:rsidRDefault="00D121E4" w:rsidP="00BD51CD">
            <w:pPr>
              <w:spacing w:after="0" w:line="240" w:lineRule="auto"/>
              <w:jc w:val="center"/>
              <w:rPr>
                <w:sz w:val="20"/>
                <w:szCs w:val="20"/>
              </w:rPr>
            </w:pPr>
            <w:r>
              <w:rPr>
                <w:sz w:val="20"/>
                <w:szCs w:val="20"/>
              </w:rPr>
              <w:t>8</w:t>
            </w:r>
            <w:r w:rsidR="00B51DC8">
              <w:rPr>
                <w:sz w:val="20"/>
                <w:szCs w:val="20"/>
              </w:rPr>
              <w:t>*</w:t>
            </w:r>
          </w:p>
          <w:p w14:paraId="3DCC4795" w14:textId="5771D315" w:rsidR="00D121E4" w:rsidRPr="0000532F" w:rsidRDefault="00D121E4" w:rsidP="00BD51CD">
            <w:pPr>
              <w:spacing w:after="0" w:line="240" w:lineRule="auto"/>
              <w:jc w:val="center"/>
              <w:rPr>
                <w:sz w:val="20"/>
                <w:szCs w:val="20"/>
              </w:rPr>
            </w:pPr>
            <w:r>
              <w:rPr>
                <w:sz w:val="20"/>
                <w:szCs w:val="20"/>
              </w:rPr>
              <w:t>12</w:t>
            </w:r>
            <w:r w:rsidR="00B51DC8">
              <w:rPr>
                <w:sz w:val="20"/>
                <w:szCs w:val="20"/>
              </w:rPr>
              <w:t>*</w:t>
            </w:r>
          </w:p>
        </w:tc>
        <w:tc>
          <w:tcPr>
            <w:tcW w:w="1350" w:type="dxa"/>
            <w:tcBorders>
              <w:top w:val="single" w:sz="4" w:space="0" w:color="auto"/>
              <w:left w:val="single" w:sz="4" w:space="0" w:color="auto"/>
              <w:right w:val="single" w:sz="4" w:space="0" w:color="auto"/>
            </w:tcBorders>
            <w:shd w:val="clear" w:color="auto" w:fill="FFFFFF"/>
            <w:vAlign w:val="center"/>
          </w:tcPr>
          <w:p w14:paraId="60E2FAFD" w14:textId="77777777" w:rsidR="00BD51CD" w:rsidRDefault="00BD51CD" w:rsidP="00BD51CD">
            <w:pPr>
              <w:spacing w:after="0" w:line="240" w:lineRule="auto"/>
              <w:jc w:val="center"/>
              <w:rPr>
                <w:sz w:val="20"/>
                <w:szCs w:val="20"/>
              </w:rPr>
            </w:pPr>
          </w:p>
          <w:p w14:paraId="344E4AA4" w14:textId="674F23A1" w:rsidR="00BD51CD" w:rsidRDefault="004D3BC4" w:rsidP="00BD51CD">
            <w:pPr>
              <w:spacing w:after="0" w:line="240" w:lineRule="auto"/>
              <w:jc w:val="center"/>
              <w:rPr>
                <w:sz w:val="20"/>
                <w:szCs w:val="20"/>
              </w:rPr>
            </w:pPr>
            <w:r>
              <w:rPr>
                <w:sz w:val="20"/>
                <w:szCs w:val="20"/>
              </w:rPr>
              <w:t>26</w:t>
            </w:r>
          </w:p>
          <w:p w14:paraId="3A924DEB" w14:textId="1FD3A4B1" w:rsidR="00BD51CD" w:rsidRPr="0000532F" w:rsidRDefault="004D3BC4" w:rsidP="00BD51CD">
            <w:pPr>
              <w:spacing w:after="0" w:line="240" w:lineRule="auto"/>
              <w:jc w:val="center"/>
              <w:rPr>
                <w:sz w:val="20"/>
                <w:szCs w:val="20"/>
              </w:rPr>
            </w:pPr>
            <w:r>
              <w:rPr>
                <w:sz w:val="20"/>
                <w:szCs w:val="20"/>
              </w:rPr>
              <w:t>64</w:t>
            </w:r>
          </w:p>
        </w:tc>
      </w:tr>
      <w:tr w:rsidR="00BD51CD" w:rsidRPr="002419D5" w14:paraId="06DED4F1" w14:textId="77777777" w:rsidTr="00500616">
        <w:trPr>
          <w:trHeight w:val="674"/>
          <w:jc w:val="center"/>
        </w:trPr>
        <w:tc>
          <w:tcPr>
            <w:tcW w:w="3145" w:type="dxa"/>
            <w:vMerge/>
            <w:tcBorders>
              <w:left w:val="single" w:sz="4" w:space="0" w:color="auto"/>
              <w:right w:val="single" w:sz="4" w:space="0" w:color="auto"/>
            </w:tcBorders>
            <w:shd w:val="clear" w:color="auto" w:fill="FFFFFF"/>
          </w:tcPr>
          <w:p w14:paraId="11ABA113" w14:textId="5B2C2B5B" w:rsidR="00BD51CD" w:rsidRPr="0000532F" w:rsidRDefault="00BD51CD" w:rsidP="00BD51CD">
            <w:pPr>
              <w:spacing w:after="0" w:line="240" w:lineRule="auto"/>
              <w:rPr>
                <w:rFonts w:eastAsia="Calibri"/>
                <w:b/>
                <w:sz w:val="20"/>
                <w:szCs w:val="20"/>
              </w:rPr>
            </w:pPr>
          </w:p>
        </w:tc>
        <w:tc>
          <w:tcPr>
            <w:tcW w:w="900" w:type="dxa"/>
            <w:vMerge/>
            <w:tcBorders>
              <w:left w:val="single" w:sz="4" w:space="0" w:color="auto"/>
              <w:right w:val="single" w:sz="4" w:space="0" w:color="auto"/>
            </w:tcBorders>
            <w:shd w:val="clear" w:color="auto" w:fill="FFFFFF"/>
          </w:tcPr>
          <w:p w14:paraId="004F1CA4" w14:textId="77777777" w:rsidR="00BD51CD" w:rsidRPr="0000532F" w:rsidRDefault="00BD51CD" w:rsidP="00BD51CD">
            <w:pPr>
              <w:spacing w:after="0" w:line="240" w:lineRule="auto"/>
              <w:rPr>
                <w:rFonts w:eastAsia="Calibri"/>
                <w:b/>
                <w:sz w:val="20"/>
                <w:szCs w:val="20"/>
              </w:rPr>
            </w:pPr>
          </w:p>
        </w:tc>
        <w:tc>
          <w:tcPr>
            <w:tcW w:w="10800" w:type="dxa"/>
            <w:gridSpan w:val="5"/>
            <w:tcBorders>
              <w:top w:val="single" w:sz="4" w:space="0" w:color="auto"/>
              <w:left w:val="single" w:sz="4" w:space="0" w:color="auto"/>
              <w:right w:val="single" w:sz="4" w:space="0" w:color="auto"/>
            </w:tcBorders>
            <w:shd w:val="clear" w:color="auto" w:fill="D9D9D9" w:themeFill="background1" w:themeFillShade="D9"/>
          </w:tcPr>
          <w:p w14:paraId="112492A7" w14:textId="77777777" w:rsidR="00BD51CD" w:rsidRPr="0013161E" w:rsidRDefault="00BD51CD" w:rsidP="00BD51CD">
            <w:pPr>
              <w:spacing w:after="0" w:line="240" w:lineRule="auto"/>
              <w:rPr>
                <w:rFonts w:eastAsia="Calibri"/>
                <w:sz w:val="18"/>
                <w:szCs w:val="18"/>
              </w:rPr>
            </w:pPr>
            <w:r w:rsidRPr="0013161E">
              <w:rPr>
                <w:rFonts w:ascii="Calibri" w:eastAsia="Calibri" w:hAnsi="Calibri" w:cs="Times New Roman"/>
                <w:b/>
                <w:sz w:val="18"/>
                <w:szCs w:val="18"/>
                <w:lang w:eastAsia="en-US"/>
              </w:rPr>
              <w:t xml:space="preserve">Indicator 4.4.1 Note: </w:t>
            </w:r>
            <w:r w:rsidRPr="0013161E">
              <w:rPr>
                <w:rFonts w:eastAsia="Calibri"/>
                <w:sz w:val="18"/>
                <w:szCs w:val="18"/>
              </w:rPr>
              <w:t xml:space="preserve">Tracks the number of UNDP-supported </w:t>
            </w:r>
            <w:r w:rsidRPr="0013161E">
              <w:rPr>
                <w:sz w:val="18"/>
                <w:szCs w:val="18"/>
              </w:rPr>
              <w:t xml:space="preserve">(on demand from programme countries) </w:t>
            </w:r>
            <w:r w:rsidRPr="0013161E">
              <w:rPr>
                <w:rFonts w:eastAsia="Calibri"/>
                <w:sz w:val="18"/>
                <w:szCs w:val="18"/>
              </w:rPr>
              <w:t>new and/or strengthened laws and policies to increase women’s participation in decision-making from January 2014 onward</w:t>
            </w:r>
            <w:r w:rsidR="006779D4" w:rsidRPr="0013161E">
              <w:rPr>
                <w:rFonts w:eastAsia="Calibri"/>
                <w:sz w:val="18"/>
                <w:szCs w:val="18"/>
              </w:rPr>
              <w:t>s</w:t>
            </w:r>
            <w:r w:rsidRPr="0013161E">
              <w:rPr>
                <w:rFonts w:eastAsia="Calibri"/>
                <w:sz w:val="18"/>
                <w:szCs w:val="18"/>
              </w:rPr>
              <w:t>.</w:t>
            </w:r>
          </w:p>
          <w:p w14:paraId="760A5EAC" w14:textId="38E56ADE" w:rsidR="00D121E4" w:rsidRPr="0013161E" w:rsidRDefault="00D121E4" w:rsidP="00B526F8">
            <w:pPr>
              <w:spacing w:after="0" w:line="240" w:lineRule="auto"/>
              <w:rPr>
                <w:rFonts w:eastAsia="Calibri"/>
                <w:sz w:val="18"/>
                <w:szCs w:val="18"/>
              </w:rPr>
            </w:pPr>
            <w:r w:rsidRPr="0013161E">
              <w:rPr>
                <w:rFonts w:eastAsia="Calibri"/>
                <w:b/>
                <w:sz w:val="18"/>
                <w:szCs w:val="18"/>
              </w:rPr>
              <w:t xml:space="preserve">2014 Reporting Note: </w:t>
            </w:r>
            <w:r w:rsidRPr="0013161E">
              <w:rPr>
                <w:rFonts w:eastAsia="Calibri"/>
                <w:sz w:val="18"/>
                <w:szCs w:val="18"/>
              </w:rPr>
              <w:t xml:space="preserve">2014 </w:t>
            </w:r>
            <w:r w:rsidR="004D3BC4" w:rsidRPr="0013161E">
              <w:rPr>
                <w:rFonts w:eastAsia="Calibri"/>
                <w:sz w:val="18"/>
                <w:szCs w:val="18"/>
              </w:rPr>
              <w:t>mi</w:t>
            </w:r>
            <w:r w:rsidRPr="0013161E">
              <w:rPr>
                <w:rFonts w:eastAsia="Calibri"/>
                <w:sz w:val="18"/>
                <w:szCs w:val="18"/>
              </w:rPr>
              <w:t>lestone</w:t>
            </w:r>
            <w:r w:rsidR="004D3BC4" w:rsidRPr="0013161E">
              <w:rPr>
                <w:rFonts w:eastAsia="Calibri"/>
                <w:sz w:val="18"/>
                <w:szCs w:val="18"/>
              </w:rPr>
              <w:t>s and targets</w:t>
            </w:r>
            <w:r w:rsidRPr="0013161E">
              <w:rPr>
                <w:rFonts w:eastAsia="Calibri"/>
                <w:sz w:val="18"/>
                <w:szCs w:val="18"/>
              </w:rPr>
              <w:t xml:space="preserve"> updated to reflect more complete reporting from country offices. For reference, previous 2014 milestones w</w:t>
            </w:r>
            <w:r w:rsidR="00B82FDE" w:rsidRPr="0013161E">
              <w:rPr>
                <w:rFonts w:eastAsia="Calibri"/>
                <w:sz w:val="18"/>
                <w:szCs w:val="18"/>
              </w:rPr>
              <w:t>ere: a) 10, b) 16</w:t>
            </w:r>
            <w:r w:rsidR="004D3BC4" w:rsidRPr="0013161E">
              <w:rPr>
                <w:rFonts w:eastAsia="Calibri"/>
                <w:sz w:val="18"/>
                <w:szCs w:val="18"/>
              </w:rPr>
              <w:t>; previous targets were: a) 24, b) 72</w:t>
            </w:r>
            <w:r w:rsidR="00ED1627" w:rsidRPr="0013161E">
              <w:rPr>
                <w:rFonts w:eastAsia="Calibri"/>
                <w:sz w:val="18"/>
                <w:szCs w:val="18"/>
              </w:rPr>
              <w:t>.</w:t>
            </w:r>
            <w:r w:rsidR="00B51DC8" w:rsidRPr="0013161E">
              <w:rPr>
                <w:rFonts w:eastAsia="Calibri"/>
                <w:sz w:val="18"/>
                <w:szCs w:val="18"/>
              </w:rPr>
              <w:t xml:space="preserve"> *2014 actual results data is missing for two countries expected to contribute to results, final results will be reported at a later date.</w:t>
            </w:r>
          </w:p>
        </w:tc>
      </w:tr>
      <w:tr w:rsidR="00CB0162" w:rsidRPr="002419D5" w14:paraId="11DB4270" w14:textId="77777777" w:rsidTr="00500616">
        <w:trPr>
          <w:trHeight w:val="674"/>
          <w:jc w:val="center"/>
        </w:trPr>
        <w:tc>
          <w:tcPr>
            <w:tcW w:w="3145" w:type="dxa"/>
            <w:vMerge/>
            <w:tcBorders>
              <w:left w:val="single" w:sz="4" w:space="0" w:color="auto"/>
              <w:right w:val="single" w:sz="4" w:space="0" w:color="auto"/>
            </w:tcBorders>
            <w:shd w:val="clear" w:color="auto" w:fill="FFFFFF"/>
          </w:tcPr>
          <w:p w14:paraId="2D9BC4FE" w14:textId="77777777" w:rsidR="00CB0162" w:rsidRPr="0000532F" w:rsidRDefault="00CB0162" w:rsidP="00CB0162">
            <w:pPr>
              <w:spacing w:after="0" w:line="240" w:lineRule="auto"/>
              <w:rPr>
                <w:rFonts w:eastAsia="Calibri"/>
                <w:b/>
                <w:sz w:val="20"/>
                <w:szCs w:val="20"/>
              </w:rPr>
            </w:pPr>
          </w:p>
        </w:tc>
        <w:tc>
          <w:tcPr>
            <w:tcW w:w="900" w:type="dxa"/>
            <w:vMerge w:val="restart"/>
            <w:tcBorders>
              <w:top w:val="single" w:sz="4" w:space="0" w:color="auto"/>
              <w:left w:val="single" w:sz="4" w:space="0" w:color="auto"/>
              <w:right w:val="single" w:sz="4" w:space="0" w:color="auto"/>
            </w:tcBorders>
            <w:shd w:val="clear" w:color="auto" w:fill="FFFFFF"/>
          </w:tcPr>
          <w:p w14:paraId="4BE11AE4" w14:textId="77777777" w:rsidR="00CB0162" w:rsidRPr="0000532F" w:rsidRDefault="00CB0162" w:rsidP="00CB0162">
            <w:pPr>
              <w:spacing w:after="0" w:line="240" w:lineRule="auto"/>
              <w:rPr>
                <w:rFonts w:eastAsia="Calibri"/>
                <w:b/>
                <w:sz w:val="20"/>
                <w:szCs w:val="20"/>
              </w:rPr>
            </w:pPr>
            <w:r w:rsidRPr="0000532F">
              <w:rPr>
                <w:rFonts w:eastAsia="Calibri"/>
                <w:b/>
                <w:sz w:val="20"/>
                <w:szCs w:val="20"/>
              </w:rPr>
              <w:t>4.4.2</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14:paraId="4BEDCC0D" w14:textId="2A24D000" w:rsidR="008376B6" w:rsidRPr="0013161E" w:rsidRDefault="00CB0162" w:rsidP="00CB0162">
            <w:pPr>
              <w:spacing w:after="0" w:line="240" w:lineRule="auto"/>
              <w:rPr>
                <w:rFonts w:eastAsia="Calibri"/>
                <w:b/>
                <w:i/>
                <w:sz w:val="18"/>
                <w:szCs w:val="18"/>
              </w:rPr>
            </w:pPr>
            <w:r w:rsidRPr="000B5DED">
              <w:rPr>
                <w:rFonts w:eastAsia="Calibri"/>
                <w:sz w:val="20"/>
                <w:szCs w:val="20"/>
              </w:rPr>
              <w:t>Number of</w:t>
            </w:r>
            <w:r w:rsidR="00607E74" w:rsidRPr="0013161E">
              <w:rPr>
                <w:rFonts w:eastAsia="Calibri"/>
                <w:b/>
                <w:sz w:val="20"/>
                <w:szCs w:val="20"/>
              </w:rPr>
              <w:t xml:space="preserve"> additional</w:t>
            </w:r>
            <w:r w:rsidRPr="0013161E">
              <w:rPr>
                <w:rFonts w:eastAsia="Calibri"/>
                <w:b/>
                <w:sz w:val="20"/>
                <w:szCs w:val="20"/>
              </w:rPr>
              <w:t xml:space="preserve"> women </w:t>
            </w:r>
            <w:r w:rsidRPr="000B5DED">
              <w:rPr>
                <w:rFonts w:eastAsia="Calibri"/>
                <w:sz w:val="20"/>
                <w:szCs w:val="20"/>
              </w:rPr>
              <w:t>benefitting</w:t>
            </w:r>
            <w:r w:rsidRPr="0013161E">
              <w:rPr>
                <w:rFonts w:eastAsia="Calibri"/>
                <w:sz w:val="20"/>
                <w:szCs w:val="20"/>
              </w:rPr>
              <w:t xml:space="preserve"> from private and/or public measures to support women’s preparedness for </w:t>
            </w:r>
            <w:r w:rsidRPr="0013161E">
              <w:rPr>
                <w:rFonts w:eastAsia="Calibri"/>
                <w:b/>
                <w:sz w:val="20"/>
                <w:szCs w:val="20"/>
              </w:rPr>
              <w:t>leade</w:t>
            </w:r>
            <w:r w:rsidR="008376B6" w:rsidRPr="0013161E">
              <w:rPr>
                <w:rFonts w:eastAsia="Calibri"/>
                <w:b/>
                <w:sz w:val="20"/>
                <w:szCs w:val="20"/>
              </w:rPr>
              <w:t>rship and decision-making roles</w:t>
            </w:r>
            <w:r w:rsidR="008376B6" w:rsidRPr="0013161E">
              <w:rPr>
                <w:rFonts w:eastAsia="Calibri"/>
                <w:b/>
                <w:i/>
                <w:sz w:val="18"/>
                <w:szCs w:val="18"/>
              </w:rPr>
              <w:t xml:space="preserve"> </w:t>
            </w:r>
          </w:p>
          <w:p w14:paraId="15D175C5" w14:textId="08212AB1" w:rsidR="00CB0162" w:rsidRPr="0013161E" w:rsidRDefault="008376B6" w:rsidP="00694485">
            <w:pPr>
              <w:spacing w:before="240" w:after="0" w:line="240" w:lineRule="auto"/>
              <w:rPr>
                <w:rFonts w:eastAsia="Calibri"/>
                <w:sz w:val="20"/>
                <w:szCs w:val="20"/>
              </w:rPr>
            </w:pPr>
            <w:r w:rsidRPr="0013161E">
              <w:rPr>
                <w:rFonts w:eastAsia="Calibri"/>
                <w:b/>
                <w:i/>
                <w:sz w:val="18"/>
                <w:szCs w:val="18"/>
              </w:rPr>
              <w:t xml:space="preserve">Number of countries </w:t>
            </w:r>
            <w:r w:rsidR="00983FF8" w:rsidRPr="0013161E">
              <w:rPr>
                <w:rFonts w:eastAsia="Calibri"/>
                <w:b/>
                <w:i/>
                <w:sz w:val="18"/>
                <w:szCs w:val="18"/>
              </w:rPr>
              <w:t>for which a 2017 target has currently been set under this indicator</w:t>
            </w:r>
            <w:r w:rsidR="00AD2B4F" w:rsidRPr="0013161E">
              <w:rPr>
                <w:rFonts w:eastAsia="Calibri"/>
                <w:b/>
                <w:i/>
                <w:sz w:val="18"/>
                <w:szCs w:val="18"/>
              </w:rPr>
              <w:t>: 20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F9FD159" w14:textId="76B89941" w:rsidR="00CB0162" w:rsidRPr="0000532F" w:rsidRDefault="005B2F8A" w:rsidP="005B2F8A">
            <w:pPr>
              <w:spacing w:after="0" w:line="240" w:lineRule="auto"/>
              <w:jc w:val="center"/>
              <w:rPr>
                <w:sz w:val="20"/>
                <w:szCs w:val="20"/>
              </w:rPr>
            </w:pPr>
            <w:r>
              <w:rPr>
                <w:sz w:val="20"/>
                <w:szCs w:val="20"/>
              </w:rPr>
              <w:t>0</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512F0172" w14:textId="7AA99F91" w:rsidR="00CB0162" w:rsidRPr="0000532F" w:rsidRDefault="00CB0162" w:rsidP="00D121E4">
            <w:pPr>
              <w:spacing w:after="0" w:line="240" w:lineRule="auto"/>
              <w:jc w:val="center"/>
              <w:rPr>
                <w:sz w:val="20"/>
                <w:szCs w:val="20"/>
              </w:rPr>
            </w:pPr>
            <w:r>
              <w:rPr>
                <w:sz w:val="20"/>
                <w:szCs w:val="20"/>
              </w:rPr>
              <w:t>5,</w:t>
            </w:r>
            <w:r w:rsidR="00D121E4">
              <w:rPr>
                <w:sz w:val="20"/>
                <w:szCs w:val="20"/>
              </w:rPr>
              <w:t>807</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13576283" w14:textId="585B884B" w:rsidR="00CB0162" w:rsidRPr="0000532F" w:rsidRDefault="00D121E4" w:rsidP="00CB0162">
            <w:pPr>
              <w:spacing w:after="0" w:line="240" w:lineRule="auto"/>
              <w:jc w:val="center"/>
              <w:rPr>
                <w:sz w:val="20"/>
                <w:szCs w:val="20"/>
              </w:rPr>
            </w:pPr>
            <w:r>
              <w:rPr>
                <w:sz w:val="20"/>
                <w:szCs w:val="20"/>
              </w:rPr>
              <w:t>5,638</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1A6AE4E1" w14:textId="7E855E77" w:rsidR="00CB0162" w:rsidRPr="0000532F" w:rsidRDefault="00CB0162" w:rsidP="00AD2B4F">
            <w:pPr>
              <w:spacing w:after="0" w:line="240" w:lineRule="auto"/>
              <w:jc w:val="center"/>
              <w:rPr>
                <w:sz w:val="20"/>
                <w:szCs w:val="20"/>
              </w:rPr>
            </w:pPr>
            <w:r>
              <w:rPr>
                <w:sz w:val="20"/>
                <w:szCs w:val="20"/>
              </w:rPr>
              <w:t>27,</w:t>
            </w:r>
            <w:r w:rsidR="00AD2B4F">
              <w:rPr>
                <w:sz w:val="20"/>
                <w:szCs w:val="20"/>
              </w:rPr>
              <w:t>952</w:t>
            </w:r>
          </w:p>
        </w:tc>
      </w:tr>
      <w:tr w:rsidR="00BD51CD" w:rsidRPr="002419D5" w14:paraId="3226388B" w14:textId="77777777" w:rsidTr="00500616">
        <w:trPr>
          <w:trHeight w:val="674"/>
          <w:jc w:val="center"/>
        </w:trPr>
        <w:tc>
          <w:tcPr>
            <w:tcW w:w="3145" w:type="dxa"/>
            <w:vMerge/>
            <w:tcBorders>
              <w:left w:val="single" w:sz="4" w:space="0" w:color="auto"/>
              <w:right w:val="single" w:sz="4" w:space="0" w:color="auto"/>
            </w:tcBorders>
            <w:shd w:val="clear" w:color="auto" w:fill="FFFFFF"/>
          </w:tcPr>
          <w:p w14:paraId="23908D18" w14:textId="77777777" w:rsidR="00BD51CD" w:rsidRPr="0000532F" w:rsidRDefault="00BD51CD" w:rsidP="00BD51CD">
            <w:pPr>
              <w:spacing w:after="0" w:line="240" w:lineRule="auto"/>
              <w:rPr>
                <w:rFonts w:eastAsia="Calibri"/>
                <w:b/>
                <w:sz w:val="20"/>
                <w:szCs w:val="20"/>
              </w:rPr>
            </w:pPr>
          </w:p>
        </w:tc>
        <w:tc>
          <w:tcPr>
            <w:tcW w:w="900" w:type="dxa"/>
            <w:vMerge/>
            <w:tcBorders>
              <w:left w:val="single" w:sz="4" w:space="0" w:color="auto"/>
              <w:right w:val="single" w:sz="4" w:space="0" w:color="auto"/>
            </w:tcBorders>
            <w:shd w:val="clear" w:color="auto" w:fill="FFFFFF"/>
          </w:tcPr>
          <w:p w14:paraId="7B81935A" w14:textId="77777777" w:rsidR="00BD51CD" w:rsidRPr="0000532F" w:rsidRDefault="00BD51CD" w:rsidP="00BD51CD">
            <w:pPr>
              <w:spacing w:after="0" w:line="240" w:lineRule="auto"/>
              <w:rPr>
                <w:rFonts w:eastAsia="Calibri"/>
                <w:b/>
                <w:sz w:val="20"/>
                <w:szCs w:val="20"/>
              </w:rPr>
            </w:pPr>
          </w:p>
        </w:tc>
        <w:tc>
          <w:tcPr>
            <w:tcW w:w="10800" w:type="dxa"/>
            <w:gridSpan w:val="5"/>
            <w:tcBorders>
              <w:top w:val="single" w:sz="4" w:space="0" w:color="auto"/>
              <w:left w:val="single" w:sz="4" w:space="0" w:color="auto"/>
              <w:right w:val="single" w:sz="4" w:space="0" w:color="auto"/>
            </w:tcBorders>
            <w:shd w:val="clear" w:color="auto" w:fill="D9D9D9" w:themeFill="background1" w:themeFillShade="D9"/>
          </w:tcPr>
          <w:p w14:paraId="4A888095" w14:textId="5441A1C3" w:rsidR="00BD51CD" w:rsidRPr="00B526F8" w:rsidRDefault="00BD51CD" w:rsidP="00BD51CD">
            <w:pPr>
              <w:spacing w:after="0" w:line="240" w:lineRule="auto"/>
              <w:rPr>
                <w:rFonts w:eastAsia="Calibri"/>
                <w:sz w:val="18"/>
                <w:szCs w:val="18"/>
              </w:rPr>
            </w:pPr>
            <w:r w:rsidRPr="00B526F8">
              <w:rPr>
                <w:rFonts w:ascii="Calibri" w:eastAsia="Calibri" w:hAnsi="Calibri" w:cs="Times New Roman"/>
                <w:b/>
                <w:sz w:val="18"/>
                <w:szCs w:val="18"/>
                <w:lang w:eastAsia="en-US"/>
              </w:rPr>
              <w:t xml:space="preserve">Indicator 4.4.2 Note: </w:t>
            </w:r>
            <w:r w:rsidRPr="00B526F8">
              <w:rPr>
                <w:rFonts w:eastAsia="Calibri"/>
                <w:sz w:val="18"/>
                <w:szCs w:val="18"/>
              </w:rPr>
              <w:t>Tracks the number of women</w:t>
            </w:r>
            <w:r w:rsidRPr="00B526F8">
              <w:rPr>
                <w:rFonts w:eastAsia="Calibri"/>
                <w:b/>
                <w:sz w:val="18"/>
                <w:szCs w:val="18"/>
              </w:rPr>
              <w:t xml:space="preserve"> </w:t>
            </w:r>
            <w:r w:rsidRPr="00B526F8">
              <w:rPr>
                <w:rFonts w:eastAsia="Calibri"/>
                <w:sz w:val="18"/>
                <w:szCs w:val="18"/>
              </w:rPr>
              <w:t xml:space="preserve">benefitting from UNDP-supported </w:t>
            </w:r>
            <w:r w:rsidRPr="00B526F8">
              <w:rPr>
                <w:sz w:val="18"/>
                <w:szCs w:val="18"/>
              </w:rPr>
              <w:t xml:space="preserve">(on demand from programme countries) </w:t>
            </w:r>
            <w:r w:rsidRPr="00B526F8">
              <w:rPr>
                <w:rFonts w:eastAsia="Calibri"/>
                <w:sz w:val="18"/>
                <w:szCs w:val="18"/>
              </w:rPr>
              <w:t>private and/or public measures to support women’s preparedness for leadership and decision-making roles, from</w:t>
            </w:r>
            <w:r w:rsidRPr="00B526F8" w:rsidDel="00210ABC">
              <w:rPr>
                <w:rFonts w:eastAsia="Calibri"/>
                <w:sz w:val="18"/>
                <w:szCs w:val="18"/>
              </w:rPr>
              <w:t xml:space="preserve"> </w:t>
            </w:r>
            <w:r w:rsidRPr="00B526F8">
              <w:rPr>
                <w:rFonts w:eastAsia="Calibri"/>
                <w:sz w:val="18"/>
                <w:szCs w:val="18"/>
              </w:rPr>
              <w:t>January 2014 onward</w:t>
            </w:r>
            <w:r w:rsidR="00B526F8">
              <w:rPr>
                <w:rFonts w:eastAsia="Calibri"/>
                <w:sz w:val="18"/>
                <w:szCs w:val="18"/>
              </w:rPr>
              <w:t>.</w:t>
            </w:r>
          </w:p>
          <w:p w14:paraId="34FEE865" w14:textId="169A345A" w:rsidR="00D121E4" w:rsidRPr="00B526F8" w:rsidRDefault="00D121E4" w:rsidP="00AD2B4F">
            <w:pPr>
              <w:spacing w:after="0" w:line="240" w:lineRule="auto"/>
              <w:rPr>
                <w:rFonts w:ascii="Calibri" w:eastAsia="Calibri" w:hAnsi="Calibri" w:cs="Times New Roman"/>
                <w:b/>
                <w:sz w:val="18"/>
                <w:szCs w:val="18"/>
                <w:lang w:eastAsia="en-US"/>
              </w:rPr>
            </w:pPr>
            <w:r w:rsidRPr="00B526F8">
              <w:rPr>
                <w:rFonts w:eastAsia="Calibri"/>
                <w:b/>
                <w:sz w:val="18"/>
                <w:szCs w:val="18"/>
              </w:rPr>
              <w:t xml:space="preserve">2014 Reporting Note: </w:t>
            </w:r>
            <w:r w:rsidRPr="00B526F8">
              <w:rPr>
                <w:rFonts w:eastAsia="Calibri"/>
                <w:sz w:val="18"/>
                <w:szCs w:val="18"/>
              </w:rPr>
              <w:t xml:space="preserve">2014 </w:t>
            </w:r>
            <w:r w:rsidR="00AD2B4F" w:rsidRPr="00B526F8">
              <w:rPr>
                <w:rFonts w:eastAsia="Calibri"/>
                <w:sz w:val="18"/>
                <w:szCs w:val="18"/>
              </w:rPr>
              <w:t>m</w:t>
            </w:r>
            <w:r w:rsidRPr="00B526F8">
              <w:rPr>
                <w:rFonts w:eastAsia="Calibri"/>
                <w:sz w:val="18"/>
                <w:szCs w:val="18"/>
              </w:rPr>
              <w:t xml:space="preserve">ilestone </w:t>
            </w:r>
            <w:r w:rsidR="00AD2B4F" w:rsidRPr="00B526F8">
              <w:rPr>
                <w:rFonts w:eastAsia="Calibri"/>
                <w:sz w:val="18"/>
                <w:szCs w:val="18"/>
              </w:rPr>
              <w:t xml:space="preserve">and 2017 target </w:t>
            </w:r>
            <w:r w:rsidRPr="00B526F8">
              <w:rPr>
                <w:rFonts w:eastAsia="Calibri"/>
                <w:sz w:val="18"/>
                <w:szCs w:val="18"/>
              </w:rPr>
              <w:t>updated to reflect more complete reporting from country offices. For reference, previous 2014 milestone was 5,502</w:t>
            </w:r>
            <w:r w:rsidR="00AD2B4F" w:rsidRPr="00B526F8">
              <w:rPr>
                <w:rFonts w:eastAsia="Calibri"/>
                <w:sz w:val="18"/>
                <w:szCs w:val="18"/>
              </w:rPr>
              <w:t>, previous target was 27,514</w:t>
            </w:r>
            <w:r w:rsidR="00ED1627" w:rsidRPr="00B526F8">
              <w:rPr>
                <w:rFonts w:eastAsia="Calibri"/>
                <w:sz w:val="18"/>
                <w:szCs w:val="18"/>
              </w:rPr>
              <w:t>.</w:t>
            </w:r>
          </w:p>
        </w:tc>
      </w:tr>
    </w:tbl>
    <w:p w14:paraId="43B85DF7" w14:textId="77777777" w:rsidR="00500616" w:rsidRDefault="00500616"/>
    <w:tbl>
      <w:tblPr>
        <w:tblW w:w="14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5"/>
        <w:gridCol w:w="2790"/>
        <w:gridCol w:w="720"/>
        <w:gridCol w:w="5310"/>
        <w:gridCol w:w="1350"/>
        <w:gridCol w:w="450"/>
        <w:gridCol w:w="900"/>
        <w:gridCol w:w="810"/>
        <w:gridCol w:w="450"/>
        <w:gridCol w:w="1332"/>
        <w:gridCol w:w="18"/>
      </w:tblGrid>
      <w:tr w:rsidR="004E2D72" w:rsidRPr="00015A57" w14:paraId="02DCB1E5" w14:textId="77777777" w:rsidTr="000119D2">
        <w:trPr>
          <w:trHeight w:val="404"/>
          <w:jc w:val="center"/>
        </w:trPr>
        <w:tc>
          <w:tcPr>
            <w:tcW w:w="14665" w:type="dxa"/>
            <w:gridSpan w:val="11"/>
            <w:tcBorders>
              <w:top w:val="single" w:sz="4" w:space="0" w:color="auto"/>
              <w:left w:val="single" w:sz="4" w:space="0" w:color="auto"/>
              <w:bottom w:val="single" w:sz="4" w:space="0" w:color="auto"/>
              <w:right w:val="single" w:sz="4" w:space="0" w:color="auto"/>
            </w:tcBorders>
            <w:shd w:val="clear" w:color="auto" w:fill="0070C0"/>
          </w:tcPr>
          <w:p w14:paraId="53EE9526" w14:textId="02497F4D" w:rsidR="004E2D72" w:rsidRPr="004E2D72" w:rsidRDefault="004E2D72" w:rsidP="005A65B9">
            <w:pPr>
              <w:spacing w:after="0" w:line="240" w:lineRule="auto"/>
              <w:rPr>
                <w:rFonts w:eastAsia="Calibri"/>
                <w:b/>
                <w:color w:val="FFFF00"/>
              </w:rPr>
            </w:pPr>
            <w:r w:rsidRPr="004E2D72">
              <w:rPr>
                <w:rFonts w:eastAsia="Calibri"/>
                <w:color w:val="FFFF00"/>
                <w:sz w:val="24"/>
                <w:szCs w:val="24"/>
              </w:rPr>
              <w:br w:type="page"/>
            </w:r>
            <w:r w:rsidRPr="004E2D72">
              <w:rPr>
                <w:rFonts w:eastAsia="Calibri"/>
                <w:color w:val="FFFF00"/>
                <w:sz w:val="24"/>
                <w:szCs w:val="24"/>
              </w:rPr>
              <w:br w:type="page"/>
            </w:r>
            <w:r w:rsidRPr="005A65B9">
              <w:rPr>
                <w:rStyle w:val="Heading3Char"/>
                <w:rFonts w:asciiTheme="minorHAnsi" w:eastAsia="Calibri" w:hAnsiTheme="minorHAnsi"/>
                <w:color w:val="FFFF00"/>
                <w:sz w:val="24"/>
                <w:szCs w:val="24"/>
                <w:u w:val="single"/>
              </w:rPr>
              <w:t>Outcome 5</w:t>
            </w:r>
            <w:r w:rsidR="005A65B9">
              <w:rPr>
                <w:rStyle w:val="Heading3Char"/>
                <w:rFonts w:asciiTheme="minorHAnsi" w:eastAsia="Calibri" w:hAnsiTheme="minorHAnsi"/>
                <w:color w:val="FFFF00"/>
                <w:sz w:val="24"/>
                <w:szCs w:val="24"/>
                <w:u w:val="single"/>
                <w:lang w:val="en-US"/>
              </w:rPr>
              <w:t>:</w:t>
            </w:r>
            <w:r w:rsidRPr="004E2D72">
              <w:rPr>
                <w:rStyle w:val="Heading3Char"/>
                <w:rFonts w:asciiTheme="minorHAnsi" w:eastAsia="Calibri" w:hAnsiTheme="minorHAnsi"/>
                <w:color w:val="FFFF00"/>
                <w:sz w:val="24"/>
                <w:szCs w:val="24"/>
              </w:rPr>
              <w:t xml:space="preserve"> Countries are able to reduce the likelihood of conflict and lower the risk of natural disasters, including from climate change</w:t>
            </w:r>
          </w:p>
        </w:tc>
      </w:tr>
      <w:tr w:rsidR="00F41360" w:rsidRPr="00015A57" w14:paraId="72810087" w14:textId="77777777" w:rsidTr="000119D2">
        <w:trPr>
          <w:trHeight w:val="260"/>
          <w:jc w:val="center"/>
        </w:trPr>
        <w:tc>
          <w:tcPr>
            <w:tcW w:w="9355"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67A13E8F" w14:textId="77777777" w:rsidR="00F41360" w:rsidRPr="00B66E9F" w:rsidRDefault="00F41360" w:rsidP="002966DD">
            <w:pPr>
              <w:spacing w:after="0" w:line="240" w:lineRule="auto"/>
              <w:rPr>
                <w:rFonts w:eastAsia="Calibri"/>
                <w:sz w:val="20"/>
                <w:szCs w:val="20"/>
              </w:rPr>
            </w:pPr>
            <w:r w:rsidRPr="00B66E9F">
              <w:rPr>
                <w:rFonts w:eastAsia="Calibri"/>
                <w:b/>
                <w:sz w:val="20"/>
                <w:szCs w:val="20"/>
              </w:rPr>
              <w:t>Outcome Indicators</w:t>
            </w:r>
            <w:r w:rsidRPr="00B66E9F">
              <w:rPr>
                <w:rFonts w:eastAsia="Calibri"/>
                <w:sz w:val="20"/>
                <w:szCs w:val="20"/>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2F2F2"/>
          </w:tcPr>
          <w:p w14:paraId="2FE9DFC6" w14:textId="77777777" w:rsidR="00F41360" w:rsidRPr="00B66E9F" w:rsidRDefault="00F41360" w:rsidP="002966DD">
            <w:pPr>
              <w:spacing w:after="0" w:line="240" w:lineRule="auto"/>
              <w:rPr>
                <w:rFonts w:eastAsia="Calibri"/>
                <w:b/>
                <w:sz w:val="20"/>
                <w:szCs w:val="20"/>
              </w:rPr>
            </w:pPr>
            <w:r w:rsidRPr="00B66E9F">
              <w:rPr>
                <w:rFonts w:eastAsia="Calibri"/>
                <w:b/>
                <w:sz w:val="20"/>
                <w:szCs w:val="20"/>
              </w:rPr>
              <w:t>Baseline 2013</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cPr>
          <w:p w14:paraId="3D57D33B" w14:textId="4CCF400D" w:rsidR="00F41360" w:rsidRPr="00B66E9F" w:rsidRDefault="00F41360" w:rsidP="002966DD">
            <w:pPr>
              <w:spacing w:after="0" w:line="240" w:lineRule="auto"/>
              <w:rPr>
                <w:rFonts w:eastAsia="Calibri"/>
                <w:b/>
                <w:sz w:val="20"/>
                <w:szCs w:val="20"/>
              </w:rPr>
            </w:pPr>
            <w:r>
              <w:rPr>
                <w:rFonts w:eastAsia="Calibri"/>
                <w:b/>
                <w:sz w:val="20"/>
                <w:szCs w:val="20"/>
              </w:rPr>
              <w:t>Actual 2014</w:t>
            </w:r>
          </w:p>
        </w:tc>
        <w:tc>
          <w:tcPr>
            <w:tcW w:w="1800" w:type="dxa"/>
            <w:gridSpan w:val="3"/>
            <w:tcBorders>
              <w:top w:val="single" w:sz="4" w:space="0" w:color="auto"/>
              <w:left w:val="single" w:sz="4" w:space="0" w:color="auto"/>
              <w:bottom w:val="single" w:sz="4" w:space="0" w:color="auto"/>
            </w:tcBorders>
            <w:shd w:val="clear" w:color="auto" w:fill="F2F2F2"/>
          </w:tcPr>
          <w:p w14:paraId="3A3A8805" w14:textId="2C4710AF" w:rsidR="00F41360" w:rsidRPr="00B66E9F" w:rsidRDefault="00F41360" w:rsidP="002966DD">
            <w:pPr>
              <w:spacing w:after="0" w:line="240" w:lineRule="auto"/>
              <w:rPr>
                <w:rFonts w:eastAsia="Calibri"/>
                <w:b/>
                <w:sz w:val="20"/>
                <w:szCs w:val="20"/>
              </w:rPr>
            </w:pPr>
            <w:r w:rsidRPr="00B66E9F">
              <w:rPr>
                <w:rFonts w:eastAsia="Calibri"/>
                <w:b/>
                <w:sz w:val="20"/>
                <w:szCs w:val="20"/>
              </w:rPr>
              <w:t>Target 2017</w:t>
            </w:r>
          </w:p>
        </w:tc>
      </w:tr>
      <w:tr w:rsidR="00F41360" w:rsidRPr="00015A57" w14:paraId="29804225" w14:textId="77777777" w:rsidTr="000119D2">
        <w:trPr>
          <w:trHeight w:val="260"/>
          <w:jc w:val="center"/>
        </w:trPr>
        <w:tc>
          <w:tcPr>
            <w:tcW w:w="535" w:type="dxa"/>
            <w:vMerge w:val="restart"/>
            <w:tcBorders>
              <w:top w:val="single" w:sz="4" w:space="0" w:color="auto"/>
              <w:left w:val="single" w:sz="4" w:space="0" w:color="auto"/>
              <w:right w:val="single" w:sz="4" w:space="0" w:color="auto"/>
            </w:tcBorders>
            <w:shd w:val="clear" w:color="auto" w:fill="FFFFFF" w:themeFill="background1"/>
            <w:hideMark/>
          </w:tcPr>
          <w:p w14:paraId="59FE3DA4" w14:textId="77777777" w:rsidR="00F41360" w:rsidRPr="0000019C" w:rsidRDefault="00F41360" w:rsidP="002376B9">
            <w:pPr>
              <w:spacing w:after="0" w:line="240" w:lineRule="auto"/>
              <w:ind w:right="-144"/>
              <w:rPr>
                <w:sz w:val="20"/>
                <w:szCs w:val="20"/>
              </w:rPr>
            </w:pPr>
            <w:r>
              <w:rPr>
                <w:b/>
                <w:sz w:val="20"/>
                <w:szCs w:val="20"/>
              </w:rPr>
              <w:t>5.1</w:t>
            </w:r>
          </w:p>
        </w:tc>
        <w:tc>
          <w:tcPr>
            <w:tcW w:w="88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98FAD80" w14:textId="05D0C2F4" w:rsidR="00F41360" w:rsidRPr="001A37D0" w:rsidRDefault="00F41360" w:rsidP="002376B9">
            <w:pPr>
              <w:spacing w:after="0" w:line="240" w:lineRule="auto"/>
              <w:ind w:right="-144"/>
              <w:rPr>
                <w:sz w:val="20"/>
                <w:szCs w:val="20"/>
              </w:rPr>
            </w:pPr>
            <w:r w:rsidRPr="001A37D0">
              <w:rPr>
                <w:b/>
                <w:sz w:val="20"/>
                <w:szCs w:val="20"/>
              </w:rPr>
              <w:t>Mortality rate</w:t>
            </w:r>
            <w:r w:rsidRPr="001A37D0">
              <w:rPr>
                <w:sz w:val="20"/>
                <w:szCs w:val="20"/>
              </w:rPr>
              <w:t xml:space="preserve"> from </w:t>
            </w:r>
            <w:r w:rsidRPr="001A37D0">
              <w:rPr>
                <w:b/>
                <w:sz w:val="20"/>
                <w:szCs w:val="20"/>
              </w:rPr>
              <w:t>natural hazards</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FFB0B5" w14:textId="5875BCE6" w:rsidR="00F41360" w:rsidRPr="001A37D0" w:rsidRDefault="00F41360" w:rsidP="002376B9">
            <w:pPr>
              <w:spacing w:after="0" w:line="240" w:lineRule="auto"/>
              <w:rPr>
                <w:sz w:val="20"/>
              </w:rPr>
            </w:pPr>
            <w:r w:rsidRPr="001A37D0">
              <w:rPr>
                <w:sz w:val="20"/>
              </w:rPr>
              <w:t>1</w:t>
            </w:r>
            <w:r w:rsidR="00266F2C">
              <w:rPr>
                <w:sz w:val="20"/>
              </w:rPr>
              <w:t>7 per million inhabitants (2013</w:t>
            </w:r>
            <w:r w:rsidRPr="001A37D0">
              <w:rPr>
                <w:sz w:val="20"/>
              </w:rPr>
              <w: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6804B8" w14:textId="31485BC2" w:rsidR="00F41360" w:rsidRPr="0009395F" w:rsidRDefault="00E62C9B" w:rsidP="002376B9">
            <w:pPr>
              <w:spacing w:after="0" w:line="240" w:lineRule="auto"/>
              <w:rPr>
                <w:sz w:val="20"/>
              </w:rPr>
            </w:pPr>
            <w:r w:rsidRPr="0009395F">
              <w:rPr>
                <w:sz w:val="20"/>
              </w:rPr>
              <w:t>13.4</w:t>
            </w:r>
            <w:r w:rsidR="00104F49" w:rsidRPr="0009395F">
              <w:rPr>
                <w:sz w:val="20"/>
              </w:rPr>
              <w:t xml:space="preserve"> per million inhabitants</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72B0C35" w14:textId="6D4F471D" w:rsidR="00F41360" w:rsidRPr="001A37D0" w:rsidRDefault="00F41360" w:rsidP="002376B9">
            <w:pPr>
              <w:spacing w:after="0" w:line="240" w:lineRule="auto"/>
              <w:rPr>
                <w:sz w:val="20"/>
              </w:rPr>
            </w:pPr>
            <w:r w:rsidRPr="001A37D0">
              <w:rPr>
                <w:sz w:val="20"/>
              </w:rPr>
              <w:t xml:space="preserve">Direction of travel: </w:t>
            </w:r>
            <w:r w:rsidRPr="001A37D0">
              <w:rPr>
                <w:b/>
                <w:sz w:val="20"/>
              </w:rPr>
              <w:t>decrease</w:t>
            </w:r>
          </w:p>
        </w:tc>
      </w:tr>
      <w:tr w:rsidR="0050518E" w:rsidRPr="00015A57" w14:paraId="439DD845" w14:textId="77777777" w:rsidTr="000119D2">
        <w:trPr>
          <w:trHeight w:val="260"/>
          <w:jc w:val="center"/>
        </w:trPr>
        <w:tc>
          <w:tcPr>
            <w:tcW w:w="535" w:type="dxa"/>
            <w:vMerge/>
            <w:tcBorders>
              <w:left w:val="single" w:sz="4" w:space="0" w:color="auto"/>
              <w:bottom w:val="single" w:sz="4" w:space="0" w:color="auto"/>
              <w:right w:val="single" w:sz="4" w:space="0" w:color="auto"/>
            </w:tcBorders>
            <w:shd w:val="clear" w:color="auto" w:fill="FFFFFF" w:themeFill="background1"/>
          </w:tcPr>
          <w:p w14:paraId="387646B4" w14:textId="77777777" w:rsidR="0050518E" w:rsidRPr="0000019C" w:rsidRDefault="0050518E" w:rsidP="005E3D19">
            <w:pPr>
              <w:spacing w:after="0" w:line="240" w:lineRule="auto"/>
              <w:ind w:right="-144"/>
              <w:rPr>
                <w:b/>
                <w:sz w:val="20"/>
                <w:szCs w:val="20"/>
              </w:rPr>
            </w:pPr>
          </w:p>
        </w:tc>
        <w:tc>
          <w:tcPr>
            <w:tcW w:w="14130" w:type="dxa"/>
            <w:gridSpan w:val="10"/>
            <w:tcBorders>
              <w:left w:val="single" w:sz="4" w:space="0" w:color="auto"/>
              <w:bottom w:val="single" w:sz="4" w:space="0" w:color="auto"/>
              <w:right w:val="single" w:sz="4" w:space="0" w:color="auto"/>
            </w:tcBorders>
            <w:shd w:val="clear" w:color="auto" w:fill="D9D9D9" w:themeFill="background1" w:themeFillShade="D9"/>
          </w:tcPr>
          <w:p w14:paraId="2C834940" w14:textId="74E78AE1" w:rsidR="0050518E" w:rsidRPr="0009395F" w:rsidRDefault="0050518E" w:rsidP="00104F49">
            <w:pPr>
              <w:spacing w:after="0" w:line="240" w:lineRule="auto"/>
              <w:rPr>
                <w:sz w:val="20"/>
                <w:szCs w:val="20"/>
              </w:rPr>
            </w:pPr>
            <w:r w:rsidRPr="0009395F">
              <w:rPr>
                <w:rFonts w:eastAsia="Calibri"/>
                <w:b/>
                <w:sz w:val="18"/>
                <w:szCs w:val="18"/>
              </w:rPr>
              <w:t>Source</w:t>
            </w:r>
            <w:r w:rsidRPr="0009395F">
              <w:rPr>
                <w:rFonts w:eastAsia="Calibri"/>
                <w:sz w:val="18"/>
                <w:szCs w:val="18"/>
              </w:rPr>
              <w:t>: UNDP calculation based on EM-DAT Database (number of people killed by natural disasters) and UN-DESA (population), for 159 programme countries. Counts the number of people killed by natural disaster per million of population in programme countries. This rate considers all population in programme countries and not only those “exposed” to natural disasters. The mortality rate for “linked countries” is 27.5 per million</w:t>
            </w:r>
            <w:r w:rsidR="00104F49" w:rsidRPr="0009395F">
              <w:rPr>
                <w:rFonts w:eastAsia="Calibri"/>
                <w:sz w:val="18"/>
                <w:szCs w:val="18"/>
              </w:rPr>
              <w:t xml:space="preserve"> in 2013 and 20.4 in 2014. The value for 2013 represents the average for the period 2004-2013, the value for 2014 represents the value for the period 2005-2014 (2004 was a particularly deadly year due to Indian Ocean earthquake and tsunami).</w:t>
            </w:r>
            <w:r w:rsidR="00B526F8">
              <w:rPr>
                <w:rFonts w:eastAsia="Calibri"/>
                <w:sz w:val="18"/>
                <w:szCs w:val="18"/>
              </w:rPr>
              <w:t xml:space="preserve"> There is no internationally-agreed target.</w:t>
            </w:r>
          </w:p>
        </w:tc>
      </w:tr>
      <w:tr w:rsidR="00F41360" w:rsidRPr="00015A57" w14:paraId="02F7A78A" w14:textId="77777777" w:rsidTr="004D5D1D">
        <w:trPr>
          <w:trHeight w:val="242"/>
          <w:jc w:val="center"/>
        </w:trPr>
        <w:tc>
          <w:tcPr>
            <w:tcW w:w="535" w:type="dxa"/>
            <w:vMerge w:val="restart"/>
            <w:tcBorders>
              <w:top w:val="single" w:sz="4" w:space="0" w:color="auto"/>
              <w:left w:val="single" w:sz="4" w:space="0" w:color="auto"/>
              <w:right w:val="single" w:sz="4" w:space="0" w:color="auto"/>
            </w:tcBorders>
            <w:shd w:val="clear" w:color="auto" w:fill="FFFFFF" w:themeFill="background1"/>
            <w:hideMark/>
          </w:tcPr>
          <w:p w14:paraId="197E9580" w14:textId="77777777" w:rsidR="00F41360" w:rsidRPr="0000019C" w:rsidRDefault="00F41360" w:rsidP="007753E4">
            <w:pPr>
              <w:spacing w:after="0" w:line="240" w:lineRule="auto"/>
              <w:ind w:right="-144"/>
              <w:rPr>
                <w:sz w:val="20"/>
                <w:szCs w:val="20"/>
              </w:rPr>
            </w:pPr>
            <w:r>
              <w:rPr>
                <w:b/>
                <w:sz w:val="20"/>
                <w:szCs w:val="20"/>
              </w:rPr>
              <w:t>5.2</w:t>
            </w:r>
          </w:p>
        </w:tc>
        <w:tc>
          <w:tcPr>
            <w:tcW w:w="88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3A1F73" w14:textId="34D3B6C6" w:rsidR="00F41360" w:rsidRPr="001A37D0" w:rsidRDefault="00F41360" w:rsidP="004D5D1D">
            <w:pPr>
              <w:spacing w:after="0" w:line="240" w:lineRule="auto"/>
              <w:ind w:right="-144"/>
              <w:rPr>
                <w:sz w:val="20"/>
                <w:szCs w:val="20"/>
              </w:rPr>
            </w:pPr>
            <w:r w:rsidRPr="001A37D0">
              <w:rPr>
                <w:b/>
                <w:sz w:val="20"/>
                <w:szCs w:val="20"/>
              </w:rPr>
              <w:t>Economic loss</w:t>
            </w:r>
            <w:r w:rsidRPr="001A37D0">
              <w:rPr>
                <w:sz w:val="20"/>
                <w:szCs w:val="20"/>
              </w:rPr>
              <w:t xml:space="preserve"> from natural hazards (e.g. geo-physical and climate-induced hazards) as a proportion of GDP</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D55159" w14:textId="2689121D" w:rsidR="00F41360" w:rsidRPr="001A37D0" w:rsidRDefault="00266F2C" w:rsidP="007753E4">
            <w:pPr>
              <w:spacing w:after="0" w:line="240" w:lineRule="auto"/>
              <w:rPr>
                <w:sz w:val="20"/>
              </w:rPr>
            </w:pPr>
            <w:r>
              <w:rPr>
                <w:sz w:val="20"/>
              </w:rPr>
              <w:t>0.3% of GDP (2013</w:t>
            </w:r>
            <w:r w:rsidR="00F41360" w:rsidRPr="001A37D0">
              <w:rPr>
                <w:sz w:val="20"/>
              </w:rPr>
              <w: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0A8C70" w14:textId="69B96A2B" w:rsidR="00F41360" w:rsidRPr="0009395F" w:rsidRDefault="00104F49" w:rsidP="007753E4">
            <w:pPr>
              <w:spacing w:after="0" w:line="240" w:lineRule="auto"/>
              <w:rPr>
                <w:sz w:val="20"/>
              </w:rPr>
            </w:pPr>
            <w:r w:rsidRPr="0009395F">
              <w:rPr>
                <w:sz w:val="20"/>
              </w:rPr>
              <w:t>0.3% of GDP</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A9EA39E" w14:textId="06C54C3E" w:rsidR="00F41360" w:rsidRPr="001A37D0" w:rsidRDefault="00F41360" w:rsidP="007753E4">
            <w:pPr>
              <w:spacing w:after="0" w:line="240" w:lineRule="auto"/>
              <w:rPr>
                <w:sz w:val="20"/>
              </w:rPr>
            </w:pPr>
            <w:r w:rsidRPr="001A37D0">
              <w:rPr>
                <w:sz w:val="20"/>
              </w:rPr>
              <w:t xml:space="preserve">Direction of travel: </w:t>
            </w:r>
            <w:r w:rsidRPr="001A37D0">
              <w:rPr>
                <w:b/>
                <w:sz w:val="20"/>
              </w:rPr>
              <w:t>decrease</w:t>
            </w:r>
          </w:p>
        </w:tc>
      </w:tr>
      <w:tr w:rsidR="0050518E" w:rsidRPr="00015A57" w14:paraId="3297C46F" w14:textId="77777777" w:rsidTr="000119D2">
        <w:trPr>
          <w:trHeight w:val="242"/>
          <w:jc w:val="center"/>
        </w:trPr>
        <w:tc>
          <w:tcPr>
            <w:tcW w:w="535" w:type="dxa"/>
            <w:vMerge/>
            <w:tcBorders>
              <w:left w:val="single" w:sz="4" w:space="0" w:color="auto"/>
              <w:bottom w:val="single" w:sz="4" w:space="0" w:color="auto"/>
              <w:right w:val="single" w:sz="4" w:space="0" w:color="auto"/>
            </w:tcBorders>
            <w:shd w:val="clear" w:color="auto" w:fill="FFFFFF" w:themeFill="background1"/>
          </w:tcPr>
          <w:p w14:paraId="71E30304" w14:textId="77777777" w:rsidR="0050518E" w:rsidRPr="0000019C" w:rsidRDefault="0050518E" w:rsidP="005E3D19">
            <w:pPr>
              <w:spacing w:after="0" w:line="240" w:lineRule="auto"/>
              <w:ind w:right="-144"/>
              <w:rPr>
                <w:b/>
                <w:sz w:val="20"/>
                <w:szCs w:val="20"/>
              </w:rPr>
            </w:pPr>
          </w:p>
        </w:tc>
        <w:tc>
          <w:tcPr>
            <w:tcW w:w="14130" w:type="dxa"/>
            <w:gridSpan w:val="10"/>
            <w:tcBorders>
              <w:left w:val="single" w:sz="4" w:space="0" w:color="auto"/>
              <w:bottom w:val="single" w:sz="4" w:space="0" w:color="auto"/>
              <w:right w:val="single" w:sz="4" w:space="0" w:color="auto"/>
            </w:tcBorders>
            <w:shd w:val="clear" w:color="auto" w:fill="D9D9D9" w:themeFill="background1" w:themeFillShade="D9"/>
          </w:tcPr>
          <w:p w14:paraId="2CF79EE7" w14:textId="0D4979CB" w:rsidR="0050518E" w:rsidRPr="0009395F" w:rsidRDefault="0050518E" w:rsidP="0000019C">
            <w:pPr>
              <w:spacing w:after="0" w:line="240" w:lineRule="auto"/>
              <w:rPr>
                <w:sz w:val="20"/>
                <w:szCs w:val="20"/>
              </w:rPr>
            </w:pPr>
            <w:r w:rsidRPr="0009395F">
              <w:rPr>
                <w:rFonts w:eastAsia="Calibri"/>
                <w:b/>
                <w:sz w:val="18"/>
                <w:szCs w:val="18"/>
              </w:rPr>
              <w:t>Source</w:t>
            </w:r>
            <w:r w:rsidRPr="0009395F">
              <w:rPr>
                <w:rFonts w:eastAsia="Calibri"/>
                <w:sz w:val="18"/>
                <w:szCs w:val="18"/>
              </w:rPr>
              <w:t xml:space="preserve">: UNDP calculation based on EM-DAT Database (economic loss from natural disasters) and IMF (GDP). Sum of Economic loss as a share of the sum of GDP from programme countries. The average of economic losses per country </w:t>
            </w:r>
            <w:r w:rsidR="00104F49" w:rsidRPr="0009395F">
              <w:rPr>
                <w:rFonts w:eastAsia="Calibri"/>
                <w:sz w:val="18"/>
                <w:szCs w:val="18"/>
              </w:rPr>
              <w:t>a 0.46% of GDP. T</w:t>
            </w:r>
            <w:r w:rsidRPr="0009395F">
              <w:rPr>
                <w:rFonts w:eastAsia="Calibri"/>
                <w:sz w:val="18"/>
                <w:szCs w:val="18"/>
              </w:rPr>
              <w:t>he value for 2013 represents the average for the period 2</w:t>
            </w:r>
            <w:r w:rsidR="00104F49" w:rsidRPr="0009395F">
              <w:rPr>
                <w:rFonts w:eastAsia="Calibri"/>
                <w:sz w:val="18"/>
                <w:szCs w:val="18"/>
              </w:rPr>
              <w:t>004-2013, the value for 2014 represents the value for the period 2005-2014.</w:t>
            </w:r>
            <w:r w:rsidR="00B526F8">
              <w:rPr>
                <w:rFonts w:eastAsia="Calibri"/>
                <w:sz w:val="18"/>
                <w:szCs w:val="18"/>
              </w:rPr>
              <w:t xml:space="preserve"> There is no internationally-agreed target.</w:t>
            </w:r>
          </w:p>
        </w:tc>
      </w:tr>
      <w:tr w:rsidR="00F41360" w:rsidRPr="00015A57" w14:paraId="1FA6634E" w14:textId="77777777" w:rsidTr="004D5D1D">
        <w:trPr>
          <w:trHeight w:val="296"/>
          <w:jc w:val="center"/>
        </w:trPr>
        <w:tc>
          <w:tcPr>
            <w:tcW w:w="535" w:type="dxa"/>
            <w:vMerge w:val="restart"/>
            <w:tcBorders>
              <w:top w:val="single" w:sz="4" w:space="0" w:color="auto"/>
              <w:left w:val="single" w:sz="4" w:space="0" w:color="auto"/>
              <w:right w:val="single" w:sz="4" w:space="0" w:color="auto"/>
            </w:tcBorders>
            <w:shd w:val="clear" w:color="auto" w:fill="FFFFFF" w:themeFill="background1"/>
          </w:tcPr>
          <w:p w14:paraId="035798DD" w14:textId="77777777" w:rsidR="00F41360" w:rsidRPr="0000019C" w:rsidRDefault="00F41360" w:rsidP="007753E4">
            <w:pPr>
              <w:spacing w:after="0" w:line="240" w:lineRule="auto"/>
              <w:ind w:right="-144"/>
              <w:rPr>
                <w:sz w:val="20"/>
                <w:szCs w:val="20"/>
              </w:rPr>
            </w:pPr>
            <w:r>
              <w:rPr>
                <w:b/>
                <w:sz w:val="20"/>
                <w:szCs w:val="20"/>
              </w:rPr>
              <w:t>5.3</w:t>
            </w:r>
          </w:p>
        </w:tc>
        <w:tc>
          <w:tcPr>
            <w:tcW w:w="88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901526" w14:textId="3917A33F" w:rsidR="00F41360" w:rsidRPr="001A37D0" w:rsidRDefault="00F41360" w:rsidP="004D5D1D">
            <w:pPr>
              <w:spacing w:after="0" w:line="240" w:lineRule="auto"/>
              <w:ind w:right="-144"/>
              <w:rPr>
                <w:sz w:val="20"/>
                <w:szCs w:val="20"/>
              </w:rPr>
            </w:pPr>
            <w:r w:rsidRPr="001A37D0">
              <w:rPr>
                <w:b/>
                <w:sz w:val="20"/>
                <w:szCs w:val="20"/>
              </w:rPr>
              <w:t>Economic loss</w:t>
            </w:r>
            <w:r w:rsidRPr="001A37D0">
              <w:rPr>
                <w:sz w:val="20"/>
                <w:szCs w:val="20"/>
              </w:rPr>
              <w:t xml:space="preserve"> from conflicts as a proportion of GDP</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883BDA" w14:textId="77777777" w:rsidR="00F41360" w:rsidRPr="001A37D0" w:rsidRDefault="00F41360" w:rsidP="007753E4">
            <w:pPr>
              <w:spacing w:after="0" w:line="240" w:lineRule="auto"/>
              <w:rPr>
                <w:sz w:val="20"/>
              </w:rPr>
            </w:pPr>
            <w:r w:rsidRPr="001A37D0">
              <w:rPr>
                <w:sz w:val="20"/>
              </w:rPr>
              <w:t>0.45% of GDP (2013)</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39C2E8" w14:textId="488DB35F" w:rsidR="00F41360" w:rsidRPr="0009395F" w:rsidRDefault="00CE72BD" w:rsidP="007753E4">
            <w:pPr>
              <w:spacing w:after="0" w:line="240" w:lineRule="auto"/>
              <w:rPr>
                <w:sz w:val="20"/>
              </w:rPr>
            </w:pPr>
            <w:r w:rsidRPr="0009395F">
              <w:rPr>
                <w:sz w:val="20"/>
              </w:rPr>
              <w:t>Not yet available</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16D0D5D" w14:textId="79BD88E5" w:rsidR="00F41360" w:rsidRPr="001A37D0" w:rsidRDefault="00F41360" w:rsidP="007753E4">
            <w:pPr>
              <w:spacing w:after="0" w:line="240" w:lineRule="auto"/>
              <w:rPr>
                <w:sz w:val="20"/>
              </w:rPr>
            </w:pPr>
            <w:r w:rsidRPr="001A37D0">
              <w:rPr>
                <w:sz w:val="20"/>
              </w:rPr>
              <w:t xml:space="preserve">Direction of travel: </w:t>
            </w:r>
            <w:r w:rsidRPr="001A37D0">
              <w:rPr>
                <w:b/>
                <w:sz w:val="20"/>
              </w:rPr>
              <w:t>decrease</w:t>
            </w:r>
          </w:p>
        </w:tc>
      </w:tr>
      <w:tr w:rsidR="0050518E" w:rsidRPr="00015A57" w14:paraId="51BFD3F8" w14:textId="77777777" w:rsidTr="000119D2">
        <w:trPr>
          <w:trHeight w:val="296"/>
          <w:jc w:val="center"/>
        </w:trPr>
        <w:tc>
          <w:tcPr>
            <w:tcW w:w="535" w:type="dxa"/>
            <w:vMerge/>
            <w:tcBorders>
              <w:left w:val="single" w:sz="4" w:space="0" w:color="auto"/>
              <w:bottom w:val="single" w:sz="4" w:space="0" w:color="auto"/>
              <w:right w:val="single" w:sz="4" w:space="0" w:color="auto"/>
            </w:tcBorders>
            <w:shd w:val="clear" w:color="auto" w:fill="FFFFFF" w:themeFill="background1"/>
            <w:vAlign w:val="center"/>
          </w:tcPr>
          <w:p w14:paraId="4D3C7BDB" w14:textId="77777777" w:rsidR="0050518E" w:rsidRPr="0000019C" w:rsidRDefault="0050518E" w:rsidP="0000019C">
            <w:pPr>
              <w:spacing w:after="0" w:line="240" w:lineRule="auto"/>
              <w:ind w:right="-144"/>
              <w:rPr>
                <w:b/>
                <w:sz w:val="20"/>
                <w:szCs w:val="20"/>
              </w:rPr>
            </w:pPr>
          </w:p>
        </w:tc>
        <w:tc>
          <w:tcPr>
            <w:tcW w:w="14130" w:type="dxa"/>
            <w:gridSpan w:val="10"/>
            <w:tcBorders>
              <w:left w:val="single" w:sz="4" w:space="0" w:color="auto"/>
              <w:bottom w:val="single" w:sz="4" w:space="0" w:color="auto"/>
              <w:right w:val="single" w:sz="4" w:space="0" w:color="auto"/>
            </w:tcBorders>
            <w:shd w:val="clear" w:color="auto" w:fill="D9D9D9" w:themeFill="background1" w:themeFillShade="D9"/>
          </w:tcPr>
          <w:p w14:paraId="24685634" w14:textId="79BD9D8C" w:rsidR="0050518E" w:rsidRPr="001A37D0" w:rsidRDefault="0050518E" w:rsidP="0000019C">
            <w:pPr>
              <w:spacing w:after="0" w:line="240" w:lineRule="auto"/>
              <w:rPr>
                <w:sz w:val="20"/>
                <w:szCs w:val="20"/>
              </w:rPr>
            </w:pPr>
            <w:r w:rsidRPr="001A37D0">
              <w:rPr>
                <w:rFonts w:eastAsia="Calibri"/>
                <w:b/>
                <w:sz w:val="18"/>
                <w:szCs w:val="18"/>
              </w:rPr>
              <w:t>Source</w:t>
            </w:r>
            <w:r w:rsidRPr="001A37D0">
              <w:rPr>
                <w:rFonts w:eastAsia="Calibri"/>
                <w:sz w:val="18"/>
                <w:szCs w:val="18"/>
              </w:rPr>
              <w:t>: UNDP calculation based on data from the Institute for Economics and Peace and the IMF (for GDP). The annual cost of conflict is estimated to be 2% of GDP in affected countries.</w:t>
            </w:r>
            <w:r w:rsidR="000119D2">
              <w:rPr>
                <w:rFonts w:eastAsia="Calibri"/>
                <w:sz w:val="18"/>
                <w:szCs w:val="18"/>
              </w:rPr>
              <w:t xml:space="preserve"> There is no internationally-agreed target.</w:t>
            </w:r>
          </w:p>
        </w:tc>
      </w:tr>
      <w:tr w:rsidR="00C935C5" w:rsidRPr="00015A57" w14:paraId="7E24EE42" w14:textId="77777777" w:rsidTr="000119D2">
        <w:trPr>
          <w:gridAfter w:val="1"/>
          <w:wAfter w:w="18" w:type="dxa"/>
          <w:trHeight w:val="260"/>
          <w:jc w:val="center"/>
        </w:trPr>
        <w:tc>
          <w:tcPr>
            <w:tcW w:w="3325" w:type="dxa"/>
            <w:gridSpan w:val="2"/>
            <w:vMerge w:val="restart"/>
            <w:tcBorders>
              <w:top w:val="single" w:sz="4" w:space="0" w:color="auto"/>
              <w:left w:val="single" w:sz="4" w:space="0" w:color="auto"/>
              <w:right w:val="single" w:sz="4" w:space="0" w:color="auto"/>
            </w:tcBorders>
            <w:shd w:val="clear" w:color="auto" w:fill="DAEEF3"/>
            <w:hideMark/>
          </w:tcPr>
          <w:p w14:paraId="4733AB15" w14:textId="3B23F1D0" w:rsidR="00C935C5" w:rsidRPr="001A37D0" w:rsidRDefault="00C447CB" w:rsidP="0000019C">
            <w:pPr>
              <w:spacing w:after="0" w:line="240" w:lineRule="auto"/>
              <w:rPr>
                <w:rFonts w:eastAsia="Calibri"/>
                <w:i/>
                <w:sz w:val="20"/>
                <w:szCs w:val="20"/>
              </w:rPr>
            </w:pPr>
            <w:r>
              <w:br w:type="page"/>
            </w:r>
            <w:r w:rsidR="00C935C5" w:rsidRPr="001A37D0">
              <w:rPr>
                <w:rFonts w:eastAsia="Calibri"/>
                <w:sz w:val="20"/>
                <w:szCs w:val="20"/>
              </w:rPr>
              <w:br w:type="page"/>
            </w:r>
            <w:r w:rsidR="00C935C5" w:rsidRPr="001A37D0">
              <w:rPr>
                <w:rFonts w:eastAsia="Calibri"/>
                <w:b/>
                <w:sz w:val="20"/>
                <w:szCs w:val="20"/>
              </w:rPr>
              <w:t>Outputs</w:t>
            </w:r>
            <w:r w:rsidR="00C935C5" w:rsidRPr="001A37D0">
              <w:rPr>
                <w:rFonts w:eastAsia="Calibri"/>
                <w:i/>
                <w:sz w:val="20"/>
                <w:szCs w:val="20"/>
              </w:rPr>
              <w:t xml:space="preserve"> </w:t>
            </w:r>
            <w:r w:rsidR="00C935C5" w:rsidRPr="001A37D0">
              <w:rPr>
                <w:rFonts w:ascii="Calibri" w:eastAsia="Calibri" w:hAnsi="Calibri"/>
                <w:i/>
                <w:sz w:val="18"/>
                <w:szCs w:val="18"/>
              </w:rPr>
              <w:t>(UNDP provides specific support for the following results, based on national demand)</w:t>
            </w:r>
          </w:p>
        </w:tc>
        <w:tc>
          <w:tcPr>
            <w:tcW w:w="6030" w:type="dxa"/>
            <w:gridSpan w:val="2"/>
            <w:vMerge w:val="restart"/>
            <w:tcBorders>
              <w:top w:val="single" w:sz="4" w:space="0" w:color="auto"/>
              <w:left w:val="single" w:sz="4" w:space="0" w:color="auto"/>
              <w:right w:val="single" w:sz="4" w:space="0" w:color="auto"/>
            </w:tcBorders>
            <w:shd w:val="clear" w:color="auto" w:fill="DAEEF3"/>
            <w:hideMark/>
          </w:tcPr>
          <w:p w14:paraId="2437243D" w14:textId="77777777" w:rsidR="00C935C5" w:rsidRPr="001A37D0" w:rsidRDefault="00C935C5" w:rsidP="0000019C">
            <w:pPr>
              <w:spacing w:after="0" w:line="240" w:lineRule="auto"/>
              <w:rPr>
                <w:rFonts w:eastAsia="Calibri"/>
                <w:i/>
                <w:sz w:val="20"/>
                <w:szCs w:val="20"/>
              </w:rPr>
            </w:pPr>
            <w:r w:rsidRPr="001A37D0">
              <w:rPr>
                <w:rFonts w:eastAsia="Calibri"/>
                <w:b/>
                <w:sz w:val="20"/>
                <w:szCs w:val="20"/>
              </w:rPr>
              <w:t xml:space="preserve">Output Indicator </w:t>
            </w:r>
            <w:r w:rsidRPr="001A37D0">
              <w:rPr>
                <w:rFonts w:ascii="Calibri" w:eastAsia="Calibri" w:hAnsi="Calibri"/>
                <w:i/>
                <w:sz w:val="18"/>
                <w:szCs w:val="18"/>
              </w:rPr>
              <w:t xml:space="preserve">(output indicators measure only those results which are specifically </w:t>
            </w:r>
            <w:r w:rsidRPr="001A37D0">
              <w:rPr>
                <w:rFonts w:ascii="Calibri" w:eastAsia="Calibri" w:hAnsi="Calibri"/>
                <w:i/>
                <w:sz w:val="18"/>
                <w:szCs w:val="18"/>
                <w:u w:val="single"/>
              </w:rPr>
              <w:t>supported</w:t>
            </w:r>
            <w:r w:rsidRPr="001A37D0">
              <w:rPr>
                <w:rFonts w:ascii="Calibri" w:eastAsia="Calibri" w:hAnsi="Calibri"/>
                <w:i/>
                <w:sz w:val="18"/>
                <w:szCs w:val="18"/>
              </w:rPr>
              <w:t xml:space="preserve"> by UNDP, in response to demand from programme countries)</w:t>
            </w:r>
          </w:p>
        </w:tc>
        <w:tc>
          <w:tcPr>
            <w:tcW w:w="1350" w:type="dxa"/>
            <w:vMerge w:val="restart"/>
            <w:tcBorders>
              <w:top w:val="single" w:sz="4" w:space="0" w:color="auto"/>
              <w:left w:val="single" w:sz="4" w:space="0" w:color="auto"/>
              <w:right w:val="single" w:sz="4" w:space="0" w:color="auto"/>
            </w:tcBorders>
            <w:shd w:val="clear" w:color="auto" w:fill="DAEEF3"/>
          </w:tcPr>
          <w:p w14:paraId="7276094E" w14:textId="06579A40" w:rsidR="00C935C5" w:rsidRPr="001A37D0" w:rsidRDefault="00C935C5" w:rsidP="00644378">
            <w:pPr>
              <w:spacing w:after="0" w:line="240" w:lineRule="auto"/>
              <w:jc w:val="center"/>
              <w:rPr>
                <w:rFonts w:eastAsia="Calibri"/>
                <w:b/>
                <w:sz w:val="20"/>
                <w:szCs w:val="20"/>
              </w:rPr>
            </w:pPr>
            <w:r w:rsidRPr="001A37D0">
              <w:rPr>
                <w:rFonts w:eastAsia="Calibri"/>
                <w:b/>
                <w:sz w:val="20"/>
                <w:szCs w:val="20"/>
              </w:rPr>
              <w:t xml:space="preserve">Baseline </w:t>
            </w:r>
          </w:p>
        </w:tc>
        <w:tc>
          <w:tcPr>
            <w:tcW w:w="2610" w:type="dxa"/>
            <w:gridSpan w:val="4"/>
            <w:tcBorders>
              <w:top w:val="single" w:sz="4" w:space="0" w:color="auto"/>
              <w:left w:val="single" w:sz="4" w:space="0" w:color="auto"/>
              <w:bottom w:val="single" w:sz="4" w:space="0" w:color="auto"/>
              <w:right w:val="single" w:sz="4" w:space="0" w:color="auto"/>
            </w:tcBorders>
            <w:shd w:val="clear" w:color="auto" w:fill="DAEEF3"/>
          </w:tcPr>
          <w:p w14:paraId="55EAB3B5" w14:textId="2D5319B6" w:rsidR="00C935C5" w:rsidRPr="001A37D0" w:rsidRDefault="00C935C5" w:rsidP="00644378">
            <w:pPr>
              <w:spacing w:after="0" w:line="240" w:lineRule="auto"/>
              <w:jc w:val="center"/>
              <w:rPr>
                <w:rFonts w:eastAsia="Calibri"/>
                <w:b/>
                <w:sz w:val="20"/>
                <w:szCs w:val="20"/>
              </w:rPr>
            </w:pPr>
            <w:r w:rsidRPr="001A37D0">
              <w:rPr>
                <w:rFonts w:eastAsia="Calibri"/>
                <w:b/>
                <w:sz w:val="20"/>
                <w:szCs w:val="20"/>
              </w:rPr>
              <w:t>M</w:t>
            </w:r>
            <w:r w:rsidR="00644378">
              <w:rPr>
                <w:rFonts w:eastAsia="Calibri"/>
                <w:b/>
                <w:sz w:val="20"/>
                <w:szCs w:val="20"/>
              </w:rPr>
              <w:t>ilestones</w:t>
            </w:r>
          </w:p>
        </w:tc>
        <w:tc>
          <w:tcPr>
            <w:tcW w:w="1332" w:type="dxa"/>
            <w:vMerge w:val="restart"/>
            <w:tcBorders>
              <w:top w:val="single" w:sz="4" w:space="0" w:color="auto"/>
              <w:left w:val="single" w:sz="4" w:space="0" w:color="auto"/>
              <w:right w:val="single" w:sz="4" w:space="0" w:color="auto"/>
            </w:tcBorders>
            <w:shd w:val="clear" w:color="auto" w:fill="DAEEF3"/>
          </w:tcPr>
          <w:p w14:paraId="2FA23DAD" w14:textId="680E2D76" w:rsidR="00C935C5" w:rsidRPr="00B66E9F" w:rsidRDefault="00C935C5" w:rsidP="00644378">
            <w:pPr>
              <w:spacing w:after="0" w:line="240" w:lineRule="auto"/>
              <w:jc w:val="center"/>
              <w:rPr>
                <w:rFonts w:eastAsia="Calibri"/>
                <w:b/>
                <w:sz w:val="20"/>
                <w:szCs w:val="20"/>
              </w:rPr>
            </w:pPr>
            <w:r w:rsidRPr="00B66E9F">
              <w:rPr>
                <w:rFonts w:eastAsia="Calibri"/>
                <w:b/>
                <w:sz w:val="20"/>
                <w:szCs w:val="20"/>
              </w:rPr>
              <w:t>Target</w:t>
            </w:r>
          </w:p>
        </w:tc>
      </w:tr>
      <w:tr w:rsidR="00C935C5" w:rsidRPr="00015A57" w14:paraId="494B0137" w14:textId="77777777" w:rsidTr="000119D2">
        <w:trPr>
          <w:gridAfter w:val="1"/>
          <w:wAfter w:w="18" w:type="dxa"/>
          <w:trHeight w:val="260"/>
          <w:jc w:val="center"/>
        </w:trPr>
        <w:tc>
          <w:tcPr>
            <w:tcW w:w="3325" w:type="dxa"/>
            <w:gridSpan w:val="2"/>
            <w:vMerge/>
            <w:tcBorders>
              <w:left w:val="single" w:sz="4" w:space="0" w:color="auto"/>
              <w:right w:val="single" w:sz="4" w:space="0" w:color="auto"/>
            </w:tcBorders>
            <w:shd w:val="clear" w:color="auto" w:fill="DAEEF3"/>
          </w:tcPr>
          <w:p w14:paraId="30537C5B" w14:textId="77777777" w:rsidR="00C935C5" w:rsidRPr="001A37D0" w:rsidRDefault="00C935C5" w:rsidP="0000019C">
            <w:pPr>
              <w:spacing w:after="0" w:line="240" w:lineRule="auto"/>
              <w:rPr>
                <w:rFonts w:eastAsia="Calibri"/>
                <w:sz w:val="20"/>
                <w:szCs w:val="20"/>
              </w:rPr>
            </w:pPr>
          </w:p>
        </w:tc>
        <w:tc>
          <w:tcPr>
            <w:tcW w:w="6030" w:type="dxa"/>
            <w:gridSpan w:val="2"/>
            <w:vMerge/>
            <w:tcBorders>
              <w:left w:val="single" w:sz="4" w:space="0" w:color="auto"/>
              <w:right w:val="single" w:sz="4" w:space="0" w:color="auto"/>
            </w:tcBorders>
            <w:shd w:val="clear" w:color="auto" w:fill="DAEEF3"/>
          </w:tcPr>
          <w:p w14:paraId="0DD67186" w14:textId="77777777" w:rsidR="00C935C5" w:rsidRPr="001A37D0" w:rsidRDefault="00C935C5" w:rsidP="0000019C">
            <w:pPr>
              <w:spacing w:after="0" w:line="240" w:lineRule="auto"/>
              <w:rPr>
                <w:rFonts w:eastAsia="Calibri"/>
                <w:b/>
                <w:sz w:val="20"/>
                <w:szCs w:val="20"/>
              </w:rPr>
            </w:pPr>
          </w:p>
        </w:tc>
        <w:tc>
          <w:tcPr>
            <w:tcW w:w="1350" w:type="dxa"/>
            <w:vMerge/>
            <w:tcBorders>
              <w:left w:val="single" w:sz="4" w:space="0" w:color="auto"/>
              <w:bottom w:val="single" w:sz="4" w:space="0" w:color="auto"/>
              <w:right w:val="single" w:sz="4" w:space="0" w:color="auto"/>
            </w:tcBorders>
            <w:shd w:val="clear" w:color="auto" w:fill="DAEEF3"/>
          </w:tcPr>
          <w:p w14:paraId="76CDD993" w14:textId="77777777" w:rsidR="00C935C5" w:rsidRPr="001A37D0" w:rsidRDefault="00C935C5" w:rsidP="0000019C">
            <w:pPr>
              <w:spacing w:after="0" w:line="240" w:lineRule="auto"/>
              <w:jc w:val="center"/>
              <w:rPr>
                <w:rFonts w:eastAsia="Calibri"/>
                <w:b/>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14:paraId="2EC11893" w14:textId="1E55BB92" w:rsidR="00C935C5" w:rsidRPr="001A37D0" w:rsidRDefault="00C935C5" w:rsidP="00C935C5">
            <w:pPr>
              <w:spacing w:after="0" w:line="240" w:lineRule="auto"/>
              <w:jc w:val="center"/>
              <w:rPr>
                <w:rFonts w:eastAsia="Calibri"/>
                <w:b/>
                <w:sz w:val="20"/>
                <w:szCs w:val="20"/>
              </w:rPr>
            </w:pPr>
            <w:r>
              <w:rPr>
                <w:rFonts w:eastAsia="Calibri"/>
                <w:b/>
                <w:sz w:val="20"/>
                <w:szCs w:val="20"/>
              </w:rPr>
              <w:t>Planned</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14:paraId="5220C992" w14:textId="5A098948" w:rsidR="00C935C5" w:rsidRPr="001A37D0" w:rsidRDefault="00C935C5" w:rsidP="00C935C5">
            <w:pPr>
              <w:spacing w:after="0" w:line="240" w:lineRule="auto"/>
              <w:jc w:val="center"/>
              <w:rPr>
                <w:rFonts w:eastAsia="Calibri"/>
                <w:b/>
                <w:sz w:val="20"/>
                <w:szCs w:val="20"/>
              </w:rPr>
            </w:pPr>
            <w:r>
              <w:rPr>
                <w:rFonts w:eastAsia="Calibri"/>
                <w:b/>
                <w:sz w:val="20"/>
                <w:szCs w:val="20"/>
              </w:rPr>
              <w:t>Actual</w:t>
            </w:r>
          </w:p>
        </w:tc>
        <w:tc>
          <w:tcPr>
            <w:tcW w:w="1332" w:type="dxa"/>
            <w:vMerge/>
            <w:tcBorders>
              <w:left w:val="single" w:sz="4" w:space="0" w:color="auto"/>
              <w:bottom w:val="single" w:sz="4" w:space="0" w:color="auto"/>
              <w:right w:val="single" w:sz="4" w:space="0" w:color="auto"/>
            </w:tcBorders>
            <w:shd w:val="clear" w:color="auto" w:fill="DAEEF3"/>
          </w:tcPr>
          <w:p w14:paraId="4EE1D8E7" w14:textId="77777777" w:rsidR="00C935C5" w:rsidRPr="00B66E9F" w:rsidRDefault="00C935C5" w:rsidP="0000019C">
            <w:pPr>
              <w:spacing w:after="0" w:line="240" w:lineRule="auto"/>
              <w:jc w:val="center"/>
              <w:rPr>
                <w:rFonts w:eastAsia="Calibri"/>
                <w:b/>
                <w:sz w:val="20"/>
                <w:szCs w:val="20"/>
              </w:rPr>
            </w:pPr>
          </w:p>
        </w:tc>
      </w:tr>
      <w:tr w:rsidR="00C935C5" w:rsidRPr="00015A57" w14:paraId="572B9436" w14:textId="77777777" w:rsidTr="000119D2">
        <w:trPr>
          <w:gridAfter w:val="1"/>
          <w:wAfter w:w="18" w:type="dxa"/>
          <w:jc w:val="center"/>
        </w:trPr>
        <w:tc>
          <w:tcPr>
            <w:tcW w:w="3325" w:type="dxa"/>
            <w:gridSpan w:val="2"/>
            <w:vMerge/>
            <w:tcBorders>
              <w:left w:val="single" w:sz="4" w:space="0" w:color="auto"/>
              <w:bottom w:val="single" w:sz="4" w:space="0" w:color="auto"/>
              <w:right w:val="single" w:sz="4" w:space="0" w:color="auto"/>
            </w:tcBorders>
            <w:shd w:val="clear" w:color="auto" w:fill="DAEEF3"/>
          </w:tcPr>
          <w:p w14:paraId="69D56710" w14:textId="77777777" w:rsidR="00C935C5" w:rsidRPr="00B66E9F" w:rsidRDefault="00C935C5" w:rsidP="0000019C">
            <w:pPr>
              <w:spacing w:after="0" w:line="240" w:lineRule="auto"/>
              <w:rPr>
                <w:rFonts w:eastAsia="Calibri"/>
                <w:sz w:val="20"/>
                <w:szCs w:val="20"/>
              </w:rPr>
            </w:pPr>
          </w:p>
        </w:tc>
        <w:tc>
          <w:tcPr>
            <w:tcW w:w="6030" w:type="dxa"/>
            <w:gridSpan w:val="2"/>
            <w:vMerge/>
            <w:tcBorders>
              <w:left w:val="single" w:sz="4" w:space="0" w:color="auto"/>
              <w:bottom w:val="single" w:sz="4" w:space="0" w:color="auto"/>
              <w:right w:val="single" w:sz="4" w:space="0" w:color="auto"/>
            </w:tcBorders>
            <w:shd w:val="clear" w:color="auto" w:fill="DAEEF3"/>
          </w:tcPr>
          <w:p w14:paraId="3ADFD237" w14:textId="77777777" w:rsidR="00C935C5" w:rsidRPr="00B66E9F" w:rsidRDefault="00C935C5" w:rsidP="0000019C">
            <w:pPr>
              <w:spacing w:after="0" w:line="240" w:lineRule="auto"/>
              <w:rPr>
                <w:rFonts w:eastAsia="Calibri"/>
                <w:b/>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DAEEF3"/>
          </w:tcPr>
          <w:p w14:paraId="3790560E" w14:textId="77777777" w:rsidR="00C935C5" w:rsidRPr="002776AE" w:rsidRDefault="00C935C5" w:rsidP="0000019C">
            <w:pPr>
              <w:spacing w:after="0" w:line="240" w:lineRule="auto"/>
              <w:jc w:val="center"/>
              <w:rPr>
                <w:rFonts w:eastAsia="Calibri"/>
                <w:b/>
                <w:sz w:val="20"/>
                <w:szCs w:val="20"/>
              </w:rPr>
            </w:pPr>
            <w:r w:rsidRPr="002776AE">
              <w:rPr>
                <w:rFonts w:eastAsia="Calibri"/>
                <w:b/>
                <w:sz w:val="20"/>
                <w:szCs w:val="20"/>
              </w:rPr>
              <w:t>2013</w:t>
            </w:r>
          </w:p>
        </w:tc>
        <w:tc>
          <w:tcPr>
            <w:tcW w:w="1350" w:type="dxa"/>
            <w:gridSpan w:val="2"/>
            <w:tcBorders>
              <w:top w:val="single" w:sz="4" w:space="0" w:color="auto"/>
              <w:left w:val="single" w:sz="4" w:space="0" w:color="auto"/>
              <w:bottom w:val="single" w:sz="4" w:space="0" w:color="auto"/>
              <w:right w:val="single" w:sz="4" w:space="0" w:color="auto"/>
            </w:tcBorders>
            <w:shd w:val="clear" w:color="auto" w:fill="DAEEF3"/>
          </w:tcPr>
          <w:p w14:paraId="37423B44" w14:textId="77777777" w:rsidR="00C935C5" w:rsidRPr="002776AE" w:rsidRDefault="00C935C5" w:rsidP="0000019C">
            <w:pPr>
              <w:spacing w:after="0" w:line="240" w:lineRule="auto"/>
              <w:jc w:val="center"/>
              <w:rPr>
                <w:rFonts w:eastAsia="Calibri"/>
                <w:b/>
                <w:sz w:val="20"/>
                <w:szCs w:val="20"/>
              </w:rPr>
            </w:pPr>
            <w:r w:rsidRPr="002776AE">
              <w:rPr>
                <w:rFonts w:eastAsia="Calibri"/>
                <w:b/>
                <w:sz w:val="20"/>
                <w:szCs w:val="20"/>
              </w:rPr>
              <w:t>2014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AEEF3"/>
          </w:tcPr>
          <w:p w14:paraId="02E873ED" w14:textId="6C0F1D18" w:rsidR="00C935C5" w:rsidRPr="002776AE" w:rsidRDefault="00C935C5" w:rsidP="0000019C">
            <w:pPr>
              <w:spacing w:after="0" w:line="240" w:lineRule="auto"/>
              <w:jc w:val="center"/>
              <w:rPr>
                <w:rFonts w:eastAsia="Calibri"/>
                <w:b/>
                <w:sz w:val="20"/>
                <w:szCs w:val="20"/>
              </w:rPr>
            </w:pPr>
            <w:r>
              <w:rPr>
                <w:rFonts w:eastAsia="Calibri"/>
                <w:b/>
                <w:sz w:val="20"/>
                <w:szCs w:val="20"/>
              </w:rPr>
              <w:t>2014</w:t>
            </w:r>
          </w:p>
        </w:tc>
        <w:tc>
          <w:tcPr>
            <w:tcW w:w="1332" w:type="dxa"/>
            <w:tcBorders>
              <w:top w:val="single" w:sz="4" w:space="0" w:color="auto"/>
              <w:left w:val="single" w:sz="4" w:space="0" w:color="auto"/>
              <w:bottom w:val="single" w:sz="4" w:space="0" w:color="auto"/>
              <w:right w:val="single" w:sz="4" w:space="0" w:color="auto"/>
            </w:tcBorders>
            <w:shd w:val="clear" w:color="auto" w:fill="DAEEF3"/>
          </w:tcPr>
          <w:p w14:paraId="2AB404DE" w14:textId="77777777" w:rsidR="00C935C5" w:rsidRPr="002776AE" w:rsidRDefault="00C935C5" w:rsidP="0000019C">
            <w:pPr>
              <w:spacing w:after="0" w:line="240" w:lineRule="auto"/>
              <w:jc w:val="center"/>
              <w:rPr>
                <w:rFonts w:eastAsia="Calibri"/>
                <w:b/>
                <w:sz w:val="20"/>
                <w:szCs w:val="20"/>
              </w:rPr>
            </w:pPr>
            <w:r w:rsidRPr="002776AE">
              <w:rPr>
                <w:rFonts w:eastAsia="Calibri"/>
                <w:b/>
                <w:sz w:val="20"/>
                <w:szCs w:val="20"/>
              </w:rPr>
              <w:t>2017</w:t>
            </w:r>
          </w:p>
        </w:tc>
      </w:tr>
      <w:tr w:rsidR="001A5C74" w:rsidRPr="00015A57" w14:paraId="54FA3C33" w14:textId="77777777" w:rsidTr="000119D2">
        <w:trPr>
          <w:gridAfter w:val="1"/>
          <w:wAfter w:w="18" w:type="dxa"/>
          <w:trHeight w:val="314"/>
          <w:jc w:val="center"/>
        </w:trPr>
        <w:tc>
          <w:tcPr>
            <w:tcW w:w="3325" w:type="dxa"/>
            <w:gridSpan w:val="2"/>
            <w:vMerge w:val="restart"/>
            <w:tcBorders>
              <w:top w:val="single" w:sz="4" w:space="0" w:color="auto"/>
              <w:left w:val="single" w:sz="4" w:space="0" w:color="auto"/>
              <w:right w:val="single" w:sz="4" w:space="0" w:color="auto"/>
            </w:tcBorders>
            <w:shd w:val="clear" w:color="auto" w:fill="FFFFFF"/>
            <w:hideMark/>
          </w:tcPr>
          <w:p w14:paraId="3DE1CB1C" w14:textId="3F839855" w:rsidR="001A5C74" w:rsidRDefault="001A5C74" w:rsidP="001A5C74">
            <w:pPr>
              <w:spacing w:after="0" w:line="240" w:lineRule="auto"/>
              <w:rPr>
                <w:rFonts w:eastAsia="Calibri"/>
                <w:sz w:val="20"/>
                <w:szCs w:val="20"/>
              </w:rPr>
            </w:pPr>
            <w:r w:rsidRPr="00B66E9F">
              <w:rPr>
                <w:rFonts w:eastAsia="Calibri"/>
                <w:b/>
                <w:sz w:val="20"/>
                <w:szCs w:val="20"/>
              </w:rPr>
              <w:t xml:space="preserve">Output 5.1. </w:t>
            </w:r>
            <w:r w:rsidRPr="00B66E9F">
              <w:rPr>
                <w:rFonts w:eastAsia="Calibri"/>
                <w:sz w:val="20"/>
                <w:szCs w:val="20"/>
              </w:rPr>
              <w:t>Mechanisms in place to assess natural and man-made risks at n</w:t>
            </w:r>
            <w:r w:rsidR="006E0AB2">
              <w:rPr>
                <w:rFonts w:eastAsia="Calibri"/>
                <w:sz w:val="20"/>
                <w:szCs w:val="20"/>
              </w:rPr>
              <w:t>ational and sub-national levels</w:t>
            </w:r>
          </w:p>
          <w:p w14:paraId="1A39D5CE" w14:textId="77777777" w:rsidR="001A5C74" w:rsidRDefault="001A5C74" w:rsidP="001A5C74">
            <w:pPr>
              <w:spacing w:after="0" w:line="240" w:lineRule="auto"/>
              <w:rPr>
                <w:rFonts w:eastAsia="Calibri"/>
                <w:sz w:val="20"/>
                <w:szCs w:val="20"/>
              </w:rPr>
            </w:pPr>
          </w:p>
          <w:p w14:paraId="31D599A5" w14:textId="77777777" w:rsidR="00CE35AD" w:rsidRDefault="00CE35AD" w:rsidP="004C6F2A">
            <w:pPr>
              <w:spacing w:after="0" w:line="240" w:lineRule="auto"/>
              <w:rPr>
                <w:rFonts w:ascii="Calibri" w:eastAsia="Calibri" w:hAnsi="Calibri"/>
                <w:b/>
                <w:color w:val="000000"/>
                <w:sz w:val="18"/>
                <w:szCs w:val="18"/>
              </w:rPr>
            </w:pPr>
            <w:r w:rsidRPr="00B359E7">
              <w:rPr>
                <w:rFonts w:ascii="Calibri" w:eastAsia="Calibri" w:hAnsi="Calibri"/>
                <w:b/>
                <w:i/>
                <w:color w:val="000000"/>
                <w:sz w:val="18"/>
                <w:szCs w:val="18"/>
              </w:rPr>
              <w:t>Number of countries linked:</w:t>
            </w:r>
            <w:r>
              <w:rPr>
                <w:rFonts w:ascii="Calibri" w:eastAsia="Calibri" w:hAnsi="Calibri"/>
                <w:b/>
                <w:color w:val="000000"/>
                <w:sz w:val="18"/>
                <w:szCs w:val="18"/>
              </w:rPr>
              <w:t xml:space="preserve"> 41 </w:t>
            </w:r>
          </w:p>
          <w:p w14:paraId="37CBF124" w14:textId="6A742CD3" w:rsidR="001A5C74" w:rsidRPr="00337287" w:rsidRDefault="00CE35AD" w:rsidP="004C6F2A">
            <w:pPr>
              <w:spacing w:after="0" w:line="240" w:lineRule="auto"/>
              <w:rPr>
                <w:rFonts w:eastAsia="Calibri"/>
                <w:color w:val="000000"/>
                <w:sz w:val="20"/>
              </w:rPr>
            </w:pPr>
            <w:r>
              <w:rPr>
                <w:rFonts w:ascii="Calibri" w:eastAsia="Calibri" w:hAnsi="Calibri"/>
                <w:b/>
                <w:color w:val="000000"/>
                <w:sz w:val="18"/>
                <w:szCs w:val="18"/>
              </w:rPr>
              <w:t>(February 2015</w:t>
            </w:r>
            <w:r w:rsidRPr="00B359E7">
              <w:rPr>
                <w:rFonts w:ascii="Calibri" w:eastAsia="Calibri" w:hAnsi="Calibri"/>
                <w:b/>
                <w:color w:val="000000"/>
                <w:sz w:val="18"/>
                <w:szCs w:val="18"/>
              </w:rPr>
              <w:t>)</w:t>
            </w:r>
          </w:p>
        </w:tc>
        <w:tc>
          <w:tcPr>
            <w:tcW w:w="720" w:type="dxa"/>
            <w:vMerge w:val="restart"/>
            <w:tcBorders>
              <w:top w:val="single" w:sz="4" w:space="0" w:color="auto"/>
              <w:left w:val="single" w:sz="4" w:space="0" w:color="auto"/>
              <w:right w:val="single" w:sz="4" w:space="0" w:color="auto"/>
            </w:tcBorders>
            <w:shd w:val="clear" w:color="auto" w:fill="FFFFFF"/>
            <w:hideMark/>
          </w:tcPr>
          <w:p w14:paraId="25EEB97D" w14:textId="77777777" w:rsidR="001A5C74" w:rsidRPr="00B66E9F" w:rsidRDefault="001A5C74" w:rsidP="001A5C74">
            <w:pPr>
              <w:spacing w:after="0" w:line="240" w:lineRule="auto"/>
              <w:rPr>
                <w:rFonts w:eastAsia="Calibri"/>
                <w:b/>
                <w:sz w:val="20"/>
                <w:szCs w:val="20"/>
              </w:rPr>
            </w:pPr>
            <w:r w:rsidRPr="00B66E9F">
              <w:rPr>
                <w:rFonts w:eastAsia="Calibri"/>
                <w:b/>
                <w:sz w:val="20"/>
                <w:szCs w:val="20"/>
              </w:rPr>
              <w:t>5.1.1</w:t>
            </w:r>
          </w:p>
        </w:tc>
        <w:tc>
          <w:tcPr>
            <w:tcW w:w="5310" w:type="dxa"/>
            <w:tcBorders>
              <w:top w:val="single" w:sz="4" w:space="0" w:color="auto"/>
              <w:left w:val="single" w:sz="4" w:space="0" w:color="auto"/>
              <w:bottom w:val="single" w:sz="4" w:space="0" w:color="auto"/>
              <w:right w:val="single" w:sz="4" w:space="0" w:color="auto"/>
            </w:tcBorders>
            <w:shd w:val="clear" w:color="auto" w:fill="FFFFFF"/>
            <w:hideMark/>
          </w:tcPr>
          <w:p w14:paraId="02A2F36C" w14:textId="77777777" w:rsidR="001A5C74" w:rsidRPr="0013161E" w:rsidRDefault="001A5C74" w:rsidP="001A5C74">
            <w:pPr>
              <w:spacing w:after="0" w:line="240" w:lineRule="auto"/>
              <w:rPr>
                <w:rFonts w:eastAsia="Calibri"/>
                <w:sz w:val="20"/>
                <w:szCs w:val="20"/>
              </w:rPr>
            </w:pPr>
            <w:r w:rsidRPr="0013161E">
              <w:rPr>
                <w:rFonts w:eastAsia="Calibri"/>
                <w:sz w:val="20"/>
                <w:szCs w:val="20"/>
              </w:rPr>
              <w:t xml:space="preserve">Number of countries </w:t>
            </w:r>
            <w:r w:rsidRPr="0013161E">
              <w:rPr>
                <w:rFonts w:eastAsia="Calibri"/>
                <w:b/>
                <w:sz w:val="20"/>
                <w:szCs w:val="20"/>
              </w:rPr>
              <w:t>having standardized damage and loss accounting systems</w:t>
            </w:r>
            <w:r w:rsidRPr="0013161E">
              <w:rPr>
                <w:rFonts w:eastAsia="Calibri"/>
                <w:sz w:val="20"/>
                <w:szCs w:val="20"/>
              </w:rPr>
              <w:t xml:space="preserve"> in place with sex and age disaggregated data collection and analysis, including gender analysis</w:t>
            </w:r>
          </w:p>
          <w:p w14:paraId="524EA7DB" w14:textId="00989FB3" w:rsidR="008376B6" w:rsidRPr="0013161E" w:rsidRDefault="008376B6" w:rsidP="00D37201">
            <w:pPr>
              <w:spacing w:before="240" w:after="0" w:line="240" w:lineRule="auto"/>
              <w:rPr>
                <w:sz w:val="20"/>
                <w:szCs w:val="20"/>
              </w:rPr>
            </w:pPr>
            <w:r w:rsidRPr="0013161E">
              <w:rPr>
                <w:rFonts w:eastAsia="Calibri"/>
                <w:b/>
                <w:i/>
                <w:sz w:val="18"/>
                <w:szCs w:val="18"/>
              </w:rPr>
              <w:t xml:space="preserve">Number of countries </w:t>
            </w:r>
            <w:r w:rsidR="00983FF8" w:rsidRPr="0013161E">
              <w:rPr>
                <w:rFonts w:eastAsia="Calibri"/>
                <w:b/>
                <w:i/>
                <w:sz w:val="18"/>
                <w:szCs w:val="18"/>
              </w:rPr>
              <w:t>for which a 2017 target has currently been set under this indicator</w:t>
            </w:r>
            <w:r w:rsidR="00037276" w:rsidRPr="0013161E">
              <w:rPr>
                <w:rFonts w:eastAsia="Calibri"/>
                <w:b/>
                <w:i/>
                <w:sz w:val="18"/>
                <w:szCs w:val="18"/>
              </w:rPr>
              <w:t>: 21</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2E8A6649" w14:textId="555F1039" w:rsidR="001A5C74" w:rsidRPr="00B66E9F" w:rsidRDefault="002E4BD7" w:rsidP="002E4BD7">
            <w:pPr>
              <w:spacing w:after="0" w:line="240" w:lineRule="auto"/>
              <w:jc w:val="center"/>
              <w:rPr>
                <w:sz w:val="20"/>
                <w:szCs w:val="20"/>
              </w:rPr>
            </w:pPr>
            <w:r>
              <w:rPr>
                <w:sz w:val="20"/>
                <w:szCs w:val="20"/>
              </w:rPr>
              <w:t>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82BD50" w14:textId="77777777" w:rsidR="001A5C74" w:rsidRPr="00B66E9F" w:rsidRDefault="001A5C74" w:rsidP="00CC268A">
            <w:pPr>
              <w:spacing w:after="0" w:line="240" w:lineRule="auto"/>
              <w:jc w:val="center"/>
              <w:rPr>
                <w:sz w:val="20"/>
                <w:szCs w:val="20"/>
              </w:rPr>
            </w:pPr>
            <w:r>
              <w:rPr>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A561C8" w14:textId="7777ADCF" w:rsidR="001A5C74" w:rsidRPr="00B66E9F" w:rsidRDefault="003A05B4" w:rsidP="00CC268A">
            <w:pPr>
              <w:spacing w:after="0" w:line="240" w:lineRule="auto"/>
              <w:jc w:val="center"/>
              <w:rPr>
                <w:sz w:val="20"/>
                <w:szCs w:val="20"/>
              </w:rPr>
            </w:pPr>
            <w:r>
              <w:rPr>
                <w:sz w:val="20"/>
                <w:szCs w:val="20"/>
              </w:rPr>
              <w:t>1</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14:paraId="0BA50695" w14:textId="74824F1D" w:rsidR="001A5C74" w:rsidRPr="00B66E9F" w:rsidRDefault="00AC7D0C" w:rsidP="00CC268A">
            <w:pPr>
              <w:spacing w:after="0" w:line="240" w:lineRule="auto"/>
              <w:jc w:val="center"/>
              <w:rPr>
                <w:sz w:val="20"/>
                <w:szCs w:val="20"/>
              </w:rPr>
            </w:pPr>
            <w:r>
              <w:rPr>
                <w:sz w:val="20"/>
                <w:szCs w:val="20"/>
              </w:rPr>
              <w:t>10</w:t>
            </w:r>
          </w:p>
        </w:tc>
      </w:tr>
      <w:tr w:rsidR="001A5C74" w:rsidRPr="00015A57" w14:paraId="7C5577B6" w14:textId="77777777" w:rsidTr="000119D2">
        <w:trPr>
          <w:gridAfter w:val="1"/>
          <w:wAfter w:w="18" w:type="dxa"/>
          <w:trHeight w:val="314"/>
          <w:jc w:val="center"/>
        </w:trPr>
        <w:tc>
          <w:tcPr>
            <w:tcW w:w="3325" w:type="dxa"/>
            <w:gridSpan w:val="2"/>
            <w:vMerge/>
            <w:tcBorders>
              <w:left w:val="single" w:sz="4" w:space="0" w:color="auto"/>
              <w:right w:val="single" w:sz="4" w:space="0" w:color="auto"/>
            </w:tcBorders>
            <w:shd w:val="clear" w:color="auto" w:fill="FFFFFF"/>
          </w:tcPr>
          <w:p w14:paraId="1EE4419A" w14:textId="77777777" w:rsidR="001A5C74" w:rsidRPr="00B66E9F" w:rsidRDefault="001A5C74" w:rsidP="001A5C74">
            <w:pPr>
              <w:spacing w:after="0" w:line="240" w:lineRule="auto"/>
              <w:rPr>
                <w:rFonts w:eastAsia="Calibri"/>
                <w:b/>
                <w:sz w:val="20"/>
                <w:szCs w:val="20"/>
              </w:rPr>
            </w:pPr>
          </w:p>
        </w:tc>
        <w:tc>
          <w:tcPr>
            <w:tcW w:w="720" w:type="dxa"/>
            <w:vMerge/>
            <w:tcBorders>
              <w:left w:val="single" w:sz="4" w:space="0" w:color="auto"/>
              <w:bottom w:val="single" w:sz="4" w:space="0" w:color="auto"/>
              <w:right w:val="single" w:sz="4" w:space="0" w:color="auto"/>
            </w:tcBorders>
            <w:shd w:val="clear" w:color="auto" w:fill="FFFFFF"/>
          </w:tcPr>
          <w:p w14:paraId="35B578F4" w14:textId="77777777" w:rsidR="001A5C74" w:rsidRPr="00B66E9F" w:rsidRDefault="001A5C74" w:rsidP="001A5C74">
            <w:pPr>
              <w:spacing w:after="0" w:line="240" w:lineRule="auto"/>
              <w:rPr>
                <w:rFonts w:eastAsia="Calibri"/>
                <w:b/>
                <w:sz w:val="20"/>
                <w:szCs w:val="20"/>
              </w:rPr>
            </w:pPr>
          </w:p>
        </w:tc>
        <w:tc>
          <w:tcPr>
            <w:tcW w:w="106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7BE69" w14:textId="77D7E1D7" w:rsidR="001A5C74" w:rsidRPr="0013161E" w:rsidRDefault="001A5C74" w:rsidP="00111044">
            <w:pPr>
              <w:spacing w:after="0" w:line="240" w:lineRule="auto"/>
              <w:rPr>
                <w:rFonts w:eastAsia="Calibri"/>
                <w:sz w:val="18"/>
                <w:szCs w:val="18"/>
              </w:rPr>
            </w:pPr>
            <w:r w:rsidRPr="0013161E">
              <w:rPr>
                <w:rFonts w:ascii="Calibri" w:eastAsia="Calibri" w:hAnsi="Calibri" w:cs="Times New Roman"/>
                <w:b/>
                <w:sz w:val="18"/>
                <w:szCs w:val="18"/>
                <w:lang w:eastAsia="en-US"/>
              </w:rPr>
              <w:t xml:space="preserve">Indicator 5.1.1 Note: </w:t>
            </w:r>
            <w:r w:rsidRPr="0013161E">
              <w:rPr>
                <w:rFonts w:ascii="Calibri" w:eastAsia="Calibri" w:hAnsi="Calibri" w:cs="Times New Roman"/>
                <w:sz w:val="18"/>
                <w:szCs w:val="18"/>
                <w:lang w:eastAsia="en-US"/>
              </w:rPr>
              <w:t>Q</w:t>
            </w:r>
            <w:r w:rsidRPr="0013161E">
              <w:rPr>
                <w:rFonts w:eastAsia="Calibri"/>
                <w:sz w:val="18"/>
                <w:szCs w:val="18"/>
              </w:rPr>
              <w:t xml:space="preserve">ualitative indicator </w:t>
            </w:r>
            <w:r w:rsidRPr="0013161E">
              <w:rPr>
                <w:rFonts w:ascii="Calibri" w:eastAsia="Calibri" w:hAnsi="Calibri"/>
                <w:sz w:val="18"/>
                <w:szCs w:val="18"/>
              </w:rPr>
              <w:t xml:space="preserve">through which effectiveness of UNDP’s support (on demand </w:t>
            </w:r>
            <w:r w:rsidRPr="0013161E">
              <w:rPr>
                <w:sz w:val="18"/>
                <w:szCs w:val="18"/>
              </w:rPr>
              <w:t>from programme countries</w:t>
            </w:r>
            <w:r w:rsidRPr="0013161E">
              <w:rPr>
                <w:rFonts w:ascii="Calibri" w:eastAsia="Calibri" w:hAnsi="Calibri"/>
                <w:sz w:val="18"/>
                <w:szCs w:val="18"/>
              </w:rPr>
              <w:t>)</w:t>
            </w:r>
            <w:r w:rsidRPr="0013161E">
              <w:rPr>
                <w:sz w:val="18"/>
                <w:szCs w:val="18"/>
              </w:rPr>
              <w:t xml:space="preserve"> to </w:t>
            </w:r>
            <w:r w:rsidRPr="0013161E">
              <w:rPr>
                <w:rFonts w:eastAsia="Calibri"/>
                <w:sz w:val="18"/>
                <w:szCs w:val="18"/>
              </w:rPr>
              <w:t>put in place Standardized Damage and Loss Accounting Systems (also referred to as National Disaster Obse</w:t>
            </w:r>
            <w:r w:rsidR="00790663" w:rsidRPr="0013161E">
              <w:rPr>
                <w:rFonts w:eastAsia="Calibri"/>
                <w:sz w:val="18"/>
                <w:szCs w:val="18"/>
              </w:rPr>
              <w:t>rvatories</w:t>
            </w:r>
            <w:r w:rsidRPr="0013161E">
              <w:rPr>
                <w:rFonts w:eastAsia="Calibri"/>
                <w:sz w:val="18"/>
                <w:szCs w:val="18"/>
              </w:rPr>
              <w:t>) for systematically collecting, storing, analyzing, and disseminating disaster-related data and information</w:t>
            </w:r>
            <w:r w:rsidR="00111044" w:rsidRPr="0013161E">
              <w:rPr>
                <w:rFonts w:eastAsia="Calibri"/>
                <w:sz w:val="18"/>
                <w:szCs w:val="18"/>
              </w:rPr>
              <w:t xml:space="preserve"> with sex and age disaggregation</w:t>
            </w:r>
            <w:r w:rsidR="00790663" w:rsidRPr="0013161E">
              <w:rPr>
                <w:rFonts w:eastAsia="Calibri"/>
                <w:sz w:val="18"/>
                <w:szCs w:val="18"/>
              </w:rPr>
              <w:t xml:space="preserve">, is </w:t>
            </w:r>
            <w:r w:rsidR="002B57D6" w:rsidRPr="0013161E">
              <w:rPr>
                <w:rFonts w:eastAsia="Calibri"/>
                <w:sz w:val="18"/>
                <w:szCs w:val="18"/>
              </w:rPr>
              <w:t>tracked using a qualitative rating scale</w:t>
            </w:r>
            <w:r w:rsidRPr="0013161E">
              <w:rPr>
                <w:rFonts w:eastAsia="Calibri"/>
                <w:sz w:val="18"/>
                <w:szCs w:val="18"/>
              </w:rPr>
              <w:t xml:space="preserve"> (1= not adequately, 2= very partially</w:t>
            </w:r>
            <w:r w:rsidR="00790663" w:rsidRPr="0013161E">
              <w:rPr>
                <w:rFonts w:eastAsia="Calibri"/>
                <w:sz w:val="18"/>
                <w:szCs w:val="18"/>
              </w:rPr>
              <w:t>, 3= partially and 4= largely), counting the</w:t>
            </w:r>
            <w:r w:rsidRPr="0013161E">
              <w:rPr>
                <w:rFonts w:eastAsia="Calibri"/>
                <w:sz w:val="18"/>
                <w:szCs w:val="18"/>
              </w:rPr>
              <w:t xml:space="preserve"> number of counties </w:t>
            </w:r>
            <w:r w:rsidR="00790663" w:rsidRPr="0013161E">
              <w:rPr>
                <w:rFonts w:eastAsia="Calibri"/>
                <w:sz w:val="18"/>
                <w:szCs w:val="18"/>
              </w:rPr>
              <w:t xml:space="preserve">where </w:t>
            </w:r>
            <w:r w:rsidR="000119D2" w:rsidRPr="0013161E">
              <w:rPr>
                <w:rFonts w:eastAsia="Calibri"/>
                <w:sz w:val="18"/>
                <w:szCs w:val="18"/>
              </w:rPr>
              <w:t xml:space="preserve">objective evidence exists that UNDP support has led to </w:t>
            </w:r>
            <w:r w:rsidR="00DA65C4" w:rsidRPr="0013161E">
              <w:rPr>
                <w:rFonts w:eastAsia="Calibri"/>
                <w:sz w:val="18"/>
                <w:szCs w:val="18"/>
              </w:rPr>
              <w:t xml:space="preserve">effective </w:t>
            </w:r>
            <w:r w:rsidR="00790663" w:rsidRPr="0013161E">
              <w:rPr>
                <w:rFonts w:eastAsia="Calibri"/>
                <w:sz w:val="18"/>
                <w:szCs w:val="18"/>
              </w:rPr>
              <w:t xml:space="preserve">systems </w:t>
            </w:r>
            <w:r w:rsidR="000119D2" w:rsidRPr="0013161E">
              <w:rPr>
                <w:rFonts w:eastAsia="Calibri"/>
                <w:sz w:val="18"/>
                <w:szCs w:val="18"/>
              </w:rPr>
              <w:t>being</w:t>
            </w:r>
            <w:r w:rsidR="00DA65C4" w:rsidRPr="0013161E">
              <w:rPr>
                <w:rFonts w:eastAsia="Calibri"/>
                <w:sz w:val="18"/>
                <w:szCs w:val="18"/>
              </w:rPr>
              <w:t xml:space="preserve"> partially or largely in place</w:t>
            </w:r>
            <w:r w:rsidR="000119D2" w:rsidRPr="0013161E">
              <w:rPr>
                <w:rFonts w:eastAsia="Calibri"/>
                <w:sz w:val="18"/>
                <w:szCs w:val="18"/>
              </w:rPr>
              <w:t>.</w:t>
            </w:r>
          </w:p>
          <w:p w14:paraId="0DEDF179" w14:textId="31EC1FF2" w:rsidR="00C34C65" w:rsidRPr="0013161E" w:rsidRDefault="00C34C65" w:rsidP="005103E9">
            <w:pPr>
              <w:spacing w:after="0" w:line="240" w:lineRule="auto"/>
              <w:rPr>
                <w:rFonts w:eastAsia="Calibri"/>
                <w:sz w:val="18"/>
                <w:szCs w:val="18"/>
              </w:rPr>
            </w:pPr>
            <w:r w:rsidRPr="0013161E">
              <w:rPr>
                <w:rFonts w:eastAsia="Calibri"/>
                <w:b/>
                <w:sz w:val="18"/>
                <w:szCs w:val="18"/>
              </w:rPr>
              <w:t xml:space="preserve">2014 Reporting Note: </w:t>
            </w:r>
            <w:r w:rsidRPr="0013161E">
              <w:rPr>
                <w:rFonts w:eastAsia="Calibri"/>
                <w:sz w:val="18"/>
                <w:szCs w:val="18"/>
              </w:rPr>
              <w:t xml:space="preserve">2017 target updated to reflect latest expected results from country offices. For reference, previous target was 12. The reduction reflects revised targets </w:t>
            </w:r>
            <w:r w:rsidR="00AC7D0C" w:rsidRPr="0013161E">
              <w:rPr>
                <w:rFonts w:eastAsia="Calibri"/>
                <w:sz w:val="18"/>
                <w:szCs w:val="18"/>
              </w:rPr>
              <w:t>for</w:t>
            </w:r>
            <w:r w:rsidR="005103E9" w:rsidRPr="0013161E">
              <w:rPr>
                <w:rFonts w:eastAsia="Calibri"/>
                <w:sz w:val="18"/>
                <w:szCs w:val="18"/>
              </w:rPr>
              <w:t xml:space="preserve"> two countries</w:t>
            </w:r>
            <w:r w:rsidR="00AC7D0C" w:rsidRPr="0013161E">
              <w:rPr>
                <w:rFonts w:eastAsia="Calibri"/>
                <w:sz w:val="18"/>
                <w:szCs w:val="18"/>
              </w:rPr>
              <w:t xml:space="preserve">. </w:t>
            </w:r>
          </w:p>
        </w:tc>
      </w:tr>
      <w:tr w:rsidR="00B81579" w:rsidRPr="00015A57" w14:paraId="5438F50E" w14:textId="77777777" w:rsidTr="000119D2">
        <w:trPr>
          <w:gridAfter w:val="1"/>
          <w:wAfter w:w="18" w:type="dxa"/>
          <w:trHeight w:val="494"/>
          <w:jc w:val="center"/>
        </w:trPr>
        <w:tc>
          <w:tcPr>
            <w:tcW w:w="3325" w:type="dxa"/>
            <w:gridSpan w:val="2"/>
            <w:vMerge/>
            <w:tcBorders>
              <w:left w:val="single" w:sz="4" w:space="0" w:color="auto"/>
              <w:right w:val="single" w:sz="4" w:space="0" w:color="auto"/>
            </w:tcBorders>
            <w:shd w:val="clear" w:color="auto" w:fill="auto"/>
            <w:vAlign w:val="center"/>
            <w:hideMark/>
          </w:tcPr>
          <w:p w14:paraId="75DE6944" w14:textId="1F70B47D" w:rsidR="00B81579" w:rsidRPr="00B66E9F" w:rsidRDefault="00B81579" w:rsidP="00B81579">
            <w:pPr>
              <w:spacing w:after="0" w:line="240" w:lineRule="auto"/>
              <w:rPr>
                <w:rFonts w:eastAsia="Calibri"/>
                <w:sz w:val="20"/>
                <w:szCs w:val="20"/>
              </w:rPr>
            </w:pPr>
          </w:p>
        </w:tc>
        <w:tc>
          <w:tcPr>
            <w:tcW w:w="720" w:type="dxa"/>
            <w:vMerge w:val="restart"/>
            <w:tcBorders>
              <w:top w:val="single" w:sz="4" w:space="0" w:color="auto"/>
              <w:left w:val="single" w:sz="4" w:space="0" w:color="auto"/>
              <w:right w:val="single" w:sz="4" w:space="0" w:color="auto"/>
            </w:tcBorders>
            <w:shd w:val="clear" w:color="auto" w:fill="FFFFFF"/>
            <w:hideMark/>
          </w:tcPr>
          <w:p w14:paraId="7079421F" w14:textId="77777777" w:rsidR="00B81579" w:rsidRPr="00B66E9F" w:rsidRDefault="00B81579" w:rsidP="00B81579">
            <w:pPr>
              <w:spacing w:after="0" w:line="240" w:lineRule="auto"/>
              <w:jc w:val="both"/>
              <w:rPr>
                <w:rFonts w:eastAsia="Calibri"/>
                <w:b/>
                <w:sz w:val="20"/>
                <w:szCs w:val="20"/>
              </w:rPr>
            </w:pPr>
            <w:r w:rsidRPr="00B66E9F">
              <w:rPr>
                <w:rFonts w:eastAsia="Calibri"/>
                <w:b/>
                <w:sz w:val="20"/>
                <w:szCs w:val="20"/>
              </w:rPr>
              <w:t>5.1.2</w:t>
            </w:r>
          </w:p>
        </w:tc>
        <w:tc>
          <w:tcPr>
            <w:tcW w:w="5310" w:type="dxa"/>
            <w:tcBorders>
              <w:top w:val="single" w:sz="4" w:space="0" w:color="auto"/>
              <w:left w:val="single" w:sz="4" w:space="0" w:color="auto"/>
              <w:right w:val="single" w:sz="4" w:space="0" w:color="auto"/>
            </w:tcBorders>
            <w:shd w:val="clear" w:color="auto" w:fill="FFFFFF"/>
            <w:hideMark/>
          </w:tcPr>
          <w:p w14:paraId="76EA992B" w14:textId="4FF6ABF0" w:rsidR="00B81579" w:rsidRPr="0013161E" w:rsidRDefault="00182FA9" w:rsidP="00B81579">
            <w:pPr>
              <w:spacing w:after="0" w:line="240" w:lineRule="auto"/>
              <w:rPr>
                <w:rFonts w:eastAsia="Calibri"/>
                <w:sz w:val="20"/>
                <w:szCs w:val="20"/>
              </w:rPr>
            </w:pPr>
            <w:r w:rsidRPr="0013161E">
              <w:rPr>
                <w:rFonts w:eastAsia="Calibri"/>
                <w:sz w:val="20"/>
                <w:szCs w:val="20"/>
              </w:rPr>
              <w:t xml:space="preserve">Number of </w:t>
            </w:r>
            <w:r w:rsidR="009A0E22" w:rsidRPr="000B5DED">
              <w:rPr>
                <w:rFonts w:eastAsia="Calibri"/>
                <w:b/>
                <w:sz w:val="20"/>
                <w:szCs w:val="20"/>
              </w:rPr>
              <w:t xml:space="preserve">new </w:t>
            </w:r>
            <w:r w:rsidRPr="0013161E">
              <w:rPr>
                <w:rFonts w:eastAsia="Calibri"/>
                <w:b/>
                <w:sz w:val="20"/>
                <w:szCs w:val="20"/>
              </w:rPr>
              <w:t>plans and programmes that are informed by multi-hazard national and sub-national disaster and climate risk assessments</w:t>
            </w:r>
            <w:r w:rsidRPr="0013161E">
              <w:rPr>
                <w:rFonts w:eastAsia="Calibri"/>
                <w:sz w:val="20"/>
                <w:szCs w:val="20"/>
              </w:rPr>
              <w:t>, taking into account differentiated impacts e.g. on women and men.</w:t>
            </w:r>
          </w:p>
          <w:p w14:paraId="2102F4D8" w14:textId="53D3973C" w:rsidR="00B81579" w:rsidRPr="0013161E" w:rsidRDefault="00A11A30" w:rsidP="006F161D">
            <w:pPr>
              <w:pStyle w:val="ListParagraph"/>
              <w:numPr>
                <w:ilvl w:val="0"/>
                <w:numId w:val="36"/>
              </w:numPr>
              <w:rPr>
                <w:sz w:val="20"/>
                <w:szCs w:val="20"/>
              </w:rPr>
            </w:pPr>
            <w:r w:rsidRPr="0013161E">
              <w:rPr>
                <w:sz w:val="20"/>
                <w:szCs w:val="20"/>
              </w:rPr>
              <w:t>N</w:t>
            </w:r>
            <w:r w:rsidR="00B81579" w:rsidRPr="0013161E">
              <w:rPr>
                <w:sz w:val="20"/>
                <w:szCs w:val="20"/>
              </w:rPr>
              <w:t>umber of new plans and programmes</w:t>
            </w:r>
          </w:p>
          <w:p w14:paraId="2CF0F272" w14:textId="77777777" w:rsidR="00B81579" w:rsidRPr="0013161E" w:rsidRDefault="00B81579" w:rsidP="006F161D">
            <w:pPr>
              <w:pStyle w:val="ListParagraph"/>
              <w:numPr>
                <w:ilvl w:val="0"/>
                <w:numId w:val="36"/>
              </w:numPr>
              <w:rPr>
                <w:i/>
                <w:sz w:val="20"/>
                <w:szCs w:val="20"/>
              </w:rPr>
            </w:pPr>
            <w:r w:rsidRPr="0013161E">
              <w:rPr>
                <w:sz w:val="20"/>
                <w:szCs w:val="20"/>
              </w:rPr>
              <w:t>Number of new plans and programmes that differentiate impacts on women and men</w:t>
            </w:r>
          </w:p>
          <w:p w14:paraId="0977BD71" w14:textId="2837210E" w:rsidR="00546E49" w:rsidRPr="0013161E" w:rsidRDefault="00546E49" w:rsidP="00D37201">
            <w:pPr>
              <w:spacing w:before="240" w:after="0"/>
              <w:rPr>
                <w:sz w:val="20"/>
                <w:szCs w:val="20"/>
              </w:rPr>
            </w:pPr>
            <w:r w:rsidRPr="0013161E">
              <w:rPr>
                <w:rFonts w:eastAsia="Calibri"/>
                <w:b/>
                <w:i/>
                <w:sz w:val="18"/>
                <w:szCs w:val="18"/>
              </w:rPr>
              <w:t xml:space="preserve">Number of countries </w:t>
            </w:r>
            <w:r w:rsidR="00983FF8" w:rsidRPr="0013161E">
              <w:rPr>
                <w:rFonts w:eastAsia="Calibri"/>
                <w:b/>
                <w:i/>
                <w:sz w:val="18"/>
                <w:szCs w:val="18"/>
              </w:rPr>
              <w:t>for which a 2017 target has currently been set under this indicator</w:t>
            </w:r>
            <w:r w:rsidR="00037276" w:rsidRPr="0013161E">
              <w:rPr>
                <w:rFonts w:eastAsia="Calibri"/>
                <w:b/>
                <w:i/>
                <w:sz w:val="18"/>
                <w:szCs w:val="18"/>
              </w:rPr>
              <w:t xml:space="preserve">: </w:t>
            </w:r>
            <w:r w:rsidR="008E4B40" w:rsidRPr="008E4B40">
              <w:rPr>
                <w:rFonts w:eastAsia="Calibri"/>
                <w:b/>
                <w:i/>
                <w:sz w:val="18"/>
                <w:szCs w:val="18"/>
              </w:rPr>
              <w:t>29</w:t>
            </w:r>
          </w:p>
        </w:tc>
        <w:tc>
          <w:tcPr>
            <w:tcW w:w="1350" w:type="dxa"/>
            <w:tcBorders>
              <w:top w:val="single" w:sz="4" w:space="0" w:color="auto"/>
              <w:left w:val="single" w:sz="4" w:space="0" w:color="auto"/>
              <w:right w:val="single" w:sz="4" w:space="0" w:color="auto"/>
            </w:tcBorders>
            <w:shd w:val="clear" w:color="auto" w:fill="FFFFFF"/>
          </w:tcPr>
          <w:p w14:paraId="51AB49A7" w14:textId="77777777" w:rsidR="00B81579" w:rsidRDefault="00B81579" w:rsidP="00B81579">
            <w:pPr>
              <w:pStyle w:val="ListParagraph"/>
              <w:ind w:left="0"/>
              <w:jc w:val="center"/>
              <w:rPr>
                <w:rFonts w:asciiTheme="minorHAnsi" w:hAnsiTheme="minorHAnsi"/>
                <w:sz w:val="20"/>
                <w:szCs w:val="20"/>
              </w:rPr>
            </w:pPr>
          </w:p>
          <w:p w14:paraId="33356EF3" w14:textId="77777777" w:rsidR="00B81579" w:rsidRDefault="00B81579" w:rsidP="00B81579">
            <w:pPr>
              <w:pStyle w:val="ListParagraph"/>
              <w:ind w:left="0"/>
              <w:jc w:val="center"/>
              <w:rPr>
                <w:rFonts w:asciiTheme="minorHAnsi" w:hAnsiTheme="minorHAnsi"/>
                <w:sz w:val="20"/>
                <w:szCs w:val="20"/>
              </w:rPr>
            </w:pPr>
          </w:p>
          <w:p w14:paraId="23EE2D9B" w14:textId="77777777" w:rsidR="00B81579" w:rsidRDefault="00B81579" w:rsidP="00B81579">
            <w:pPr>
              <w:pStyle w:val="ListParagraph"/>
              <w:ind w:left="0"/>
              <w:jc w:val="center"/>
              <w:rPr>
                <w:rFonts w:asciiTheme="minorHAnsi" w:hAnsiTheme="minorHAnsi"/>
                <w:sz w:val="20"/>
                <w:szCs w:val="20"/>
              </w:rPr>
            </w:pPr>
          </w:p>
          <w:p w14:paraId="0358582C" w14:textId="77777777" w:rsidR="00B81579" w:rsidRDefault="00B81579" w:rsidP="00B81579">
            <w:pPr>
              <w:pStyle w:val="ListParagraph"/>
              <w:ind w:left="0"/>
              <w:jc w:val="center"/>
              <w:rPr>
                <w:rFonts w:asciiTheme="minorHAnsi" w:hAnsiTheme="minorHAnsi"/>
                <w:sz w:val="20"/>
                <w:szCs w:val="20"/>
              </w:rPr>
            </w:pPr>
          </w:p>
          <w:p w14:paraId="6F3B40AF" w14:textId="77777777" w:rsidR="00B81579" w:rsidRDefault="00B81579" w:rsidP="00B81579">
            <w:pPr>
              <w:pStyle w:val="ListParagraph"/>
              <w:ind w:left="0"/>
              <w:jc w:val="center"/>
              <w:rPr>
                <w:rFonts w:asciiTheme="minorHAnsi" w:hAnsiTheme="minorHAnsi"/>
                <w:sz w:val="20"/>
                <w:szCs w:val="20"/>
              </w:rPr>
            </w:pPr>
            <w:r>
              <w:rPr>
                <w:rFonts w:asciiTheme="minorHAnsi" w:hAnsiTheme="minorHAnsi"/>
                <w:sz w:val="20"/>
                <w:szCs w:val="20"/>
              </w:rPr>
              <w:t>0</w:t>
            </w:r>
          </w:p>
          <w:p w14:paraId="4F2D7C53" w14:textId="77777777" w:rsidR="00B81579" w:rsidRPr="00B66E9F" w:rsidRDefault="005D3ACF" w:rsidP="00B81579">
            <w:pPr>
              <w:pStyle w:val="ListParagraph"/>
              <w:ind w:left="0"/>
              <w:jc w:val="center"/>
              <w:rPr>
                <w:rFonts w:asciiTheme="minorHAnsi" w:hAnsiTheme="minorHAnsi"/>
                <w:sz w:val="20"/>
                <w:szCs w:val="20"/>
              </w:rPr>
            </w:pPr>
            <w:r>
              <w:rPr>
                <w:rFonts w:asciiTheme="minorHAnsi" w:hAnsiTheme="minorHAnsi"/>
                <w:sz w:val="20"/>
                <w:szCs w:val="20"/>
              </w:rPr>
              <w:t>0</w:t>
            </w:r>
          </w:p>
        </w:tc>
        <w:tc>
          <w:tcPr>
            <w:tcW w:w="1350" w:type="dxa"/>
            <w:gridSpan w:val="2"/>
            <w:tcBorders>
              <w:top w:val="single" w:sz="4" w:space="0" w:color="auto"/>
              <w:left w:val="single" w:sz="4" w:space="0" w:color="auto"/>
              <w:right w:val="single" w:sz="4" w:space="0" w:color="auto"/>
            </w:tcBorders>
            <w:shd w:val="clear" w:color="auto" w:fill="FFFFFF"/>
          </w:tcPr>
          <w:p w14:paraId="1F0754A5" w14:textId="77777777" w:rsidR="00B81579" w:rsidRPr="008E4B40" w:rsidRDefault="00B81579" w:rsidP="00B81579">
            <w:pPr>
              <w:pStyle w:val="ListParagraph"/>
              <w:ind w:left="0"/>
              <w:jc w:val="center"/>
              <w:rPr>
                <w:rFonts w:asciiTheme="minorHAnsi" w:hAnsiTheme="minorHAnsi"/>
                <w:sz w:val="20"/>
                <w:szCs w:val="20"/>
              </w:rPr>
            </w:pPr>
          </w:p>
          <w:p w14:paraId="77470545" w14:textId="77777777" w:rsidR="00B81579" w:rsidRPr="008E4B40" w:rsidRDefault="00B81579" w:rsidP="00B81579">
            <w:pPr>
              <w:pStyle w:val="ListParagraph"/>
              <w:ind w:left="0"/>
              <w:jc w:val="center"/>
              <w:rPr>
                <w:rFonts w:asciiTheme="minorHAnsi" w:hAnsiTheme="minorHAnsi"/>
                <w:sz w:val="20"/>
                <w:szCs w:val="20"/>
              </w:rPr>
            </w:pPr>
          </w:p>
          <w:p w14:paraId="7AA22545" w14:textId="77777777" w:rsidR="00B81579" w:rsidRPr="008E4B40" w:rsidRDefault="00B81579" w:rsidP="00B81579">
            <w:pPr>
              <w:pStyle w:val="ListParagraph"/>
              <w:ind w:left="0"/>
              <w:jc w:val="center"/>
              <w:rPr>
                <w:rFonts w:asciiTheme="minorHAnsi" w:hAnsiTheme="minorHAnsi"/>
                <w:sz w:val="20"/>
                <w:szCs w:val="20"/>
              </w:rPr>
            </w:pPr>
          </w:p>
          <w:p w14:paraId="397CB5FD" w14:textId="77777777" w:rsidR="00B81579" w:rsidRPr="008E4B40" w:rsidRDefault="00B81579" w:rsidP="00B81579">
            <w:pPr>
              <w:pStyle w:val="ListParagraph"/>
              <w:ind w:left="0"/>
              <w:jc w:val="center"/>
              <w:rPr>
                <w:rFonts w:asciiTheme="minorHAnsi" w:hAnsiTheme="minorHAnsi"/>
                <w:sz w:val="20"/>
                <w:szCs w:val="20"/>
              </w:rPr>
            </w:pPr>
          </w:p>
          <w:p w14:paraId="005E705F" w14:textId="636538F6" w:rsidR="00B81579" w:rsidRPr="008E4B40" w:rsidRDefault="003A05B4" w:rsidP="00B81579">
            <w:pPr>
              <w:pStyle w:val="ListParagraph"/>
              <w:ind w:left="0"/>
              <w:jc w:val="center"/>
              <w:rPr>
                <w:rFonts w:asciiTheme="minorHAnsi" w:hAnsiTheme="minorHAnsi"/>
                <w:sz w:val="20"/>
                <w:szCs w:val="20"/>
              </w:rPr>
            </w:pPr>
            <w:r w:rsidRPr="008E4B40">
              <w:rPr>
                <w:rFonts w:asciiTheme="minorHAnsi" w:hAnsiTheme="minorHAnsi"/>
                <w:sz w:val="20"/>
                <w:szCs w:val="20"/>
              </w:rPr>
              <w:t>7</w:t>
            </w:r>
            <w:r w:rsidR="008E4B40" w:rsidRPr="008E4B40">
              <w:rPr>
                <w:rFonts w:asciiTheme="minorHAnsi" w:hAnsiTheme="minorHAnsi"/>
                <w:sz w:val="20"/>
                <w:szCs w:val="20"/>
              </w:rPr>
              <w:t>8</w:t>
            </w:r>
          </w:p>
          <w:p w14:paraId="4209AE99" w14:textId="77777777" w:rsidR="00B81579" w:rsidRPr="008E4B40" w:rsidRDefault="00B81579" w:rsidP="00B81579">
            <w:pPr>
              <w:pStyle w:val="ListParagraph"/>
              <w:ind w:left="0"/>
              <w:jc w:val="center"/>
              <w:rPr>
                <w:rFonts w:asciiTheme="minorHAnsi" w:hAnsiTheme="minorHAnsi"/>
                <w:sz w:val="20"/>
                <w:szCs w:val="20"/>
              </w:rPr>
            </w:pPr>
            <w:r w:rsidRPr="008E4B40">
              <w:rPr>
                <w:rFonts w:asciiTheme="minorHAnsi" w:hAnsiTheme="minorHAnsi"/>
                <w:sz w:val="20"/>
                <w:szCs w:val="20"/>
              </w:rPr>
              <w:t>38</w:t>
            </w:r>
          </w:p>
        </w:tc>
        <w:tc>
          <w:tcPr>
            <w:tcW w:w="1260" w:type="dxa"/>
            <w:gridSpan w:val="2"/>
            <w:tcBorders>
              <w:top w:val="single" w:sz="4" w:space="0" w:color="auto"/>
              <w:left w:val="single" w:sz="4" w:space="0" w:color="auto"/>
              <w:right w:val="single" w:sz="4" w:space="0" w:color="auto"/>
            </w:tcBorders>
            <w:shd w:val="clear" w:color="auto" w:fill="FFFFFF"/>
          </w:tcPr>
          <w:p w14:paraId="087C055E" w14:textId="77777777" w:rsidR="00B81579" w:rsidRPr="008E4B40" w:rsidRDefault="00B81579" w:rsidP="00B81579">
            <w:pPr>
              <w:pStyle w:val="ListParagraph"/>
              <w:ind w:left="0"/>
              <w:jc w:val="center"/>
              <w:rPr>
                <w:rFonts w:asciiTheme="minorHAnsi" w:hAnsiTheme="minorHAnsi"/>
                <w:sz w:val="20"/>
                <w:szCs w:val="20"/>
              </w:rPr>
            </w:pPr>
          </w:p>
          <w:p w14:paraId="18E6AA96" w14:textId="77777777" w:rsidR="00B81579" w:rsidRPr="008E4B40" w:rsidRDefault="00B81579" w:rsidP="00B81579">
            <w:pPr>
              <w:pStyle w:val="ListParagraph"/>
              <w:ind w:left="0"/>
              <w:jc w:val="center"/>
              <w:rPr>
                <w:rFonts w:asciiTheme="minorHAnsi" w:hAnsiTheme="minorHAnsi"/>
                <w:sz w:val="20"/>
                <w:szCs w:val="20"/>
              </w:rPr>
            </w:pPr>
          </w:p>
          <w:p w14:paraId="4B606374" w14:textId="77777777" w:rsidR="00B81579" w:rsidRPr="008E4B40" w:rsidRDefault="00B81579" w:rsidP="00B81579">
            <w:pPr>
              <w:pStyle w:val="ListParagraph"/>
              <w:ind w:left="0"/>
              <w:jc w:val="center"/>
              <w:rPr>
                <w:rFonts w:asciiTheme="minorHAnsi" w:hAnsiTheme="minorHAnsi"/>
                <w:sz w:val="20"/>
                <w:szCs w:val="20"/>
              </w:rPr>
            </w:pPr>
          </w:p>
          <w:p w14:paraId="4BD43647" w14:textId="77777777" w:rsidR="003A05B4" w:rsidRPr="008E4B40" w:rsidRDefault="003A05B4" w:rsidP="00B81579">
            <w:pPr>
              <w:pStyle w:val="ListParagraph"/>
              <w:ind w:left="0"/>
              <w:jc w:val="center"/>
              <w:rPr>
                <w:rFonts w:asciiTheme="minorHAnsi" w:hAnsiTheme="minorHAnsi"/>
                <w:sz w:val="20"/>
                <w:szCs w:val="20"/>
              </w:rPr>
            </w:pPr>
          </w:p>
          <w:p w14:paraId="2733132B" w14:textId="6A335505" w:rsidR="003A05B4" w:rsidRPr="008E4B40" w:rsidRDefault="003A05B4" w:rsidP="00B81579">
            <w:pPr>
              <w:pStyle w:val="ListParagraph"/>
              <w:ind w:left="0"/>
              <w:jc w:val="center"/>
              <w:rPr>
                <w:rFonts w:asciiTheme="minorHAnsi" w:hAnsiTheme="minorHAnsi"/>
                <w:sz w:val="20"/>
                <w:szCs w:val="20"/>
              </w:rPr>
            </w:pPr>
            <w:r w:rsidRPr="008E4B40">
              <w:rPr>
                <w:rFonts w:asciiTheme="minorHAnsi" w:hAnsiTheme="minorHAnsi"/>
                <w:sz w:val="20"/>
                <w:szCs w:val="20"/>
              </w:rPr>
              <w:t>11</w:t>
            </w:r>
            <w:r w:rsidR="008E4B40" w:rsidRPr="008E4B40">
              <w:rPr>
                <w:rFonts w:asciiTheme="minorHAnsi" w:hAnsiTheme="minorHAnsi"/>
                <w:sz w:val="20"/>
                <w:szCs w:val="20"/>
              </w:rPr>
              <w:t>6</w:t>
            </w:r>
          </w:p>
          <w:p w14:paraId="64A21CEB" w14:textId="369B2919" w:rsidR="003A05B4" w:rsidRPr="008E4B40" w:rsidRDefault="00F1717B" w:rsidP="00B81579">
            <w:pPr>
              <w:pStyle w:val="ListParagraph"/>
              <w:ind w:left="0"/>
              <w:jc w:val="center"/>
              <w:rPr>
                <w:rFonts w:asciiTheme="minorHAnsi" w:hAnsiTheme="minorHAnsi"/>
                <w:sz w:val="20"/>
                <w:szCs w:val="20"/>
              </w:rPr>
            </w:pPr>
            <w:r w:rsidRPr="008E4B40">
              <w:rPr>
                <w:rFonts w:asciiTheme="minorHAnsi" w:hAnsiTheme="minorHAnsi"/>
                <w:sz w:val="20"/>
                <w:szCs w:val="20"/>
              </w:rPr>
              <w:t>19*</w:t>
            </w:r>
          </w:p>
        </w:tc>
        <w:tc>
          <w:tcPr>
            <w:tcW w:w="1332" w:type="dxa"/>
            <w:tcBorders>
              <w:top w:val="single" w:sz="4" w:space="0" w:color="auto"/>
              <w:left w:val="single" w:sz="4" w:space="0" w:color="auto"/>
              <w:right w:val="single" w:sz="4" w:space="0" w:color="auto"/>
            </w:tcBorders>
            <w:shd w:val="clear" w:color="auto" w:fill="FFFFFF"/>
          </w:tcPr>
          <w:p w14:paraId="3A3C4634" w14:textId="77777777" w:rsidR="00B81579" w:rsidRDefault="00B81579" w:rsidP="00B81579">
            <w:pPr>
              <w:pStyle w:val="ListParagraph"/>
              <w:ind w:left="0"/>
              <w:jc w:val="center"/>
              <w:rPr>
                <w:rFonts w:asciiTheme="minorHAnsi" w:hAnsiTheme="minorHAnsi"/>
                <w:sz w:val="20"/>
                <w:szCs w:val="20"/>
              </w:rPr>
            </w:pPr>
          </w:p>
          <w:p w14:paraId="355E02C5" w14:textId="77777777" w:rsidR="00B81579" w:rsidRDefault="00B81579" w:rsidP="00B81579">
            <w:pPr>
              <w:pStyle w:val="ListParagraph"/>
              <w:ind w:left="0"/>
              <w:jc w:val="center"/>
              <w:rPr>
                <w:rFonts w:asciiTheme="minorHAnsi" w:hAnsiTheme="minorHAnsi"/>
                <w:sz w:val="20"/>
                <w:szCs w:val="20"/>
              </w:rPr>
            </w:pPr>
          </w:p>
          <w:p w14:paraId="729D1D26" w14:textId="77777777" w:rsidR="00B81579" w:rsidRDefault="00B81579" w:rsidP="00B81579">
            <w:pPr>
              <w:pStyle w:val="ListParagraph"/>
              <w:ind w:left="0"/>
              <w:jc w:val="center"/>
              <w:rPr>
                <w:rFonts w:asciiTheme="minorHAnsi" w:hAnsiTheme="minorHAnsi"/>
                <w:sz w:val="20"/>
                <w:szCs w:val="20"/>
              </w:rPr>
            </w:pPr>
          </w:p>
          <w:p w14:paraId="107435FD" w14:textId="77777777" w:rsidR="00B81579" w:rsidRDefault="00B81579" w:rsidP="00B81579">
            <w:pPr>
              <w:pStyle w:val="ListParagraph"/>
              <w:ind w:left="0"/>
              <w:jc w:val="center"/>
              <w:rPr>
                <w:rFonts w:asciiTheme="minorHAnsi" w:hAnsiTheme="minorHAnsi"/>
                <w:sz w:val="20"/>
                <w:szCs w:val="20"/>
              </w:rPr>
            </w:pPr>
          </w:p>
          <w:p w14:paraId="5547F610" w14:textId="38492BD5" w:rsidR="00B81579" w:rsidRDefault="000C70E0" w:rsidP="00B81579">
            <w:pPr>
              <w:pStyle w:val="ListParagraph"/>
              <w:ind w:left="0"/>
              <w:jc w:val="center"/>
              <w:rPr>
                <w:rFonts w:asciiTheme="minorHAnsi" w:hAnsiTheme="minorHAnsi"/>
                <w:sz w:val="20"/>
                <w:szCs w:val="20"/>
              </w:rPr>
            </w:pPr>
            <w:r>
              <w:rPr>
                <w:rFonts w:asciiTheme="minorHAnsi" w:hAnsiTheme="minorHAnsi"/>
                <w:sz w:val="20"/>
                <w:szCs w:val="20"/>
              </w:rPr>
              <w:t>365</w:t>
            </w:r>
          </w:p>
          <w:p w14:paraId="44B7A4C5" w14:textId="77777777" w:rsidR="00B81579" w:rsidRPr="00B66E9F" w:rsidRDefault="00B81579" w:rsidP="00B81579">
            <w:pPr>
              <w:pStyle w:val="ListParagraph"/>
              <w:ind w:left="0"/>
              <w:jc w:val="center"/>
              <w:rPr>
                <w:rFonts w:asciiTheme="minorHAnsi" w:hAnsiTheme="minorHAnsi"/>
                <w:sz w:val="20"/>
                <w:szCs w:val="20"/>
              </w:rPr>
            </w:pPr>
            <w:r>
              <w:rPr>
                <w:rFonts w:asciiTheme="minorHAnsi" w:hAnsiTheme="minorHAnsi"/>
                <w:sz w:val="20"/>
                <w:szCs w:val="20"/>
              </w:rPr>
              <w:t>177</w:t>
            </w:r>
          </w:p>
        </w:tc>
      </w:tr>
      <w:tr w:rsidR="00B81579" w:rsidRPr="00015A57" w14:paraId="3F9460B9" w14:textId="77777777" w:rsidTr="000119D2">
        <w:trPr>
          <w:gridAfter w:val="1"/>
          <w:wAfter w:w="18" w:type="dxa"/>
          <w:trHeight w:val="494"/>
          <w:jc w:val="center"/>
        </w:trPr>
        <w:tc>
          <w:tcPr>
            <w:tcW w:w="3325" w:type="dxa"/>
            <w:gridSpan w:val="2"/>
            <w:vMerge/>
            <w:tcBorders>
              <w:left w:val="single" w:sz="4" w:space="0" w:color="auto"/>
              <w:bottom w:val="single" w:sz="4" w:space="0" w:color="auto"/>
              <w:right w:val="single" w:sz="4" w:space="0" w:color="auto"/>
            </w:tcBorders>
            <w:shd w:val="clear" w:color="auto" w:fill="auto"/>
            <w:vAlign w:val="center"/>
          </w:tcPr>
          <w:p w14:paraId="281DEB9C" w14:textId="6D731623" w:rsidR="00B81579" w:rsidRPr="00B66E9F" w:rsidRDefault="00B81579" w:rsidP="00B81579">
            <w:pPr>
              <w:spacing w:after="0" w:line="240" w:lineRule="auto"/>
              <w:rPr>
                <w:rFonts w:eastAsia="Calibri"/>
                <w:sz w:val="20"/>
                <w:szCs w:val="20"/>
              </w:rPr>
            </w:pPr>
          </w:p>
        </w:tc>
        <w:tc>
          <w:tcPr>
            <w:tcW w:w="720" w:type="dxa"/>
            <w:vMerge/>
            <w:tcBorders>
              <w:left w:val="single" w:sz="4" w:space="0" w:color="auto"/>
              <w:right w:val="single" w:sz="4" w:space="0" w:color="auto"/>
            </w:tcBorders>
            <w:shd w:val="clear" w:color="auto" w:fill="FFFFFF"/>
          </w:tcPr>
          <w:p w14:paraId="1EE48B21" w14:textId="77777777" w:rsidR="00B81579" w:rsidRPr="00B66E9F" w:rsidRDefault="00B81579" w:rsidP="00B81579">
            <w:pPr>
              <w:spacing w:after="0" w:line="240" w:lineRule="auto"/>
              <w:jc w:val="both"/>
              <w:rPr>
                <w:rFonts w:eastAsia="Calibri"/>
                <w:b/>
                <w:sz w:val="20"/>
                <w:szCs w:val="20"/>
              </w:rPr>
            </w:pPr>
          </w:p>
        </w:tc>
        <w:tc>
          <w:tcPr>
            <w:tcW w:w="10602" w:type="dxa"/>
            <w:gridSpan w:val="7"/>
            <w:tcBorders>
              <w:top w:val="single" w:sz="4" w:space="0" w:color="auto"/>
              <w:left w:val="single" w:sz="4" w:space="0" w:color="auto"/>
              <w:right w:val="single" w:sz="4" w:space="0" w:color="auto"/>
            </w:tcBorders>
            <w:shd w:val="clear" w:color="auto" w:fill="D9D9D9" w:themeFill="background1" w:themeFillShade="D9"/>
            <w:vAlign w:val="center"/>
          </w:tcPr>
          <w:p w14:paraId="09088134" w14:textId="77777777" w:rsidR="00B81579" w:rsidRPr="000119D2" w:rsidRDefault="00B81579" w:rsidP="008C4FB3">
            <w:pPr>
              <w:spacing w:after="0" w:line="240" w:lineRule="auto"/>
              <w:rPr>
                <w:rFonts w:eastAsia="Calibri"/>
                <w:sz w:val="18"/>
                <w:szCs w:val="18"/>
              </w:rPr>
            </w:pPr>
            <w:r w:rsidRPr="000119D2">
              <w:rPr>
                <w:rFonts w:ascii="Calibri" w:eastAsia="Calibri" w:hAnsi="Calibri" w:cs="Times New Roman"/>
                <w:b/>
                <w:sz w:val="18"/>
                <w:szCs w:val="18"/>
                <w:lang w:eastAsia="en-US"/>
              </w:rPr>
              <w:t xml:space="preserve">Indicator 5.1.2 Note: </w:t>
            </w:r>
            <w:r w:rsidR="009602DA" w:rsidRPr="000119D2">
              <w:rPr>
                <w:rFonts w:ascii="Calibri" w:eastAsia="Calibri" w:hAnsi="Calibri" w:cs="Times New Roman"/>
                <w:sz w:val="18"/>
                <w:szCs w:val="18"/>
                <w:lang w:eastAsia="en-US"/>
              </w:rPr>
              <w:t>Tracks the number of new plans and programmes</w:t>
            </w:r>
            <w:r w:rsidR="00182FA9" w:rsidRPr="000119D2">
              <w:rPr>
                <w:rFonts w:ascii="Calibri" w:eastAsia="Calibri" w:hAnsi="Calibri"/>
                <w:sz w:val="18"/>
                <w:szCs w:val="18"/>
              </w:rPr>
              <w:t xml:space="preserve"> </w:t>
            </w:r>
            <w:r w:rsidR="009602DA" w:rsidRPr="000119D2">
              <w:rPr>
                <w:rFonts w:ascii="Calibri" w:eastAsia="Calibri" w:hAnsi="Calibri"/>
                <w:sz w:val="18"/>
                <w:szCs w:val="18"/>
              </w:rPr>
              <w:t xml:space="preserve">supported by UNDP </w:t>
            </w:r>
            <w:r w:rsidR="00182FA9" w:rsidRPr="000119D2">
              <w:rPr>
                <w:rFonts w:ascii="Calibri" w:eastAsia="Calibri" w:hAnsi="Calibri"/>
                <w:sz w:val="18"/>
                <w:szCs w:val="18"/>
              </w:rPr>
              <w:t xml:space="preserve">(on demand </w:t>
            </w:r>
            <w:r w:rsidR="00182FA9" w:rsidRPr="000119D2">
              <w:rPr>
                <w:sz w:val="18"/>
                <w:szCs w:val="18"/>
              </w:rPr>
              <w:t>from programme countries</w:t>
            </w:r>
            <w:r w:rsidR="00182FA9" w:rsidRPr="000119D2">
              <w:rPr>
                <w:rFonts w:ascii="Calibri" w:eastAsia="Calibri" w:hAnsi="Calibri"/>
                <w:sz w:val="18"/>
                <w:szCs w:val="18"/>
              </w:rPr>
              <w:t>)</w:t>
            </w:r>
            <w:r w:rsidR="008C4FB3" w:rsidRPr="000119D2">
              <w:rPr>
                <w:rFonts w:ascii="Calibri" w:eastAsia="Calibri" w:hAnsi="Calibri"/>
                <w:sz w:val="18"/>
                <w:szCs w:val="18"/>
              </w:rPr>
              <w:t xml:space="preserve"> </w:t>
            </w:r>
            <w:r w:rsidR="008C4FB3" w:rsidRPr="000119D2">
              <w:rPr>
                <w:rFonts w:eastAsia="Calibri"/>
                <w:sz w:val="18"/>
                <w:szCs w:val="18"/>
              </w:rPr>
              <w:t>from January 2014 onwards</w:t>
            </w:r>
            <w:r w:rsidR="00182FA9" w:rsidRPr="000119D2">
              <w:rPr>
                <w:sz w:val="18"/>
                <w:szCs w:val="18"/>
              </w:rPr>
              <w:t xml:space="preserve"> </w:t>
            </w:r>
            <w:r w:rsidR="009602DA" w:rsidRPr="000119D2">
              <w:rPr>
                <w:sz w:val="18"/>
                <w:szCs w:val="18"/>
              </w:rPr>
              <w:t>that are</w:t>
            </w:r>
            <w:r w:rsidR="005D3ACF" w:rsidRPr="000119D2">
              <w:rPr>
                <w:rFonts w:eastAsia="Calibri"/>
                <w:sz w:val="18"/>
                <w:szCs w:val="18"/>
              </w:rPr>
              <w:t xml:space="preserve"> informed by multi-hazard disaster and climate risk assessments, </w:t>
            </w:r>
            <w:r w:rsidR="00A11A30" w:rsidRPr="000119D2">
              <w:rPr>
                <w:rFonts w:eastAsia="Calibri"/>
                <w:sz w:val="18"/>
                <w:szCs w:val="18"/>
              </w:rPr>
              <w:t>identifying</w:t>
            </w:r>
            <w:r w:rsidR="005D3ACF" w:rsidRPr="000119D2">
              <w:rPr>
                <w:rFonts w:eastAsia="Calibri"/>
                <w:sz w:val="18"/>
                <w:szCs w:val="18"/>
              </w:rPr>
              <w:t xml:space="preserve"> </w:t>
            </w:r>
            <w:r w:rsidR="00A11A30" w:rsidRPr="000119D2">
              <w:rPr>
                <w:rFonts w:eastAsia="Calibri"/>
                <w:sz w:val="18"/>
                <w:szCs w:val="18"/>
              </w:rPr>
              <w:t>those that</w:t>
            </w:r>
            <w:r w:rsidR="005D3ACF" w:rsidRPr="000119D2">
              <w:rPr>
                <w:rFonts w:eastAsia="Calibri"/>
                <w:sz w:val="18"/>
                <w:szCs w:val="18"/>
              </w:rPr>
              <w:t xml:space="preserve"> differentiat</w:t>
            </w:r>
            <w:r w:rsidR="00A11A30" w:rsidRPr="000119D2">
              <w:rPr>
                <w:rFonts w:eastAsia="Calibri"/>
                <w:sz w:val="18"/>
                <w:szCs w:val="18"/>
              </w:rPr>
              <w:t>e</w:t>
            </w:r>
            <w:r w:rsidR="005D3ACF" w:rsidRPr="000119D2">
              <w:rPr>
                <w:rFonts w:eastAsia="Calibri"/>
                <w:sz w:val="18"/>
                <w:szCs w:val="18"/>
              </w:rPr>
              <w:t xml:space="preserve"> impact on target groups</w:t>
            </w:r>
            <w:r w:rsidR="005E73D8" w:rsidRPr="000119D2">
              <w:rPr>
                <w:rFonts w:eastAsia="Calibri"/>
                <w:sz w:val="18"/>
                <w:szCs w:val="18"/>
              </w:rPr>
              <w:t>.</w:t>
            </w:r>
          </w:p>
          <w:p w14:paraId="40BA2118" w14:textId="7536C9E6" w:rsidR="003A05B4" w:rsidRPr="000119D2" w:rsidRDefault="003A05B4" w:rsidP="002A5EB8">
            <w:pPr>
              <w:spacing w:after="0" w:line="240" w:lineRule="auto"/>
              <w:rPr>
                <w:rFonts w:ascii="Calibri" w:eastAsia="Calibri" w:hAnsi="Calibri" w:cs="Times New Roman"/>
                <w:b/>
                <w:sz w:val="18"/>
                <w:szCs w:val="18"/>
                <w:lang w:eastAsia="en-US"/>
              </w:rPr>
            </w:pPr>
            <w:r w:rsidRPr="000119D2">
              <w:rPr>
                <w:rFonts w:eastAsia="Calibri"/>
                <w:b/>
                <w:sz w:val="18"/>
                <w:szCs w:val="18"/>
              </w:rPr>
              <w:t xml:space="preserve">2014 Reporting Note: </w:t>
            </w:r>
            <w:r w:rsidRPr="000119D2">
              <w:rPr>
                <w:rFonts w:eastAsia="Calibri"/>
                <w:sz w:val="18"/>
                <w:szCs w:val="18"/>
              </w:rPr>
              <w:t xml:space="preserve">2014 </w:t>
            </w:r>
            <w:r w:rsidR="00640B0E" w:rsidRPr="000119D2">
              <w:rPr>
                <w:rFonts w:eastAsia="Calibri"/>
                <w:sz w:val="18"/>
                <w:szCs w:val="18"/>
              </w:rPr>
              <w:t>m</w:t>
            </w:r>
            <w:r w:rsidRPr="000119D2">
              <w:rPr>
                <w:rFonts w:eastAsia="Calibri"/>
                <w:sz w:val="18"/>
                <w:szCs w:val="18"/>
              </w:rPr>
              <w:t>ilestone</w:t>
            </w:r>
            <w:r w:rsidR="000273F3" w:rsidRPr="000119D2">
              <w:rPr>
                <w:rFonts w:eastAsia="Calibri"/>
                <w:sz w:val="18"/>
                <w:szCs w:val="18"/>
              </w:rPr>
              <w:t xml:space="preserve"> </w:t>
            </w:r>
            <w:r w:rsidR="00640B0E" w:rsidRPr="000119D2">
              <w:rPr>
                <w:rFonts w:eastAsia="Calibri"/>
                <w:sz w:val="18"/>
                <w:szCs w:val="18"/>
              </w:rPr>
              <w:t xml:space="preserve">and </w:t>
            </w:r>
            <w:r w:rsidR="00C34C65" w:rsidRPr="000119D2">
              <w:rPr>
                <w:rFonts w:eastAsia="Calibri"/>
                <w:sz w:val="18"/>
                <w:szCs w:val="18"/>
              </w:rPr>
              <w:t xml:space="preserve">2017 </w:t>
            </w:r>
            <w:r w:rsidR="00640B0E" w:rsidRPr="000119D2">
              <w:rPr>
                <w:rFonts w:eastAsia="Calibri"/>
                <w:sz w:val="18"/>
                <w:szCs w:val="18"/>
              </w:rPr>
              <w:t xml:space="preserve">target </w:t>
            </w:r>
            <w:r w:rsidR="000273F3" w:rsidRPr="000119D2">
              <w:rPr>
                <w:rFonts w:eastAsia="Calibri"/>
                <w:sz w:val="18"/>
                <w:szCs w:val="18"/>
              </w:rPr>
              <w:t>for part (a)</w:t>
            </w:r>
            <w:r w:rsidRPr="000119D2">
              <w:rPr>
                <w:rFonts w:eastAsia="Calibri"/>
                <w:sz w:val="18"/>
                <w:szCs w:val="18"/>
              </w:rPr>
              <w:t xml:space="preserve"> updated to reflect more complete reporting from country offices. For reference, previous 2014 milestone</w:t>
            </w:r>
            <w:r w:rsidR="00E57BBE" w:rsidRPr="000119D2">
              <w:rPr>
                <w:rFonts w:eastAsia="Calibri"/>
                <w:sz w:val="18"/>
                <w:szCs w:val="18"/>
              </w:rPr>
              <w:t xml:space="preserve"> for a) was 73</w:t>
            </w:r>
            <w:r w:rsidR="00640B0E" w:rsidRPr="000119D2">
              <w:rPr>
                <w:rFonts w:eastAsia="Calibri"/>
                <w:sz w:val="18"/>
                <w:szCs w:val="18"/>
              </w:rPr>
              <w:t>, previous target for a) was 253</w:t>
            </w:r>
            <w:r w:rsidR="00E57BBE" w:rsidRPr="000119D2">
              <w:rPr>
                <w:rFonts w:eastAsia="Calibri"/>
                <w:sz w:val="18"/>
                <w:szCs w:val="18"/>
              </w:rPr>
              <w:t xml:space="preserve">. </w:t>
            </w:r>
            <w:r w:rsidR="00F1717B" w:rsidRPr="000119D2">
              <w:rPr>
                <w:rFonts w:eastAsia="Calibri"/>
                <w:sz w:val="18"/>
                <w:szCs w:val="18"/>
              </w:rPr>
              <w:t>*</w:t>
            </w:r>
            <w:r w:rsidR="00463E1C" w:rsidRPr="000119D2">
              <w:rPr>
                <w:rFonts w:eastAsia="Calibri"/>
                <w:sz w:val="18"/>
                <w:szCs w:val="18"/>
              </w:rPr>
              <w:t xml:space="preserve">Country reporting on </w:t>
            </w:r>
            <w:r w:rsidR="000119D2" w:rsidRPr="000119D2">
              <w:rPr>
                <w:rFonts w:eastAsia="Calibri"/>
                <w:sz w:val="18"/>
                <w:szCs w:val="18"/>
              </w:rPr>
              <w:t>sub-indicator 5.1.2.b</w:t>
            </w:r>
            <w:r w:rsidR="00463E1C" w:rsidRPr="000119D2">
              <w:rPr>
                <w:rFonts w:eastAsia="Calibri"/>
                <w:sz w:val="18"/>
                <w:szCs w:val="18"/>
              </w:rPr>
              <w:t xml:space="preserve"> </w:t>
            </w:r>
            <w:r w:rsidR="000273F3" w:rsidRPr="000119D2">
              <w:rPr>
                <w:rFonts w:eastAsia="Calibri"/>
                <w:sz w:val="18"/>
                <w:szCs w:val="18"/>
              </w:rPr>
              <w:t>was affected by a</w:t>
            </w:r>
            <w:r w:rsidR="002A5EB8">
              <w:rPr>
                <w:rFonts w:eastAsia="Calibri"/>
                <w:sz w:val="18"/>
                <w:szCs w:val="18"/>
              </w:rPr>
              <w:t xml:space="preserve"> glitch in the</w:t>
            </w:r>
            <w:r w:rsidR="000273F3" w:rsidRPr="000119D2">
              <w:rPr>
                <w:rFonts w:eastAsia="Calibri"/>
                <w:sz w:val="18"/>
                <w:szCs w:val="18"/>
              </w:rPr>
              <w:t xml:space="preserve"> </w:t>
            </w:r>
            <w:r w:rsidR="000119D2">
              <w:rPr>
                <w:rFonts w:eastAsia="Calibri"/>
                <w:sz w:val="18"/>
                <w:szCs w:val="18"/>
              </w:rPr>
              <w:t>data capture</w:t>
            </w:r>
            <w:r w:rsidR="000119D2" w:rsidRPr="000119D2">
              <w:rPr>
                <w:rFonts w:eastAsia="Calibri"/>
                <w:sz w:val="18"/>
                <w:szCs w:val="18"/>
              </w:rPr>
              <w:t xml:space="preserve"> </w:t>
            </w:r>
            <w:r w:rsidR="000273F3" w:rsidRPr="000119D2">
              <w:rPr>
                <w:rFonts w:eastAsia="Calibri"/>
                <w:sz w:val="18"/>
                <w:szCs w:val="18"/>
              </w:rPr>
              <w:t>system which prevented countries from viewing milestones</w:t>
            </w:r>
            <w:r w:rsidR="000119D2">
              <w:rPr>
                <w:rFonts w:eastAsia="Calibri"/>
                <w:sz w:val="18"/>
                <w:szCs w:val="18"/>
              </w:rPr>
              <w:t>,</w:t>
            </w:r>
            <w:r w:rsidR="000273F3" w:rsidRPr="000119D2">
              <w:rPr>
                <w:rFonts w:eastAsia="Calibri"/>
                <w:sz w:val="18"/>
                <w:szCs w:val="18"/>
              </w:rPr>
              <w:t xml:space="preserve"> </w:t>
            </w:r>
            <w:r w:rsidR="000119D2">
              <w:rPr>
                <w:rFonts w:eastAsia="Calibri"/>
                <w:sz w:val="18"/>
                <w:szCs w:val="18"/>
              </w:rPr>
              <w:t xml:space="preserve">and </w:t>
            </w:r>
            <w:r w:rsidR="000273F3" w:rsidRPr="000119D2">
              <w:rPr>
                <w:rFonts w:eastAsia="Calibri"/>
                <w:sz w:val="18"/>
                <w:szCs w:val="18"/>
              </w:rPr>
              <w:t xml:space="preserve">led to partial reporting of 2014 actuals. </w:t>
            </w:r>
            <w:r w:rsidR="00F1717B" w:rsidRPr="000119D2">
              <w:rPr>
                <w:rFonts w:eastAsia="Calibri"/>
                <w:sz w:val="18"/>
                <w:szCs w:val="18"/>
              </w:rPr>
              <w:t>Partial data is shown here but is</w:t>
            </w:r>
            <w:r w:rsidR="000273F3" w:rsidRPr="000119D2">
              <w:rPr>
                <w:rFonts w:eastAsia="Calibri"/>
                <w:sz w:val="18"/>
                <w:szCs w:val="18"/>
              </w:rPr>
              <w:t xml:space="preserve"> too incomplete to allow traffic light assessment</w:t>
            </w:r>
            <w:r w:rsidR="00463E1C" w:rsidRPr="000119D2">
              <w:rPr>
                <w:rFonts w:eastAsia="Calibri"/>
                <w:sz w:val="18"/>
                <w:szCs w:val="18"/>
              </w:rPr>
              <w:t xml:space="preserve">. </w:t>
            </w:r>
          </w:p>
        </w:tc>
      </w:tr>
      <w:tr w:rsidR="00B11D34" w:rsidRPr="00015A57" w14:paraId="226A7EFF" w14:textId="77777777" w:rsidTr="000119D2">
        <w:trPr>
          <w:gridAfter w:val="1"/>
          <w:wAfter w:w="18" w:type="dxa"/>
          <w:trHeight w:val="773"/>
          <w:jc w:val="center"/>
        </w:trPr>
        <w:tc>
          <w:tcPr>
            <w:tcW w:w="3325" w:type="dxa"/>
            <w:gridSpan w:val="2"/>
            <w:vMerge w:val="restart"/>
            <w:tcBorders>
              <w:top w:val="single" w:sz="4" w:space="0" w:color="auto"/>
              <w:left w:val="single" w:sz="4" w:space="0" w:color="auto"/>
              <w:right w:val="single" w:sz="4" w:space="0" w:color="auto"/>
            </w:tcBorders>
            <w:shd w:val="clear" w:color="auto" w:fill="FFFFFF"/>
          </w:tcPr>
          <w:p w14:paraId="3A4F6C3A" w14:textId="38F134F4" w:rsidR="00B11D34" w:rsidRDefault="00B11D34" w:rsidP="00B11D34">
            <w:pPr>
              <w:spacing w:after="0" w:line="240" w:lineRule="auto"/>
              <w:rPr>
                <w:rFonts w:eastAsia="Calibri"/>
                <w:sz w:val="20"/>
                <w:szCs w:val="20"/>
              </w:rPr>
            </w:pPr>
            <w:r w:rsidRPr="00B66E9F">
              <w:rPr>
                <w:rFonts w:eastAsia="Calibri"/>
                <w:b/>
                <w:sz w:val="20"/>
                <w:szCs w:val="20"/>
              </w:rPr>
              <w:t>Output 5.2.</w:t>
            </w:r>
            <w:r w:rsidRPr="00B66E9F">
              <w:rPr>
                <w:rFonts w:eastAsia="Calibri"/>
                <w:sz w:val="20"/>
                <w:szCs w:val="20"/>
              </w:rPr>
              <w:t xml:space="preserve"> Effective institutional, legislative and </w:t>
            </w:r>
            <w:r>
              <w:rPr>
                <w:rFonts w:eastAsia="Calibri"/>
                <w:sz w:val="20"/>
                <w:szCs w:val="20"/>
              </w:rPr>
              <w:t xml:space="preserve">policy frameworks </w:t>
            </w:r>
            <w:r w:rsidRPr="00B66E9F">
              <w:rPr>
                <w:rFonts w:eastAsia="Calibri"/>
                <w:sz w:val="20"/>
                <w:szCs w:val="20"/>
              </w:rPr>
              <w:t>in place to enhance the implementation of disaster and climate risk management measures at national and sub-national levels</w:t>
            </w:r>
          </w:p>
          <w:p w14:paraId="13F7D0CE" w14:textId="77777777" w:rsidR="00B11D34" w:rsidRDefault="00B11D34" w:rsidP="00B11D34">
            <w:pPr>
              <w:spacing w:after="0" w:line="240" w:lineRule="auto"/>
              <w:rPr>
                <w:rFonts w:eastAsia="Calibri"/>
                <w:sz w:val="20"/>
                <w:szCs w:val="20"/>
              </w:rPr>
            </w:pPr>
          </w:p>
          <w:p w14:paraId="7E5AB31B" w14:textId="338B46C6" w:rsidR="00CE35AD" w:rsidRDefault="00CE35AD" w:rsidP="00CE35AD">
            <w:pPr>
              <w:spacing w:after="0" w:line="240" w:lineRule="auto"/>
              <w:rPr>
                <w:rFonts w:ascii="Calibri" w:eastAsia="Calibri" w:hAnsi="Calibri"/>
                <w:b/>
                <w:color w:val="000000"/>
                <w:sz w:val="18"/>
                <w:szCs w:val="18"/>
              </w:rPr>
            </w:pPr>
            <w:r w:rsidRPr="00B359E7">
              <w:rPr>
                <w:rFonts w:ascii="Calibri" w:eastAsia="Calibri" w:hAnsi="Calibri"/>
                <w:b/>
                <w:i/>
                <w:color w:val="000000"/>
                <w:sz w:val="18"/>
                <w:szCs w:val="18"/>
              </w:rPr>
              <w:t>Number of countries linked:</w:t>
            </w:r>
            <w:r>
              <w:rPr>
                <w:rFonts w:ascii="Calibri" w:eastAsia="Calibri" w:hAnsi="Calibri"/>
                <w:b/>
                <w:color w:val="000000"/>
                <w:sz w:val="18"/>
                <w:szCs w:val="18"/>
              </w:rPr>
              <w:t xml:space="preserve"> 7</w:t>
            </w:r>
            <w:r w:rsidR="002421EE">
              <w:rPr>
                <w:rFonts w:ascii="Calibri" w:eastAsia="Calibri" w:hAnsi="Calibri"/>
                <w:b/>
                <w:color w:val="000000"/>
                <w:sz w:val="18"/>
                <w:szCs w:val="18"/>
              </w:rPr>
              <w:t>2</w:t>
            </w:r>
            <w:r>
              <w:rPr>
                <w:rFonts w:ascii="Calibri" w:eastAsia="Calibri" w:hAnsi="Calibri"/>
                <w:b/>
                <w:color w:val="000000"/>
                <w:sz w:val="18"/>
                <w:szCs w:val="18"/>
              </w:rPr>
              <w:t xml:space="preserve"> </w:t>
            </w:r>
          </w:p>
          <w:p w14:paraId="2512193F" w14:textId="78960C1D" w:rsidR="00B11D34" w:rsidRPr="00337287" w:rsidRDefault="00CE35AD" w:rsidP="00CE35AD">
            <w:pPr>
              <w:spacing w:after="0" w:line="240" w:lineRule="auto"/>
              <w:rPr>
                <w:rFonts w:eastAsia="Calibri"/>
                <w:color w:val="000000"/>
                <w:sz w:val="20"/>
              </w:rPr>
            </w:pPr>
            <w:r>
              <w:rPr>
                <w:rFonts w:ascii="Calibri" w:eastAsia="Calibri" w:hAnsi="Calibri"/>
                <w:b/>
                <w:color w:val="000000"/>
                <w:sz w:val="18"/>
                <w:szCs w:val="18"/>
              </w:rPr>
              <w:t>(February 2015</w:t>
            </w:r>
            <w:r w:rsidRPr="00B359E7">
              <w:rPr>
                <w:rFonts w:ascii="Calibri" w:eastAsia="Calibri" w:hAnsi="Calibri"/>
                <w:b/>
                <w:color w:val="000000"/>
                <w:sz w:val="18"/>
                <w:szCs w:val="18"/>
              </w:rPr>
              <w:t>)</w:t>
            </w:r>
          </w:p>
        </w:tc>
        <w:tc>
          <w:tcPr>
            <w:tcW w:w="720" w:type="dxa"/>
            <w:vMerge w:val="restart"/>
            <w:tcBorders>
              <w:top w:val="single" w:sz="4" w:space="0" w:color="auto"/>
              <w:left w:val="single" w:sz="4" w:space="0" w:color="auto"/>
              <w:right w:val="single" w:sz="4" w:space="0" w:color="auto"/>
            </w:tcBorders>
            <w:shd w:val="clear" w:color="auto" w:fill="FFFFFF"/>
          </w:tcPr>
          <w:p w14:paraId="425F5862" w14:textId="77777777" w:rsidR="00B11D34" w:rsidRPr="00061A76" w:rsidRDefault="00B11D34" w:rsidP="00B11D34">
            <w:pPr>
              <w:spacing w:after="0" w:line="240" w:lineRule="auto"/>
              <w:rPr>
                <w:rFonts w:eastAsia="Calibri"/>
                <w:b/>
                <w:sz w:val="20"/>
                <w:szCs w:val="20"/>
              </w:rPr>
            </w:pPr>
            <w:r w:rsidRPr="00061A76">
              <w:rPr>
                <w:rFonts w:eastAsia="Calibri"/>
                <w:b/>
                <w:sz w:val="20"/>
                <w:szCs w:val="20"/>
              </w:rPr>
              <w:t>5.2.1</w:t>
            </w:r>
          </w:p>
        </w:tc>
        <w:tc>
          <w:tcPr>
            <w:tcW w:w="5310" w:type="dxa"/>
            <w:tcBorders>
              <w:top w:val="single" w:sz="4" w:space="0" w:color="auto"/>
              <w:left w:val="single" w:sz="4" w:space="0" w:color="auto"/>
              <w:bottom w:val="single" w:sz="4" w:space="0" w:color="auto"/>
              <w:right w:val="single" w:sz="4" w:space="0" w:color="auto"/>
            </w:tcBorders>
            <w:shd w:val="clear" w:color="auto" w:fill="FFFFFF"/>
          </w:tcPr>
          <w:p w14:paraId="5ECE80EA" w14:textId="452F01EF" w:rsidR="00B11D34" w:rsidRPr="0013161E" w:rsidRDefault="00B11D34" w:rsidP="00B11D34">
            <w:pPr>
              <w:spacing w:after="0" w:line="240" w:lineRule="auto"/>
              <w:rPr>
                <w:rFonts w:eastAsia="Calibri"/>
                <w:sz w:val="20"/>
                <w:szCs w:val="20"/>
              </w:rPr>
            </w:pPr>
            <w:r w:rsidRPr="0013161E">
              <w:rPr>
                <w:rFonts w:eastAsia="Calibri"/>
                <w:sz w:val="20"/>
                <w:szCs w:val="20"/>
              </w:rPr>
              <w:t>Number of</w:t>
            </w:r>
            <w:r w:rsidR="009A0E22" w:rsidRPr="0013161E">
              <w:rPr>
                <w:rFonts w:eastAsia="Calibri"/>
                <w:sz w:val="20"/>
                <w:szCs w:val="20"/>
              </w:rPr>
              <w:t xml:space="preserve"> </w:t>
            </w:r>
            <w:r w:rsidR="009A0E22" w:rsidRPr="000B5DED">
              <w:rPr>
                <w:rFonts w:eastAsia="Calibri"/>
                <w:b/>
                <w:sz w:val="20"/>
                <w:szCs w:val="20"/>
              </w:rPr>
              <w:t>new</w:t>
            </w:r>
            <w:r w:rsidRPr="0013161E">
              <w:rPr>
                <w:rFonts w:eastAsia="Calibri"/>
                <w:sz w:val="20"/>
                <w:szCs w:val="20"/>
              </w:rPr>
              <w:t xml:space="preserve"> </w:t>
            </w:r>
            <w:r w:rsidRPr="0013161E">
              <w:rPr>
                <w:rFonts w:eastAsia="Calibri"/>
                <w:b/>
                <w:sz w:val="20"/>
                <w:szCs w:val="20"/>
              </w:rPr>
              <w:t>disaster reduction</w:t>
            </w:r>
            <w:r w:rsidRPr="0013161E">
              <w:rPr>
                <w:rFonts w:eastAsia="Calibri"/>
                <w:sz w:val="20"/>
                <w:szCs w:val="20"/>
              </w:rPr>
              <w:t xml:space="preserve"> and/or </w:t>
            </w:r>
            <w:r w:rsidRPr="0013161E">
              <w:rPr>
                <w:rFonts w:eastAsia="Calibri"/>
                <w:b/>
                <w:sz w:val="20"/>
                <w:szCs w:val="20"/>
              </w:rPr>
              <w:t xml:space="preserve">integrated disaster risk reduction and adaptation plans </w:t>
            </w:r>
            <w:r w:rsidRPr="0013161E">
              <w:rPr>
                <w:rFonts w:eastAsia="Calibri"/>
                <w:sz w:val="20"/>
                <w:szCs w:val="20"/>
              </w:rPr>
              <w:t>(disaggregated by gender responsiveness), and dedicated i</w:t>
            </w:r>
            <w:r w:rsidRPr="0013161E">
              <w:rPr>
                <w:rFonts w:eastAsia="Calibri"/>
                <w:b/>
                <w:sz w:val="20"/>
                <w:szCs w:val="20"/>
              </w:rPr>
              <w:t>nstitutional frameworks and multi-stakeholder coordination mechanisms</w:t>
            </w:r>
            <w:r w:rsidRPr="0013161E">
              <w:rPr>
                <w:rFonts w:eastAsia="Calibri"/>
                <w:sz w:val="20"/>
                <w:szCs w:val="20"/>
              </w:rPr>
              <w:t xml:space="preserve">, </w:t>
            </w:r>
            <w:r w:rsidR="005E73D8" w:rsidRPr="0013161E">
              <w:rPr>
                <w:rFonts w:eastAsia="Calibri"/>
                <w:sz w:val="20"/>
                <w:szCs w:val="20"/>
              </w:rPr>
              <w:t xml:space="preserve">put </w:t>
            </w:r>
            <w:r w:rsidRPr="0013161E">
              <w:rPr>
                <w:rFonts w:eastAsia="Calibri"/>
                <w:sz w:val="20"/>
                <w:szCs w:val="20"/>
              </w:rPr>
              <w:t>in place.</w:t>
            </w:r>
          </w:p>
          <w:p w14:paraId="33347EA1" w14:textId="775DB04F" w:rsidR="00B11D34" w:rsidRPr="0013161E" w:rsidRDefault="00B11D34" w:rsidP="006F161D">
            <w:pPr>
              <w:pStyle w:val="ListParagraph"/>
              <w:numPr>
                <w:ilvl w:val="0"/>
                <w:numId w:val="37"/>
              </w:numPr>
              <w:rPr>
                <w:rFonts w:eastAsia="Calibri"/>
                <w:sz w:val="20"/>
                <w:szCs w:val="20"/>
              </w:rPr>
            </w:pPr>
            <w:r w:rsidRPr="0013161E">
              <w:rPr>
                <w:rFonts w:eastAsia="Calibri"/>
                <w:sz w:val="20"/>
                <w:szCs w:val="20"/>
              </w:rPr>
              <w:t xml:space="preserve">Number of new </w:t>
            </w:r>
            <w:r w:rsidR="008C4FB3" w:rsidRPr="0013161E">
              <w:rPr>
                <w:rFonts w:eastAsia="Calibri"/>
                <w:sz w:val="20"/>
                <w:szCs w:val="20"/>
              </w:rPr>
              <w:t>instruments</w:t>
            </w:r>
            <w:r w:rsidRPr="0013161E">
              <w:rPr>
                <w:rFonts w:eastAsia="Calibri"/>
                <w:sz w:val="20"/>
                <w:szCs w:val="20"/>
              </w:rPr>
              <w:t xml:space="preserve"> in place</w:t>
            </w:r>
          </w:p>
          <w:p w14:paraId="04AC240D" w14:textId="77777777" w:rsidR="00B11D34" w:rsidRPr="0013161E" w:rsidRDefault="00B11D34" w:rsidP="006F161D">
            <w:pPr>
              <w:pStyle w:val="ListParagraph"/>
              <w:numPr>
                <w:ilvl w:val="0"/>
                <w:numId w:val="37"/>
              </w:numPr>
              <w:rPr>
                <w:rFonts w:eastAsia="Calibri"/>
                <w:sz w:val="20"/>
                <w:szCs w:val="20"/>
              </w:rPr>
            </w:pPr>
            <w:r w:rsidRPr="0013161E">
              <w:rPr>
                <w:rFonts w:eastAsia="Calibri"/>
                <w:sz w:val="20"/>
                <w:szCs w:val="20"/>
              </w:rPr>
              <w:t xml:space="preserve">Number of new </w:t>
            </w:r>
            <w:r w:rsidR="008C4FB3" w:rsidRPr="0013161E">
              <w:rPr>
                <w:rFonts w:eastAsia="Calibri"/>
                <w:sz w:val="20"/>
                <w:szCs w:val="20"/>
              </w:rPr>
              <w:t>instruments</w:t>
            </w:r>
            <w:r w:rsidRPr="0013161E">
              <w:rPr>
                <w:rFonts w:eastAsia="Calibri"/>
                <w:sz w:val="20"/>
                <w:szCs w:val="20"/>
              </w:rPr>
              <w:t xml:space="preserve"> which are gender responsive</w:t>
            </w:r>
          </w:p>
          <w:p w14:paraId="7FEAB65C" w14:textId="53459D95" w:rsidR="00546E49" w:rsidRPr="0013161E" w:rsidRDefault="00546E49" w:rsidP="00D37201">
            <w:pPr>
              <w:spacing w:before="240" w:after="0"/>
              <w:rPr>
                <w:rFonts w:eastAsia="Calibri"/>
                <w:sz w:val="20"/>
                <w:szCs w:val="20"/>
              </w:rPr>
            </w:pPr>
            <w:r w:rsidRPr="0013161E">
              <w:rPr>
                <w:rFonts w:eastAsia="Calibri"/>
                <w:b/>
                <w:i/>
                <w:sz w:val="18"/>
                <w:szCs w:val="18"/>
              </w:rPr>
              <w:t xml:space="preserve">Number of countries </w:t>
            </w:r>
            <w:r w:rsidR="00983FF8" w:rsidRPr="0013161E">
              <w:rPr>
                <w:rFonts w:eastAsia="Calibri"/>
                <w:b/>
                <w:i/>
                <w:sz w:val="18"/>
                <w:szCs w:val="18"/>
              </w:rPr>
              <w:t>for which a 2017 target has currently been set under this indicator</w:t>
            </w:r>
            <w:r w:rsidR="007166A1" w:rsidRPr="0013161E">
              <w:rPr>
                <w:rFonts w:eastAsia="Calibri"/>
                <w:b/>
                <w:i/>
                <w:sz w:val="18"/>
                <w:szCs w:val="18"/>
              </w:rPr>
              <w:t>: a) 5</w:t>
            </w:r>
            <w:r w:rsidR="00A358D0" w:rsidRPr="0013161E">
              <w:rPr>
                <w:rFonts w:eastAsia="Calibri"/>
                <w:b/>
                <w:i/>
                <w:sz w:val="18"/>
                <w:szCs w:val="18"/>
              </w:rPr>
              <w:t>7, b) 43</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6A62D963" w14:textId="77777777" w:rsidR="00B11D34" w:rsidRPr="00B11D34" w:rsidRDefault="00B11D34" w:rsidP="00B11D34">
            <w:pPr>
              <w:spacing w:after="0" w:line="240" w:lineRule="auto"/>
              <w:jc w:val="center"/>
              <w:rPr>
                <w:sz w:val="20"/>
                <w:szCs w:val="20"/>
              </w:rPr>
            </w:pPr>
          </w:p>
          <w:p w14:paraId="6D3A8F71" w14:textId="77777777" w:rsidR="00B11D34" w:rsidRPr="00B11D34" w:rsidRDefault="00B11D34" w:rsidP="00B11D34">
            <w:pPr>
              <w:spacing w:after="0" w:line="240" w:lineRule="auto"/>
              <w:jc w:val="center"/>
              <w:rPr>
                <w:sz w:val="20"/>
                <w:szCs w:val="20"/>
              </w:rPr>
            </w:pPr>
          </w:p>
          <w:p w14:paraId="7A9DD224" w14:textId="77777777" w:rsidR="00B11D34" w:rsidRPr="00B11D34" w:rsidRDefault="00B11D34" w:rsidP="00B11D34">
            <w:pPr>
              <w:spacing w:after="0" w:line="240" w:lineRule="auto"/>
              <w:jc w:val="center"/>
              <w:rPr>
                <w:sz w:val="20"/>
                <w:szCs w:val="20"/>
              </w:rPr>
            </w:pPr>
          </w:p>
          <w:p w14:paraId="1393A518" w14:textId="77777777" w:rsidR="00B11D34" w:rsidRPr="00B11D34" w:rsidRDefault="00B11D34" w:rsidP="00B11D34">
            <w:pPr>
              <w:spacing w:after="0" w:line="240" w:lineRule="auto"/>
              <w:jc w:val="center"/>
              <w:rPr>
                <w:sz w:val="20"/>
                <w:szCs w:val="20"/>
              </w:rPr>
            </w:pPr>
          </w:p>
          <w:p w14:paraId="2231407E" w14:textId="77777777" w:rsidR="00B11D34" w:rsidRPr="00B11D34" w:rsidRDefault="002F3DCC" w:rsidP="00B11D34">
            <w:pPr>
              <w:spacing w:after="0" w:line="240" w:lineRule="auto"/>
              <w:jc w:val="center"/>
              <w:rPr>
                <w:sz w:val="20"/>
                <w:szCs w:val="20"/>
              </w:rPr>
            </w:pPr>
            <w:r>
              <w:rPr>
                <w:sz w:val="20"/>
                <w:szCs w:val="20"/>
              </w:rPr>
              <w:t>0</w:t>
            </w:r>
          </w:p>
          <w:p w14:paraId="5683F325" w14:textId="77777777" w:rsidR="00B11D34" w:rsidRPr="00B11D34" w:rsidRDefault="00B11D34" w:rsidP="00B11D34">
            <w:pPr>
              <w:spacing w:after="0" w:line="240" w:lineRule="auto"/>
              <w:jc w:val="center"/>
              <w:rPr>
                <w:sz w:val="20"/>
                <w:szCs w:val="20"/>
              </w:rPr>
            </w:pPr>
            <w:r w:rsidRPr="00B11D34">
              <w:rPr>
                <w:sz w:val="20"/>
                <w:szCs w:val="20"/>
              </w:rPr>
              <w:t xml:space="preserve">0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14:paraId="1F13B653" w14:textId="77777777" w:rsidR="00B11D34" w:rsidRPr="00B11D34" w:rsidRDefault="00B11D34" w:rsidP="00B11D34">
            <w:pPr>
              <w:spacing w:after="0" w:line="240" w:lineRule="auto"/>
              <w:jc w:val="center"/>
              <w:rPr>
                <w:sz w:val="20"/>
                <w:szCs w:val="20"/>
              </w:rPr>
            </w:pPr>
          </w:p>
          <w:p w14:paraId="5246467F" w14:textId="77777777" w:rsidR="00B11D34" w:rsidRPr="00B11D34" w:rsidRDefault="00B11D34" w:rsidP="00B11D34">
            <w:pPr>
              <w:spacing w:after="0" w:line="240" w:lineRule="auto"/>
              <w:jc w:val="center"/>
              <w:rPr>
                <w:sz w:val="20"/>
                <w:szCs w:val="20"/>
              </w:rPr>
            </w:pPr>
          </w:p>
          <w:p w14:paraId="6D0B66C0" w14:textId="77777777" w:rsidR="00B11D34" w:rsidRPr="00B11D34" w:rsidRDefault="00B11D34" w:rsidP="00B11D34">
            <w:pPr>
              <w:spacing w:after="0" w:line="240" w:lineRule="auto"/>
              <w:jc w:val="center"/>
              <w:rPr>
                <w:sz w:val="20"/>
                <w:szCs w:val="20"/>
              </w:rPr>
            </w:pPr>
          </w:p>
          <w:p w14:paraId="6971D42D" w14:textId="77777777" w:rsidR="00B11D34" w:rsidRPr="00B11D34" w:rsidRDefault="00B11D34" w:rsidP="00B11D34">
            <w:pPr>
              <w:spacing w:after="0" w:line="240" w:lineRule="auto"/>
              <w:jc w:val="center"/>
              <w:rPr>
                <w:sz w:val="20"/>
                <w:szCs w:val="20"/>
              </w:rPr>
            </w:pPr>
          </w:p>
          <w:p w14:paraId="4EE5A913" w14:textId="4FF34D03" w:rsidR="00B11D34" w:rsidRPr="00B11D34" w:rsidRDefault="003A05B4" w:rsidP="00B11D34">
            <w:pPr>
              <w:spacing w:after="0" w:line="240" w:lineRule="auto"/>
              <w:jc w:val="center"/>
              <w:rPr>
                <w:sz w:val="20"/>
                <w:szCs w:val="20"/>
              </w:rPr>
            </w:pPr>
            <w:r>
              <w:rPr>
                <w:sz w:val="20"/>
                <w:szCs w:val="20"/>
              </w:rPr>
              <w:t>90</w:t>
            </w:r>
          </w:p>
          <w:p w14:paraId="5B9418DD" w14:textId="4092541E" w:rsidR="00B11D34" w:rsidRPr="00B11D34" w:rsidRDefault="003A05B4" w:rsidP="00B11D34">
            <w:pPr>
              <w:spacing w:after="0" w:line="240" w:lineRule="auto"/>
              <w:jc w:val="center"/>
              <w:rPr>
                <w:sz w:val="20"/>
                <w:szCs w:val="20"/>
              </w:rPr>
            </w:pPr>
            <w:r>
              <w:rPr>
                <w:sz w:val="20"/>
                <w:szCs w:val="20"/>
              </w:rPr>
              <w:t>63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14:paraId="5B8AC3C1" w14:textId="77777777" w:rsidR="00B11D34" w:rsidRPr="00B11D34" w:rsidRDefault="00B11D34" w:rsidP="00B11D34">
            <w:pPr>
              <w:spacing w:after="0" w:line="240" w:lineRule="auto"/>
              <w:jc w:val="center"/>
              <w:rPr>
                <w:sz w:val="20"/>
                <w:szCs w:val="20"/>
              </w:rPr>
            </w:pPr>
          </w:p>
          <w:p w14:paraId="7584AB69" w14:textId="77777777" w:rsidR="00B11D34" w:rsidRPr="00B11D34" w:rsidRDefault="00B11D34" w:rsidP="00B11D34">
            <w:pPr>
              <w:spacing w:after="0" w:line="240" w:lineRule="auto"/>
              <w:jc w:val="center"/>
              <w:rPr>
                <w:sz w:val="20"/>
                <w:szCs w:val="20"/>
              </w:rPr>
            </w:pPr>
          </w:p>
          <w:p w14:paraId="7DB0D559" w14:textId="77777777" w:rsidR="00B11D34" w:rsidRPr="00B11D34" w:rsidRDefault="00B11D34" w:rsidP="00B11D34">
            <w:pPr>
              <w:spacing w:after="0" w:line="240" w:lineRule="auto"/>
              <w:jc w:val="center"/>
              <w:rPr>
                <w:sz w:val="20"/>
                <w:szCs w:val="20"/>
              </w:rPr>
            </w:pPr>
          </w:p>
          <w:p w14:paraId="48B1D4A5" w14:textId="77777777" w:rsidR="00B11D34" w:rsidRDefault="00B11D34" w:rsidP="00B11D34">
            <w:pPr>
              <w:spacing w:after="0" w:line="240" w:lineRule="auto"/>
              <w:jc w:val="center"/>
              <w:rPr>
                <w:sz w:val="20"/>
                <w:szCs w:val="20"/>
              </w:rPr>
            </w:pPr>
          </w:p>
          <w:p w14:paraId="69379E4C" w14:textId="77777777" w:rsidR="003A05B4" w:rsidRDefault="003A05B4" w:rsidP="00B11D34">
            <w:pPr>
              <w:spacing w:after="0" w:line="240" w:lineRule="auto"/>
              <w:jc w:val="center"/>
              <w:rPr>
                <w:sz w:val="20"/>
                <w:szCs w:val="20"/>
              </w:rPr>
            </w:pPr>
            <w:r>
              <w:rPr>
                <w:sz w:val="20"/>
                <w:szCs w:val="20"/>
              </w:rPr>
              <w:t>98</w:t>
            </w:r>
          </w:p>
          <w:p w14:paraId="52CA45E1" w14:textId="1DAF5D65" w:rsidR="003A05B4" w:rsidRPr="00B11D34" w:rsidRDefault="003A05B4" w:rsidP="00B11D34">
            <w:pPr>
              <w:spacing w:after="0" w:line="240" w:lineRule="auto"/>
              <w:jc w:val="center"/>
              <w:rPr>
                <w:sz w:val="20"/>
                <w:szCs w:val="20"/>
              </w:rPr>
            </w:pPr>
            <w:r>
              <w:rPr>
                <w:sz w:val="20"/>
                <w:szCs w:val="20"/>
              </w:rPr>
              <w:t>99</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14:paraId="34E79DEF" w14:textId="77777777" w:rsidR="00B11D34" w:rsidRPr="00B11D34" w:rsidRDefault="00B11D34" w:rsidP="00B11D34">
            <w:pPr>
              <w:spacing w:after="0" w:line="240" w:lineRule="auto"/>
              <w:jc w:val="center"/>
              <w:rPr>
                <w:sz w:val="20"/>
                <w:szCs w:val="20"/>
              </w:rPr>
            </w:pPr>
          </w:p>
          <w:p w14:paraId="34A2A175" w14:textId="77777777" w:rsidR="00B11D34" w:rsidRPr="00B11D34" w:rsidRDefault="00B11D34" w:rsidP="00B11D34">
            <w:pPr>
              <w:spacing w:after="0" w:line="240" w:lineRule="auto"/>
              <w:jc w:val="center"/>
              <w:rPr>
                <w:sz w:val="20"/>
                <w:szCs w:val="20"/>
              </w:rPr>
            </w:pPr>
          </w:p>
          <w:p w14:paraId="5E18D1DB" w14:textId="77777777" w:rsidR="00B11D34" w:rsidRPr="00B11D34" w:rsidRDefault="00B11D34" w:rsidP="00B11D34">
            <w:pPr>
              <w:spacing w:after="0" w:line="240" w:lineRule="auto"/>
              <w:jc w:val="center"/>
              <w:rPr>
                <w:sz w:val="20"/>
                <w:szCs w:val="20"/>
              </w:rPr>
            </w:pPr>
          </w:p>
          <w:p w14:paraId="79379BEB" w14:textId="77777777" w:rsidR="00B11D34" w:rsidRPr="00B11D34" w:rsidRDefault="00B11D34" w:rsidP="00B11D34">
            <w:pPr>
              <w:spacing w:after="0" w:line="240" w:lineRule="auto"/>
              <w:jc w:val="center"/>
              <w:rPr>
                <w:sz w:val="20"/>
                <w:szCs w:val="20"/>
              </w:rPr>
            </w:pPr>
          </w:p>
          <w:p w14:paraId="65656CA5" w14:textId="32E37CA6" w:rsidR="00B11D34" w:rsidRPr="00B11D34" w:rsidRDefault="00FA41C3" w:rsidP="00B11D34">
            <w:pPr>
              <w:spacing w:after="0" w:line="240" w:lineRule="auto"/>
              <w:jc w:val="center"/>
              <w:rPr>
                <w:sz w:val="20"/>
                <w:szCs w:val="20"/>
              </w:rPr>
            </w:pPr>
            <w:r>
              <w:rPr>
                <w:sz w:val="20"/>
                <w:szCs w:val="20"/>
              </w:rPr>
              <w:t>500</w:t>
            </w:r>
          </w:p>
          <w:p w14:paraId="7F05F3E4" w14:textId="6E21F878" w:rsidR="00B11D34" w:rsidRPr="00B11D34" w:rsidRDefault="00A358D0" w:rsidP="00B11D34">
            <w:pPr>
              <w:spacing w:after="0" w:line="240" w:lineRule="auto"/>
              <w:jc w:val="center"/>
              <w:rPr>
                <w:sz w:val="20"/>
                <w:szCs w:val="20"/>
              </w:rPr>
            </w:pPr>
            <w:r>
              <w:rPr>
                <w:sz w:val="20"/>
                <w:szCs w:val="20"/>
              </w:rPr>
              <w:t>347</w:t>
            </w:r>
          </w:p>
        </w:tc>
      </w:tr>
      <w:tr w:rsidR="001A5C74" w:rsidRPr="00015A57" w14:paraId="0CCE2A12" w14:textId="77777777" w:rsidTr="000119D2">
        <w:trPr>
          <w:gridAfter w:val="1"/>
          <w:wAfter w:w="18" w:type="dxa"/>
          <w:trHeight w:val="683"/>
          <w:jc w:val="center"/>
        </w:trPr>
        <w:tc>
          <w:tcPr>
            <w:tcW w:w="3325" w:type="dxa"/>
            <w:gridSpan w:val="2"/>
            <w:vMerge/>
            <w:tcBorders>
              <w:left w:val="single" w:sz="4" w:space="0" w:color="auto"/>
              <w:right w:val="single" w:sz="4" w:space="0" w:color="auto"/>
            </w:tcBorders>
            <w:shd w:val="clear" w:color="auto" w:fill="FFFFFF"/>
          </w:tcPr>
          <w:p w14:paraId="6A96B834" w14:textId="15C0BA14" w:rsidR="001A5C74" w:rsidRPr="00B66E9F" w:rsidRDefault="001A5C74" w:rsidP="001A5C74">
            <w:pPr>
              <w:spacing w:after="0" w:line="240" w:lineRule="auto"/>
              <w:rPr>
                <w:rFonts w:eastAsia="Calibri"/>
                <w:b/>
                <w:sz w:val="20"/>
                <w:szCs w:val="20"/>
              </w:rPr>
            </w:pPr>
          </w:p>
        </w:tc>
        <w:tc>
          <w:tcPr>
            <w:tcW w:w="720" w:type="dxa"/>
            <w:vMerge/>
            <w:tcBorders>
              <w:left w:val="single" w:sz="4" w:space="0" w:color="auto"/>
              <w:bottom w:val="single" w:sz="4" w:space="0" w:color="auto"/>
              <w:right w:val="single" w:sz="4" w:space="0" w:color="auto"/>
            </w:tcBorders>
            <w:shd w:val="clear" w:color="auto" w:fill="FFFFFF"/>
          </w:tcPr>
          <w:p w14:paraId="33258C3E" w14:textId="77777777" w:rsidR="001A5C74" w:rsidRPr="00C676EB" w:rsidRDefault="001A5C74" w:rsidP="001A5C74">
            <w:pPr>
              <w:spacing w:after="0" w:line="240" w:lineRule="auto"/>
              <w:rPr>
                <w:rFonts w:eastAsia="Calibri"/>
                <w:b/>
                <w:sz w:val="20"/>
                <w:szCs w:val="20"/>
                <w:highlight w:val="yellow"/>
              </w:rPr>
            </w:pPr>
          </w:p>
        </w:tc>
        <w:tc>
          <w:tcPr>
            <w:tcW w:w="106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EB425" w14:textId="376A0F4F" w:rsidR="001A5C74" w:rsidRPr="0013161E" w:rsidRDefault="001A5C74" w:rsidP="00855621">
            <w:pPr>
              <w:spacing w:after="0" w:line="240" w:lineRule="auto"/>
              <w:rPr>
                <w:rFonts w:ascii="Calibri" w:hAnsi="Calibri" w:cs="Times New Roman"/>
                <w:sz w:val="20"/>
                <w:szCs w:val="20"/>
              </w:rPr>
            </w:pPr>
            <w:r w:rsidRPr="0013161E">
              <w:rPr>
                <w:rFonts w:ascii="Calibri" w:eastAsia="Calibri" w:hAnsi="Calibri" w:cs="Times New Roman"/>
                <w:b/>
                <w:sz w:val="18"/>
                <w:szCs w:val="18"/>
                <w:lang w:eastAsia="en-US"/>
              </w:rPr>
              <w:t>Indicator 5.2.1 Note:</w:t>
            </w:r>
            <w:r w:rsidR="00643683" w:rsidRPr="0013161E">
              <w:rPr>
                <w:rFonts w:ascii="Calibri" w:eastAsia="Calibri" w:hAnsi="Calibri" w:cs="Times New Roman"/>
                <w:b/>
                <w:sz w:val="18"/>
                <w:szCs w:val="18"/>
                <w:lang w:eastAsia="en-US"/>
              </w:rPr>
              <w:t xml:space="preserve"> </w:t>
            </w:r>
            <w:r w:rsidR="00643683" w:rsidRPr="0013161E">
              <w:rPr>
                <w:rFonts w:ascii="Calibri" w:eastAsia="Calibri" w:hAnsi="Calibri" w:cs="Times New Roman"/>
                <w:sz w:val="18"/>
                <w:szCs w:val="18"/>
                <w:lang w:eastAsia="en-US"/>
              </w:rPr>
              <w:t xml:space="preserve">Tracks the number of </w:t>
            </w:r>
            <w:r w:rsidR="009A0E22" w:rsidRPr="0013161E">
              <w:rPr>
                <w:rFonts w:ascii="Calibri" w:eastAsia="Calibri" w:hAnsi="Calibri" w:cs="Times New Roman"/>
                <w:sz w:val="18"/>
                <w:szCs w:val="18"/>
                <w:lang w:eastAsia="en-US"/>
              </w:rPr>
              <w:t xml:space="preserve">new </w:t>
            </w:r>
            <w:r w:rsidR="008D3405" w:rsidRPr="0013161E">
              <w:rPr>
                <w:rFonts w:ascii="Calibri" w:eastAsia="Calibri" w:hAnsi="Calibri" w:cs="Times New Roman"/>
                <w:sz w:val="18"/>
                <w:szCs w:val="18"/>
                <w:lang w:eastAsia="en-US"/>
              </w:rPr>
              <w:t>instruments (</w:t>
            </w:r>
            <w:r w:rsidR="00643683" w:rsidRPr="0013161E">
              <w:rPr>
                <w:rFonts w:ascii="Calibri" w:eastAsia="Calibri" w:hAnsi="Calibri" w:cs="Times New Roman"/>
                <w:sz w:val="18"/>
                <w:szCs w:val="18"/>
                <w:lang w:eastAsia="en-US"/>
              </w:rPr>
              <w:t>disaster reduction plans, integrated disaster risk reduction and adaptation plans, and institutional frameworks and multi-stakeholder coordination mechanisms</w:t>
            </w:r>
            <w:r w:rsidR="00855621" w:rsidRPr="0013161E">
              <w:rPr>
                <w:rFonts w:ascii="Calibri" w:eastAsia="Calibri" w:hAnsi="Calibri"/>
                <w:sz w:val="18"/>
                <w:szCs w:val="18"/>
              </w:rPr>
              <w:t xml:space="preserve">) </w:t>
            </w:r>
            <w:r w:rsidR="00643683" w:rsidRPr="0013161E">
              <w:rPr>
                <w:rFonts w:ascii="Calibri" w:eastAsia="Calibri" w:hAnsi="Calibri"/>
                <w:sz w:val="18"/>
                <w:szCs w:val="18"/>
              </w:rPr>
              <w:t xml:space="preserve">supported by UNDP (on demand </w:t>
            </w:r>
            <w:r w:rsidR="00643683" w:rsidRPr="0013161E">
              <w:rPr>
                <w:sz w:val="18"/>
                <w:szCs w:val="18"/>
              </w:rPr>
              <w:t>from programme countries</w:t>
            </w:r>
            <w:r w:rsidR="00643683" w:rsidRPr="0013161E">
              <w:rPr>
                <w:rFonts w:ascii="Calibri" w:eastAsia="Calibri" w:hAnsi="Calibri"/>
                <w:sz w:val="18"/>
                <w:szCs w:val="18"/>
              </w:rPr>
              <w:t>)</w:t>
            </w:r>
            <w:r w:rsidR="00643683" w:rsidRPr="0013161E">
              <w:rPr>
                <w:sz w:val="18"/>
                <w:szCs w:val="18"/>
              </w:rPr>
              <w:t xml:space="preserve"> that are</w:t>
            </w:r>
            <w:r w:rsidR="00643683" w:rsidRPr="0013161E">
              <w:rPr>
                <w:rFonts w:eastAsia="Calibri"/>
                <w:sz w:val="18"/>
                <w:szCs w:val="18"/>
              </w:rPr>
              <w:t xml:space="preserve"> </w:t>
            </w:r>
            <w:r w:rsidR="005E73D8" w:rsidRPr="0013161E">
              <w:rPr>
                <w:rFonts w:eastAsia="Calibri"/>
                <w:sz w:val="18"/>
                <w:szCs w:val="18"/>
              </w:rPr>
              <w:t xml:space="preserve">put </w:t>
            </w:r>
            <w:r w:rsidR="00643683" w:rsidRPr="0013161E">
              <w:rPr>
                <w:rFonts w:eastAsia="Calibri"/>
                <w:sz w:val="18"/>
                <w:szCs w:val="18"/>
              </w:rPr>
              <w:t>in place</w:t>
            </w:r>
            <w:r w:rsidR="005E73D8" w:rsidRPr="0013161E">
              <w:rPr>
                <w:rFonts w:eastAsia="Calibri"/>
                <w:sz w:val="18"/>
                <w:szCs w:val="18"/>
              </w:rPr>
              <w:t xml:space="preserve"> from January 2014 onwards</w:t>
            </w:r>
            <w:r w:rsidR="00643683" w:rsidRPr="0013161E">
              <w:rPr>
                <w:rFonts w:eastAsia="Calibri"/>
                <w:sz w:val="18"/>
                <w:szCs w:val="18"/>
              </w:rPr>
              <w:t xml:space="preserve">, identifying those that </w:t>
            </w:r>
            <w:r w:rsidR="00B11D34" w:rsidRPr="0013161E">
              <w:rPr>
                <w:rFonts w:eastAsia="Calibri"/>
                <w:sz w:val="18"/>
                <w:szCs w:val="18"/>
              </w:rPr>
              <w:t>are gender responsive</w:t>
            </w:r>
            <w:r w:rsidR="00643683" w:rsidRPr="0013161E">
              <w:rPr>
                <w:rFonts w:ascii="Calibri" w:hAnsi="Calibri" w:cs="Times New Roman"/>
                <w:sz w:val="20"/>
                <w:szCs w:val="20"/>
              </w:rPr>
              <w:t>.</w:t>
            </w:r>
          </w:p>
          <w:p w14:paraId="4281E8D6" w14:textId="5A6D3309" w:rsidR="003A05B4" w:rsidRPr="0013161E" w:rsidRDefault="003A05B4" w:rsidP="007166A1">
            <w:pPr>
              <w:spacing w:after="0" w:line="240" w:lineRule="auto"/>
              <w:rPr>
                <w:rFonts w:ascii="Calibri" w:eastAsia="Calibri" w:hAnsi="Calibri" w:cs="Times New Roman"/>
                <w:b/>
                <w:sz w:val="18"/>
                <w:szCs w:val="18"/>
                <w:lang w:eastAsia="en-US"/>
              </w:rPr>
            </w:pPr>
            <w:r w:rsidRPr="0013161E">
              <w:rPr>
                <w:rFonts w:eastAsia="Calibri"/>
                <w:b/>
                <w:sz w:val="18"/>
                <w:szCs w:val="18"/>
              </w:rPr>
              <w:t xml:space="preserve">2014 Reporting Note: </w:t>
            </w:r>
            <w:r w:rsidRPr="0013161E">
              <w:rPr>
                <w:rFonts w:eastAsia="Calibri"/>
                <w:sz w:val="18"/>
                <w:szCs w:val="18"/>
              </w:rPr>
              <w:t xml:space="preserve">2014 </w:t>
            </w:r>
            <w:r w:rsidR="007166A1" w:rsidRPr="0013161E">
              <w:rPr>
                <w:rFonts w:eastAsia="Calibri"/>
                <w:sz w:val="18"/>
                <w:szCs w:val="18"/>
              </w:rPr>
              <w:t>m</w:t>
            </w:r>
            <w:r w:rsidRPr="0013161E">
              <w:rPr>
                <w:rFonts w:eastAsia="Calibri"/>
                <w:sz w:val="18"/>
                <w:szCs w:val="18"/>
              </w:rPr>
              <w:t xml:space="preserve">ilestones </w:t>
            </w:r>
            <w:r w:rsidR="007166A1" w:rsidRPr="0013161E">
              <w:rPr>
                <w:rFonts w:eastAsia="Calibri"/>
                <w:sz w:val="18"/>
                <w:szCs w:val="18"/>
              </w:rPr>
              <w:t xml:space="preserve">and 2017 targets </w:t>
            </w:r>
            <w:r w:rsidRPr="0013161E">
              <w:rPr>
                <w:rFonts w:eastAsia="Calibri"/>
                <w:sz w:val="18"/>
                <w:szCs w:val="18"/>
              </w:rPr>
              <w:t>updated to reflect more complete reporting from country offices. For reference, previous 2014 milestones w</w:t>
            </w:r>
            <w:r w:rsidR="007D78E7" w:rsidRPr="0013161E">
              <w:rPr>
                <w:rFonts w:eastAsia="Calibri"/>
                <w:sz w:val="18"/>
                <w:szCs w:val="18"/>
              </w:rPr>
              <w:t>ere: a) 51, b) 33</w:t>
            </w:r>
            <w:r w:rsidR="007166A1" w:rsidRPr="0013161E">
              <w:rPr>
                <w:rFonts w:eastAsia="Calibri"/>
                <w:sz w:val="18"/>
                <w:szCs w:val="18"/>
              </w:rPr>
              <w:t>; previous targets were: a) 458, b) 279</w:t>
            </w:r>
            <w:r w:rsidR="00463E1C" w:rsidRPr="0013161E">
              <w:rPr>
                <w:rFonts w:eastAsia="Calibri"/>
                <w:sz w:val="18"/>
                <w:szCs w:val="18"/>
              </w:rPr>
              <w:t>.</w:t>
            </w:r>
          </w:p>
        </w:tc>
      </w:tr>
      <w:tr w:rsidR="001A5C74" w:rsidRPr="00015A57" w14:paraId="493C56D9" w14:textId="77777777" w:rsidTr="000119D2">
        <w:trPr>
          <w:gridAfter w:val="1"/>
          <w:wAfter w:w="18" w:type="dxa"/>
          <w:trHeight w:val="350"/>
          <w:jc w:val="center"/>
        </w:trPr>
        <w:tc>
          <w:tcPr>
            <w:tcW w:w="3325" w:type="dxa"/>
            <w:gridSpan w:val="2"/>
            <w:vMerge/>
            <w:tcBorders>
              <w:left w:val="single" w:sz="4" w:space="0" w:color="auto"/>
              <w:right w:val="single" w:sz="4" w:space="0" w:color="auto"/>
            </w:tcBorders>
            <w:shd w:val="clear" w:color="auto" w:fill="FFFFFF"/>
          </w:tcPr>
          <w:p w14:paraId="5C309D39" w14:textId="77777777" w:rsidR="001A5C74" w:rsidRPr="00B66E9F" w:rsidRDefault="001A5C74" w:rsidP="001A5C74">
            <w:pPr>
              <w:spacing w:after="0" w:line="240" w:lineRule="auto"/>
              <w:rPr>
                <w:rFonts w:eastAsia="Calibri"/>
                <w:b/>
                <w:sz w:val="20"/>
                <w:szCs w:val="20"/>
              </w:rPr>
            </w:pPr>
          </w:p>
        </w:tc>
        <w:tc>
          <w:tcPr>
            <w:tcW w:w="720" w:type="dxa"/>
            <w:vMerge w:val="restart"/>
            <w:tcBorders>
              <w:top w:val="single" w:sz="4" w:space="0" w:color="auto"/>
              <w:left w:val="single" w:sz="4" w:space="0" w:color="auto"/>
              <w:right w:val="single" w:sz="4" w:space="0" w:color="auto"/>
            </w:tcBorders>
            <w:shd w:val="clear" w:color="auto" w:fill="FFFFFF"/>
          </w:tcPr>
          <w:p w14:paraId="500C85BF" w14:textId="77777777" w:rsidR="001A5C74" w:rsidRPr="00B66E9F" w:rsidRDefault="001A5C74" w:rsidP="001A5C74">
            <w:pPr>
              <w:spacing w:after="0" w:line="240" w:lineRule="auto"/>
              <w:rPr>
                <w:rFonts w:eastAsia="Calibri"/>
                <w:b/>
                <w:sz w:val="20"/>
                <w:szCs w:val="20"/>
              </w:rPr>
            </w:pPr>
            <w:r w:rsidRPr="00B66E9F">
              <w:rPr>
                <w:rFonts w:eastAsia="Calibri"/>
                <w:b/>
                <w:sz w:val="20"/>
                <w:szCs w:val="20"/>
              </w:rPr>
              <w:t>5.2.2</w:t>
            </w:r>
          </w:p>
        </w:tc>
        <w:tc>
          <w:tcPr>
            <w:tcW w:w="5310" w:type="dxa"/>
            <w:tcBorders>
              <w:top w:val="single" w:sz="4" w:space="0" w:color="auto"/>
              <w:left w:val="single" w:sz="4" w:space="0" w:color="auto"/>
              <w:bottom w:val="single" w:sz="4" w:space="0" w:color="auto"/>
              <w:right w:val="single" w:sz="4" w:space="0" w:color="auto"/>
            </w:tcBorders>
            <w:shd w:val="clear" w:color="auto" w:fill="FFFFFF"/>
          </w:tcPr>
          <w:p w14:paraId="198E6996" w14:textId="77777777" w:rsidR="001A5C74" w:rsidRPr="0013161E" w:rsidRDefault="001A5C74" w:rsidP="002E4BD7">
            <w:pPr>
              <w:spacing w:after="0" w:line="240" w:lineRule="auto"/>
              <w:rPr>
                <w:rFonts w:eastAsia="Calibri"/>
                <w:b/>
                <w:sz w:val="20"/>
                <w:szCs w:val="20"/>
              </w:rPr>
            </w:pPr>
            <w:r w:rsidRPr="0013161E">
              <w:rPr>
                <w:rFonts w:eastAsia="Calibri"/>
                <w:sz w:val="20"/>
                <w:szCs w:val="20"/>
              </w:rPr>
              <w:t xml:space="preserve">Number of countries with </w:t>
            </w:r>
            <w:r w:rsidRPr="0013161E">
              <w:rPr>
                <w:rFonts w:eastAsia="Calibri"/>
                <w:b/>
                <w:sz w:val="20"/>
                <w:szCs w:val="20"/>
              </w:rPr>
              <w:t>legislative</w:t>
            </w:r>
            <w:r w:rsidR="006D6557" w:rsidRPr="0013161E">
              <w:rPr>
                <w:rFonts w:eastAsia="Calibri"/>
                <w:b/>
                <w:sz w:val="20"/>
                <w:szCs w:val="20"/>
              </w:rPr>
              <w:t xml:space="preserve"> and</w:t>
            </w:r>
            <w:r w:rsidRPr="0013161E">
              <w:rPr>
                <w:rFonts w:eastAsia="Calibri"/>
                <w:b/>
                <w:sz w:val="20"/>
                <w:szCs w:val="20"/>
              </w:rPr>
              <w:t>/or regulatory provisions</w:t>
            </w:r>
            <w:r w:rsidRPr="0013161E">
              <w:rPr>
                <w:rFonts w:eastAsia="Calibri"/>
                <w:sz w:val="20"/>
                <w:szCs w:val="20"/>
              </w:rPr>
              <w:t xml:space="preserve"> at national and sub-national levels for effective</w:t>
            </w:r>
            <w:r w:rsidR="005B62DB" w:rsidRPr="0013161E">
              <w:rPr>
                <w:rFonts w:eastAsia="Calibri"/>
                <w:sz w:val="20"/>
                <w:szCs w:val="20"/>
              </w:rPr>
              <w:t>ly</w:t>
            </w:r>
            <w:r w:rsidRPr="0013161E">
              <w:rPr>
                <w:rFonts w:eastAsia="Calibri"/>
                <w:sz w:val="20"/>
                <w:szCs w:val="20"/>
              </w:rPr>
              <w:t xml:space="preserve"> </w:t>
            </w:r>
            <w:r w:rsidRPr="0013161E">
              <w:rPr>
                <w:rFonts w:eastAsia="Calibri"/>
                <w:b/>
                <w:sz w:val="20"/>
                <w:szCs w:val="20"/>
              </w:rPr>
              <w:t>managing disaster and climate risks</w:t>
            </w:r>
          </w:p>
          <w:p w14:paraId="0B73DBC3" w14:textId="1835E568" w:rsidR="00546E49" w:rsidRPr="0013161E" w:rsidRDefault="00546E49" w:rsidP="00D37201">
            <w:pPr>
              <w:spacing w:before="240" w:after="0" w:line="240" w:lineRule="auto"/>
              <w:rPr>
                <w:rFonts w:eastAsia="Calibri"/>
                <w:b/>
                <w:sz w:val="20"/>
                <w:szCs w:val="20"/>
              </w:rPr>
            </w:pPr>
            <w:r w:rsidRPr="0013161E">
              <w:rPr>
                <w:rFonts w:eastAsia="Calibri"/>
                <w:b/>
                <w:i/>
                <w:sz w:val="18"/>
                <w:szCs w:val="18"/>
              </w:rPr>
              <w:t xml:space="preserve">Number of countries </w:t>
            </w:r>
            <w:r w:rsidR="00983FF8" w:rsidRPr="0013161E">
              <w:rPr>
                <w:rFonts w:eastAsia="Calibri"/>
                <w:b/>
                <w:i/>
                <w:sz w:val="18"/>
                <w:szCs w:val="18"/>
              </w:rPr>
              <w:t>for which a 2017 target has currently been set under this indicator</w:t>
            </w:r>
            <w:r w:rsidR="00830BDA" w:rsidRPr="0013161E">
              <w:rPr>
                <w:rFonts w:eastAsia="Calibri"/>
                <w:b/>
                <w:i/>
                <w:sz w:val="18"/>
                <w:szCs w:val="18"/>
              </w:rPr>
              <w:t>: 45</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76C2867A" w14:textId="59D1A28B" w:rsidR="001A5C74" w:rsidRPr="00B66E9F" w:rsidRDefault="005B62DB" w:rsidP="007E0513">
            <w:pPr>
              <w:spacing w:after="0" w:line="240" w:lineRule="auto"/>
              <w:jc w:val="center"/>
              <w:rPr>
                <w:sz w:val="20"/>
                <w:szCs w:val="20"/>
              </w:rPr>
            </w:pPr>
            <w:r>
              <w:rPr>
                <w:sz w:val="20"/>
                <w:szCs w:val="20"/>
              </w:rPr>
              <w:t>20</w:t>
            </w:r>
            <w:r w:rsidR="00520469">
              <w:rPr>
                <w:sz w:val="20"/>
                <w:szCs w:val="20"/>
              </w:rPr>
              <w:t xml:space="preserve"> (</w:t>
            </w:r>
            <w:r w:rsidR="00C57084">
              <w:rPr>
                <w:sz w:val="20"/>
                <w:szCs w:val="20"/>
              </w:rPr>
              <w:t>53</w:t>
            </w:r>
            <w:r w:rsidR="00F3256A">
              <w:rPr>
                <w:sz w:val="20"/>
                <w:szCs w:val="20"/>
              </w:rPr>
              <w:t xml:space="preserve"> provisions</w:t>
            </w:r>
            <w:r w:rsidR="00520469">
              <w:rPr>
                <w:sz w:val="20"/>
                <w:szCs w:val="20"/>
              </w:rPr>
              <w: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ADF0D5" w14:textId="1FF72A6C" w:rsidR="001A5C74" w:rsidRPr="00B66E9F" w:rsidRDefault="005B62DB" w:rsidP="007E0513">
            <w:pPr>
              <w:spacing w:after="0" w:line="240" w:lineRule="auto"/>
              <w:jc w:val="center"/>
              <w:rPr>
                <w:sz w:val="20"/>
                <w:szCs w:val="20"/>
              </w:rPr>
            </w:pPr>
            <w:r>
              <w:rPr>
                <w:sz w:val="20"/>
                <w:szCs w:val="20"/>
              </w:rPr>
              <w:t>26</w:t>
            </w:r>
            <w:r w:rsidR="00C57084">
              <w:rPr>
                <w:sz w:val="20"/>
                <w:szCs w:val="20"/>
              </w:rPr>
              <w:t xml:space="preserve"> (69</w:t>
            </w:r>
            <w:r w:rsidR="00F3256A">
              <w:rPr>
                <w:sz w:val="20"/>
                <w:szCs w:val="20"/>
              </w:rPr>
              <w:t xml:space="preserve"> provisions)</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FCCE41" w14:textId="055FC967" w:rsidR="001A5C74" w:rsidRPr="00B66E9F" w:rsidRDefault="007D78E7" w:rsidP="00007C4B">
            <w:pPr>
              <w:spacing w:after="0" w:line="240" w:lineRule="auto"/>
              <w:jc w:val="center"/>
              <w:rPr>
                <w:sz w:val="20"/>
                <w:szCs w:val="20"/>
              </w:rPr>
            </w:pPr>
            <w:r>
              <w:rPr>
                <w:sz w:val="20"/>
                <w:szCs w:val="20"/>
              </w:rPr>
              <w:t>2</w:t>
            </w:r>
            <w:r w:rsidR="00007C4B">
              <w:rPr>
                <w:sz w:val="20"/>
                <w:szCs w:val="20"/>
              </w:rPr>
              <w:t>1</w:t>
            </w:r>
            <w:r w:rsidR="00C57084">
              <w:rPr>
                <w:sz w:val="20"/>
                <w:szCs w:val="20"/>
              </w:rPr>
              <w:t xml:space="preserve"> (</w:t>
            </w:r>
            <w:r w:rsidR="00007C4B">
              <w:rPr>
                <w:sz w:val="20"/>
                <w:szCs w:val="20"/>
              </w:rPr>
              <w:t>56</w:t>
            </w:r>
            <w:r w:rsidR="00C57084">
              <w:rPr>
                <w:sz w:val="20"/>
                <w:szCs w:val="20"/>
              </w:rPr>
              <w:t xml:space="preserve"> provisions)</w:t>
            </w:r>
            <w:r w:rsidR="00007C4B">
              <w:rPr>
                <w:sz w:val="20"/>
                <w:szCs w:val="20"/>
              </w:rPr>
              <w:t>*</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14:paraId="73817A43" w14:textId="7AAC3D8C" w:rsidR="005B62DB" w:rsidRPr="00B66E9F" w:rsidRDefault="005B62DB" w:rsidP="00830BDA">
            <w:pPr>
              <w:spacing w:after="0" w:line="240" w:lineRule="auto"/>
              <w:jc w:val="center"/>
              <w:rPr>
                <w:sz w:val="20"/>
                <w:szCs w:val="20"/>
              </w:rPr>
            </w:pPr>
            <w:r>
              <w:rPr>
                <w:sz w:val="20"/>
                <w:szCs w:val="20"/>
              </w:rPr>
              <w:t>3</w:t>
            </w:r>
            <w:r w:rsidR="00830BDA">
              <w:rPr>
                <w:sz w:val="20"/>
                <w:szCs w:val="20"/>
              </w:rPr>
              <w:t>9</w:t>
            </w:r>
            <w:r w:rsidR="00F3256A">
              <w:rPr>
                <w:sz w:val="20"/>
                <w:szCs w:val="20"/>
              </w:rPr>
              <w:t xml:space="preserve"> (1</w:t>
            </w:r>
            <w:r w:rsidR="00830BDA">
              <w:rPr>
                <w:sz w:val="20"/>
                <w:szCs w:val="20"/>
              </w:rPr>
              <w:t>9</w:t>
            </w:r>
            <w:r w:rsidR="00F3256A">
              <w:rPr>
                <w:sz w:val="20"/>
                <w:szCs w:val="20"/>
              </w:rPr>
              <w:t>5 provisions)</w:t>
            </w:r>
          </w:p>
        </w:tc>
      </w:tr>
      <w:tr w:rsidR="001A5C74" w:rsidRPr="00015A57" w14:paraId="1E44296A" w14:textId="77777777" w:rsidTr="000119D2">
        <w:trPr>
          <w:gridAfter w:val="1"/>
          <w:wAfter w:w="18" w:type="dxa"/>
          <w:trHeight w:val="350"/>
          <w:jc w:val="center"/>
        </w:trPr>
        <w:tc>
          <w:tcPr>
            <w:tcW w:w="3325" w:type="dxa"/>
            <w:gridSpan w:val="2"/>
            <w:vMerge/>
            <w:tcBorders>
              <w:left w:val="single" w:sz="4" w:space="0" w:color="auto"/>
              <w:right w:val="single" w:sz="4" w:space="0" w:color="auto"/>
            </w:tcBorders>
            <w:shd w:val="clear" w:color="auto" w:fill="FFFFFF"/>
          </w:tcPr>
          <w:p w14:paraId="2ADC9C13" w14:textId="77777777" w:rsidR="001A5C74" w:rsidRPr="00B66E9F" w:rsidRDefault="001A5C74" w:rsidP="001A5C74">
            <w:pPr>
              <w:spacing w:after="0" w:line="240" w:lineRule="auto"/>
              <w:rPr>
                <w:rFonts w:eastAsia="Calibri"/>
                <w:b/>
                <w:sz w:val="20"/>
                <w:szCs w:val="20"/>
              </w:rPr>
            </w:pPr>
          </w:p>
        </w:tc>
        <w:tc>
          <w:tcPr>
            <w:tcW w:w="720" w:type="dxa"/>
            <w:vMerge/>
            <w:tcBorders>
              <w:left w:val="single" w:sz="4" w:space="0" w:color="auto"/>
              <w:bottom w:val="single" w:sz="4" w:space="0" w:color="auto"/>
              <w:right w:val="single" w:sz="4" w:space="0" w:color="auto"/>
            </w:tcBorders>
            <w:shd w:val="clear" w:color="auto" w:fill="FFFFFF"/>
          </w:tcPr>
          <w:p w14:paraId="6C5C4530" w14:textId="77777777" w:rsidR="001A5C74" w:rsidRPr="00B66E9F" w:rsidRDefault="001A5C74" w:rsidP="001A5C74">
            <w:pPr>
              <w:spacing w:after="0" w:line="240" w:lineRule="auto"/>
              <w:rPr>
                <w:rFonts w:eastAsia="Calibri"/>
                <w:b/>
                <w:sz w:val="20"/>
                <w:szCs w:val="20"/>
              </w:rPr>
            </w:pPr>
          </w:p>
        </w:tc>
        <w:tc>
          <w:tcPr>
            <w:tcW w:w="106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DEE247" w14:textId="77777777" w:rsidR="001A5C74" w:rsidRPr="000119D2" w:rsidRDefault="001A5C74" w:rsidP="00172120">
            <w:pPr>
              <w:spacing w:after="0" w:line="240" w:lineRule="auto"/>
              <w:rPr>
                <w:rFonts w:eastAsia="Calibri"/>
                <w:sz w:val="18"/>
                <w:szCs w:val="18"/>
              </w:rPr>
            </w:pPr>
            <w:r w:rsidRPr="000119D2">
              <w:rPr>
                <w:rFonts w:ascii="Calibri" w:eastAsia="Calibri" w:hAnsi="Calibri" w:cs="Times New Roman"/>
                <w:b/>
                <w:sz w:val="18"/>
                <w:szCs w:val="18"/>
                <w:lang w:eastAsia="en-US"/>
              </w:rPr>
              <w:t>Indicator 5.2.2 Note:</w:t>
            </w:r>
            <w:r w:rsidR="00520469" w:rsidRPr="000119D2">
              <w:rPr>
                <w:rFonts w:ascii="Calibri" w:eastAsia="Calibri" w:hAnsi="Calibri" w:cs="Times New Roman"/>
                <w:b/>
                <w:sz w:val="18"/>
                <w:szCs w:val="18"/>
                <w:lang w:eastAsia="en-US"/>
              </w:rPr>
              <w:t xml:space="preserve"> </w:t>
            </w:r>
            <w:r w:rsidR="00520469" w:rsidRPr="000119D2">
              <w:rPr>
                <w:rFonts w:ascii="Calibri" w:eastAsia="Calibri" w:hAnsi="Calibri" w:cs="Times New Roman"/>
                <w:sz w:val="18"/>
                <w:szCs w:val="18"/>
                <w:lang w:eastAsia="en-US"/>
              </w:rPr>
              <w:t>Tracks the number of countries</w:t>
            </w:r>
            <w:r w:rsidR="00520469" w:rsidRPr="000119D2">
              <w:rPr>
                <w:rFonts w:ascii="Calibri" w:eastAsia="Calibri" w:hAnsi="Calibri"/>
                <w:sz w:val="18"/>
                <w:szCs w:val="18"/>
              </w:rPr>
              <w:t xml:space="preserve"> supported by UNDP (on demand </w:t>
            </w:r>
            <w:r w:rsidR="00520469" w:rsidRPr="000119D2">
              <w:rPr>
                <w:sz w:val="18"/>
                <w:szCs w:val="18"/>
              </w:rPr>
              <w:t>from programme countries</w:t>
            </w:r>
            <w:r w:rsidR="00520469" w:rsidRPr="000119D2">
              <w:rPr>
                <w:rFonts w:ascii="Calibri" w:eastAsia="Calibri" w:hAnsi="Calibri"/>
                <w:sz w:val="18"/>
                <w:szCs w:val="18"/>
              </w:rPr>
              <w:t>)</w:t>
            </w:r>
            <w:r w:rsidR="00520469" w:rsidRPr="000119D2">
              <w:rPr>
                <w:sz w:val="18"/>
                <w:szCs w:val="18"/>
              </w:rPr>
              <w:t xml:space="preserve"> </w:t>
            </w:r>
            <w:r w:rsidR="006D6557" w:rsidRPr="000119D2">
              <w:rPr>
                <w:sz w:val="18"/>
                <w:szCs w:val="18"/>
              </w:rPr>
              <w:t>to</w:t>
            </w:r>
            <w:r w:rsidR="00520469" w:rsidRPr="000119D2">
              <w:rPr>
                <w:rFonts w:eastAsia="Calibri"/>
                <w:sz w:val="18"/>
                <w:szCs w:val="18"/>
              </w:rPr>
              <w:t xml:space="preserve"> put in place</w:t>
            </w:r>
            <w:r w:rsidR="00DC4CDF" w:rsidRPr="000119D2">
              <w:rPr>
                <w:rFonts w:eastAsia="Calibri"/>
                <w:sz w:val="18"/>
                <w:szCs w:val="18"/>
              </w:rPr>
              <w:t xml:space="preserve"> (defined as having a budget allocation)</w:t>
            </w:r>
            <w:r w:rsidR="00520469" w:rsidRPr="000119D2">
              <w:rPr>
                <w:rFonts w:eastAsia="Calibri"/>
                <w:sz w:val="18"/>
                <w:szCs w:val="18"/>
              </w:rPr>
              <w:t xml:space="preserve"> </w:t>
            </w:r>
            <w:r w:rsidR="006D6557" w:rsidRPr="000119D2">
              <w:rPr>
                <w:rFonts w:eastAsia="Calibri"/>
                <w:sz w:val="18"/>
                <w:szCs w:val="18"/>
              </w:rPr>
              <w:t>legislative and/or regulatory provisions for</w:t>
            </w:r>
            <w:r w:rsidR="00172120" w:rsidRPr="000119D2">
              <w:rPr>
                <w:rFonts w:eastAsia="Calibri"/>
                <w:sz w:val="18"/>
                <w:szCs w:val="18"/>
              </w:rPr>
              <w:t xml:space="preserve"> effectively</w:t>
            </w:r>
            <w:r w:rsidR="006D6557" w:rsidRPr="000119D2">
              <w:rPr>
                <w:rFonts w:eastAsia="Calibri"/>
                <w:sz w:val="18"/>
                <w:szCs w:val="18"/>
              </w:rPr>
              <w:t xml:space="preserve"> managing disaster and climate risk, </w:t>
            </w:r>
            <w:r w:rsidR="00520469" w:rsidRPr="000119D2">
              <w:rPr>
                <w:rFonts w:eastAsia="Calibri"/>
                <w:sz w:val="18"/>
                <w:szCs w:val="18"/>
              </w:rPr>
              <w:t>from January 2014 onwards</w:t>
            </w:r>
            <w:r w:rsidR="00EB07DA" w:rsidRPr="000119D2">
              <w:rPr>
                <w:rFonts w:eastAsia="Calibri"/>
                <w:sz w:val="18"/>
                <w:szCs w:val="18"/>
              </w:rPr>
              <w:t>, counting only the number of countries where 50% or more of provisions put in place are effective</w:t>
            </w:r>
            <w:r w:rsidR="001346DE" w:rsidRPr="000119D2">
              <w:rPr>
                <w:rFonts w:eastAsia="Calibri"/>
                <w:sz w:val="18"/>
                <w:szCs w:val="18"/>
              </w:rPr>
              <w:t>ly managing disaster and climate risks</w:t>
            </w:r>
            <w:r w:rsidR="0083799D" w:rsidRPr="000119D2">
              <w:rPr>
                <w:rFonts w:eastAsia="Calibri"/>
                <w:sz w:val="18"/>
                <w:szCs w:val="18"/>
              </w:rPr>
              <w:t>.</w:t>
            </w:r>
          </w:p>
          <w:p w14:paraId="2AD73CCC" w14:textId="253C043C" w:rsidR="00AB5824" w:rsidRPr="000119D2" w:rsidRDefault="00C57084" w:rsidP="000119D2">
            <w:pPr>
              <w:spacing w:after="0" w:line="240" w:lineRule="auto"/>
              <w:rPr>
                <w:rFonts w:ascii="Calibri" w:eastAsia="Calibri" w:hAnsi="Calibri" w:cs="Times New Roman"/>
                <w:b/>
                <w:sz w:val="18"/>
                <w:szCs w:val="18"/>
                <w:lang w:eastAsia="en-US"/>
              </w:rPr>
            </w:pPr>
            <w:r w:rsidRPr="000119D2">
              <w:rPr>
                <w:rFonts w:eastAsia="Calibri"/>
                <w:b/>
                <w:sz w:val="18"/>
                <w:szCs w:val="18"/>
              </w:rPr>
              <w:t xml:space="preserve">2014 Reporting Note: </w:t>
            </w:r>
            <w:r w:rsidRPr="000119D2">
              <w:rPr>
                <w:rFonts w:eastAsia="Calibri"/>
                <w:sz w:val="18"/>
                <w:szCs w:val="18"/>
              </w:rPr>
              <w:t xml:space="preserve">2014 </w:t>
            </w:r>
            <w:r w:rsidR="00830BDA" w:rsidRPr="000119D2">
              <w:rPr>
                <w:rFonts w:eastAsia="Calibri"/>
                <w:sz w:val="18"/>
                <w:szCs w:val="18"/>
              </w:rPr>
              <w:t>m</w:t>
            </w:r>
            <w:r w:rsidRPr="000119D2">
              <w:rPr>
                <w:rFonts w:eastAsia="Calibri"/>
                <w:sz w:val="18"/>
                <w:szCs w:val="18"/>
              </w:rPr>
              <w:t xml:space="preserve">ilestone </w:t>
            </w:r>
            <w:r w:rsidR="00830BDA" w:rsidRPr="000119D2">
              <w:rPr>
                <w:rFonts w:eastAsia="Calibri"/>
                <w:sz w:val="18"/>
                <w:szCs w:val="18"/>
              </w:rPr>
              <w:t xml:space="preserve">and target </w:t>
            </w:r>
            <w:r w:rsidRPr="000119D2">
              <w:rPr>
                <w:rFonts w:eastAsia="Calibri"/>
                <w:sz w:val="18"/>
                <w:szCs w:val="18"/>
              </w:rPr>
              <w:t xml:space="preserve">updated to reflect more complete reporting from country offices. For reference, previous baseline </w:t>
            </w:r>
            <w:r w:rsidR="00925FCF" w:rsidRPr="000119D2">
              <w:rPr>
                <w:rFonts w:eastAsia="Calibri"/>
                <w:sz w:val="18"/>
                <w:szCs w:val="18"/>
              </w:rPr>
              <w:t>w</w:t>
            </w:r>
            <w:r w:rsidRPr="000119D2">
              <w:rPr>
                <w:rFonts w:eastAsia="Calibri"/>
                <w:sz w:val="18"/>
                <w:szCs w:val="18"/>
              </w:rPr>
              <w:t>as 20 (51 provisions</w:t>
            </w:r>
            <w:r w:rsidR="00925FCF" w:rsidRPr="000119D2">
              <w:rPr>
                <w:rFonts w:eastAsia="Calibri"/>
                <w:sz w:val="18"/>
                <w:szCs w:val="18"/>
              </w:rPr>
              <w:t>),</w:t>
            </w:r>
            <w:r w:rsidR="00830BDA" w:rsidRPr="000119D2">
              <w:rPr>
                <w:rFonts w:eastAsia="Calibri"/>
                <w:sz w:val="18"/>
                <w:szCs w:val="18"/>
              </w:rPr>
              <w:t xml:space="preserve"> </w:t>
            </w:r>
            <w:r w:rsidRPr="000119D2">
              <w:rPr>
                <w:rFonts w:eastAsia="Calibri"/>
                <w:sz w:val="18"/>
                <w:szCs w:val="18"/>
              </w:rPr>
              <w:t>previous 2014 milestone</w:t>
            </w:r>
            <w:r w:rsidR="00830BDA" w:rsidRPr="000119D2">
              <w:rPr>
                <w:rFonts w:eastAsia="Calibri"/>
                <w:sz w:val="18"/>
                <w:szCs w:val="18"/>
              </w:rPr>
              <w:t xml:space="preserve"> was 26 (64 provisions), previous target was 36 (135 provisions). </w:t>
            </w:r>
            <w:r w:rsidR="00A95499" w:rsidRPr="000119D2">
              <w:rPr>
                <w:rFonts w:eastAsia="Calibri"/>
                <w:sz w:val="18"/>
                <w:szCs w:val="18"/>
              </w:rPr>
              <w:t>*2014 actual results data is missing for four countries expected to contribute to results, final results will be reported at a later date.</w:t>
            </w:r>
          </w:p>
        </w:tc>
      </w:tr>
    </w:tbl>
    <w:p w14:paraId="33FB0174" w14:textId="77777777" w:rsidR="000119D2" w:rsidRDefault="000119D2">
      <w:r>
        <w:br w:type="page"/>
      </w:r>
    </w:p>
    <w:tbl>
      <w:tblPr>
        <w:tblW w:w="14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325"/>
        <w:gridCol w:w="720"/>
        <w:gridCol w:w="5310"/>
        <w:gridCol w:w="1350"/>
        <w:gridCol w:w="1350"/>
        <w:gridCol w:w="1260"/>
        <w:gridCol w:w="1332"/>
      </w:tblGrid>
      <w:tr w:rsidR="0046468D" w:rsidRPr="00015A57" w14:paraId="16CD8DE2" w14:textId="77777777" w:rsidTr="000119D2">
        <w:trPr>
          <w:trHeight w:val="260"/>
          <w:jc w:val="center"/>
        </w:trPr>
        <w:tc>
          <w:tcPr>
            <w:tcW w:w="3325" w:type="dxa"/>
            <w:vMerge w:val="restart"/>
            <w:tcBorders>
              <w:top w:val="single" w:sz="4" w:space="0" w:color="auto"/>
              <w:left w:val="single" w:sz="4" w:space="0" w:color="auto"/>
              <w:right w:val="single" w:sz="4" w:space="0" w:color="auto"/>
            </w:tcBorders>
            <w:shd w:val="clear" w:color="auto" w:fill="FFFFFF"/>
          </w:tcPr>
          <w:p w14:paraId="37F5900A" w14:textId="0A7B3709" w:rsidR="0046468D" w:rsidRDefault="0046468D" w:rsidP="0046468D">
            <w:pPr>
              <w:spacing w:after="0" w:line="240" w:lineRule="auto"/>
              <w:rPr>
                <w:rFonts w:eastAsia="Calibri"/>
                <w:sz w:val="20"/>
                <w:szCs w:val="20"/>
              </w:rPr>
            </w:pPr>
            <w:r w:rsidRPr="00B66E9F">
              <w:rPr>
                <w:rFonts w:eastAsia="Calibri"/>
                <w:b/>
                <w:sz w:val="20"/>
                <w:szCs w:val="20"/>
              </w:rPr>
              <w:t xml:space="preserve">Output 5.3. </w:t>
            </w:r>
            <w:r w:rsidRPr="00B66E9F">
              <w:rPr>
                <w:rFonts w:eastAsia="Calibri"/>
                <w:sz w:val="20"/>
                <w:szCs w:val="20"/>
              </w:rPr>
              <w:t>Gender responsive disaster and climate risk management is integrated in the development planning and budgetary frameworks of key sectors (e.g. water, agriculture, health and education)</w:t>
            </w:r>
          </w:p>
          <w:p w14:paraId="62A3A2E0" w14:textId="77777777" w:rsidR="0046468D" w:rsidRDefault="0046468D" w:rsidP="0046468D">
            <w:pPr>
              <w:spacing w:after="0" w:line="240" w:lineRule="auto"/>
              <w:rPr>
                <w:rFonts w:eastAsia="Calibri"/>
                <w:sz w:val="20"/>
                <w:szCs w:val="20"/>
              </w:rPr>
            </w:pPr>
          </w:p>
          <w:p w14:paraId="2E255D72" w14:textId="72D217ED" w:rsidR="00CE35AD" w:rsidRDefault="00CE35AD" w:rsidP="00CE35AD">
            <w:pPr>
              <w:spacing w:after="0" w:line="240" w:lineRule="auto"/>
              <w:rPr>
                <w:rFonts w:ascii="Calibri" w:eastAsia="Calibri" w:hAnsi="Calibri"/>
                <w:b/>
                <w:color w:val="000000"/>
                <w:sz w:val="18"/>
                <w:szCs w:val="18"/>
              </w:rPr>
            </w:pPr>
            <w:r w:rsidRPr="00B359E7">
              <w:rPr>
                <w:rFonts w:ascii="Calibri" w:eastAsia="Calibri" w:hAnsi="Calibri"/>
                <w:b/>
                <w:i/>
                <w:color w:val="000000"/>
                <w:sz w:val="18"/>
                <w:szCs w:val="18"/>
              </w:rPr>
              <w:t>Number of countries linked:</w:t>
            </w:r>
            <w:r>
              <w:rPr>
                <w:rFonts w:ascii="Calibri" w:eastAsia="Calibri" w:hAnsi="Calibri"/>
                <w:b/>
                <w:color w:val="000000"/>
                <w:sz w:val="18"/>
                <w:szCs w:val="18"/>
              </w:rPr>
              <w:t xml:space="preserve"> </w:t>
            </w:r>
            <w:r w:rsidRPr="002923C1">
              <w:rPr>
                <w:rFonts w:ascii="Calibri" w:eastAsia="Calibri" w:hAnsi="Calibri"/>
                <w:b/>
                <w:color w:val="000000"/>
                <w:sz w:val="18"/>
                <w:szCs w:val="18"/>
              </w:rPr>
              <w:t>13</w:t>
            </w:r>
            <w:r>
              <w:rPr>
                <w:rFonts w:ascii="Calibri" w:eastAsia="Calibri" w:hAnsi="Calibri"/>
                <w:b/>
                <w:color w:val="000000"/>
                <w:sz w:val="18"/>
                <w:szCs w:val="18"/>
              </w:rPr>
              <w:t xml:space="preserve"> </w:t>
            </w:r>
          </w:p>
          <w:p w14:paraId="3AAC6403" w14:textId="6A7E9EC6" w:rsidR="0046468D" w:rsidRPr="008C4519" w:rsidRDefault="00CE35AD" w:rsidP="00CE35AD">
            <w:pPr>
              <w:spacing w:after="0" w:line="240" w:lineRule="auto"/>
              <w:rPr>
                <w:rFonts w:eastAsia="Calibri"/>
                <w:color w:val="000000"/>
                <w:sz w:val="20"/>
              </w:rPr>
            </w:pPr>
            <w:r>
              <w:rPr>
                <w:rFonts w:ascii="Calibri" w:eastAsia="Calibri" w:hAnsi="Calibri"/>
                <w:b/>
                <w:color w:val="000000"/>
                <w:sz w:val="18"/>
                <w:szCs w:val="18"/>
              </w:rPr>
              <w:t>(February 2015</w:t>
            </w:r>
            <w:r w:rsidRPr="00B359E7">
              <w:rPr>
                <w:rFonts w:ascii="Calibri" w:eastAsia="Calibri" w:hAnsi="Calibri"/>
                <w:b/>
                <w:color w:val="000000"/>
                <w:sz w:val="18"/>
                <w:szCs w:val="18"/>
              </w:rPr>
              <w:t>)</w:t>
            </w:r>
          </w:p>
        </w:tc>
        <w:tc>
          <w:tcPr>
            <w:tcW w:w="720" w:type="dxa"/>
            <w:vMerge w:val="restart"/>
            <w:tcBorders>
              <w:top w:val="single" w:sz="4" w:space="0" w:color="auto"/>
              <w:left w:val="single" w:sz="4" w:space="0" w:color="auto"/>
              <w:right w:val="single" w:sz="4" w:space="0" w:color="auto"/>
            </w:tcBorders>
            <w:shd w:val="clear" w:color="auto" w:fill="FFFFFF"/>
            <w:hideMark/>
          </w:tcPr>
          <w:p w14:paraId="02858B81" w14:textId="77777777" w:rsidR="0046468D" w:rsidRPr="0032657A" w:rsidRDefault="0046468D" w:rsidP="0046468D">
            <w:pPr>
              <w:spacing w:after="0" w:line="240" w:lineRule="auto"/>
              <w:rPr>
                <w:rFonts w:eastAsia="Calibri"/>
                <w:b/>
                <w:sz w:val="20"/>
                <w:szCs w:val="20"/>
              </w:rPr>
            </w:pPr>
            <w:r w:rsidRPr="0032657A">
              <w:rPr>
                <w:rFonts w:eastAsia="Calibri"/>
                <w:b/>
                <w:sz w:val="20"/>
                <w:szCs w:val="20"/>
              </w:rPr>
              <w:t>5.3.1</w:t>
            </w:r>
          </w:p>
        </w:tc>
        <w:tc>
          <w:tcPr>
            <w:tcW w:w="5310" w:type="dxa"/>
            <w:tcBorders>
              <w:top w:val="single" w:sz="4" w:space="0" w:color="auto"/>
              <w:left w:val="single" w:sz="4" w:space="0" w:color="auto"/>
              <w:right w:val="single" w:sz="4" w:space="0" w:color="auto"/>
            </w:tcBorders>
            <w:shd w:val="clear" w:color="auto" w:fill="FFFFFF"/>
            <w:hideMark/>
          </w:tcPr>
          <w:p w14:paraId="5845811E" w14:textId="7ADA093C" w:rsidR="0046468D" w:rsidRPr="007C52C3" w:rsidRDefault="0046468D" w:rsidP="0046468D">
            <w:pPr>
              <w:spacing w:after="0" w:line="240" w:lineRule="auto"/>
              <w:rPr>
                <w:rFonts w:eastAsia="Calibri"/>
                <w:sz w:val="20"/>
                <w:szCs w:val="20"/>
              </w:rPr>
            </w:pPr>
            <w:r w:rsidRPr="007C52C3">
              <w:rPr>
                <w:rFonts w:eastAsia="Calibri"/>
                <w:sz w:val="20"/>
                <w:szCs w:val="20"/>
              </w:rPr>
              <w:t xml:space="preserve">Number of </w:t>
            </w:r>
            <w:r w:rsidR="009A0E22" w:rsidRPr="007C52C3">
              <w:rPr>
                <w:rFonts w:eastAsia="Calibri"/>
                <w:b/>
                <w:sz w:val="20"/>
                <w:szCs w:val="20"/>
              </w:rPr>
              <w:t>new</w:t>
            </w:r>
            <w:r w:rsidR="009A0E22" w:rsidRPr="007C52C3">
              <w:rPr>
                <w:rFonts w:eastAsia="Calibri"/>
                <w:sz w:val="20"/>
                <w:szCs w:val="20"/>
              </w:rPr>
              <w:t xml:space="preserve"> </w:t>
            </w:r>
            <w:r w:rsidRPr="007C52C3">
              <w:rPr>
                <w:rFonts w:eastAsia="Calibri"/>
                <w:sz w:val="20"/>
                <w:szCs w:val="20"/>
              </w:rPr>
              <w:t xml:space="preserve">national/sub-national </w:t>
            </w:r>
            <w:r w:rsidRPr="007C52C3">
              <w:rPr>
                <w:rFonts w:eastAsia="Calibri"/>
                <w:b/>
                <w:sz w:val="20"/>
                <w:szCs w:val="20"/>
              </w:rPr>
              <w:t>development and</w:t>
            </w:r>
            <w:r w:rsidRPr="007C52C3">
              <w:rPr>
                <w:rFonts w:eastAsia="Calibri"/>
                <w:sz w:val="20"/>
                <w:szCs w:val="20"/>
              </w:rPr>
              <w:t xml:space="preserve"> </w:t>
            </w:r>
            <w:r w:rsidRPr="007C52C3">
              <w:rPr>
                <w:rFonts w:eastAsia="Calibri"/>
                <w:b/>
                <w:sz w:val="20"/>
                <w:szCs w:val="20"/>
              </w:rPr>
              <w:t>key sectorial</w:t>
            </w:r>
            <w:r w:rsidRPr="007C52C3">
              <w:rPr>
                <w:rFonts w:eastAsia="Calibri"/>
                <w:sz w:val="20"/>
                <w:szCs w:val="20"/>
              </w:rPr>
              <w:t xml:space="preserve"> </w:t>
            </w:r>
            <w:r w:rsidRPr="007C52C3">
              <w:rPr>
                <w:rFonts w:eastAsia="Calibri"/>
                <w:b/>
                <w:sz w:val="20"/>
                <w:szCs w:val="20"/>
              </w:rPr>
              <w:t>plans</w:t>
            </w:r>
            <w:r w:rsidRPr="007C52C3">
              <w:rPr>
                <w:rFonts w:eastAsia="Calibri"/>
                <w:sz w:val="20"/>
                <w:szCs w:val="20"/>
              </w:rPr>
              <w:t xml:space="preserve"> that </w:t>
            </w:r>
            <w:r w:rsidRPr="007C52C3">
              <w:rPr>
                <w:rFonts w:eastAsia="Calibri"/>
                <w:b/>
                <w:sz w:val="20"/>
                <w:szCs w:val="20"/>
              </w:rPr>
              <w:t>explicitly address disaster and/or climate risk management being implemented</w:t>
            </w:r>
            <w:r w:rsidRPr="007C52C3">
              <w:rPr>
                <w:rFonts w:eastAsia="Calibri"/>
                <w:sz w:val="20"/>
                <w:szCs w:val="20"/>
              </w:rPr>
              <w:t>, disaggregated for those which are</w:t>
            </w:r>
            <w:r w:rsidRPr="007C52C3">
              <w:rPr>
                <w:rFonts w:eastAsia="Calibri"/>
                <w:b/>
                <w:sz w:val="20"/>
                <w:szCs w:val="20"/>
              </w:rPr>
              <w:t xml:space="preserve"> </w:t>
            </w:r>
            <w:r w:rsidRPr="007C52C3">
              <w:rPr>
                <w:rFonts w:eastAsia="Calibri"/>
                <w:sz w:val="20"/>
                <w:szCs w:val="20"/>
              </w:rPr>
              <w:t>gender responsive</w:t>
            </w:r>
            <w:r w:rsidR="00EE4D9F" w:rsidRPr="007C52C3">
              <w:rPr>
                <w:rFonts w:eastAsia="Calibri"/>
                <w:sz w:val="20"/>
                <w:szCs w:val="20"/>
              </w:rPr>
              <w:t>.</w:t>
            </w:r>
          </w:p>
          <w:p w14:paraId="7D775103" w14:textId="7EA24073" w:rsidR="00EE4D9F" w:rsidRPr="007C52C3" w:rsidRDefault="00EE4D9F" w:rsidP="006F161D">
            <w:pPr>
              <w:pStyle w:val="ListParagraph"/>
              <w:numPr>
                <w:ilvl w:val="0"/>
                <w:numId w:val="38"/>
              </w:numPr>
              <w:rPr>
                <w:rFonts w:eastAsia="Calibri"/>
                <w:sz w:val="20"/>
                <w:szCs w:val="20"/>
              </w:rPr>
            </w:pPr>
            <w:r w:rsidRPr="007C52C3">
              <w:rPr>
                <w:rFonts w:eastAsia="Calibri"/>
                <w:sz w:val="20"/>
                <w:szCs w:val="20"/>
              </w:rPr>
              <w:t>Number of</w:t>
            </w:r>
            <w:r w:rsidR="005C3192" w:rsidRPr="007C52C3">
              <w:rPr>
                <w:rFonts w:eastAsia="Calibri"/>
                <w:sz w:val="20"/>
                <w:szCs w:val="20"/>
              </w:rPr>
              <w:t xml:space="preserve"> </w:t>
            </w:r>
            <w:r w:rsidR="005C3192" w:rsidRPr="007C52C3">
              <w:rPr>
                <w:rFonts w:eastAsia="Calibri"/>
                <w:b/>
                <w:sz w:val="20"/>
                <w:szCs w:val="20"/>
              </w:rPr>
              <w:t>new</w:t>
            </w:r>
            <w:r w:rsidR="005C3192" w:rsidRPr="007C52C3">
              <w:rPr>
                <w:rFonts w:eastAsia="Calibri"/>
                <w:sz w:val="20"/>
                <w:szCs w:val="20"/>
              </w:rPr>
              <w:t xml:space="preserve"> </w:t>
            </w:r>
            <w:r w:rsidRPr="007C52C3">
              <w:rPr>
                <w:rFonts w:eastAsia="Calibri"/>
                <w:b/>
                <w:sz w:val="20"/>
                <w:szCs w:val="20"/>
              </w:rPr>
              <w:t xml:space="preserve">plans </w:t>
            </w:r>
            <w:r w:rsidRPr="007C52C3">
              <w:rPr>
                <w:rFonts w:eastAsia="Calibri"/>
                <w:sz w:val="20"/>
                <w:szCs w:val="20"/>
              </w:rPr>
              <w:t>with some DRM and/or CRM components</w:t>
            </w:r>
          </w:p>
          <w:p w14:paraId="656BCD42" w14:textId="2CC07412" w:rsidR="00EE4D9F" w:rsidRPr="007C52C3" w:rsidRDefault="00EE4D9F" w:rsidP="006F161D">
            <w:pPr>
              <w:pStyle w:val="ListParagraph"/>
              <w:numPr>
                <w:ilvl w:val="0"/>
                <w:numId w:val="38"/>
              </w:numPr>
              <w:rPr>
                <w:rFonts w:eastAsia="Calibri"/>
                <w:sz w:val="20"/>
                <w:szCs w:val="20"/>
              </w:rPr>
            </w:pPr>
            <w:r w:rsidRPr="007C52C3">
              <w:rPr>
                <w:rFonts w:eastAsia="Calibri"/>
                <w:sz w:val="20"/>
                <w:szCs w:val="20"/>
              </w:rPr>
              <w:t xml:space="preserve">Number of </w:t>
            </w:r>
            <w:r w:rsidRPr="007C52C3">
              <w:rPr>
                <w:rFonts w:eastAsia="Calibri"/>
                <w:b/>
                <w:sz w:val="20"/>
                <w:szCs w:val="20"/>
              </w:rPr>
              <w:t xml:space="preserve">budgeted </w:t>
            </w:r>
            <w:r w:rsidR="005C3192" w:rsidRPr="007C52C3">
              <w:rPr>
                <w:rFonts w:eastAsia="Calibri"/>
                <w:b/>
                <w:sz w:val="20"/>
                <w:szCs w:val="20"/>
              </w:rPr>
              <w:t xml:space="preserve">new </w:t>
            </w:r>
            <w:r w:rsidRPr="007C52C3">
              <w:rPr>
                <w:rFonts w:eastAsia="Calibri"/>
                <w:b/>
                <w:sz w:val="20"/>
                <w:szCs w:val="20"/>
              </w:rPr>
              <w:t>plans</w:t>
            </w:r>
            <w:r w:rsidRPr="007C52C3">
              <w:rPr>
                <w:rFonts w:eastAsia="Calibri"/>
                <w:sz w:val="20"/>
                <w:szCs w:val="20"/>
              </w:rPr>
              <w:t xml:space="preserve"> with some DRM and/or CRM components</w:t>
            </w:r>
            <w:r w:rsidR="0008375E" w:rsidRPr="007C52C3">
              <w:rPr>
                <w:rFonts w:eastAsia="Calibri"/>
                <w:sz w:val="20"/>
                <w:szCs w:val="20"/>
              </w:rPr>
              <w:t xml:space="preserve"> </w:t>
            </w:r>
          </w:p>
          <w:p w14:paraId="3C4A36C4" w14:textId="77777777" w:rsidR="00EE4D9F" w:rsidRPr="007C52C3" w:rsidRDefault="00EE4D9F" w:rsidP="006F161D">
            <w:pPr>
              <w:pStyle w:val="ListParagraph"/>
              <w:numPr>
                <w:ilvl w:val="0"/>
                <w:numId w:val="38"/>
              </w:numPr>
              <w:rPr>
                <w:rFonts w:eastAsia="Calibri"/>
                <w:sz w:val="20"/>
                <w:szCs w:val="20"/>
              </w:rPr>
            </w:pPr>
            <w:r w:rsidRPr="007C52C3">
              <w:rPr>
                <w:rFonts w:eastAsia="Calibri"/>
                <w:sz w:val="20"/>
                <w:szCs w:val="20"/>
              </w:rPr>
              <w:t xml:space="preserve">Number of </w:t>
            </w:r>
            <w:r w:rsidRPr="007C52C3">
              <w:rPr>
                <w:rFonts w:eastAsia="Calibri"/>
                <w:b/>
                <w:sz w:val="20"/>
                <w:szCs w:val="20"/>
              </w:rPr>
              <w:t xml:space="preserve">budgeted </w:t>
            </w:r>
            <w:r w:rsidR="005C3192" w:rsidRPr="007C52C3">
              <w:rPr>
                <w:rFonts w:eastAsia="Calibri"/>
                <w:b/>
                <w:sz w:val="20"/>
                <w:szCs w:val="20"/>
              </w:rPr>
              <w:t xml:space="preserve">new </w:t>
            </w:r>
            <w:r w:rsidRPr="007C52C3">
              <w:rPr>
                <w:rFonts w:eastAsia="Calibri"/>
                <w:b/>
                <w:sz w:val="20"/>
                <w:szCs w:val="20"/>
              </w:rPr>
              <w:t>plans</w:t>
            </w:r>
            <w:r w:rsidRPr="007C52C3">
              <w:rPr>
                <w:rFonts w:eastAsia="Calibri"/>
                <w:sz w:val="20"/>
                <w:szCs w:val="20"/>
              </w:rPr>
              <w:t xml:space="preserve"> with some DRM and/or CRM components which are </w:t>
            </w:r>
            <w:r w:rsidRPr="007C52C3">
              <w:rPr>
                <w:rFonts w:eastAsia="Calibri"/>
                <w:b/>
                <w:sz w:val="20"/>
                <w:szCs w:val="20"/>
              </w:rPr>
              <w:t>gender responsive</w:t>
            </w:r>
          </w:p>
          <w:p w14:paraId="73AE4FD7" w14:textId="0C50EEBF" w:rsidR="00546E49" w:rsidRPr="002923C1" w:rsidRDefault="00546E49" w:rsidP="00D37201">
            <w:pPr>
              <w:spacing w:before="240" w:after="0"/>
              <w:rPr>
                <w:rFonts w:eastAsia="Calibri"/>
                <w:color w:val="FF0000"/>
                <w:sz w:val="20"/>
                <w:szCs w:val="20"/>
              </w:rPr>
            </w:pPr>
            <w:r w:rsidRPr="007C52C3">
              <w:rPr>
                <w:rFonts w:eastAsia="Calibri"/>
                <w:b/>
                <w:i/>
                <w:sz w:val="18"/>
                <w:szCs w:val="18"/>
              </w:rPr>
              <w:t xml:space="preserve">Number of countries </w:t>
            </w:r>
            <w:r w:rsidR="00983FF8" w:rsidRPr="007C52C3">
              <w:rPr>
                <w:rFonts w:eastAsia="Calibri"/>
                <w:b/>
                <w:i/>
                <w:sz w:val="18"/>
                <w:szCs w:val="18"/>
              </w:rPr>
              <w:t xml:space="preserve">for which a 2017 target has currently been set under this </w:t>
            </w:r>
            <w:r w:rsidR="00983FF8" w:rsidRPr="006A38F1">
              <w:rPr>
                <w:rFonts w:eastAsia="Calibri"/>
                <w:b/>
                <w:i/>
                <w:sz w:val="18"/>
                <w:szCs w:val="18"/>
              </w:rPr>
              <w:t>indicator</w:t>
            </w:r>
            <w:r w:rsidRPr="006A38F1">
              <w:rPr>
                <w:rFonts w:eastAsia="Calibri"/>
                <w:b/>
                <w:i/>
                <w:sz w:val="18"/>
                <w:szCs w:val="18"/>
              </w:rPr>
              <w:t xml:space="preserve">: </w:t>
            </w:r>
            <w:r w:rsidR="00FB0D21" w:rsidRPr="006A38F1">
              <w:rPr>
                <w:rFonts w:eastAsia="Calibri"/>
                <w:b/>
                <w:i/>
                <w:sz w:val="18"/>
                <w:szCs w:val="18"/>
              </w:rPr>
              <w:t>20</w:t>
            </w:r>
          </w:p>
        </w:tc>
        <w:tc>
          <w:tcPr>
            <w:tcW w:w="1350" w:type="dxa"/>
            <w:tcBorders>
              <w:top w:val="single" w:sz="4" w:space="0" w:color="auto"/>
              <w:left w:val="single" w:sz="4" w:space="0" w:color="auto"/>
              <w:right w:val="single" w:sz="4" w:space="0" w:color="auto"/>
            </w:tcBorders>
            <w:shd w:val="clear" w:color="auto" w:fill="FFFFFF"/>
          </w:tcPr>
          <w:p w14:paraId="0139D668" w14:textId="77777777" w:rsidR="0046468D" w:rsidRPr="00FB0D21" w:rsidRDefault="0046468D" w:rsidP="0046468D">
            <w:pPr>
              <w:spacing w:after="0" w:line="240" w:lineRule="auto"/>
              <w:jc w:val="center"/>
              <w:rPr>
                <w:sz w:val="20"/>
                <w:szCs w:val="20"/>
              </w:rPr>
            </w:pPr>
          </w:p>
          <w:p w14:paraId="22E30B74" w14:textId="77777777" w:rsidR="0046468D" w:rsidRPr="00FB0D21" w:rsidRDefault="0046468D" w:rsidP="0046468D">
            <w:pPr>
              <w:spacing w:after="0" w:line="240" w:lineRule="auto"/>
              <w:jc w:val="center"/>
              <w:rPr>
                <w:sz w:val="20"/>
                <w:szCs w:val="20"/>
              </w:rPr>
            </w:pPr>
          </w:p>
          <w:p w14:paraId="7B3B3967" w14:textId="77777777" w:rsidR="00EE4D9F" w:rsidRPr="00FB0D21" w:rsidRDefault="00EE4D9F" w:rsidP="0046468D">
            <w:pPr>
              <w:spacing w:after="0" w:line="240" w:lineRule="auto"/>
              <w:jc w:val="center"/>
              <w:rPr>
                <w:sz w:val="20"/>
                <w:szCs w:val="20"/>
              </w:rPr>
            </w:pPr>
          </w:p>
          <w:p w14:paraId="2A162F13" w14:textId="77777777" w:rsidR="00EE4D9F" w:rsidRPr="00FB0D21" w:rsidRDefault="00EE4D9F" w:rsidP="0046468D">
            <w:pPr>
              <w:spacing w:after="0" w:line="240" w:lineRule="auto"/>
              <w:jc w:val="center"/>
              <w:rPr>
                <w:sz w:val="20"/>
                <w:szCs w:val="20"/>
              </w:rPr>
            </w:pPr>
          </w:p>
          <w:p w14:paraId="3018B782" w14:textId="77777777" w:rsidR="00AA6D9D" w:rsidRPr="00FB0D21" w:rsidRDefault="008114C9" w:rsidP="00EE4D9F">
            <w:pPr>
              <w:spacing w:after="0" w:line="240" w:lineRule="auto"/>
              <w:jc w:val="center"/>
              <w:rPr>
                <w:sz w:val="20"/>
                <w:szCs w:val="20"/>
              </w:rPr>
            </w:pPr>
            <w:r w:rsidRPr="00FB0D21">
              <w:rPr>
                <w:sz w:val="20"/>
                <w:szCs w:val="20"/>
              </w:rPr>
              <w:t>0</w:t>
            </w:r>
          </w:p>
          <w:p w14:paraId="3F44B444" w14:textId="77777777" w:rsidR="008114C9" w:rsidRPr="00FB0D21" w:rsidRDefault="008114C9" w:rsidP="00EE4D9F">
            <w:pPr>
              <w:spacing w:after="0" w:line="240" w:lineRule="auto"/>
              <w:jc w:val="center"/>
              <w:rPr>
                <w:sz w:val="20"/>
                <w:szCs w:val="20"/>
              </w:rPr>
            </w:pPr>
          </w:p>
          <w:p w14:paraId="49C47DD4" w14:textId="77777777" w:rsidR="008114C9" w:rsidRPr="00FB0D21" w:rsidRDefault="008114C9" w:rsidP="00EE4D9F">
            <w:pPr>
              <w:spacing w:after="0" w:line="240" w:lineRule="auto"/>
              <w:jc w:val="center"/>
              <w:rPr>
                <w:sz w:val="20"/>
                <w:szCs w:val="20"/>
              </w:rPr>
            </w:pPr>
            <w:r w:rsidRPr="00FB0D21">
              <w:rPr>
                <w:sz w:val="20"/>
                <w:szCs w:val="20"/>
              </w:rPr>
              <w:t>0</w:t>
            </w:r>
          </w:p>
          <w:p w14:paraId="121C01CA" w14:textId="77777777" w:rsidR="008114C9" w:rsidRPr="00FB0D21" w:rsidRDefault="008114C9" w:rsidP="00EE4D9F">
            <w:pPr>
              <w:spacing w:after="0" w:line="240" w:lineRule="auto"/>
              <w:jc w:val="center"/>
              <w:rPr>
                <w:sz w:val="20"/>
                <w:szCs w:val="20"/>
              </w:rPr>
            </w:pPr>
          </w:p>
          <w:p w14:paraId="577D58B4" w14:textId="77777777" w:rsidR="008114C9" w:rsidRPr="00FB0D21" w:rsidRDefault="008114C9" w:rsidP="00EE4D9F">
            <w:pPr>
              <w:spacing w:after="0" w:line="240" w:lineRule="auto"/>
              <w:jc w:val="center"/>
              <w:rPr>
                <w:sz w:val="20"/>
                <w:szCs w:val="20"/>
              </w:rPr>
            </w:pPr>
            <w:r w:rsidRPr="00FB0D21">
              <w:rPr>
                <w:sz w:val="20"/>
                <w:szCs w:val="20"/>
              </w:rPr>
              <w:t>0</w:t>
            </w:r>
          </w:p>
        </w:tc>
        <w:tc>
          <w:tcPr>
            <w:tcW w:w="1350" w:type="dxa"/>
            <w:tcBorders>
              <w:top w:val="single" w:sz="4" w:space="0" w:color="auto"/>
              <w:left w:val="single" w:sz="4" w:space="0" w:color="auto"/>
              <w:right w:val="single" w:sz="4" w:space="0" w:color="auto"/>
            </w:tcBorders>
            <w:shd w:val="clear" w:color="auto" w:fill="FFFFFF"/>
          </w:tcPr>
          <w:p w14:paraId="7EC0E5AD" w14:textId="77777777" w:rsidR="0046468D" w:rsidRPr="00FB0D21" w:rsidRDefault="0046468D" w:rsidP="0046468D">
            <w:pPr>
              <w:spacing w:after="0" w:line="240" w:lineRule="auto"/>
              <w:jc w:val="center"/>
              <w:rPr>
                <w:sz w:val="20"/>
                <w:szCs w:val="20"/>
              </w:rPr>
            </w:pPr>
          </w:p>
          <w:p w14:paraId="49381A74" w14:textId="77777777" w:rsidR="0046468D" w:rsidRPr="00FB0D21" w:rsidRDefault="0046468D" w:rsidP="0046468D">
            <w:pPr>
              <w:spacing w:after="0" w:line="240" w:lineRule="auto"/>
              <w:jc w:val="center"/>
              <w:rPr>
                <w:sz w:val="20"/>
                <w:szCs w:val="20"/>
              </w:rPr>
            </w:pPr>
          </w:p>
          <w:p w14:paraId="085BB0AE" w14:textId="77777777" w:rsidR="00EE4D9F" w:rsidRPr="00FB0D21" w:rsidRDefault="00EE4D9F" w:rsidP="0046468D">
            <w:pPr>
              <w:spacing w:after="0" w:line="240" w:lineRule="auto"/>
              <w:jc w:val="center"/>
              <w:rPr>
                <w:sz w:val="20"/>
                <w:szCs w:val="20"/>
              </w:rPr>
            </w:pPr>
          </w:p>
          <w:p w14:paraId="4095C333" w14:textId="77777777" w:rsidR="00EE4D9F" w:rsidRPr="00FB0D21" w:rsidRDefault="00EE4D9F" w:rsidP="0046468D">
            <w:pPr>
              <w:spacing w:after="0" w:line="240" w:lineRule="auto"/>
              <w:jc w:val="center"/>
              <w:rPr>
                <w:sz w:val="20"/>
                <w:szCs w:val="20"/>
              </w:rPr>
            </w:pPr>
          </w:p>
          <w:p w14:paraId="4C6E5A03" w14:textId="73638236" w:rsidR="00AA6D9D" w:rsidRPr="00FB0D21" w:rsidRDefault="00FB0D21" w:rsidP="0046468D">
            <w:pPr>
              <w:spacing w:after="0" w:line="240" w:lineRule="auto"/>
              <w:jc w:val="center"/>
              <w:rPr>
                <w:sz w:val="20"/>
                <w:szCs w:val="20"/>
              </w:rPr>
            </w:pPr>
            <w:r w:rsidRPr="00FB0D21">
              <w:rPr>
                <w:sz w:val="20"/>
                <w:szCs w:val="20"/>
              </w:rPr>
              <w:t>6</w:t>
            </w:r>
          </w:p>
          <w:p w14:paraId="408000CD" w14:textId="77777777" w:rsidR="008114C9" w:rsidRPr="00FB0D21" w:rsidRDefault="008114C9" w:rsidP="0046468D">
            <w:pPr>
              <w:spacing w:after="0" w:line="240" w:lineRule="auto"/>
              <w:jc w:val="center"/>
              <w:rPr>
                <w:sz w:val="20"/>
                <w:szCs w:val="20"/>
              </w:rPr>
            </w:pPr>
          </w:p>
          <w:p w14:paraId="09AB9EE7" w14:textId="21E1D109" w:rsidR="008114C9" w:rsidRPr="00FB0D21" w:rsidRDefault="00FB0D21" w:rsidP="0046468D">
            <w:pPr>
              <w:spacing w:after="0" w:line="240" w:lineRule="auto"/>
              <w:jc w:val="center"/>
              <w:rPr>
                <w:sz w:val="20"/>
                <w:szCs w:val="20"/>
              </w:rPr>
            </w:pPr>
            <w:r w:rsidRPr="00FB0D21">
              <w:rPr>
                <w:sz w:val="20"/>
                <w:szCs w:val="20"/>
              </w:rPr>
              <w:t>4</w:t>
            </w:r>
          </w:p>
          <w:p w14:paraId="17FBC303" w14:textId="77777777" w:rsidR="008114C9" w:rsidRPr="00FB0D21" w:rsidRDefault="008114C9" w:rsidP="0046468D">
            <w:pPr>
              <w:spacing w:after="0" w:line="240" w:lineRule="auto"/>
              <w:jc w:val="center"/>
              <w:rPr>
                <w:sz w:val="20"/>
                <w:szCs w:val="20"/>
              </w:rPr>
            </w:pPr>
          </w:p>
          <w:p w14:paraId="3074FB52" w14:textId="6DFAF32A" w:rsidR="008114C9" w:rsidRPr="00FB0D21" w:rsidRDefault="00B212D4" w:rsidP="0046468D">
            <w:pPr>
              <w:spacing w:after="0" w:line="240" w:lineRule="auto"/>
              <w:jc w:val="center"/>
              <w:rPr>
                <w:sz w:val="20"/>
                <w:szCs w:val="20"/>
              </w:rPr>
            </w:pPr>
            <w:r w:rsidRPr="00FB0D21">
              <w:rPr>
                <w:sz w:val="20"/>
                <w:szCs w:val="20"/>
              </w:rPr>
              <w:t>6</w:t>
            </w:r>
          </w:p>
        </w:tc>
        <w:tc>
          <w:tcPr>
            <w:tcW w:w="1260" w:type="dxa"/>
            <w:tcBorders>
              <w:top w:val="single" w:sz="4" w:space="0" w:color="auto"/>
              <w:left w:val="single" w:sz="4" w:space="0" w:color="auto"/>
              <w:right w:val="single" w:sz="4" w:space="0" w:color="auto"/>
            </w:tcBorders>
            <w:shd w:val="clear" w:color="auto" w:fill="FFFFFF"/>
          </w:tcPr>
          <w:p w14:paraId="12DA393B" w14:textId="77777777" w:rsidR="0046468D" w:rsidRPr="00FB0D21" w:rsidRDefault="0046468D" w:rsidP="0046468D">
            <w:pPr>
              <w:spacing w:after="0" w:line="240" w:lineRule="auto"/>
              <w:jc w:val="center"/>
              <w:rPr>
                <w:sz w:val="20"/>
                <w:szCs w:val="20"/>
              </w:rPr>
            </w:pPr>
          </w:p>
          <w:p w14:paraId="58D24800" w14:textId="77777777" w:rsidR="0046468D" w:rsidRPr="00FB0D21" w:rsidRDefault="0046468D" w:rsidP="0046468D">
            <w:pPr>
              <w:spacing w:after="0" w:line="240" w:lineRule="auto"/>
              <w:jc w:val="center"/>
              <w:rPr>
                <w:sz w:val="20"/>
                <w:szCs w:val="20"/>
              </w:rPr>
            </w:pPr>
          </w:p>
          <w:p w14:paraId="1621115A" w14:textId="77777777" w:rsidR="00EE4D9F" w:rsidRPr="00FB0D21" w:rsidRDefault="00EE4D9F" w:rsidP="0046468D">
            <w:pPr>
              <w:spacing w:after="0" w:line="240" w:lineRule="auto"/>
              <w:jc w:val="center"/>
              <w:rPr>
                <w:sz w:val="20"/>
                <w:szCs w:val="20"/>
              </w:rPr>
            </w:pPr>
          </w:p>
          <w:p w14:paraId="393609DF" w14:textId="77777777" w:rsidR="008114C9" w:rsidRPr="00FB0D21" w:rsidRDefault="008114C9" w:rsidP="0046468D">
            <w:pPr>
              <w:spacing w:after="0" w:line="240" w:lineRule="auto"/>
              <w:jc w:val="center"/>
              <w:rPr>
                <w:sz w:val="20"/>
                <w:szCs w:val="20"/>
              </w:rPr>
            </w:pPr>
          </w:p>
          <w:p w14:paraId="692573AB" w14:textId="78D865AC" w:rsidR="007D78E7" w:rsidRPr="00FB0D21" w:rsidRDefault="00FB0D21" w:rsidP="0046468D">
            <w:pPr>
              <w:spacing w:after="0" w:line="240" w:lineRule="auto"/>
              <w:jc w:val="center"/>
              <w:rPr>
                <w:sz w:val="20"/>
                <w:szCs w:val="20"/>
              </w:rPr>
            </w:pPr>
            <w:r w:rsidRPr="00FB0D21">
              <w:rPr>
                <w:sz w:val="20"/>
                <w:szCs w:val="20"/>
              </w:rPr>
              <w:t>2*</w:t>
            </w:r>
          </w:p>
          <w:p w14:paraId="354F4B67" w14:textId="77777777" w:rsidR="007D78E7" w:rsidRPr="00FB0D21" w:rsidRDefault="007D78E7" w:rsidP="0046468D">
            <w:pPr>
              <w:spacing w:after="0" w:line="240" w:lineRule="auto"/>
              <w:jc w:val="center"/>
              <w:rPr>
                <w:sz w:val="20"/>
                <w:szCs w:val="20"/>
              </w:rPr>
            </w:pPr>
          </w:p>
          <w:p w14:paraId="3E0C80D7" w14:textId="20C16D80" w:rsidR="007D78E7" w:rsidRPr="00FB0D21" w:rsidRDefault="00FB0D21" w:rsidP="0046468D">
            <w:pPr>
              <w:spacing w:after="0" w:line="240" w:lineRule="auto"/>
              <w:jc w:val="center"/>
              <w:rPr>
                <w:sz w:val="20"/>
                <w:szCs w:val="20"/>
              </w:rPr>
            </w:pPr>
            <w:r w:rsidRPr="00FB0D21">
              <w:rPr>
                <w:sz w:val="20"/>
                <w:szCs w:val="20"/>
              </w:rPr>
              <w:t>1*</w:t>
            </w:r>
          </w:p>
          <w:p w14:paraId="1C474F85" w14:textId="77777777" w:rsidR="007D78E7" w:rsidRPr="00FB0D21" w:rsidRDefault="007D78E7" w:rsidP="0046468D">
            <w:pPr>
              <w:spacing w:after="0" w:line="240" w:lineRule="auto"/>
              <w:jc w:val="center"/>
              <w:rPr>
                <w:sz w:val="20"/>
                <w:szCs w:val="20"/>
              </w:rPr>
            </w:pPr>
          </w:p>
          <w:p w14:paraId="75054636" w14:textId="0F2E289A" w:rsidR="007D78E7" w:rsidRPr="00FB0D21" w:rsidRDefault="00B212D4" w:rsidP="0046468D">
            <w:pPr>
              <w:spacing w:after="0" w:line="240" w:lineRule="auto"/>
              <w:jc w:val="center"/>
              <w:rPr>
                <w:sz w:val="20"/>
                <w:szCs w:val="20"/>
              </w:rPr>
            </w:pPr>
            <w:r w:rsidRPr="00FB0D21">
              <w:rPr>
                <w:sz w:val="20"/>
                <w:szCs w:val="20"/>
              </w:rPr>
              <w:t>2</w:t>
            </w:r>
            <w:r w:rsidR="00FB0D21" w:rsidRPr="00FB0D21">
              <w:rPr>
                <w:sz w:val="20"/>
                <w:szCs w:val="20"/>
              </w:rPr>
              <w:t>*</w:t>
            </w:r>
          </w:p>
        </w:tc>
        <w:tc>
          <w:tcPr>
            <w:tcW w:w="1332" w:type="dxa"/>
            <w:tcBorders>
              <w:top w:val="single" w:sz="4" w:space="0" w:color="auto"/>
              <w:left w:val="single" w:sz="4" w:space="0" w:color="auto"/>
              <w:right w:val="single" w:sz="4" w:space="0" w:color="auto"/>
            </w:tcBorders>
            <w:shd w:val="clear" w:color="auto" w:fill="FFFFFF"/>
          </w:tcPr>
          <w:p w14:paraId="6663801F" w14:textId="77777777" w:rsidR="0046468D" w:rsidRPr="00FB0D21" w:rsidRDefault="0046468D" w:rsidP="0046468D">
            <w:pPr>
              <w:spacing w:after="0" w:line="240" w:lineRule="auto"/>
              <w:jc w:val="center"/>
              <w:rPr>
                <w:sz w:val="20"/>
                <w:szCs w:val="20"/>
              </w:rPr>
            </w:pPr>
          </w:p>
          <w:p w14:paraId="123724DE" w14:textId="77777777" w:rsidR="0046468D" w:rsidRPr="00FB0D21" w:rsidRDefault="0046468D" w:rsidP="0046468D">
            <w:pPr>
              <w:spacing w:after="0" w:line="240" w:lineRule="auto"/>
              <w:jc w:val="center"/>
              <w:rPr>
                <w:sz w:val="20"/>
                <w:szCs w:val="20"/>
              </w:rPr>
            </w:pPr>
          </w:p>
          <w:p w14:paraId="688E18EF" w14:textId="77777777" w:rsidR="00EE4D9F" w:rsidRPr="00FB0D21" w:rsidRDefault="00EE4D9F" w:rsidP="0046468D">
            <w:pPr>
              <w:spacing w:after="0" w:line="240" w:lineRule="auto"/>
              <w:jc w:val="center"/>
              <w:rPr>
                <w:sz w:val="20"/>
                <w:szCs w:val="20"/>
              </w:rPr>
            </w:pPr>
          </w:p>
          <w:p w14:paraId="2E5F832F" w14:textId="77777777" w:rsidR="00EE4D9F" w:rsidRPr="00FB0D21" w:rsidRDefault="00EE4D9F" w:rsidP="0046468D">
            <w:pPr>
              <w:spacing w:after="0" w:line="240" w:lineRule="auto"/>
              <w:jc w:val="center"/>
              <w:rPr>
                <w:sz w:val="20"/>
                <w:szCs w:val="20"/>
              </w:rPr>
            </w:pPr>
          </w:p>
          <w:p w14:paraId="21386D4E" w14:textId="3341E05A" w:rsidR="00AA6D9D" w:rsidRPr="00FB0D21" w:rsidRDefault="008114C9" w:rsidP="0046468D">
            <w:pPr>
              <w:spacing w:after="0" w:line="240" w:lineRule="auto"/>
              <w:jc w:val="center"/>
              <w:rPr>
                <w:sz w:val="20"/>
                <w:szCs w:val="20"/>
              </w:rPr>
            </w:pPr>
            <w:r w:rsidRPr="00FB0D21">
              <w:rPr>
                <w:sz w:val="20"/>
                <w:szCs w:val="20"/>
              </w:rPr>
              <w:t>1</w:t>
            </w:r>
            <w:r w:rsidR="00FB0D21" w:rsidRPr="00FB0D21">
              <w:rPr>
                <w:sz w:val="20"/>
                <w:szCs w:val="20"/>
              </w:rPr>
              <w:t>24</w:t>
            </w:r>
          </w:p>
          <w:p w14:paraId="0CC60AE7" w14:textId="77777777" w:rsidR="008114C9" w:rsidRPr="00FB0D21" w:rsidRDefault="008114C9" w:rsidP="0046468D">
            <w:pPr>
              <w:spacing w:after="0" w:line="240" w:lineRule="auto"/>
              <w:jc w:val="center"/>
              <w:rPr>
                <w:sz w:val="20"/>
                <w:szCs w:val="20"/>
              </w:rPr>
            </w:pPr>
          </w:p>
          <w:p w14:paraId="249CF0EC" w14:textId="63C6E655" w:rsidR="008114C9" w:rsidRPr="00FB0D21" w:rsidRDefault="00FB0D21" w:rsidP="0046468D">
            <w:pPr>
              <w:spacing w:after="0" w:line="240" w:lineRule="auto"/>
              <w:jc w:val="center"/>
              <w:rPr>
                <w:sz w:val="20"/>
                <w:szCs w:val="20"/>
              </w:rPr>
            </w:pPr>
            <w:r w:rsidRPr="00FB0D21">
              <w:rPr>
                <w:sz w:val="20"/>
                <w:szCs w:val="20"/>
              </w:rPr>
              <w:t>93</w:t>
            </w:r>
          </w:p>
          <w:p w14:paraId="33D35FA2" w14:textId="77777777" w:rsidR="008114C9" w:rsidRPr="00FB0D21" w:rsidRDefault="008114C9" w:rsidP="0046468D">
            <w:pPr>
              <w:spacing w:after="0" w:line="240" w:lineRule="auto"/>
              <w:jc w:val="center"/>
              <w:rPr>
                <w:sz w:val="20"/>
                <w:szCs w:val="20"/>
              </w:rPr>
            </w:pPr>
          </w:p>
          <w:p w14:paraId="4F0891C8" w14:textId="4ED44DF2" w:rsidR="008114C9" w:rsidRPr="00FB0D21" w:rsidRDefault="00651C29" w:rsidP="00651C29">
            <w:pPr>
              <w:spacing w:after="0" w:line="240" w:lineRule="auto"/>
              <w:jc w:val="center"/>
              <w:rPr>
                <w:sz w:val="20"/>
                <w:szCs w:val="20"/>
              </w:rPr>
            </w:pPr>
            <w:r w:rsidRPr="00FB0D21">
              <w:rPr>
                <w:sz w:val="20"/>
                <w:szCs w:val="20"/>
              </w:rPr>
              <w:t>96</w:t>
            </w:r>
          </w:p>
        </w:tc>
      </w:tr>
      <w:tr w:rsidR="001A5C74" w:rsidRPr="00015A57" w14:paraId="7C67053A" w14:textId="77777777" w:rsidTr="000119D2">
        <w:trPr>
          <w:trHeight w:val="890"/>
          <w:jc w:val="center"/>
        </w:trPr>
        <w:tc>
          <w:tcPr>
            <w:tcW w:w="3325" w:type="dxa"/>
            <w:vMerge/>
            <w:tcBorders>
              <w:left w:val="single" w:sz="4" w:space="0" w:color="auto"/>
              <w:bottom w:val="single" w:sz="4" w:space="0" w:color="auto"/>
              <w:right w:val="single" w:sz="4" w:space="0" w:color="auto"/>
            </w:tcBorders>
            <w:shd w:val="clear" w:color="auto" w:fill="FFFFFF"/>
          </w:tcPr>
          <w:p w14:paraId="66C8E3FA" w14:textId="00B78A75" w:rsidR="001A5C74" w:rsidRPr="00B66E9F" w:rsidRDefault="001A5C74" w:rsidP="001A5C74">
            <w:pPr>
              <w:spacing w:after="0" w:line="240" w:lineRule="auto"/>
              <w:rPr>
                <w:rFonts w:eastAsia="Calibri"/>
                <w:b/>
                <w:sz w:val="20"/>
                <w:szCs w:val="20"/>
              </w:rPr>
            </w:pPr>
          </w:p>
        </w:tc>
        <w:tc>
          <w:tcPr>
            <w:tcW w:w="720" w:type="dxa"/>
            <w:vMerge/>
            <w:tcBorders>
              <w:left w:val="single" w:sz="4" w:space="0" w:color="auto"/>
              <w:right w:val="single" w:sz="4" w:space="0" w:color="auto"/>
            </w:tcBorders>
            <w:shd w:val="clear" w:color="auto" w:fill="FFFFFF"/>
          </w:tcPr>
          <w:p w14:paraId="43DED599" w14:textId="77777777" w:rsidR="001A5C74" w:rsidRPr="00C676EB" w:rsidRDefault="001A5C74" w:rsidP="001A5C74">
            <w:pPr>
              <w:spacing w:after="0" w:line="240" w:lineRule="auto"/>
              <w:rPr>
                <w:rFonts w:eastAsia="Calibri"/>
                <w:b/>
                <w:sz w:val="20"/>
                <w:szCs w:val="20"/>
                <w:highlight w:val="yellow"/>
              </w:rPr>
            </w:pPr>
          </w:p>
        </w:tc>
        <w:tc>
          <w:tcPr>
            <w:tcW w:w="10602" w:type="dxa"/>
            <w:gridSpan w:val="5"/>
            <w:tcBorders>
              <w:top w:val="single" w:sz="4" w:space="0" w:color="auto"/>
              <w:left w:val="single" w:sz="4" w:space="0" w:color="auto"/>
              <w:right w:val="single" w:sz="4" w:space="0" w:color="auto"/>
            </w:tcBorders>
            <w:shd w:val="clear" w:color="auto" w:fill="D9D9D9" w:themeFill="background1" w:themeFillShade="D9"/>
          </w:tcPr>
          <w:p w14:paraId="3254BE98" w14:textId="25ED0661" w:rsidR="001A5C74" w:rsidRPr="00F13F59" w:rsidRDefault="001A5C74" w:rsidP="00FB7FCA">
            <w:pPr>
              <w:spacing w:after="0" w:line="240" w:lineRule="auto"/>
              <w:rPr>
                <w:rFonts w:ascii="Calibri" w:eastAsia="Calibri" w:hAnsi="Calibri" w:cs="Times New Roman"/>
                <w:sz w:val="18"/>
                <w:szCs w:val="18"/>
                <w:lang w:eastAsia="en-US"/>
              </w:rPr>
            </w:pPr>
            <w:r w:rsidRPr="000119D2">
              <w:rPr>
                <w:rFonts w:ascii="Calibri" w:eastAsia="Calibri" w:hAnsi="Calibri" w:cs="Times New Roman"/>
                <w:b/>
                <w:sz w:val="18"/>
                <w:szCs w:val="18"/>
                <w:lang w:eastAsia="en-US"/>
              </w:rPr>
              <w:t>Indicator 5.3.1 Note:</w:t>
            </w:r>
            <w:r w:rsidR="003128BE" w:rsidRPr="000119D2">
              <w:rPr>
                <w:rFonts w:ascii="Calibri" w:eastAsia="Calibri" w:hAnsi="Calibri" w:cs="Times New Roman"/>
                <w:b/>
                <w:sz w:val="18"/>
                <w:szCs w:val="18"/>
                <w:lang w:eastAsia="en-US"/>
              </w:rPr>
              <w:t xml:space="preserve"> </w:t>
            </w:r>
            <w:r w:rsidR="003128BE" w:rsidRPr="000119D2">
              <w:rPr>
                <w:rFonts w:ascii="Calibri" w:eastAsia="Calibri" w:hAnsi="Calibri" w:cs="Times New Roman"/>
                <w:sz w:val="18"/>
                <w:szCs w:val="18"/>
                <w:lang w:eastAsia="en-US"/>
              </w:rPr>
              <w:t xml:space="preserve">Tracks the number of </w:t>
            </w:r>
            <w:r w:rsidR="00C634F9" w:rsidRPr="000119D2">
              <w:rPr>
                <w:rFonts w:ascii="Calibri" w:eastAsia="Calibri" w:hAnsi="Calibri" w:cs="Times New Roman"/>
                <w:sz w:val="18"/>
                <w:szCs w:val="18"/>
                <w:lang w:eastAsia="en-US"/>
              </w:rPr>
              <w:t xml:space="preserve">new </w:t>
            </w:r>
            <w:r w:rsidR="00063E39" w:rsidRPr="000119D2">
              <w:rPr>
                <w:rFonts w:ascii="Calibri" w:eastAsia="Calibri" w:hAnsi="Calibri" w:cs="Times New Roman"/>
                <w:sz w:val="18"/>
                <w:szCs w:val="18"/>
                <w:lang w:eastAsia="en-US"/>
              </w:rPr>
              <w:t xml:space="preserve">development and key </w:t>
            </w:r>
            <w:r w:rsidR="003128BE" w:rsidRPr="000119D2">
              <w:rPr>
                <w:rFonts w:ascii="Calibri" w:eastAsia="Calibri" w:hAnsi="Calibri" w:cs="Times New Roman"/>
                <w:sz w:val="18"/>
                <w:szCs w:val="18"/>
                <w:lang w:eastAsia="en-US"/>
              </w:rPr>
              <w:t>sectorial plans</w:t>
            </w:r>
            <w:r w:rsidR="003128BE" w:rsidRPr="000119D2">
              <w:rPr>
                <w:rFonts w:ascii="Calibri" w:eastAsia="Calibri" w:hAnsi="Calibri"/>
                <w:sz w:val="18"/>
                <w:szCs w:val="18"/>
              </w:rPr>
              <w:t xml:space="preserve"> supported by UNDP (on demand </w:t>
            </w:r>
            <w:r w:rsidR="003128BE" w:rsidRPr="000119D2">
              <w:rPr>
                <w:sz w:val="18"/>
                <w:szCs w:val="18"/>
              </w:rPr>
              <w:t>from programme countries</w:t>
            </w:r>
            <w:r w:rsidR="003128BE" w:rsidRPr="000119D2">
              <w:rPr>
                <w:rFonts w:ascii="Calibri" w:eastAsia="Calibri" w:hAnsi="Calibri"/>
                <w:sz w:val="18"/>
                <w:szCs w:val="18"/>
              </w:rPr>
              <w:t>)</w:t>
            </w:r>
            <w:r w:rsidR="00C634F9" w:rsidRPr="000119D2">
              <w:rPr>
                <w:rFonts w:eastAsia="Calibri"/>
                <w:sz w:val="18"/>
                <w:szCs w:val="18"/>
              </w:rPr>
              <w:t xml:space="preserve"> from Januar</w:t>
            </w:r>
            <w:r w:rsidR="00C634F9" w:rsidRPr="006A38F1">
              <w:rPr>
                <w:rFonts w:eastAsia="Calibri"/>
                <w:sz w:val="18"/>
                <w:szCs w:val="18"/>
              </w:rPr>
              <w:t>y 2014 onwards,</w:t>
            </w:r>
            <w:r w:rsidR="003128BE" w:rsidRPr="006A38F1">
              <w:rPr>
                <w:sz w:val="18"/>
                <w:szCs w:val="18"/>
              </w:rPr>
              <w:t xml:space="preserve"> </w:t>
            </w:r>
            <w:r w:rsidR="00DA387D" w:rsidRPr="006A38F1">
              <w:rPr>
                <w:sz w:val="18"/>
                <w:szCs w:val="18"/>
              </w:rPr>
              <w:t xml:space="preserve">being implemented </w:t>
            </w:r>
            <w:r w:rsidR="000619A5" w:rsidRPr="006A38F1">
              <w:rPr>
                <w:sz w:val="18"/>
                <w:szCs w:val="18"/>
              </w:rPr>
              <w:t xml:space="preserve">(defined as those with a budget allocation) </w:t>
            </w:r>
            <w:r w:rsidR="00063E39" w:rsidRPr="006A38F1">
              <w:rPr>
                <w:sz w:val="18"/>
                <w:szCs w:val="18"/>
              </w:rPr>
              <w:t xml:space="preserve">at national or subnational level </w:t>
            </w:r>
            <w:r w:rsidR="00DA387D" w:rsidRPr="006A38F1">
              <w:rPr>
                <w:sz w:val="18"/>
                <w:szCs w:val="18"/>
              </w:rPr>
              <w:t>that explicitly address disaster and/or climate risk management</w:t>
            </w:r>
            <w:r w:rsidR="003128BE" w:rsidRPr="006A38F1">
              <w:rPr>
                <w:rFonts w:eastAsia="Calibri"/>
                <w:sz w:val="18"/>
                <w:szCs w:val="18"/>
              </w:rPr>
              <w:t>, identifying those that are gender responsive</w:t>
            </w:r>
            <w:r w:rsidR="00DA387D" w:rsidRPr="006A38F1">
              <w:rPr>
                <w:rFonts w:eastAsia="Calibri"/>
                <w:sz w:val="18"/>
                <w:szCs w:val="18"/>
              </w:rPr>
              <w:t>.</w:t>
            </w:r>
            <w:r w:rsidR="0027527D" w:rsidRPr="006A38F1">
              <w:rPr>
                <w:rFonts w:eastAsia="Calibri"/>
                <w:sz w:val="18"/>
                <w:szCs w:val="18"/>
              </w:rPr>
              <w:t xml:space="preserve"> </w:t>
            </w:r>
            <w:r w:rsidR="00FB0D21" w:rsidRPr="006A38F1">
              <w:rPr>
                <w:rFonts w:eastAsia="Calibri"/>
                <w:sz w:val="18"/>
                <w:szCs w:val="18"/>
              </w:rPr>
              <w:t>Seven</w:t>
            </w:r>
            <w:r w:rsidR="002713BD" w:rsidRPr="006A38F1">
              <w:rPr>
                <w:rFonts w:ascii="Calibri" w:eastAsia="Calibri" w:hAnsi="Calibri" w:cs="Times New Roman"/>
                <w:sz w:val="18"/>
                <w:szCs w:val="18"/>
                <w:lang w:eastAsia="en-US"/>
              </w:rPr>
              <w:t xml:space="preserve"> additional countr</w:t>
            </w:r>
            <w:r w:rsidR="007C52C3" w:rsidRPr="006A38F1">
              <w:rPr>
                <w:rFonts w:ascii="Calibri" w:eastAsia="Calibri" w:hAnsi="Calibri" w:cs="Times New Roman"/>
                <w:sz w:val="18"/>
                <w:szCs w:val="18"/>
                <w:lang w:eastAsia="en-US"/>
              </w:rPr>
              <w:t>ies</w:t>
            </w:r>
            <w:r w:rsidR="002713BD" w:rsidRPr="006A38F1">
              <w:rPr>
                <w:rFonts w:ascii="Calibri" w:eastAsia="Calibri" w:hAnsi="Calibri" w:cs="Times New Roman"/>
                <w:sz w:val="18"/>
                <w:szCs w:val="18"/>
                <w:lang w:eastAsia="en-US"/>
              </w:rPr>
              <w:t xml:space="preserve"> beyond the linked ones (for a total of </w:t>
            </w:r>
            <w:r w:rsidR="007C52C3" w:rsidRPr="006A38F1">
              <w:rPr>
                <w:rFonts w:ascii="Calibri" w:eastAsia="Calibri" w:hAnsi="Calibri" w:cs="Times New Roman"/>
                <w:sz w:val="18"/>
                <w:szCs w:val="18"/>
                <w:lang w:eastAsia="en-US"/>
              </w:rPr>
              <w:t>2</w:t>
            </w:r>
            <w:r w:rsidR="006A38F1" w:rsidRPr="006A38F1">
              <w:rPr>
                <w:rFonts w:ascii="Calibri" w:eastAsia="Calibri" w:hAnsi="Calibri" w:cs="Times New Roman"/>
                <w:sz w:val="18"/>
                <w:szCs w:val="18"/>
                <w:lang w:eastAsia="en-US"/>
              </w:rPr>
              <w:t>0</w:t>
            </w:r>
            <w:r w:rsidR="002713BD" w:rsidRPr="006A38F1">
              <w:rPr>
                <w:rFonts w:ascii="Calibri" w:eastAsia="Calibri" w:hAnsi="Calibri" w:cs="Times New Roman"/>
                <w:sz w:val="18"/>
                <w:szCs w:val="18"/>
                <w:lang w:eastAsia="en-US"/>
              </w:rPr>
              <w:t xml:space="preserve"> countries) entered baselines</w:t>
            </w:r>
            <w:r w:rsidR="002713BD" w:rsidRPr="0035289B">
              <w:rPr>
                <w:rFonts w:ascii="Calibri" w:eastAsia="Calibri" w:hAnsi="Calibri" w:cs="Times New Roman"/>
                <w:sz w:val="18"/>
                <w:szCs w:val="18"/>
                <w:lang w:eastAsia="en-US"/>
              </w:rPr>
              <w:t>, milestones and targets for this i</w:t>
            </w:r>
            <w:r w:rsidR="00F13F59">
              <w:rPr>
                <w:rFonts w:ascii="Calibri" w:eastAsia="Calibri" w:hAnsi="Calibri" w:cs="Times New Roman"/>
                <w:sz w:val="18"/>
                <w:szCs w:val="18"/>
                <w:lang w:eastAsia="en-US"/>
              </w:rPr>
              <w:t>ndicator.</w:t>
            </w:r>
          </w:p>
          <w:p w14:paraId="56B51803" w14:textId="593C7472" w:rsidR="00F13F59" w:rsidRPr="00F13F59" w:rsidRDefault="006D0616" w:rsidP="00F13F59">
            <w:pPr>
              <w:spacing w:after="0" w:line="240" w:lineRule="auto"/>
              <w:rPr>
                <w:rFonts w:eastAsia="Calibri"/>
                <w:sz w:val="18"/>
                <w:szCs w:val="18"/>
              </w:rPr>
            </w:pPr>
            <w:r w:rsidRPr="000119D2">
              <w:rPr>
                <w:rFonts w:eastAsia="Calibri"/>
                <w:b/>
                <w:sz w:val="18"/>
                <w:szCs w:val="18"/>
              </w:rPr>
              <w:t xml:space="preserve">2014 Reporting Note: </w:t>
            </w:r>
            <w:r w:rsidR="00925FCF" w:rsidRPr="000119D2">
              <w:rPr>
                <w:rFonts w:eastAsia="Calibri"/>
                <w:sz w:val="18"/>
                <w:szCs w:val="18"/>
              </w:rPr>
              <w:t xml:space="preserve">2014 </w:t>
            </w:r>
            <w:r w:rsidR="00651C29" w:rsidRPr="000119D2">
              <w:rPr>
                <w:rFonts w:eastAsia="Calibri"/>
                <w:sz w:val="18"/>
                <w:szCs w:val="18"/>
              </w:rPr>
              <w:t>m</w:t>
            </w:r>
            <w:r w:rsidR="00925FCF" w:rsidRPr="000119D2">
              <w:rPr>
                <w:rFonts w:eastAsia="Calibri"/>
                <w:sz w:val="18"/>
                <w:szCs w:val="18"/>
              </w:rPr>
              <w:t xml:space="preserve">ilestones </w:t>
            </w:r>
            <w:r w:rsidR="00651C29" w:rsidRPr="000119D2">
              <w:rPr>
                <w:rFonts w:eastAsia="Calibri"/>
                <w:sz w:val="18"/>
                <w:szCs w:val="18"/>
              </w:rPr>
              <w:t xml:space="preserve">and targets </w:t>
            </w:r>
            <w:r w:rsidR="00925FCF" w:rsidRPr="000119D2">
              <w:rPr>
                <w:rFonts w:eastAsia="Calibri"/>
                <w:sz w:val="18"/>
                <w:szCs w:val="18"/>
              </w:rPr>
              <w:t xml:space="preserve">updated to reflect more </w:t>
            </w:r>
            <w:r w:rsidR="00925FCF" w:rsidRPr="00F13F59">
              <w:rPr>
                <w:rFonts w:eastAsia="Calibri"/>
                <w:sz w:val="18"/>
                <w:szCs w:val="18"/>
              </w:rPr>
              <w:t xml:space="preserve">complete reporting from country offices. For reference, previous 2014 milestones were: a) </w:t>
            </w:r>
            <w:r w:rsidR="002F1C22" w:rsidRPr="00F13F59">
              <w:rPr>
                <w:rFonts w:eastAsia="Calibri"/>
                <w:sz w:val="18"/>
                <w:szCs w:val="18"/>
              </w:rPr>
              <w:t>39</w:t>
            </w:r>
            <w:r w:rsidR="00925FCF" w:rsidRPr="00F13F59">
              <w:rPr>
                <w:rFonts w:eastAsia="Calibri"/>
                <w:sz w:val="18"/>
                <w:szCs w:val="18"/>
              </w:rPr>
              <w:t xml:space="preserve">, b) </w:t>
            </w:r>
            <w:r w:rsidR="002F1C22" w:rsidRPr="00F13F59">
              <w:rPr>
                <w:rFonts w:eastAsia="Calibri"/>
                <w:sz w:val="18"/>
                <w:szCs w:val="18"/>
              </w:rPr>
              <w:t>14, c) 5</w:t>
            </w:r>
            <w:r w:rsidR="00651C29" w:rsidRPr="00F13F59">
              <w:rPr>
                <w:rFonts w:eastAsia="Calibri"/>
                <w:sz w:val="18"/>
                <w:szCs w:val="18"/>
              </w:rPr>
              <w:t xml:space="preserve">; previous targets were: a) 162, b) 131, c) 74. </w:t>
            </w:r>
            <w:r w:rsidR="00B212D4" w:rsidRPr="00F13F59">
              <w:rPr>
                <w:rFonts w:eastAsia="Calibri"/>
                <w:sz w:val="18"/>
                <w:szCs w:val="18"/>
              </w:rPr>
              <w:t>The reduction in milestone</w:t>
            </w:r>
            <w:r w:rsidR="006A38F1" w:rsidRPr="00F13F59">
              <w:rPr>
                <w:rFonts w:eastAsia="Calibri"/>
                <w:sz w:val="18"/>
                <w:szCs w:val="18"/>
              </w:rPr>
              <w:t>s and targets</w:t>
            </w:r>
            <w:r w:rsidR="00B212D4" w:rsidRPr="00F13F59">
              <w:rPr>
                <w:rFonts w:eastAsia="Calibri"/>
                <w:sz w:val="18"/>
                <w:szCs w:val="18"/>
              </w:rPr>
              <w:t xml:space="preserve"> </w:t>
            </w:r>
            <w:r w:rsidR="006A38F1" w:rsidRPr="00F13F59">
              <w:rPr>
                <w:rFonts w:eastAsia="Calibri"/>
                <w:sz w:val="18"/>
                <w:szCs w:val="18"/>
              </w:rPr>
              <w:t xml:space="preserve">reflects </w:t>
            </w:r>
            <w:r w:rsidR="00B212D4" w:rsidRPr="00F13F59">
              <w:rPr>
                <w:rFonts w:eastAsia="Calibri"/>
                <w:sz w:val="18"/>
                <w:szCs w:val="18"/>
              </w:rPr>
              <w:t>correction</w:t>
            </w:r>
            <w:r w:rsidR="006A38F1" w:rsidRPr="00F13F59">
              <w:rPr>
                <w:rFonts w:eastAsia="Calibri"/>
                <w:sz w:val="18"/>
                <w:szCs w:val="18"/>
              </w:rPr>
              <w:t>s</w:t>
            </w:r>
            <w:r w:rsidR="00B212D4" w:rsidRPr="00F13F59">
              <w:rPr>
                <w:rFonts w:eastAsia="Calibri"/>
                <w:sz w:val="18"/>
                <w:szCs w:val="18"/>
              </w:rPr>
              <w:t xml:space="preserve"> by </w:t>
            </w:r>
            <w:r w:rsidR="006A38F1" w:rsidRPr="00F13F59">
              <w:rPr>
                <w:rFonts w:eastAsia="Calibri"/>
                <w:sz w:val="18"/>
                <w:szCs w:val="18"/>
              </w:rPr>
              <w:t>two countries</w:t>
            </w:r>
            <w:r w:rsidR="00F13F59" w:rsidRPr="00F13F59">
              <w:rPr>
                <w:rFonts w:eastAsia="Calibri"/>
                <w:sz w:val="18"/>
                <w:szCs w:val="18"/>
              </w:rPr>
              <w:t xml:space="preserve"> based on improved classification of results to match IRRF indicator definitions. </w:t>
            </w:r>
            <w:r w:rsidR="00F13F59" w:rsidRPr="008A6355">
              <w:rPr>
                <w:rFonts w:eastAsia="Calibri"/>
                <w:sz w:val="18"/>
                <w:szCs w:val="18"/>
              </w:rPr>
              <w:t>*2014 actual results data is missing for several countries expected to contribute to results</w:t>
            </w:r>
            <w:r w:rsidR="00F13F59">
              <w:rPr>
                <w:rFonts w:eastAsia="Calibri"/>
                <w:sz w:val="18"/>
                <w:szCs w:val="18"/>
              </w:rPr>
              <w:t xml:space="preserve"> and is too incomplete to allow a traffic light assessment;</w:t>
            </w:r>
            <w:r w:rsidR="00F13F59" w:rsidRPr="008A6355">
              <w:rPr>
                <w:rFonts w:eastAsia="Calibri"/>
                <w:sz w:val="18"/>
                <w:szCs w:val="18"/>
              </w:rPr>
              <w:t xml:space="preserve"> final results will be reported at a later date.</w:t>
            </w:r>
          </w:p>
        </w:tc>
      </w:tr>
      <w:tr w:rsidR="00A90BC9" w:rsidRPr="00015A57" w14:paraId="09696A14" w14:textId="77777777" w:rsidTr="000119D2">
        <w:trPr>
          <w:trHeight w:val="64"/>
          <w:jc w:val="center"/>
        </w:trPr>
        <w:tc>
          <w:tcPr>
            <w:tcW w:w="3325" w:type="dxa"/>
            <w:vMerge w:val="restart"/>
            <w:tcBorders>
              <w:top w:val="single" w:sz="4" w:space="0" w:color="auto"/>
              <w:left w:val="single" w:sz="4" w:space="0" w:color="auto"/>
              <w:right w:val="single" w:sz="4" w:space="0" w:color="auto"/>
            </w:tcBorders>
            <w:shd w:val="clear" w:color="auto" w:fill="FFFFFF"/>
          </w:tcPr>
          <w:p w14:paraId="17406F9E" w14:textId="6280AAFA" w:rsidR="00A90BC9" w:rsidRDefault="00A90BC9" w:rsidP="00A90BC9">
            <w:pPr>
              <w:spacing w:after="0" w:line="240" w:lineRule="auto"/>
              <w:rPr>
                <w:rFonts w:eastAsia="Calibri"/>
                <w:sz w:val="20"/>
                <w:szCs w:val="20"/>
              </w:rPr>
            </w:pPr>
            <w:r w:rsidRPr="00B66E9F">
              <w:rPr>
                <w:rFonts w:eastAsia="Calibri"/>
                <w:b/>
                <w:sz w:val="20"/>
                <w:szCs w:val="20"/>
              </w:rPr>
              <w:t xml:space="preserve">Output 5.4. </w:t>
            </w:r>
            <w:r w:rsidRPr="00B66E9F">
              <w:rPr>
                <w:rFonts w:eastAsia="Calibri"/>
                <w:sz w:val="20"/>
                <w:szCs w:val="20"/>
              </w:rPr>
              <w:t>Preparedness systems in place to effectively address the consequences of and response to natural hazards (e.g. geo-physical and climate related) and man-made cris</w:t>
            </w:r>
            <w:r w:rsidR="00227B53">
              <w:rPr>
                <w:rFonts w:eastAsia="Calibri"/>
                <w:sz w:val="20"/>
                <w:szCs w:val="20"/>
              </w:rPr>
              <w:t>i</w:t>
            </w:r>
            <w:r w:rsidRPr="00B66E9F">
              <w:rPr>
                <w:rFonts w:eastAsia="Calibri"/>
                <w:sz w:val="20"/>
                <w:szCs w:val="20"/>
              </w:rPr>
              <w:t>s</w:t>
            </w:r>
            <w:r w:rsidR="00227B53">
              <w:rPr>
                <w:rFonts w:eastAsia="Calibri"/>
                <w:sz w:val="20"/>
                <w:szCs w:val="20"/>
              </w:rPr>
              <w:t xml:space="preserve"> </w:t>
            </w:r>
            <w:r w:rsidRPr="00B66E9F">
              <w:rPr>
                <w:rFonts w:eastAsia="Calibri"/>
                <w:sz w:val="20"/>
                <w:szCs w:val="20"/>
              </w:rPr>
              <w:t>at all levels of government and community</w:t>
            </w:r>
          </w:p>
          <w:p w14:paraId="1E06C975" w14:textId="77777777" w:rsidR="00A90BC9" w:rsidRDefault="00A90BC9" w:rsidP="00A90BC9">
            <w:pPr>
              <w:spacing w:after="0" w:line="240" w:lineRule="auto"/>
              <w:rPr>
                <w:rFonts w:eastAsia="Calibri"/>
                <w:sz w:val="20"/>
                <w:szCs w:val="20"/>
              </w:rPr>
            </w:pPr>
          </w:p>
          <w:p w14:paraId="19596911" w14:textId="6A70D664" w:rsidR="00CE35AD" w:rsidRDefault="00CE35AD" w:rsidP="00CE35AD">
            <w:pPr>
              <w:spacing w:after="0" w:line="240" w:lineRule="auto"/>
              <w:rPr>
                <w:rFonts w:ascii="Calibri" w:eastAsia="Calibri" w:hAnsi="Calibri"/>
                <w:b/>
                <w:color w:val="000000"/>
                <w:sz w:val="18"/>
                <w:szCs w:val="18"/>
              </w:rPr>
            </w:pPr>
            <w:r w:rsidRPr="00B359E7">
              <w:rPr>
                <w:rFonts w:ascii="Calibri" w:eastAsia="Calibri" w:hAnsi="Calibri"/>
                <w:b/>
                <w:i/>
                <w:color w:val="000000"/>
                <w:sz w:val="18"/>
                <w:szCs w:val="18"/>
              </w:rPr>
              <w:t>Number of countries linked:</w:t>
            </w:r>
            <w:r>
              <w:rPr>
                <w:rFonts w:ascii="Calibri" w:eastAsia="Calibri" w:hAnsi="Calibri"/>
                <w:b/>
                <w:color w:val="000000"/>
                <w:sz w:val="18"/>
                <w:szCs w:val="18"/>
              </w:rPr>
              <w:t xml:space="preserve"> 46 </w:t>
            </w:r>
          </w:p>
          <w:p w14:paraId="056B44CE" w14:textId="162081F4" w:rsidR="00A90BC9" w:rsidRPr="008C4519" w:rsidRDefault="00CE35AD" w:rsidP="00CE35AD">
            <w:pPr>
              <w:spacing w:after="0" w:line="240" w:lineRule="auto"/>
              <w:rPr>
                <w:rFonts w:eastAsia="Calibri"/>
                <w:color w:val="000000"/>
                <w:sz w:val="20"/>
              </w:rPr>
            </w:pPr>
            <w:r>
              <w:rPr>
                <w:rFonts w:ascii="Calibri" w:eastAsia="Calibri" w:hAnsi="Calibri"/>
                <w:b/>
                <w:color w:val="000000"/>
                <w:sz w:val="18"/>
                <w:szCs w:val="18"/>
              </w:rPr>
              <w:t>(February 2015</w:t>
            </w:r>
            <w:r w:rsidRPr="00B359E7">
              <w:rPr>
                <w:rFonts w:ascii="Calibri" w:eastAsia="Calibri" w:hAnsi="Calibri"/>
                <w:b/>
                <w:color w:val="000000"/>
                <w:sz w:val="18"/>
                <w:szCs w:val="18"/>
              </w:rPr>
              <w:t>)</w:t>
            </w:r>
          </w:p>
        </w:tc>
        <w:tc>
          <w:tcPr>
            <w:tcW w:w="720" w:type="dxa"/>
            <w:vMerge w:val="restart"/>
            <w:tcBorders>
              <w:top w:val="single" w:sz="4" w:space="0" w:color="auto"/>
              <w:left w:val="single" w:sz="4" w:space="0" w:color="auto"/>
              <w:right w:val="single" w:sz="4" w:space="0" w:color="auto"/>
            </w:tcBorders>
            <w:shd w:val="clear" w:color="auto" w:fill="FFFFFF"/>
            <w:hideMark/>
          </w:tcPr>
          <w:p w14:paraId="7F3B4842" w14:textId="77777777" w:rsidR="00A90BC9" w:rsidRPr="00B66E9F" w:rsidRDefault="00A90BC9" w:rsidP="00A90BC9">
            <w:pPr>
              <w:spacing w:after="0" w:line="240" w:lineRule="auto"/>
              <w:rPr>
                <w:rFonts w:eastAsia="Calibri"/>
                <w:b/>
                <w:sz w:val="20"/>
                <w:szCs w:val="20"/>
              </w:rPr>
            </w:pPr>
            <w:r w:rsidRPr="00B66E9F">
              <w:rPr>
                <w:rFonts w:eastAsia="Calibri"/>
                <w:b/>
                <w:sz w:val="20"/>
                <w:szCs w:val="20"/>
              </w:rPr>
              <w:t>5.4.1</w:t>
            </w:r>
          </w:p>
        </w:tc>
        <w:tc>
          <w:tcPr>
            <w:tcW w:w="53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2552F2" w14:textId="6A470388" w:rsidR="00A90BC9" w:rsidRPr="0013161E" w:rsidRDefault="005E5BA8" w:rsidP="00A90BC9">
            <w:pPr>
              <w:spacing w:after="0" w:line="240" w:lineRule="auto"/>
              <w:rPr>
                <w:sz w:val="20"/>
                <w:szCs w:val="20"/>
              </w:rPr>
            </w:pPr>
            <w:r w:rsidRPr="0013161E">
              <w:rPr>
                <w:sz w:val="20"/>
                <w:szCs w:val="20"/>
              </w:rPr>
              <w:t xml:space="preserve">Number of </w:t>
            </w:r>
            <w:r w:rsidR="00A90BC9" w:rsidRPr="0013161E">
              <w:rPr>
                <w:sz w:val="20"/>
                <w:szCs w:val="20"/>
              </w:rPr>
              <w:t xml:space="preserve">countries with </w:t>
            </w:r>
            <w:r w:rsidR="005666F8" w:rsidRPr="000B5DED">
              <w:rPr>
                <w:b/>
                <w:sz w:val="20"/>
                <w:szCs w:val="20"/>
              </w:rPr>
              <w:t>new</w:t>
            </w:r>
            <w:r w:rsidR="005666F8" w:rsidRPr="0013161E">
              <w:rPr>
                <w:sz w:val="20"/>
                <w:szCs w:val="20"/>
              </w:rPr>
              <w:t xml:space="preserve"> </w:t>
            </w:r>
            <w:r w:rsidR="00A90BC9" w:rsidRPr="0013161E">
              <w:rPr>
                <w:b/>
                <w:sz w:val="20"/>
                <w:szCs w:val="20"/>
              </w:rPr>
              <w:t>end-to-end early warning systems</w:t>
            </w:r>
            <w:r w:rsidR="00A90BC9" w:rsidRPr="0013161E">
              <w:rPr>
                <w:sz w:val="20"/>
                <w:szCs w:val="20"/>
              </w:rPr>
              <w:t xml:space="preserve"> </w:t>
            </w:r>
            <w:r w:rsidR="000119D2" w:rsidRPr="0013161E">
              <w:rPr>
                <w:b/>
                <w:sz w:val="20"/>
                <w:szCs w:val="20"/>
              </w:rPr>
              <w:t>(EWS)</w:t>
            </w:r>
            <w:r w:rsidR="000119D2" w:rsidRPr="0013161E">
              <w:rPr>
                <w:sz w:val="20"/>
                <w:szCs w:val="20"/>
              </w:rPr>
              <w:t xml:space="preserve"> </w:t>
            </w:r>
            <w:r w:rsidR="00A90BC9" w:rsidRPr="0013161E">
              <w:rPr>
                <w:sz w:val="20"/>
                <w:szCs w:val="20"/>
              </w:rPr>
              <w:t>for man-made crisis and all major natural hazards (e.g. geo-physical and climate-induced hazards)</w:t>
            </w:r>
          </w:p>
          <w:p w14:paraId="204FF960" w14:textId="57A87305" w:rsidR="00546E49" w:rsidRPr="0013161E" w:rsidRDefault="00546E49" w:rsidP="004E2D72">
            <w:pPr>
              <w:spacing w:before="240" w:after="0" w:line="240" w:lineRule="auto"/>
              <w:rPr>
                <w:rFonts w:eastAsia="Calibri"/>
                <w:sz w:val="20"/>
                <w:szCs w:val="20"/>
              </w:rPr>
            </w:pPr>
            <w:r w:rsidRPr="0013161E">
              <w:rPr>
                <w:rFonts w:eastAsia="Calibri"/>
                <w:b/>
                <w:i/>
                <w:sz w:val="18"/>
                <w:szCs w:val="18"/>
              </w:rPr>
              <w:t xml:space="preserve">Number of countries </w:t>
            </w:r>
            <w:r w:rsidR="00983FF8" w:rsidRPr="0013161E">
              <w:rPr>
                <w:rFonts w:eastAsia="Calibri"/>
                <w:b/>
                <w:i/>
                <w:sz w:val="18"/>
                <w:szCs w:val="18"/>
              </w:rPr>
              <w:t>for which a 2017 target has currently been set under this indicator</w:t>
            </w:r>
            <w:r w:rsidR="00552B38" w:rsidRPr="0013161E">
              <w:rPr>
                <w:rFonts w:eastAsia="Calibri"/>
                <w:b/>
                <w:i/>
                <w:sz w:val="18"/>
                <w:szCs w:val="18"/>
              </w:rPr>
              <w:t>: 37</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0A3CC541" w14:textId="77777777" w:rsidR="00FA49FF" w:rsidRDefault="00CF6CDF" w:rsidP="00E57562">
            <w:pPr>
              <w:pStyle w:val="ListParagraph"/>
              <w:ind w:left="0" w:hanging="25"/>
              <w:jc w:val="center"/>
              <w:rPr>
                <w:rFonts w:asciiTheme="minorHAnsi" w:hAnsiTheme="minorHAnsi"/>
                <w:sz w:val="20"/>
                <w:szCs w:val="20"/>
              </w:rPr>
            </w:pPr>
            <w:r>
              <w:rPr>
                <w:rFonts w:asciiTheme="minorHAnsi" w:hAnsiTheme="minorHAnsi"/>
                <w:sz w:val="20"/>
                <w:szCs w:val="20"/>
              </w:rPr>
              <w:t>0</w:t>
            </w:r>
            <w:r w:rsidR="0008375E">
              <w:rPr>
                <w:rFonts w:asciiTheme="minorHAnsi" w:hAnsiTheme="minorHAnsi"/>
                <w:sz w:val="20"/>
                <w:szCs w:val="20"/>
              </w:rPr>
              <w:t xml:space="preserve"> </w:t>
            </w:r>
          </w:p>
          <w:p w14:paraId="371E92D8" w14:textId="318F674D" w:rsidR="00A90BC9" w:rsidRPr="00B66E9F" w:rsidRDefault="00A90BC9" w:rsidP="002E4BD7">
            <w:pPr>
              <w:pStyle w:val="ListParagraph"/>
              <w:ind w:left="0" w:hanging="25"/>
              <w:rPr>
                <w:rFonts w:asciiTheme="minorHAnsi" w:hAnsi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53E4F9B3" w14:textId="77777777" w:rsidR="00FA49FF" w:rsidRDefault="006D0616" w:rsidP="007C326E">
            <w:pPr>
              <w:pStyle w:val="ListParagraph"/>
              <w:ind w:left="0"/>
              <w:jc w:val="center"/>
              <w:rPr>
                <w:rFonts w:asciiTheme="minorHAnsi" w:hAnsiTheme="minorHAnsi"/>
                <w:sz w:val="20"/>
                <w:szCs w:val="20"/>
              </w:rPr>
            </w:pPr>
            <w:r>
              <w:rPr>
                <w:rFonts w:asciiTheme="minorHAnsi" w:hAnsiTheme="minorHAnsi"/>
                <w:sz w:val="20"/>
                <w:szCs w:val="20"/>
              </w:rPr>
              <w:t xml:space="preserve">18 </w:t>
            </w:r>
          </w:p>
          <w:p w14:paraId="2AF44070" w14:textId="124C18E1" w:rsidR="00A90BC9" w:rsidRPr="00B66E9F" w:rsidRDefault="006D0616" w:rsidP="007C326E">
            <w:pPr>
              <w:pStyle w:val="ListParagraph"/>
              <w:ind w:left="0"/>
              <w:jc w:val="center"/>
              <w:rPr>
                <w:rFonts w:asciiTheme="minorHAnsi" w:hAnsiTheme="minorHAnsi"/>
                <w:sz w:val="20"/>
                <w:szCs w:val="20"/>
              </w:rPr>
            </w:pPr>
            <w:r>
              <w:rPr>
                <w:rFonts w:asciiTheme="minorHAnsi" w:hAnsiTheme="minorHAnsi"/>
                <w:sz w:val="20"/>
                <w:szCs w:val="20"/>
              </w:rPr>
              <w:t>(</w:t>
            </w:r>
            <w:r w:rsidR="007C326E">
              <w:rPr>
                <w:rFonts w:asciiTheme="minorHAnsi" w:hAnsiTheme="minorHAnsi"/>
                <w:sz w:val="20"/>
                <w:szCs w:val="20"/>
              </w:rPr>
              <w:t>161</w:t>
            </w:r>
            <w:r>
              <w:rPr>
                <w:rFonts w:asciiTheme="minorHAnsi" w:hAnsiTheme="minorHAnsi"/>
                <w:sz w:val="20"/>
                <w:szCs w:val="20"/>
              </w:rPr>
              <w:t xml:space="preserve"> EWS)</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0C6322D8" w14:textId="77777777" w:rsidR="00FA49FF" w:rsidRDefault="006D0616" w:rsidP="007E0513">
            <w:pPr>
              <w:pStyle w:val="ListParagraph"/>
              <w:ind w:left="0"/>
              <w:jc w:val="center"/>
              <w:rPr>
                <w:rFonts w:asciiTheme="minorHAnsi" w:hAnsiTheme="minorHAnsi"/>
                <w:sz w:val="20"/>
                <w:szCs w:val="20"/>
              </w:rPr>
            </w:pPr>
            <w:r>
              <w:rPr>
                <w:rFonts w:asciiTheme="minorHAnsi" w:hAnsiTheme="minorHAnsi"/>
                <w:sz w:val="20"/>
                <w:szCs w:val="20"/>
              </w:rPr>
              <w:t xml:space="preserve">17 </w:t>
            </w:r>
          </w:p>
          <w:p w14:paraId="7758C59A" w14:textId="523C674C" w:rsidR="00A90BC9" w:rsidRPr="00B66E9F" w:rsidRDefault="006D0616" w:rsidP="007E0513">
            <w:pPr>
              <w:pStyle w:val="ListParagraph"/>
              <w:ind w:left="0"/>
              <w:jc w:val="center"/>
              <w:rPr>
                <w:rFonts w:asciiTheme="minorHAnsi" w:hAnsiTheme="minorHAnsi"/>
                <w:sz w:val="20"/>
                <w:szCs w:val="20"/>
              </w:rPr>
            </w:pPr>
            <w:r>
              <w:rPr>
                <w:rFonts w:asciiTheme="minorHAnsi" w:hAnsiTheme="minorHAnsi"/>
                <w:sz w:val="20"/>
                <w:szCs w:val="20"/>
              </w:rPr>
              <w:t>(</w:t>
            </w:r>
            <w:r w:rsidR="007C326E">
              <w:rPr>
                <w:rFonts w:asciiTheme="minorHAnsi" w:hAnsiTheme="minorHAnsi"/>
                <w:sz w:val="20"/>
                <w:szCs w:val="20"/>
              </w:rPr>
              <w:t>158</w:t>
            </w:r>
            <w:r>
              <w:rPr>
                <w:rFonts w:asciiTheme="minorHAnsi" w:hAnsiTheme="minorHAnsi"/>
                <w:sz w:val="20"/>
                <w:szCs w:val="20"/>
              </w:rPr>
              <w:t xml:space="preserve"> EWS)</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14:paraId="7253BC9A" w14:textId="297F5319" w:rsidR="00FA49FF" w:rsidRDefault="00552B38" w:rsidP="007E0513">
            <w:pPr>
              <w:pStyle w:val="ListParagraph"/>
              <w:ind w:left="0"/>
              <w:jc w:val="center"/>
              <w:rPr>
                <w:rFonts w:asciiTheme="minorHAnsi" w:hAnsiTheme="minorHAnsi"/>
                <w:sz w:val="20"/>
                <w:szCs w:val="20"/>
              </w:rPr>
            </w:pPr>
            <w:r>
              <w:rPr>
                <w:rFonts w:asciiTheme="minorHAnsi" w:hAnsiTheme="minorHAnsi"/>
                <w:sz w:val="20"/>
                <w:szCs w:val="20"/>
              </w:rPr>
              <w:t>33</w:t>
            </w:r>
            <w:r w:rsidR="00E420A0">
              <w:rPr>
                <w:rFonts w:asciiTheme="minorHAnsi" w:hAnsiTheme="minorHAnsi"/>
                <w:sz w:val="20"/>
                <w:szCs w:val="20"/>
              </w:rPr>
              <w:t xml:space="preserve"> </w:t>
            </w:r>
          </w:p>
          <w:p w14:paraId="23A198A3" w14:textId="66FB69F1" w:rsidR="00A90BC9" w:rsidRPr="00B66E9F" w:rsidRDefault="00E420A0" w:rsidP="007E0513">
            <w:pPr>
              <w:pStyle w:val="ListParagraph"/>
              <w:ind w:left="0"/>
              <w:jc w:val="center"/>
              <w:rPr>
                <w:rFonts w:asciiTheme="minorHAnsi" w:hAnsiTheme="minorHAnsi"/>
                <w:sz w:val="20"/>
                <w:szCs w:val="20"/>
              </w:rPr>
            </w:pPr>
            <w:r>
              <w:rPr>
                <w:rFonts w:asciiTheme="minorHAnsi" w:hAnsiTheme="minorHAnsi"/>
                <w:sz w:val="20"/>
                <w:szCs w:val="20"/>
              </w:rPr>
              <w:t>(</w:t>
            </w:r>
            <w:r w:rsidR="005316FB">
              <w:rPr>
                <w:rFonts w:asciiTheme="minorHAnsi" w:hAnsiTheme="minorHAnsi"/>
                <w:sz w:val="20"/>
                <w:szCs w:val="20"/>
              </w:rPr>
              <w:t>2</w:t>
            </w:r>
            <w:r w:rsidR="00552B38">
              <w:rPr>
                <w:rFonts w:asciiTheme="minorHAnsi" w:hAnsiTheme="minorHAnsi"/>
                <w:sz w:val="20"/>
                <w:szCs w:val="20"/>
              </w:rPr>
              <w:t>39</w:t>
            </w:r>
            <w:r>
              <w:rPr>
                <w:rFonts w:asciiTheme="minorHAnsi" w:hAnsiTheme="minorHAnsi"/>
                <w:sz w:val="20"/>
                <w:szCs w:val="20"/>
              </w:rPr>
              <w:t xml:space="preserve"> EWS)</w:t>
            </w:r>
          </w:p>
        </w:tc>
      </w:tr>
      <w:tr w:rsidR="00A90BC9" w:rsidRPr="00015A57" w14:paraId="3A681BCF" w14:textId="77777777" w:rsidTr="000119D2">
        <w:trPr>
          <w:trHeight w:val="64"/>
          <w:jc w:val="center"/>
        </w:trPr>
        <w:tc>
          <w:tcPr>
            <w:tcW w:w="3325" w:type="dxa"/>
            <w:vMerge/>
            <w:tcBorders>
              <w:left w:val="single" w:sz="4" w:space="0" w:color="auto"/>
              <w:right w:val="single" w:sz="4" w:space="0" w:color="auto"/>
            </w:tcBorders>
            <w:shd w:val="clear" w:color="auto" w:fill="FFFFFF"/>
          </w:tcPr>
          <w:p w14:paraId="2C1731F8" w14:textId="77777777" w:rsidR="00A90BC9" w:rsidRPr="00B66E9F" w:rsidRDefault="00A90BC9" w:rsidP="00A90BC9">
            <w:pPr>
              <w:spacing w:after="0" w:line="240" w:lineRule="auto"/>
              <w:rPr>
                <w:rFonts w:eastAsia="Calibri"/>
                <w:b/>
                <w:sz w:val="20"/>
                <w:szCs w:val="20"/>
              </w:rPr>
            </w:pPr>
          </w:p>
        </w:tc>
        <w:tc>
          <w:tcPr>
            <w:tcW w:w="720" w:type="dxa"/>
            <w:vMerge/>
            <w:tcBorders>
              <w:left w:val="single" w:sz="4" w:space="0" w:color="auto"/>
              <w:bottom w:val="single" w:sz="4" w:space="0" w:color="auto"/>
              <w:right w:val="single" w:sz="4" w:space="0" w:color="auto"/>
            </w:tcBorders>
            <w:shd w:val="clear" w:color="auto" w:fill="FFFFFF"/>
          </w:tcPr>
          <w:p w14:paraId="10E4D37C" w14:textId="77777777" w:rsidR="00A90BC9" w:rsidRPr="00B66E9F" w:rsidRDefault="00A90BC9" w:rsidP="00A90BC9">
            <w:pPr>
              <w:spacing w:after="0" w:line="240" w:lineRule="auto"/>
              <w:rPr>
                <w:rFonts w:eastAsia="Calibri"/>
                <w:b/>
                <w:sz w:val="20"/>
                <w:szCs w:val="20"/>
              </w:rPr>
            </w:pPr>
          </w:p>
        </w:tc>
        <w:tc>
          <w:tcPr>
            <w:tcW w:w="1060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42F082" w14:textId="77777777" w:rsidR="00A90BC9" w:rsidRPr="000119D2" w:rsidRDefault="00A90BC9" w:rsidP="00766C20">
            <w:pPr>
              <w:spacing w:after="0" w:line="240" w:lineRule="auto"/>
              <w:rPr>
                <w:rFonts w:eastAsia="Calibri"/>
                <w:sz w:val="18"/>
                <w:szCs w:val="18"/>
              </w:rPr>
            </w:pPr>
            <w:r w:rsidRPr="000119D2">
              <w:rPr>
                <w:rFonts w:ascii="Calibri" w:eastAsia="Calibri" w:hAnsi="Calibri" w:cs="Times New Roman"/>
                <w:b/>
                <w:sz w:val="18"/>
                <w:szCs w:val="18"/>
                <w:lang w:eastAsia="en-US"/>
              </w:rPr>
              <w:t xml:space="preserve">Indicator 5.4.1 Note: </w:t>
            </w:r>
            <w:r w:rsidRPr="000119D2">
              <w:rPr>
                <w:rFonts w:ascii="Calibri" w:eastAsia="Calibri" w:hAnsi="Calibri" w:cs="Times New Roman"/>
                <w:sz w:val="18"/>
                <w:szCs w:val="18"/>
                <w:lang w:eastAsia="en-US"/>
              </w:rPr>
              <w:t xml:space="preserve">Tracks the number of </w:t>
            </w:r>
            <w:r w:rsidR="00E420A0" w:rsidRPr="000119D2">
              <w:rPr>
                <w:rFonts w:ascii="Calibri" w:eastAsia="Calibri" w:hAnsi="Calibri" w:cs="Times New Roman"/>
                <w:sz w:val="18"/>
                <w:szCs w:val="18"/>
                <w:lang w:eastAsia="en-US"/>
              </w:rPr>
              <w:t xml:space="preserve">countries with </w:t>
            </w:r>
            <w:r w:rsidR="00C634F9" w:rsidRPr="000119D2">
              <w:rPr>
                <w:rFonts w:ascii="Calibri" w:eastAsia="Calibri" w:hAnsi="Calibri" w:cs="Times New Roman"/>
                <w:sz w:val="18"/>
                <w:szCs w:val="18"/>
                <w:lang w:eastAsia="en-US"/>
              </w:rPr>
              <w:t xml:space="preserve">new </w:t>
            </w:r>
            <w:r w:rsidRPr="000119D2">
              <w:rPr>
                <w:rFonts w:ascii="Calibri" w:eastAsia="Calibri" w:hAnsi="Calibri" w:cs="Times New Roman"/>
                <w:sz w:val="18"/>
                <w:szCs w:val="18"/>
                <w:lang w:eastAsia="en-US"/>
              </w:rPr>
              <w:t>end-to-end early warning systems</w:t>
            </w:r>
            <w:r w:rsidR="00E420A0" w:rsidRPr="000119D2">
              <w:rPr>
                <w:rFonts w:ascii="Calibri" w:eastAsia="Calibri" w:hAnsi="Calibri" w:cs="Times New Roman"/>
                <w:sz w:val="18"/>
                <w:szCs w:val="18"/>
                <w:lang w:eastAsia="en-US"/>
              </w:rPr>
              <w:t xml:space="preserve"> (EWS)</w:t>
            </w:r>
            <w:r w:rsidRPr="000119D2">
              <w:rPr>
                <w:rFonts w:ascii="Calibri" w:eastAsia="Calibri" w:hAnsi="Calibri" w:cs="Times New Roman"/>
                <w:sz w:val="18"/>
                <w:szCs w:val="18"/>
                <w:lang w:eastAsia="en-US"/>
              </w:rPr>
              <w:t xml:space="preserve"> </w:t>
            </w:r>
            <w:r w:rsidRPr="000119D2">
              <w:rPr>
                <w:rFonts w:ascii="Calibri" w:eastAsia="Calibri" w:hAnsi="Calibri"/>
                <w:sz w:val="18"/>
                <w:szCs w:val="18"/>
              </w:rPr>
              <w:t xml:space="preserve">supported by UNDP (on demand </w:t>
            </w:r>
            <w:r w:rsidRPr="000119D2">
              <w:rPr>
                <w:sz w:val="18"/>
                <w:szCs w:val="18"/>
              </w:rPr>
              <w:t>from programme countries</w:t>
            </w:r>
            <w:r w:rsidRPr="000119D2">
              <w:rPr>
                <w:rFonts w:ascii="Calibri" w:eastAsia="Calibri" w:hAnsi="Calibri"/>
                <w:sz w:val="18"/>
                <w:szCs w:val="18"/>
              </w:rPr>
              <w:t>)</w:t>
            </w:r>
            <w:r w:rsidRPr="000119D2">
              <w:rPr>
                <w:rFonts w:eastAsia="Calibri"/>
                <w:sz w:val="18"/>
                <w:szCs w:val="18"/>
              </w:rPr>
              <w:t xml:space="preserve">, from January 2014 onwards. </w:t>
            </w:r>
          </w:p>
          <w:p w14:paraId="3591EE1A" w14:textId="218DD202" w:rsidR="007C326E" w:rsidRPr="000119D2" w:rsidRDefault="007C326E" w:rsidP="00552B38">
            <w:pPr>
              <w:spacing w:after="0" w:line="240" w:lineRule="auto"/>
              <w:rPr>
                <w:rFonts w:ascii="Calibri" w:eastAsia="Calibri" w:hAnsi="Calibri" w:cs="Times New Roman"/>
                <w:b/>
                <w:sz w:val="18"/>
                <w:szCs w:val="18"/>
                <w:lang w:eastAsia="en-US"/>
              </w:rPr>
            </w:pPr>
            <w:r w:rsidRPr="000119D2">
              <w:rPr>
                <w:rFonts w:eastAsia="Calibri"/>
                <w:b/>
                <w:sz w:val="18"/>
                <w:szCs w:val="18"/>
              </w:rPr>
              <w:t xml:space="preserve">2014 Reporting Note: </w:t>
            </w:r>
            <w:r w:rsidRPr="000119D2">
              <w:rPr>
                <w:rFonts w:eastAsia="Calibri"/>
                <w:sz w:val="18"/>
                <w:szCs w:val="18"/>
              </w:rPr>
              <w:t xml:space="preserve">2014 </w:t>
            </w:r>
            <w:r w:rsidR="00552B38" w:rsidRPr="000119D2">
              <w:rPr>
                <w:rFonts w:eastAsia="Calibri"/>
                <w:sz w:val="18"/>
                <w:szCs w:val="18"/>
              </w:rPr>
              <w:t>m</w:t>
            </w:r>
            <w:r w:rsidRPr="000119D2">
              <w:rPr>
                <w:rFonts w:eastAsia="Calibri"/>
                <w:sz w:val="18"/>
                <w:szCs w:val="18"/>
              </w:rPr>
              <w:t xml:space="preserve">ilestone </w:t>
            </w:r>
            <w:r w:rsidR="00552B38" w:rsidRPr="000119D2">
              <w:rPr>
                <w:rFonts w:eastAsia="Calibri"/>
                <w:sz w:val="18"/>
                <w:szCs w:val="18"/>
              </w:rPr>
              <w:t xml:space="preserve">and 2017 target </w:t>
            </w:r>
            <w:r w:rsidRPr="000119D2">
              <w:rPr>
                <w:rFonts w:eastAsia="Calibri"/>
                <w:sz w:val="18"/>
                <w:szCs w:val="18"/>
              </w:rPr>
              <w:t>updated to reflect more complete reporting from country offices. For reference, previous 2014 milestones was 1</w:t>
            </w:r>
            <w:r w:rsidR="006D0616" w:rsidRPr="000119D2">
              <w:rPr>
                <w:rFonts w:eastAsia="Calibri"/>
                <w:sz w:val="18"/>
                <w:szCs w:val="18"/>
              </w:rPr>
              <w:t>6 countries (163 EWS)</w:t>
            </w:r>
            <w:r w:rsidR="00552B38" w:rsidRPr="000119D2">
              <w:rPr>
                <w:rFonts w:eastAsia="Calibri"/>
                <w:sz w:val="18"/>
                <w:szCs w:val="18"/>
              </w:rPr>
              <w:t xml:space="preserve">, previous target was 28 countries (233 EWS). </w:t>
            </w:r>
          </w:p>
        </w:tc>
      </w:tr>
    </w:tbl>
    <w:p w14:paraId="0D10706C" w14:textId="77777777" w:rsidR="000119D2" w:rsidRDefault="000119D2">
      <w:r>
        <w:br w:type="page"/>
      </w:r>
    </w:p>
    <w:tbl>
      <w:tblPr>
        <w:tblW w:w="14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325"/>
        <w:gridCol w:w="720"/>
        <w:gridCol w:w="5310"/>
        <w:gridCol w:w="1350"/>
        <w:gridCol w:w="1350"/>
        <w:gridCol w:w="1260"/>
        <w:gridCol w:w="1332"/>
      </w:tblGrid>
      <w:tr w:rsidR="00A90BC9" w:rsidRPr="00015A57" w14:paraId="600AFDA7" w14:textId="77777777" w:rsidTr="000119D2">
        <w:trPr>
          <w:trHeight w:val="521"/>
          <w:jc w:val="center"/>
        </w:trPr>
        <w:tc>
          <w:tcPr>
            <w:tcW w:w="3325" w:type="dxa"/>
            <w:vMerge w:val="restart"/>
            <w:tcBorders>
              <w:left w:val="single" w:sz="4" w:space="0" w:color="auto"/>
              <w:right w:val="single" w:sz="4" w:space="0" w:color="auto"/>
            </w:tcBorders>
            <w:shd w:val="clear" w:color="auto" w:fill="FFFFFF"/>
          </w:tcPr>
          <w:p w14:paraId="46FFAF29" w14:textId="19C7478B" w:rsidR="00A90BC9" w:rsidRPr="00B66E9F" w:rsidRDefault="00A90BC9" w:rsidP="00A90BC9">
            <w:pPr>
              <w:spacing w:after="0" w:line="240" w:lineRule="auto"/>
              <w:rPr>
                <w:rFonts w:eastAsia="Calibri"/>
                <w:b/>
                <w:sz w:val="20"/>
                <w:szCs w:val="20"/>
              </w:rPr>
            </w:pPr>
          </w:p>
        </w:tc>
        <w:tc>
          <w:tcPr>
            <w:tcW w:w="720" w:type="dxa"/>
            <w:vMerge w:val="restart"/>
            <w:tcBorders>
              <w:top w:val="single" w:sz="4" w:space="0" w:color="auto"/>
              <w:left w:val="single" w:sz="4" w:space="0" w:color="auto"/>
              <w:right w:val="single" w:sz="4" w:space="0" w:color="auto"/>
            </w:tcBorders>
            <w:shd w:val="clear" w:color="auto" w:fill="FFFFFF"/>
          </w:tcPr>
          <w:p w14:paraId="59EFA55D" w14:textId="77777777" w:rsidR="00A90BC9" w:rsidRPr="00B66E9F" w:rsidRDefault="00A90BC9" w:rsidP="00A90BC9">
            <w:pPr>
              <w:spacing w:after="0" w:line="240" w:lineRule="auto"/>
              <w:jc w:val="both"/>
              <w:rPr>
                <w:rFonts w:eastAsia="Calibri"/>
                <w:b/>
                <w:sz w:val="20"/>
                <w:szCs w:val="20"/>
              </w:rPr>
            </w:pPr>
            <w:r w:rsidRPr="00B66E9F">
              <w:rPr>
                <w:rFonts w:eastAsia="Calibri"/>
                <w:b/>
                <w:sz w:val="20"/>
                <w:szCs w:val="20"/>
              </w:rPr>
              <w:t>5.4.2</w:t>
            </w:r>
          </w:p>
        </w:tc>
        <w:tc>
          <w:tcPr>
            <w:tcW w:w="5310" w:type="dxa"/>
            <w:tcBorders>
              <w:top w:val="single" w:sz="4" w:space="0" w:color="auto"/>
              <w:left w:val="single" w:sz="4" w:space="0" w:color="auto"/>
              <w:bottom w:val="single" w:sz="4" w:space="0" w:color="auto"/>
              <w:right w:val="single" w:sz="4" w:space="0" w:color="auto"/>
            </w:tcBorders>
            <w:shd w:val="clear" w:color="auto" w:fill="FFFFFF"/>
          </w:tcPr>
          <w:p w14:paraId="59A7C916" w14:textId="0549215C" w:rsidR="00A90BC9" w:rsidRPr="0013161E" w:rsidRDefault="00A90BC9" w:rsidP="00A90BC9">
            <w:pPr>
              <w:spacing w:after="0" w:line="240" w:lineRule="auto"/>
              <w:rPr>
                <w:b/>
                <w:sz w:val="20"/>
                <w:szCs w:val="20"/>
              </w:rPr>
            </w:pPr>
            <w:r w:rsidRPr="0013161E">
              <w:rPr>
                <w:sz w:val="20"/>
                <w:szCs w:val="20"/>
              </w:rPr>
              <w:t xml:space="preserve">Number of countries with </w:t>
            </w:r>
            <w:r w:rsidR="004F2E6F" w:rsidRPr="000B5DED">
              <w:rPr>
                <w:b/>
                <w:sz w:val="20"/>
                <w:szCs w:val="20"/>
              </w:rPr>
              <w:t xml:space="preserve">new </w:t>
            </w:r>
            <w:r w:rsidRPr="000B5DED">
              <w:rPr>
                <w:b/>
                <w:sz w:val="20"/>
                <w:szCs w:val="20"/>
              </w:rPr>
              <w:t>mechanisms</w:t>
            </w:r>
            <w:r w:rsidRPr="0013161E">
              <w:rPr>
                <w:sz w:val="20"/>
                <w:szCs w:val="20"/>
              </w:rPr>
              <w:t xml:space="preserve"> at national and sub-national level to </w:t>
            </w:r>
            <w:r w:rsidRPr="0013161E">
              <w:rPr>
                <w:b/>
                <w:sz w:val="20"/>
                <w:szCs w:val="20"/>
              </w:rPr>
              <w:t>prepare for and recover from disaster events</w:t>
            </w:r>
            <w:r w:rsidRPr="0013161E">
              <w:rPr>
                <w:sz w:val="20"/>
                <w:szCs w:val="20"/>
              </w:rPr>
              <w:t xml:space="preserve"> with adequate </w:t>
            </w:r>
            <w:r w:rsidRPr="0013161E">
              <w:rPr>
                <w:b/>
                <w:sz w:val="20"/>
                <w:szCs w:val="20"/>
              </w:rPr>
              <w:t>financial and human resources, capacities and operating procedures</w:t>
            </w:r>
          </w:p>
          <w:p w14:paraId="14DA24D7" w14:textId="657AC19F" w:rsidR="00D64CE5" w:rsidRPr="0013161E" w:rsidRDefault="00D64CE5" w:rsidP="006F161D">
            <w:pPr>
              <w:pStyle w:val="ListParagraph"/>
              <w:numPr>
                <w:ilvl w:val="0"/>
                <w:numId w:val="39"/>
              </w:numPr>
              <w:rPr>
                <w:sz w:val="20"/>
                <w:szCs w:val="20"/>
              </w:rPr>
            </w:pPr>
            <w:r w:rsidRPr="0013161E">
              <w:rPr>
                <w:sz w:val="20"/>
                <w:szCs w:val="20"/>
              </w:rPr>
              <w:t xml:space="preserve">Number of countries with new preparedness plans that cover </w:t>
            </w:r>
            <w:r w:rsidRPr="0013161E">
              <w:rPr>
                <w:b/>
                <w:sz w:val="20"/>
                <w:szCs w:val="20"/>
              </w:rPr>
              <w:t>only response</w:t>
            </w:r>
          </w:p>
          <w:p w14:paraId="18080F45" w14:textId="77777777" w:rsidR="00D64CE5" w:rsidRPr="0013161E" w:rsidRDefault="00D64CE5" w:rsidP="006F161D">
            <w:pPr>
              <w:pStyle w:val="ListParagraph"/>
              <w:numPr>
                <w:ilvl w:val="0"/>
                <w:numId w:val="39"/>
              </w:numPr>
              <w:rPr>
                <w:sz w:val="20"/>
                <w:szCs w:val="20"/>
              </w:rPr>
            </w:pPr>
            <w:r w:rsidRPr="0013161E">
              <w:rPr>
                <w:sz w:val="20"/>
                <w:szCs w:val="20"/>
              </w:rPr>
              <w:t xml:space="preserve">Number of countries with new preparedness plans that cover </w:t>
            </w:r>
            <w:r w:rsidRPr="0013161E">
              <w:rPr>
                <w:b/>
                <w:sz w:val="20"/>
                <w:szCs w:val="20"/>
              </w:rPr>
              <w:t>response and recovery</w:t>
            </w:r>
          </w:p>
          <w:p w14:paraId="0FC40966" w14:textId="6FBF83AC" w:rsidR="00546E49" w:rsidRPr="0013161E" w:rsidRDefault="00546E49" w:rsidP="004E2D72">
            <w:pPr>
              <w:spacing w:before="240" w:after="0"/>
              <w:rPr>
                <w:sz w:val="20"/>
                <w:szCs w:val="20"/>
              </w:rPr>
            </w:pPr>
            <w:r w:rsidRPr="0013161E">
              <w:rPr>
                <w:rFonts w:eastAsia="Calibri"/>
                <w:b/>
                <w:i/>
                <w:sz w:val="18"/>
                <w:szCs w:val="18"/>
              </w:rPr>
              <w:t xml:space="preserve">Number of countries </w:t>
            </w:r>
            <w:r w:rsidR="00983FF8" w:rsidRPr="0013161E">
              <w:rPr>
                <w:rFonts w:eastAsia="Calibri"/>
                <w:b/>
                <w:i/>
                <w:sz w:val="18"/>
                <w:szCs w:val="18"/>
              </w:rPr>
              <w:t>for which a 2017 target has currently been set under this indicator</w:t>
            </w:r>
            <w:r w:rsidR="002D11DF" w:rsidRPr="0013161E">
              <w:rPr>
                <w:rFonts w:eastAsia="Calibri"/>
                <w:b/>
                <w:i/>
                <w:sz w:val="18"/>
                <w:szCs w:val="18"/>
              </w:rPr>
              <w:t>: a) 28, b) 32</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6EA957DB" w14:textId="77777777" w:rsidR="00A90BC9" w:rsidRDefault="00A90BC9" w:rsidP="00FA49FF">
            <w:pPr>
              <w:spacing w:after="0" w:line="240" w:lineRule="auto"/>
              <w:jc w:val="center"/>
              <w:rPr>
                <w:sz w:val="20"/>
                <w:szCs w:val="20"/>
              </w:rPr>
            </w:pPr>
          </w:p>
          <w:p w14:paraId="719C6989" w14:textId="77777777" w:rsidR="00D64CE5" w:rsidRDefault="00D64CE5" w:rsidP="00FA49FF">
            <w:pPr>
              <w:spacing w:after="0" w:line="240" w:lineRule="auto"/>
              <w:jc w:val="center"/>
              <w:rPr>
                <w:sz w:val="20"/>
                <w:szCs w:val="20"/>
              </w:rPr>
            </w:pPr>
          </w:p>
          <w:p w14:paraId="749B1FC1" w14:textId="77777777" w:rsidR="00D64CE5" w:rsidRDefault="00D64CE5" w:rsidP="00FA49FF">
            <w:pPr>
              <w:spacing w:after="0" w:line="240" w:lineRule="auto"/>
              <w:jc w:val="center"/>
              <w:rPr>
                <w:sz w:val="20"/>
                <w:szCs w:val="20"/>
              </w:rPr>
            </w:pPr>
          </w:p>
          <w:p w14:paraId="4AB5994E" w14:textId="77777777" w:rsidR="000119D2" w:rsidRDefault="000119D2" w:rsidP="00FA49FF">
            <w:pPr>
              <w:spacing w:after="0" w:line="240" w:lineRule="auto"/>
              <w:jc w:val="center"/>
              <w:rPr>
                <w:sz w:val="20"/>
                <w:szCs w:val="20"/>
              </w:rPr>
            </w:pPr>
          </w:p>
          <w:p w14:paraId="7E1E1A8F" w14:textId="77777777" w:rsidR="00D64CE5" w:rsidRDefault="000F3BE4" w:rsidP="00FA49FF">
            <w:pPr>
              <w:spacing w:after="0" w:line="240" w:lineRule="auto"/>
              <w:jc w:val="center"/>
              <w:rPr>
                <w:sz w:val="20"/>
                <w:szCs w:val="20"/>
              </w:rPr>
            </w:pPr>
            <w:r>
              <w:rPr>
                <w:sz w:val="20"/>
                <w:szCs w:val="20"/>
              </w:rPr>
              <w:t>0</w:t>
            </w:r>
          </w:p>
          <w:p w14:paraId="63EDCC12" w14:textId="77777777" w:rsidR="000F3BE4" w:rsidRDefault="000F3BE4" w:rsidP="00FA49FF">
            <w:pPr>
              <w:spacing w:after="0" w:line="240" w:lineRule="auto"/>
              <w:jc w:val="center"/>
              <w:rPr>
                <w:sz w:val="20"/>
                <w:szCs w:val="20"/>
              </w:rPr>
            </w:pPr>
          </w:p>
          <w:p w14:paraId="34BAAC93" w14:textId="77777777" w:rsidR="000F3BE4" w:rsidRPr="00B66E9F" w:rsidRDefault="000F3BE4" w:rsidP="00FA49FF">
            <w:pPr>
              <w:spacing w:after="0" w:line="240" w:lineRule="auto"/>
              <w:jc w:val="center"/>
              <w:rPr>
                <w:sz w:val="20"/>
                <w:szCs w:val="20"/>
              </w:rPr>
            </w:pPr>
            <w:r>
              <w:rPr>
                <w:sz w:val="20"/>
                <w:szCs w:val="20"/>
              </w:rPr>
              <w:t>0</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787B5BAA" w14:textId="77777777" w:rsidR="00A90BC9" w:rsidRDefault="00A90BC9" w:rsidP="00FA49FF">
            <w:pPr>
              <w:spacing w:after="0" w:line="240" w:lineRule="auto"/>
              <w:jc w:val="center"/>
              <w:rPr>
                <w:sz w:val="20"/>
                <w:szCs w:val="20"/>
              </w:rPr>
            </w:pPr>
          </w:p>
          <w:p w14:paraId="2F7887EA" w14:textId="77777777" w:rsidR="000F3BE4" w:rsidRDefault="000F3BE4" w:rsidP="00FA49FF">
            <w:pPr>
              <w:spacing w:after="0" w:line="240" w:lineRule="auto"/>
              <w:jc w:val="center"/>
              <w:rPr>
                <w:sz w:val="20"/>
                <w:szCs w:val="20"/>
              </w:rPr>
            </w:pPr>
          </w:p>
          <w:p w14:paraId="0E48C96D" w14:textId="77777777" w:rsidR="000F3BE4" w:rsidRDefault="000F3BE4" w:rsidP="00FA49FF">
            <w:pPr>
              <w:spacing w:after="0" w:line="240" w:lineRule="auto"/>
              <w:jc w:val="center"/>
              <w:rPr>
                <w:sz w:val="20"/>
                <w:szCs w:val="20"/>
              </w:rPr>
            </w:pPr>
          </w:p>
          <w:p w14:paraId="33C71669" w14:textId="77777777" w:rsidR="000119D2" w:rsidRDefault="000119D2" w:rsidP="00FA49FF">
            <w:pPr>
              <w:spacing w:after="0" w:line="240" w:lineRule="auto"/>
              <w:jc w:val="center"/>
              <w:rPr>
                <w:sz w:val="20"/>
                <w:szCs w:val="20"/>
              </w:rPr>
            </w:pPr>
          </w:p>
          <w:p w14:paraId="29AAFAD5" w14:textId="2148B44F" w:rsidR="00FA49FF" w:rsidRDefault="00BA51D6" w:rsidP="00FA49FF">
            <w:pPr>
              <w:spacing w:after="0" w:line="240" w:lineRule="auto"/>
              <w:jc w:val="center"/>
              <w:rPr>
                <w:sz w:val="20"/>
                <w:szCs w:val="20"/>
              </w:rPr>
            </w:pPr>
            <w:r>
              <w:rPr>
                <w:sz w:val="20"/>
                <w:szCs w:val="20"/>
              </w:rPr>
              <w:t>1</w:t>
            </w:r>
            <w:r w:rsidR="00282CDC">
              <w:rPr>
                <w:sz w:val="20"/>
                <w:szCs w:val="20"/>
              </w:rPr>
              <w:t>5</w:t>
            </w:r>
          </w:p>
          <w:p w14:paraId="500BE23A" w14:textId="5DAC0987" w:rsidR="000F3BE4" w:rsidRDefault="00BA51D6" w:rsidP="00FA49FF">
            <w:pPr>
              <w:spacing w:after="0" w:line="240" w:lineRule="auto"/>
              <w:jc w:val="center"/>
              <w:rPr>
                <w:sz w:val="20"/>
                <w:szCs w:val="20"/>
              </w:rPr>
            </w:pPr>
            <w:r>
              <w:rPr>
                <w:sz w:val="20"/>
                <w:szCs w:val="20"/>
              </w:rPr>
              <w:t>(</w:t>
            </w:r>
            <w:r w:rsidR="00282CDC">
              <w:rPr>
                <w:sz w:val="20"/>
                <w:szCs w:val="20"/>
              </w:rPr>
              <w:t>59</w:t>
            </w:r>
            <w:r>
              <w:rPr>
                <w:sz w:val="20"/>
                <w:szCs w:val="20"/>
              </w:rPr>
              <w:t xml:space="preserve"> plans)</w:t>
            </w:r>
          </w:p>
          <w:p w14:paraId="7A23B328" w14:textId="77777777" w:rsidR="00FA49FF" w:rsidRDefault="00BA51D6" w:rsidP="00FA49FF">
            <w:pPr>
              <w:spacing w:after="0" w:line="240" w:lineRule="auto"/>
              <w:jc w:val="center"/>
              <w:rPr>
                <w:sz w:val="20"/>
                <w:szCs w:val="20"/>
              </w:rPr>
            </w:pPr>
            <w:r>
              <w:rPr>
                <w:sz w:val="20"/>
                <w:szCs w:val="20"/>
              </w:rPr>
              <w:t xml:space="preserve">13 </w:t>
            </w:r>
          </w:p>
          <w:p w14:paraId="72C4976C" w14:textId="469D00CA" w:rsidR="005620F9" w:rsidRPr="00B66E9F" w:rsidRDefault="00BA51D6" w:rsidP="00FA49FF">
            <w:pPr>
              <w:spacing w:after="0" w:line="240" w:lineRule="auto"/>
              <w:jc w:val="center"/>
              <w:rPr>
                <w:sz w:val="20"/>
                <w:szCs w:val="20"/>
              </w:rPr>
            </w:pPr>
            <w:r>
              <w:rPr>
                <w:sz w:val="20"/>
                <w:szCs w:val="20"/>
              </w:rPr>
              <w:t>(</w:t>
            </w:r>
            <w:r w:rsidR="005620F9">
              <w:rPr>
                <w:sz w:val="20"/>
                <w:szCs w:val="20"/>
              </w:rPr>
              <w:t>259</w:t>
            </w:r>
            <w:r>
              <w:rPr>
                <w:sz w:val="20"/>
                <w:szCs w:val="20"/>
              </w:rPr>
              <w:t xml:space="preserve"> plans)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7AF20903" w14:textId="77777777" w:rsidR="00A90BC9" w:rsidRDefault="00A90BC9" w:rsidP="00FA49FF">
            <w:pPr>
              <w:spacing w:after="0" w:line="240" w:lineRule="auto"/>
              <w:jc w:val="center"/>
              <w:rPr>
                <w:sz w:val="20"/>
                <w:szCs w:val="20"/>
              </w:rPr>
            </w:pPr>
          </w:p>
          <w:p w14:paraId="32509ED1" w14:textId="77777777" w:rsidR="000F3BE4" w:rsidRDefault="000F3BE4" w:rsidP="00FA49FF">
            <w:pPr>
              <w:spacing w:after="0" w:line="240" w:lineRule="auto"/>
              <w:jc w:val="center"/>
              <w:rPr>
                <w:sz w:val="20"/>
                <w:szCs w:val="20"/>
              </w:rPr>
            </w:pPr>
          </w:p>
          <w:p w14:paraId="70B7DBCE" w14:textId="77777777" w:rsidR="000F3BE4" w:rsidRDefault="000F3BE4" w:rsidP="00FA49FF">
            <w:pPr>
              <w:spacing w:after="0" w:line="240" w:lineRule="auto"/>
              <w:jc w:val="center"/>
              <w:rPr>
                <w:sz w:val="20"/>
                <w:szCs w:val="20"/>
              </w:rPr>
            </w:pPr>
          </w:p>
          <w:p w14:paraId="77B38226" w14:textId="77777777" w:rsidR="000119D2" w:rsidRDefault="000119D2" w:rsidP="00FA49FF">
            <w:pPr>
              <w:spacing w:after="0" w:line="240" w:lineRule="auto"/>
              <w:jc w:val="center"/>
              <w:rPr>
                <w:sz w:val="20"/>
                <w:szCs w:val="20"/>
              </w:rPr>
            </w:pPr>
          </w:p>
          <w:p w14:paraId="5209AC65" w14:textId="77777777" w:rsidR="00FA49FF" w:rsidRDefault="00BA51D6" w:rsidP="00FA49FF">
            <w:pPr>
              <w:spacing w:after="0" w:line="240" w:lineRule="auto"/>
              <w:jc w:val="center"/>
              <w:rPr>
                <w:sz w:val="20"/>
                <w:szCs w:val="20"/>
              </w:rPr>
            </w:pPr>
            <w:r>
              <w:rPr>
                <w:sz w:val="20"/>
                <w:szCs w:val="20"/>
              </w:rPr>
              <w:t>13</w:t>
            </w:r>
          </w:p>
          <w:p w14:paraId="517F152F" w14:textId="58277322" w:rsidR="000F3BE4" w:rsidRDefault="00BA51D6" w:rsidP="00FA49FF">
            <w:pPr>
              <w:spacing w:after="0" w:line="240" w:lineRule="auto"/>
              <w:jc w:val="center"/>
              <w:rPr>
                <w:sz w:val="20"/>
                <w:szCs w:val="20"/>
              </w:rPr>
            </w:pPr>
            <w:r>
              <w:rPr>
                <w:sz w:val="20"/>
                <w:szCs w:val="20"/>
              </w:rPr>
              <w:t>(</w:t>
            </w:r>
            <w:r w:rsidR="005620F9">
              <w:rPr>
                <w:sz w:val="20"/>
                <w:szCs w:val="20"/>
              </w:rPr>
              <w:t>76</w:t>
            </w:r>
            <w:r>
              <w:rPr>
                <w:sz w:val="20"/>
                <w:szCs w:val="20"/>
              </w:rPr>
              <w:t xml:space="preserve"> plans)</w:t>
            </w:r>
          </w:p>
          <w:p w14:paraId="3DBA929C" w14:textId="710CFBE0" w:rsidR="00FA49FF" w:rsidRDefault="00BA51D6" w:rsidP="00FA49FF">
            <w:pPr>
              <w:spacing w:after="0" w:line="240" w:lineRule="auto"/>
              <w:jc w:val="center"/>
              <w:rPr>
                <w:sz w:val="20"/>
                <w:szCs w:val="20"/>
              </w:rPr>
            </w:pPr>
            <w:r>
              <w:rPr>
                <w:sz w:val="20"/>
                <w:szCs w:val="20"/>
              </w:rPr>
              <w:t>1</w:t>
            </w:r>
            <w:r w:rsidR="00645E1A">
              <w:rPr>
                <w:sz w:val="20"/>
                <w:szCs w:val="20"/>
              </w:rPr>
              <w:t>4</w:t>
            </w:r>
            <w:r>
              <w:rPr>
                <w:sz w:val="20"/>
                <w:szCs w:val="20"/>
              </w:rPr>
              <w:t xml:space="preserve"> </w:t>
            </w:r>
          </w:p>
          <w:p w14:paraId="1AEF37C0" w14:textId="7F537F45" w:rsidR="005620F9" w:rsidRPr="00B66E9F" w:rsidRDefault="00BA51D6" w:rsidP="00FA49FF">
            <w:pPr>
              <w:spacing w:after="0" w:line="240" w:lineRule="auto"/>
              <w:jc w:val="center"/>
              <w:rPr>
                <w:sz w:val="20"/>
                <w:szCs w:val="20"/>
              </w:rPr>
            </w:pPr>
            <w:r>
              <w:rPr>
                <w:sz w:val="20"/>
                <w:szCs w:val="20"/>
              </w:rPr>
              <w:t>(</w:t>
            </w:r>
            <w:r w:rsidR="00645E1A">
              <w:rPr>
                <w:sz w:val="20"/>
                <w:szCs w:val="20"/>
              </w:rPr>
              <w:t>254</w:t>
            </w:r>
            <w:r>
              <w:rPr>
                <w:sz w:val="20"/>
                <w:szCs w:val="20"/>
              </w:rPr>
              <w:t xml:space="preserve"> plans)</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14:paraId="663A817C" w14:textId="77777777" w:rsidR="00A90BC9" w:rsidRDefault="00A90BC9" w:rsidP="00FA49FF">
            <w:pPr>
              <w:spacing w:after="0" w:line="240" w:lineRule="auto"/>
              <w:jc w:val="center"/>
              <w:rPr>
                <w:sz w:val="20"/>
                <w:szCs w:val="20"/>
              </w:rPr>
            </w:pPr>
          </w:p>
          <w:p w14:paraId="6D866FD9" w14:textId="77777777" w:rsidR="000F3BE4" w:rsidRDefault="000F3BE4" w:rsidP="00FA49FF">
            <w:pPr>
              <w:spacing w:after="0" w:line="240" w:lineRule="auto"/>
              <w:jc w:val="center"/>
              <w:rPr>
                <w:sz w:val="20"/>
                <w:szCs w:val="20"/>
              </w:rPr>
            </w:pPr>
          </w:p>
          <w:p w14:paraId="4BB044C6" w14:textId="77777777" w:rsidR="000F3BE4" w:rsidRDefault="000F3BE4" w:rsidP="00FA49FF">
            <w:pPr>
              <w:spacing w:after="0" w:line="240" w:lineRule="auto"/>
              <w:jc w:val="center"/>
              <w:rPr>
                <w:sz w:val="20"/>
                <w:szCs w:val="20"/>
              </w:rPr>
            </w:pPr>
          </w:p>
          <w:p w14:paraId="3C94DB00" w14:textId="77777777" w:rsidR="000119D2" w:rsidRDefault="000119D2" w:rsidP="00FA49FF">
            <w:pPr>
              <w:spacing w:after="0" w:line="240" w:lineRule="auto"/>
              <w:jc w:val="center"/>
              <w:rPr>
                <w:sz w:val="20"/>
                <w:szCs w:val="20"/>
              </w:rPr>
            </w:pPr>
          </w:p>
          <w:p w14:paraId="4278CF87" w14:textId="31EF8A34" w:rsidR="00FA49FF" w:rsidRDefault="001E46D0" w:rsidP="00FA49FF">
            <w:pPr>
              <w:spacing w:after="0" w:line="240" w:lineRule="auto"/>
              <w:jc w:val="center"/>
              <w:rPr>
                <w:sz w:val="20"/>
                <w:szCs w:val="20"/>
              </w:rPr>
            </w:pPr>
            <w:r>
              <w:rPr>
                <w:sz w:val="20"/>
                <w:szCs w:val="20"/>
              </w:rPr>
              <w:t>20</w:t>
            </w:r>
          </w:p>
          <w:p w14:paraId="444B301A" w14:textId="0172509A" w:rsidR="000F3BE4" w:rsidRDefault="001E46D0" w:rsidP="00FA49FF">
            <w:pPr>
              <w:spacing w:after="0" w:line="240" w:lineRule="auto"/>
              <w:jc w:val="center"/>
              <w:rPr>
                <w:sz w:val="20"/>
                <w:szCs w:val="20"/>
              </w:rPr>
            </w:pPr>
            <w:r>
              <w:rPr>
                <w:sz w:val="20"/>
                <w:szCs w:val="20"/>
              </w:rPr>
              <w:t>(191</w:t>
            </w:r>
            <w:r w:rsidR="000F3BE4">
              <w:rPr>
                <w:sz w:val="20"/>
                <w:szCs w:val="20"/>
              </w:rPr>
              <w:t xml:space="preserve"> plans)</w:t>
            </w:r>
          </w:p>
          <w:p w14:paraId="31D2BB09" w14:textId="5F58CCD8" w:rsidR="00FA49FF" w:rsidRDefault="001A4597" w:rsidP="00FA49FF">
            <w:pPr>
              <w:spacing w:after="0" w:line="240" w:lineRule="auto"/>
              <w:jc w:val="center"/>
              <w:rPr>
                <w:sz w:val="20"/>
                <w:szCs w:val="20"/>
              </w:rPr>
            </w:pPr>
            <w:r>
              <w:rPr>
                <w:sz w:val="20"/>
                <w:szCs w:val="20"/>
              </w:rPr>
              <w:t>2</w:t>
            </w:r>
            <w:r w:rsidR="001E46D0">
              <w:rPr>
                <w:sz w:val="20"/>
                <w:szCs w:val="20"/>
              </w:rPr>
              <w:t>8</w:t>
            </w:r>
            <w:r>
              <w:rPr>
                <w:sz w:val="20"/>
                <w:szCs w:val="20"/>
              </w:rPr>
              <w:t xml:space="preserve"> </w:t>
            </w:r>
          </w:p>
          <w:p w14:paraId="13813CED" w14:textId="0362D1C9" w:rsidR="000F3BE4" w:rsidRPr="00B66E9F" w:rsidRDefault="001A4597" w:rsidP="001E46D0">
            <w:pPr>
              <w:spacing w:after="0" w:line="240" w:lineRule="auto"/>
              <w:jc w:val="center"/>
              <w:rPr>
                <w:sz w:val="20"/>
                <w:szCs w:val="20"/>
              </w:rPr>
            </w:pPr>
            <w:r>
              <w:rPr>
                <w:sz w:val="20"/>
                <w:szCs w:val="20"/>
              </w:rPr>
              <w:t>(6</w:t>
            </w:r>
            <w:r w:rsidR="001E46D0">
              <w:rPr>
                <w:sz w:val="20"/>
                <w:szCs w:val="20"/>
              </w:rPr>
              <w:t>16</w:t>
            </w:r>
            <w:r>
              <w:rPr>
                <w:sz w:val="20"/>
                <w:szCs w:val="20"/>
              </w:rPr>
              <w:t xml:space="preserve"> plans)</w:t>
            </w:r>
          </w:p>
        </w:tc>
      </w:tr>
      <w:tr w:rsidR="00A90BC9" w:rsidRPr="00015A57" w14:paraId="6FFFE88E" w14:textId="77777777" w:rsidTr="000119D2">
        <w:trPr>
          <w:trHeight w:val="521"/>
          <w:jc w:val="center"/>
        </w:trPr>
        <w:tc>
          <w:tcPr>
            <w:tcW w:w="3325" w:type="dxa"/>
            <w:vMerge/>
            <w:tcBorders>
              <w:left w:val="single" w:sz="4" w:space="0" w:color="auto"/>
              <w:right w:val="single" w:sz="4" w:space="0" w:color="auto"/>
            </w:tcBorders>
            <w:shd w:val="clear" w:color="auto" w:fill="FFFFFF"/>
          </w:tcPr>
          <w:p w14:paraId="20B1DA4B" w14:textId="135C7B20" w:rsidR="00A90BC9" w:rsidRPr="00B66E9F" w:rsidRDefault="00A90BC9" w:rsidP="00A90BC9">
            <w:pPr>
              <w:spacing w:after="0" w:line="240" w:lineRule="auto"/>
              <w:rPr>
                <w:rFonts w:eastAsia="Calibri"/>
                <w:b/>
                <w:sz w:val="20"/>
                <w:szCs w:val="20"/>
              </w:rPr>
            </w:pPr>
          </w:p>
        </w:tc>
        <w:tc>
          <w:tcPr>
            <w:tcW w:w="720" w:type="dxa"/>
            <w:vMerge/>
            <w:tcBorders>
              <w:left w:val="single" w:sz="4" w:space="0" w:color="auto"/>
              <w:bottom w:val="single" w:sz="4" w:space="0" w:color="auto"/>
              <w:right w:val="single" w:sz="4" w:space="0" w:color="auto"/>
            </w:tcBorders>
            <w:shd w:val="clear" w:color="auto" w:fill="FFFFFF"/>
          </w:tcPr>
          <w:p w14:paraId="621034ED" w14:textId="77777777" w:rsidR="00A90BC9" w:rsidRPr="00B66E9F" w:rsidRDefault="00A90BC9" w:rsidP="00A90BC9">
            <w:pPr>
              <w:spacing w:after="0" w:line="240" w:lineRule="auto"/>
              <w:jc w:val="both"/>
              <w:rPr>
                <w:rFonts w:eastAsia="Calibri"/>
                <w:b/>
                <w:sz w:val="20"/>
                <w:szCs w:val="20"/>
              </w:rPr>
            </w:pPr>
          </w:p>
        </w:tc>
        <w:tc>
          <w:tcPr>
            <w:tcW w:w="1060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F5D658" w14:textId="35A257C2" w:rsidR="00A90BC9" w:rsidRPr="000119D2" w:rsidRDefault="00A90BC9" w:rsidP="00031C37">
            <w:pPr>
              <w:spacing w:after="0" w:line="240" w:lineRule="auto"/>
              <w:rPr>
                <w:rFonts w:eastAsia="Calibri"/>
                <w:sz w:val="18"/>
                <w:szCs w:val="18"/>
              </w:rPr>
            </w:pPr>
            <w:r w:rsidRPr="000119D2">
              <w:rPr>
                <w:rFonts w:ascii="Calibri" w:eastAsia="Calibri" w:hAnsi="Calibri" w:cs="Times New Roman"/>
                <w:b/>
                <w:sz w:val="18"/>
                <w:szCs w:val="18"/>
                <w:lang w:eastAsia="en-US"/>
              </w:rPr>
              <w:t>Indicator 5.4.2 Note:</w:t>
            </w:r>
            <w:r w:rsidR="001A4597" w:rsidRPr="000119D2">
              <w:rPr>
                <w:rFonts w:ascii="Calibri" w:eastAsia="Calibri" w:hAnsi="Calibri" w:cs="Times New Roman"/>
                <w:b/>
                <w:sz w:val="18"/>
                <w:szCs w:val="18"/>
                <w:lang w:eastAsia="en-US"/>
              </w:rPr>
              <w:t xml:space="preserve"> </w:t>
            </w:r>
            <w:r w:rsidR="001A4597" w:rsidRPr="000119D2">
              <w:rPr>
                <w:rFonts w:ascii="Calibri" w:eastAsia="Calibri" w:hAnsi="Calibri" w:cs="Times New Roman"/>
                <w:sz w:val="18"/>
                <w:szCs w:val="18"/>
                <w:lang w:eastAsia="en-US"/>
              </w:rPr>
              <w:t xml:space="preserve">Tracks the number of countries with new </w:t>
            </w:r>
            <w:r w:rsidR="00E70AB5" w:rsidRPr="000119D2">
              <w:rPr>
                <w:rFonts w:ascii="Calibri" w:eastAsia="Calibri" w:hAnsi="Calibri" w:cs="Times New Roman"/>
                <w:sz w:val="18"/>
                <w:szCs w:val="18"/>
                <w:lang w:eastAsia="en-US"/>
              </w:rPr>
              <w:t xml:space="preserve">mechanisms (defined as </w:t>
            </w:r>
            <w:r w:rsidR="00031C37" w:rsidRPr="000119D2">
              <w:rPr>
                <w:rFonts w:ascii="Calibri" w:eastAsia="Calibri" w:hAnsi="Calibri" w:cs="Times New Roman"/>
                <w:sz w:val="18"/>
                <w:szCs w:val="18"/>
                <w:lang w:eastAsia="en-US"/>
              </w:rPr>
              <w:t xml:space="preserve">disaster </w:t>
            </w:r>
            <w:r w:rsidR="001A4597" w:rsidRPr="000119D2">
              <w:rPr>
                <w:rFonts w:ascii="Calibri" w:eastAsia="Calibri" w:hAnsi="Calibri" w:cs="Times New Roman"/>
                <w:sz w:val="18"/>
                <w:szCs w:val="18"/>
                <w:lang w:eastAsia="en-US"/>
              </w:rPr>
              <w:t>preparedness plans</w:t>
            </w:r>
            <w:r w:rsidR="00031C37" w:rsidRPr="000119D2">
              <w:rPr>
                <w:rFonts w:ascii="Calibri" w:eastAsia="Calibri" w:hAnsi="Calibri" w:cs="Times New Roman"/>
                <w:sz w:val="18"/>
                <w:szCs w:val="18"/>
                <w:lang w:eastAsia="en-US"/>
              </w:rPr>
              <w:t>)</w:t>
            </w:r>
            <w:r w:rsidR="001A4597" w:rsidRPr="000119D2">
              <w:rPr>
                <w:rFonts w:ascii="Calibri" w:eastAsia="Calibri" w:hAnsi="Calibri" w:cs="Times New Roman"/>
                <w:sz w:val="18"/>
                <w:szCs w:val="18"/>
                <w:lang w:eastAsia="en-US"/>
              </w:rPr>
              <w:t xml:space="preserve"> </w:t>
            </w:r>
            <w:r w:rsidR="001A4597" w:rsidRPr="000119D2">
              <w:rPr>
                <w:rFonts w:ascii="Calibri" w:eastAsia="Calibri" w:hAnsi="Calibri"/>
                <w:sz w:val="18"/>
                <w:szCs w:val="18"/>
              </w:rPr>
              <w:t xml:space="preserve">supported by UNDP (on demand </w:t>
            </w:r>
            <w:r w:rsidR="001A4597" w:rsidRPr="000119D2">
              <w:rPr>
                <w:sz w:val="18"/>
                <w:szCs w:val="18"/>
              </w:rPr>
              <w:t>from programme countries</w:t>
            </w:r>
            <w:r w:rsidR="001A4597" w:rsidRPr="000119D2">
              <w:rPr>
                <w:rFonts w:ascii="Calibri" w:eastAsia="Calibri" w:hAnsi="Calibri"/>
                <w:sz w:val="18"/>
                <w:szCs w:val="18"/>
              </w:rPr>
              <w:t>)</w:t>
            </w:r>
            <w:r w:rsidR="001A4597" w:rsidRPr="000119D2">
              <w:rPr>
                <w:rFonts w:eastAsia="Calibri"/>
                <w:sz w:val="18"/>
                <w:szCs w:val="18"/>
              </w:rPr>
              <w:t xml:space="preserve"> from January 2014 onwards</w:t>
            </w:r>
            <w:r w:rsidR="00380061" w:rsidRPr="000119D2">
              <w:rPr>
                <w:rFonts w:eastAsia="Calibri"/>
                <w:sz w:val="18"/>
                <w:szCs w:val="18"/>
              </w:rPr>
              <w:t xml:space="preserve">, differentiating between those that cover only response and those that cover </w:t>
            </w:r>
            <w:r w:rsidR="000119D2">
              <w:rPr>
                <w:rFonts w:eastAsia="Calibri"/>
                <w:sz w:val="18"/>
                <w:szCs w:val="18"/>
              </w:rPr>
              <w:t xml:space="preserve">both </w:t>
            </w:r>
            <w:r w:rsidR="00380061" w:rsidRPr="000119D2">
              <w:rPr>
                <w:rFonts w:eastAsia="Calibri"/>
                <w:sz w:val="18"/>
                <w:szCs w:val="18"/>
              </w:rPr>
              <w:t>response and recovery.</w:t>
            </w:r>
          </w:p>
          <w:p w14:paraId="22CB6574" w14:textId="030E0FD6" w:rsidR="005620F9" w:rsidRPr="000119D2" w:rsidRDefault="005620F9" w:rsidP="002D11DF">
            <w:pPr>
              <w:spacing w:after="0" w:line="240" w:lineRule="auto"/>
              <w:rPr>
                <w:rFonts w:ascii="Calibri" w:eastAsia="Calibri" w:hAnsi="Calibri" w:cs="Times New Roman"/>
                <w:b/>
                <w:sz w:val="18"/>
                <w:szCs w:val="18"/>
                <w:lang w:eastAsia="en-US"/>
              </w:rPr>
            </w:pPr>
            <w:r w:rsidRPr="000119D2">
              <w:rPr>
                <w:rFonts w:eastAsia="Calibri"/>
                <w:b/>
                <w:sz w:val="18"/>
                <w:szCs w:val="18"/>
              </w:rPr>
              <w:t xml:space="preserve">2014 Reporting Note: </w:t>
            </w:r>
            <w:r w:rsidRPr="000119D2">
              <w:rPr>
                <w:rFonts w:eastAsia="Calibri"/>
                <w:sz w:val="18"/>
                <w:szCs w:val="18"/>
              </w:rPr>
              <w:t xml:space="preserve">2014 </w:t>
            </w:r>
            <w:r w:rsidR="002D11DF" w:rsidRPr="000119D2">
              <w:rPr>
                <w:rFonts w:eastAsia="Calibri"/>
                <w:sz w:val="18"/>
                <w:szCs w:val="18"/>
              </w:rPr>
              <w:t>m</w:t>
            </w:r>
            <w:r w:rsidRPr="000119D2">
              <w:rPr>
                <w:rFonts w:eastAsia="Calibri"/>
                <w:sz w:val="18"/>
                <w:szCs w:val="18"/>
              </w:rPr>
              <w:t xml:space="preserve">ilestones </w:t>
            </w:r>
            <w:r w:rsidR="002D11DF" w:rsidRPr="000119D2">
              <w:rPr>
                <w:rFonts w:eastAsia="Calibri"/>
                <w:sz w:val="18"/>
                <w:szCs w:val="18"/>
              </w:rPr>
              <w:t xml:space="preserve">and 2017 targets </w:t>
            </w:r>
            <w:r w:rsidRPr="000119D2">
              <w:rPr>
                <w:rFonts w:eastAsia="Calibri"/>
                <w:sz w:val="18"/>
                <w:szCs w:val="18"/>
              </w:rPr>
              <w:t xml:space="preserve">updated to reflect more complete reporting from country offices. For reference, previous 2014 milestones were: a) </w:t>
            </w:r>
            <w:r w:rsidR="00CF03B3" w:rsidRPr="000119D2">
              <w:rPr>
                <w:rFonts w:eastAsia="Calibri"/>
                <w:sz w:val="18"/>
                <w:szCs w:val="18"/>
              </w:rPr>
              <w:t xml:space="preserve">13 countries (48 plans), </w:t>
            </w:r>
            <w:r w:rsidRPr="000119D2">
              <w:rPr>
                <w:rFonts w:eastAsia="Calibri"/>
                <w:sz w:val="18"/>
                <w:szCs w:val="18"/>
              </w:rPr>
              <w:t xml:space="preserve">b) </w:t>
            </w:r>
            <w:r w:rsidR="00CF03B3" w:rsidRPr="000119D2">
              <w:rPr>
                <w:rFonts w:eastAsia="Calibri"/>
                <w:sz w:val="18"/>
                <w:szCs w:val="18"/>
              </w:rPr>
              <w:t>12 countries (</w:t>
            </w:r>
            <w:r w:rsidRPr="000119D2">
              <w:rPr>
                <w:rFonts w:eastAsia="Calibri"/>
                <w:sz w:val="18"/>
                <w:szCs w:val="18"/>
              </w:rPr>
              <w:t>261</w:t>
            </w:r>
            <w:r w:rsidR="002D11DF" w:rsidRPr="000119D2">
              <w:rPr>
                <w:rFonts w:eastAsia="Calibri"/>
                <w:sz w:val="18"/>
                <w:szCs w:val="18"/>
              </w:rPr>
              <w:t xml:space="preserve"> plans); previous targets were: a) 19 countries (209 plans), b) 27 countries (623 plans). </w:t>
            </w:r>
          </w:p>
        </w:tc>
      </w:tr>
      <w:tr w:rsidR="00DA0AA3" w:rsidRPr="00015A57" w14:paraId="60A286B1" w14:textId="77777777" w:rsidTr="000119D2">
        <w:trPr>
          <w:trHeight w:val="359"/>
          <w:jc w:val="center"/>
        </w:trPr>
        <w:tc>
          <w:tcPr>
            <w:tcW w:w="3325" w:type="dxa"/>
            <w:vMerge/>
            <w:tcBorders>
              <w:left w:val="single" w:sz="4" w:space="0" w:color="auto"/>
              <w:right w:val="single" w:sz="4" w:space="0" w:color="auto"/>
            </w:tcBorders>
            <w:shd w:val="clear" w:color="auto" w:fill="auto"/>
            <w:vAlign w:val="center"/>
            <w:hideMark/>
          </w:tcPr>
          <w:p w14:paraId="4789927C" w14:textId="77777777" w:rsidR="00DA0AA3" w:rsidRPr="00B66E9F" w:rsidRDefault="00DA0AA3" w:rsidP="00DA0AA3">
            <w:pPr>
              <w:spacing w:after="0" w:line="240" w:lineRule="auto"/>
              <w:rPr>
                <w:rFonts w:eastAsia="Calibri"/>
                <w:sz w:val="20"/>
                <w:szCs w:val="20"/>
              </w:rPr>
            </w:pPr>
          </w:p>
        </w:tc>
        <w:tc>
          <w:tcPr>
            <w:tcW w:w="720" w:type="dxa"/>
            <w:vMerge w:val="restart"/>
            <w:tcBorders>
              <w:top w:val="single" w:sz="4" w:space="0" w:color="auto"/>
              <w:left w:val="single" w:sz="4" w:space="0" w:color="auto"/>
              <w:right w:val="single" w:sz="4" w:space="0" w:color="auto"/>
            </w:tcBorders>
            <w:shd w:val="clear" w:color="auto" w:fill="FFFFFF"/>
            <w:hideMark/>
          </w:tcPr>
          <w:p w14:paraId="03C5857A" w14:textId="77777777" w:rsidR="00DA0AA3" w:rsidRPr="00E57562" w:rsidRDefault="00DA0AA3" w:rsidP="00DA0AA3">
            <w:pPr>
              <w:spacing w:after="0" w:line="240" w:lineRule="auto"/>
              <w:jc w:val="both"/>
              <w:rPr>
                <w:rFonts w:eastAsia="Calibri"/>
                <w:b/>
                <w:sz w:val="20"/>
                <w:szCs w:val="20"/>
              </w:rPr>
            </w:pPr>
            <w:r w:rsidRPr="00E57562">
              <w:rPr>
                <w:rFonts w:eastAsia="Calibri"/>
                <w:b/>
                <w:sz w:val="20"/>
                <w:szCs w:val="20"/>
              </w:rPr>
              <w:t>5.4.3</w:t>
            </w:r>
          </w:p>
        </w:tc>
        <w:tc>
          <w:tcPr>
            <w:tcW w:w="5310" w:type="dxa"/>
            <w:tcBorders>
              <w:top w:val="single" w:sz="4" w:space="0" w:color="auto"/>
              <w:left w:val="single" w:sz="4" w:space="0" w:color="auto"/>
              <w:right w:val="single" w:sz="4" w:space="0" w:color="auto"/>
            </w:tcBorders>
            <w:shd w:val="clear" w:color="auto" w:fill="FFFFFF"/>
            <w:hideMark/>
          </w:tcPr>
          <w:p w14:paraId="4B9E5869" w14:textId="77777777" w:rsidR="00DA0AA3" w:rsidRPr="0013161E" w:rsidRDefault="00DA0AA3" w:rsidP="00DA0AA3">
            <w:pPr>
              <w:spacing w:after="0" w:line="240" w:lineRule="auto"/>
              <w:rPr>
                <w:sz w:val="20"/>
                <w:szCs w:val="20"/>
              </w:rPr>
            </w:pPr>
            <w:r w:rsidRPr="0013161E">
              <w:rPr>
                <w:b/>
                <w:sz w:val="20"/>
                <w:szCs w:val="20"/>
              </w:rPr>
              <w:t>Proportion of at-risk population covered</w:t>
            </w:r>
            <w:r w:rsidRPr="0013161E">
              <w:rPr>
                <w:sz w:val="20"/>
                <w:szCs w:val="20"/>
              </w:rPr>
              <w:t xml:space="preserve"> by national and community level </w:t>
            </w:r>
            <w:r w:rsidRPr="0013161E">
              <w:rPr>
                <w:b/>
                <w:sz w:val="20"/>
                <w:szCs w:val="20"/>
              </w:rPr>
              <w:t>contingency plans for disaster events</w:t>
            </w:r>
            <w:r w:rsidRPr="0013161E">
              <w:rPr>
                <w:sz w:val="20"/>
                <w:szCs w:val="20"/>
              </w:rPr>
              <w:t xml:space="preserve"> (e.g. evacuation procedures, stockpiles, search and rescue, communication protocols and response plans</w:t>
            </w:r>
          </w:p>
          <w:p w14:paraId="14B28BBD" w14:textId="341EA1FA" w:rsidR="00DA0AA3" w:rsidRPr="0013161E" w:rsidRDefault="00DA0AA3" w:rsidP="00DA0AA3">
            <w:pPr>
              <w:spacing w:after="0" w:line="240" w:lineRule="auto"/>
              <w:rPr>
                <w:sz w:val="20"/>
                <w:szCs w:val="20"/>
              </w:rPr>
            </w:pPr>
            <w:r w:rsidRPr="0013161E">
              <w:rPr>
                <w:sz w:val="20"/>
                <w:szCs w:val="20"/>
              </w:rPr>
              <w:t xml:space="preserve">          a) At-risk of flood</w:t>
            </w:r>
          </w:p>
          <w:p w14:paraId="20A7921A" w14:textId="3AB7B16E" w:rsidR="00DA0AA3" w:rsidRPr="0013161E" w:rsidRDefault="00DA0AA3" w:rsidP="00DA0AA3">
            <w:pPr>
              <w:spacing w:after="0"/>
              <w:rPr>
                <w:sz w:val="20"/>
                <w:szCs w:val="20"/>
              </w:rPr>
            </w:pPr>
            <w:r w:rsidRPr="0013161E">
              <w:rPr>
                <w:sz w:val="20"/>
                <w:szCs w:val="20"/>
              </w:rPr>
              <w:t xml:space="preserve">          b) At risk of earthquake</w:t>
            </w:r>
          </w:p>
          <w:p w14:paraId="579CAB03" w14:textId="1638C592" w:rsidR="00DA0AA3" w:rsidRPr="0013161E" w:rsidRDefault="00DA0AA3" w:rsidP="00DA0AA3">
            <w:pPr>
              <w:spacing w:after="0"/>
              <w:rPr>
                <w:sz w:val="20"/>
                <w:szCs w:val="20"/>
              </w:rPr>
            </w:pPr>
            <w:r w:rsidRPr="0013161E">
              <w:rPr>
                <w:sz w:val="20"/>
                <w:szCs w:val="20"/>
              </w:rPr>
              <w:t xml:space="preserve">          c) At risk of hurricane</w:t>
            </w:r>
          </w:p>
          <w:p w14:paraId="30597B71" w14:textId="1B002C09" w:rsidR="00DA0AA3" w:rsidRPr="0013161E" w:rsidRDefault="00DA0AA3" w:rsidP="00DA0AA3">
            <w:pPr>
              <w:spacing w:after="0" w:line="240" w:lineRule="auto"/>
              <w:rPr>
                <w:sz w:val="20"/>
                <w:szCs w:val="20"/>
              </w:rPr>
            </w:pPr>
            <w:r w:rsidRPr="0013161E">
              <w:rPr>
                <w:sz w:val="20"/>
                <w:szCs w:val="20"/>
              </w:rPr>
              <w:t xml:space="preserve">          d) At risk of landslide</w:t>
            </w:r>
            <w:r w:rsidR="009A16A6" w:rsidRPr="0013161E">
              <w:rPr>
                <w:sz w:val="20"/>
                <w:szCs w:val="20"/>
              </w:rPr>
              <w:t xml:space="preserve"> </w:t>
            </w:r>
          </w:p>
          <w:p w14:paraId="553639FB" w14:textId="77777777" w:rsidR="00546E49" w:rsidRPr="0013161E" w:rsidRDefault="00DA0AA3" w:rsidP="002E4BD7">
            <w:pPr>
              <w:spacing w:after="0" w:line="240" w:lineRule="auto"/>
              <w:rPr>
                <w:sz w:val="20"/>
                <w:szCs w:val="20"/>
              </w:rPr>
            </w:pPr>
            <w:r w:rsidRPr="0013161E">
              <w:rPr>
                <w:sz w:val="20"/>
                <w:szCs w:val="20"/>
              </w:rPr>
              <w:t xml:space="preserve">          </w:t>
            </w:r>
            <w:r w:rsidR="002E4BD7" w:rsidRPr="0013161E">
              <w:rPr>
                <w:sz w:val="20"/>
                <w:szCs w:val="20"/>
              </w:rPr>
              <w:t>e) At risk of dro</w:t>
            </w:r>
            <w:r w:rsidRPr="0013161E">
              <w:rPr>
                <w:sz w:val="20"/>
                <w:szCs w:val="20"/>
              </w:rPr>
              <w:t>ught</w:t>
            </w:r>
          </w:p>
          <w:p w14:paraId="73E1605C" w14:textId="1401655D" w:rsidR="00546E49" w:rsidRPr="0013161E" w:rsidRDefault="00546E49" w:rsidP="004E2D72">
            <w:pPr>
              <w:spacing w:before="240" w:after="0" w:line="240" w:lineRule="auto"/>
              <w:rPr>
                <w:sz w:val="20"/>
                <w:szCs w:val="20"/>
              </w:rPr>
            </w:pPr>
            <w:r w:rsidRPr="0013161E">
              <w:rPr>
                <w:rFonts w:eastAsia="Calibri"/>
                <w:b/>
                <w:i/>
                <w:sz w:val="18"/>
                <w:szCs w:val="18"/>
              </w:rPr>
              <w:t xml:space="preserve">Number of countries </w:t>
            </w:r>
            <w:r w:rsidR="00983FF8" w:rsidRPr="0013161E">
              <w:rPr>
                <w:rFonts w:eastAsia="Calibri"/>
                <w:b/>
                <w:i/>
                <w:sz w:val="18"/>
                <w:szCs w:val="18"/>
              </w:rPr>
              <w:t>for which a 2017 target has currently been set under this indicator</w:t>
            </w:r>
            <w:r w:rsidRPr="0013161E">
              <w:rPr>
                <w:rFonts w:eastAsia="Calibri"/>
                <w:b/>
                <w:i/>
                <w:sz w:val="18"/>
                <w:szCs w:val="18"/>
              </w:rPr>
              <w:t xml:space="preserve">: </w:t>
            </w:r>
            <w:r w:rsidR="00351A64" w:rsidRPr="0013161E">
              <w:rPr>
                <w:rFonts w:eastAsia="Calibri"/>
                <w:b/>
                <w:i/>
                <w:sz w:val="18"/>
                <w:szCs w:val="18"/>
              </w:rPr>
              <w:t>a) 20, b) 11, c) 7, d) 7, e) 14</w:t>
            </w:r>
          </w:p>
        </w:tc>
        <w:tc>
          <w:tcPr>
            <w:tcW w:w="1350" w:type="dxa"/>
            <w:tcBorders>
              <w:top w:val="single" w:sz="4" w:space="0" w:color="auto"/>
              <w:left w:val="single" w:sz="4" w:space="0" w:color="auto"/>
              <w:right w:val="single" w:sz="4" w:space="0" w:color="auto"/>
            </w:tcBorders>
            <w:shd w:val="clear" w:color="auto" w:fill="FFFFFF"/>
          </w:tcPr>
          <w:p w14:paraId="283AA01C" w14:textId="77777777" w:rsidR="00DA0AA3" w:rsidRPr="006C1EEF" w:rsidRDefault="00DA0AA3" w:rsidP="00DA0AA3">
            <w:pPr>
              <w:spacing w:after="0" w:line="240" w:lineRule="auto"/>
              <w:jc w:val="center"/>
              <w:rPr>
                <w:sz w:val="20"/>
                <w:szCs w:val="20"/>
              </w:rPr>
            </w:pPr>
          </w:p>
          <w:p w14:paraId="6C1D2138" w14:textId="77777777" w:rsidR="00DA0AA3" w:rsidRPr="006C1EEF" w:rsidRDefault="00DA0AA3" w:rsidP="00DA0AA3">
            <w:pPr>
              <w:spacing w:after="0" w:line="240" w:lineRule="auto"/>
              <w:jc w:val="center"/>
              <w:rPr>
                <w:sz w:val="20"/>
                <w:szCs w:val="20"/>
              </w:rPr>
            </w:pPr>
          </w:p>
          <w:p w14:paraId="34905363" w14:textId="77777777" w:rsidR="00DA0AA3" w:rsidRPr="006C1EEF" w:rsidRDefault="00DA0AA3" w:rsidP="00DA0AA3">
            <w:pPr>
              <w:spacing w:after="0" w:line="240" w:lineRule="auto"/>
              <w:jc w:val="center"/>
              <w:rPr>
                <w:sz w:val="20"/>
                <w:szCs w:val="20"/>
              </w:rPr>
            </w:pPr>
          </w:p>
          <w:p w14:paraId="1FDBC220" w14:textId="77777777" w:rsidR="00DA0AA3" w:rsidRPr="006C1EEF" w:rsidRDefault="00DA0AA3" w:rsidP="00DA0AA3">
            <w:pPr>
              <w:spacing w:after="0" w:line="240" w:lineRule="auto"/>
              <w:jc w:val="center"/>
              <w:rPr>
                <w:sz w:val="20"/>
                <w:szCs w:val="20"/>
              </w:rPr>
            </w:pPr>
          </w:p>
          <w:p w14:paraId="4CB31234" w14:textId="2176E2E8" w:rsidR="00DA0AA3" w:rsidRPr="006C1EEF" w:rsidRDefault="00CF03B3" w:rsidP="00DA0AA3">
            <w:pPr>
              <w:spacing w:after="0" w:line="240" w:lineRule="auto"/>
              <w:jc w:val="center"/>
              <w:rPr>
                <w:sz w:val="20"/>
                <w:szCs w:val="20"/>
              </w:rPr>
            </w:pPr>
            <w:r>
              <w:rPr>
                <w:sz w:val="20"/>
                <w:szCs w:val="20"/>
              </w:rPr>
              <w:t>1.5</w:t>
            </w:r>
            <w:r w:rsidR="00DA0AA3" w:rsidRPr="006C1EEF">
              <w:rPr>
                <w:sz w:val="20"/>
                <w:szCs w:val="20"/>
              </w:rPr>
              <w:t>%</w:t>
            </w:r>
          </w:p>
          <w:p w14:paraId="0CCE20CC" w14:textId="33B8E951" w:rsidR="00DA0AA3" w:rsidRPr="006C1EEF" w:rsidRDefault="00CF03B3" w:rsidP="00DA0AA3">
            <w:pPr>
              <w:spacing w:after="0" w:line="240" w:lineRule="auto"/>
              <w:jc w:val="center"/>
              <w:rPr>
                <w:sz w:val="20"/>
                <w:szCs w:val="20"/>
              </w:rPr>
            </w:pPr>
            <w:r>
              <w:rPr>
                <w:sz w:val="20"/>
                <w:szCs w:val="20"/>
              </w:rPr>
              <w:t>3.9</w:t>
            </w:r>
            <w:r w:rsidR="00D817AD" w:rsidRPr="006C1EEF">
              <w:rPr>
                <w:sz w:val="20"/>
                <w:szCs w:val="20"/>
              </w:rPr>
              <w:t>%</w:t>
            </w:r>
          </w:p>
          <w:p w14:paraId="5ACCE5A9" w14:textId="1F5D22D8" w:rsidR="006C1EEF" w:rsidRPr="006C1EEF" w:rsidRDefault="00CF03B3" w:rsidP="00DA0AA3">
            <w:pPr>
              <w:spacing w:after="0" w:line="240" w:lineRule="auto"/>
              <w:jc w:val="center"/>
              <w:rPr>
                <w:sz w:val="20"/>
                <w:szCs w:val="20"/>
              </w:rPr>
            </w:pPr>
            <w:r>
              <w:rPr>
                <w:sz w:val="20"/>
                <w:szCs w:val="20"/>
              </w:rPr>
              <w:t>58.7</w:t>
            </w:r>
            <w:r w:rsidR="006C1EEF">
              <w:rPr>
                <w:sz w:val="20"/>
                <w:szCs w:val="20"/>
              </w:rPr>
              <w:t>%</w:t>
            </w:r>
          </w:p>
          <w:p w14:paraId="01935D0A" w14:textId="6D60DCCA" w:rsidR="006C1EEF" w:rsidRPr="006C1EEF" w:rsidRDefault="00CF03B3" w:rsidP="00DA0AA3">
            <w:pPr>
              <w:spacing w:after="0" w:line="240" w:lineRule="auto"/>
              <w:jc w:val="center"/>
              <w:rPr>
                <w:sz w:val="20"/>
                <w:szCs w:val="20"/>
              </w:rPr>
            </w:pPr>
            <w:r>
              <w:rPr>
                <w:sz w:val="20"/>
                <w:szCs w:val="20"/>
              </w:rPr>
              <w:t>0.0</w:t>
            </w:r>
            <w:r w:rsidR="00755E2A">
              <w:rPr>
                <w:sz w:val="20"/>
                <w:szCs w:val="20"/>
              </w:rPr>
              <w:t>%</w:t>
            </w:r>
          </w:p>
          <w:p w14:paraId="0D64F78B" w14:textId="691A0CB5" w:rsidR="00DA0AA3" w:rsidRPr="006C1EEF" w:rsidRDefault="00CF03B3" w:rsidP="00DA0AA3">
            <w:pPr>
              <w:spacing w:after="0" w:line="240" w:lineRule="auto"/>
              <w:jc w:val="center"/>
              <w:rPr>
                <w:sz w:val="20"/>
                <w:szCs w:val="20"/>
              </w:rPr>
            </w:pPr>
            <w:r>
              <w:rPr>
                <w:sz w:val="20"/>
                <w:szCs w:val="20"/>
              </w:rPr>
              <w:t>2.2</w:t>
            </w:r>
            <w:r w:rsidR="00DA0AA3" w:rsidRPr="006C1EEF">
              <w:rPr>
                <w:sz w:val="20"/>
                <w:szCs w:val="20"/>
              </w:rPr>
              <w:t>%</w:t>
            </w:r>
          </w:p>
        </w:tc>
        <w:tc>
          <w:tcPr>
            <w:tcW w:w="1350" w:type="dxa"/>
            <w:tcBorders>
              <w:top w:val="single" w:sz="4" w:space="0" w:color="auto"/>
              <w:left w:val="single" w:sz="4" w:space="0" w:color="auto"/>
              <w:right w:val="single" w:sz="4" w:space="0" w:color="auto"/>
            </w:tcBorders>
            <w:shd w:val="clear" w:color="auto" w:fill="FFFFFF"/>
          </w:tcPr>
          <w:p w14:paraId="757937BB" w14:textId="77777777" w:rsidR="00DA0AA3" w:rsidRPr="006C1EEF" w:rsidRDefault="00DA0AA3" w:rsidP="00DA0AA3">
            <w:pPr>
              <w:spacing w:after="0" w:line="240" w:lineRule="auto"/>
              <w:jc w:val="center"/>
              <w:rPr>
                <w:sz w:val="20"/>
                <w:szCs w:val="20"/>
              </w:rPr>
            </w:pPr>
          </w:p>
          <w:p w14:paraId="465BFB07" w14:textId="77777777" w:rsidR="00DA0AA3" w:rsidRPr="006C1EEF" w:rsidRDefault="00DA0AA3" w:rsidP="00DA0AA3">
            <w:pPr>
              <w:spacing w:after="0" w:line="240" w:lineRule="auto"/>
              <w:jc w:val="center"/>
              <w:rPr>
                <w:sz w:val="20"/>
                <w:szCs w:val="20"/>
              </w:rPr>
            </w:pPr>
          </w:p>
          <w:p w14:paraId="51BA27F7" w14:textId="77777777" w:rsidR="00DA0AA3" w:rsidRPr="006C1EEF" w:rsidRDefault="00DA0AA3" w:rsidP="00DA0AA3">
            <w:pPr>
              <w:spacing w:after="0" w:line="240" w:lineRule="auto"/>
              <w:jc w:val="center"/>
              <w:rPr>
                <w:sz w:val="20"/>
                <w:szCs w:val="20"/>
              </w:rPr>
            </w:pPr>
          </w:p>
          <w:p w14:paraId="6D9C0233" w14:textId="77777777" w:rsidR="00DA0AA3" w:rsidRPr="006C1EEF" w:rsidRDefault="00DA0AA3" w:rsidP="00DA0AA3">
            <w:pPr>
              <w:spacing w:after="0" w:line="240" w:lineRule="auto"/>
              <w:jc w:val="center"/>
              <w:rPr>
                <w:sz w:val="20"/>
                <w:szCs w:val="20"/>
              </w:rPr>
            </w:pPr>
          </w:p>
          <w:p w14:paraId="150D45B5" w14:textId="29E20C7F" w:rsidR="00DA0AA3" w:rsidRPr="006C1EEF" w:rsidRDefault="00C15319" w:rsidP="00DA0AA3">
            <w:pPr>
              <w:spacing w:after="0" w:line="240" w:lineRule="auto"/>
              <w:jc w:val="center"/>
              <w:rPr>
                <w:sz w:val="20"/>
                <w:szCs w:val="20"/>
              </w:rPr>
            </w:pPr>
            <w:r>
              <w:rPr>
                <w:sz w:val="20"/>
                <w:szCs w:val="20"/>
              </w:rPr>
              <w:t>5.7</w:t>
            </w:r>
            <w:r w:rsidR="00DA0AA3" w:rsidRPr="006C1EEF">
              <w:rPr>
                <w:sz w:val="20"/>
                <w:szCs w:val="20"/>
              </w:rPr>
              <w:t>%</w:t>
            </w:r>
          </w:p>
          <w:p w14:paraId="3937E8E0" w14:textId="65C48832" w:rsidR="00DA0AA3" w:rsidRPr="006C1EEF" w:rsidRDefault="00C15319" w:rsidP="00DA0AA3">
            <w:pPr>
              <w:spacing w:after="0" w:line="240" w:lineRule="auto"/>
              <w:jc w:val="center"/>
              <w:rPr>
                <w:sz w:val="20"/>
                <w:szCs w:val="20"/>
              </w:rPr>
            </w:pPr>
            <w:r>
              <w:rPr>
                <w:sz w:val="20"/>
                <w:szCs w:val="20"/>
              </w:rPr>
              <w:t>7.6</w:t>
            </w:r>
            <w:r w:rsidR="00D817AD" w:rsidRPr="006C1EEF">
              <w:rPr>
                <w:sz w:val="20"/>
                <w:szCs w:val="20"/>
              </w:rPr>
              <w:t>%</w:t>
            </w:r>
          </w:p>
          <w:p w14:paraId="30EDB517" w14:textId="70AD3BB6" w:rsidR="006C1EEF" w:rsidRPr="006C1EEF" w:rsidRDefault="00C15319" w:rsidP="00DA0AA3">
            <w:pPr>
              <w:spacing w:after="0" w:line="240" w:lineRule="auto"/>
              <w:jc w:val="center"/>
              <w:rPr>
                <w:sz w:val="20"/>
                <w:szCs w:val="20"/>
              </w:rPr>
            </w:pPr>
            <w:r>
              <w:rPr>
                <w:sz w:val="20"/>
                <w:szCs w:val="20"/>
              </w:rPr>
              <w:t>57.9</w:t>
            </w:r>
            <w:r w:rsidR="006C1EEF">
              <w:rPr>
                <w:sz w:val="20"/>
                <w:szCs w:val="20"/>
              </w:rPr>
              <w:t>%</w:t>
            </w:r>
          </w:p>
          <w:p w14:paraId="2A48F36C" w14:textId="519A6006" w:rsidR="006C1EEF" w:rsidRPr="006C1EEF" w:rsidRDefault="00C15319" w:rsidP="00DA0AA3">
            <w:pPr>
              <w:spacing w:after="0" w:line="240" w:lineRule="auto"/>
              <w:jc w:val="center"/>
              <w:rPr>
                <w:sz w:val="20"/>
                <w:szCs w:val="20"/>
              </w:rPr>
            </w:pPr>
            <w:r>
              <w:rPr>
                <w:sz w:val="20"/>
                <w:szCs w:val="20"/>
              </w:rPr>
              <w:t>12.5</w:t>
            </w:r>
            <w:r w:rsidR="00755E2A">
              <w:rPr>
                <w:sz w:val="20"/>
                <w:szCs w:val="20"/>
              </w:rPr>
              <w:t>%</w:t>
            </w:r>
          </w:p>
          <w:p w14:paraId="4BAF3553" w14:textId="27ACAE71" w:rsidR="00DA0AA3" w:rsidRPr="006C1EEF" w:rsidRDefault="00C15319" w:rsidP="00DA0AA3">
            <w:pPr>
              <w:spacing w:after="0" w:line="240" w:lineRule="auto"/>
              <w:jc w:val="center"/>
              <w:rPr>
                <w:sz w:val="20"/>
                <w:szCs w:val="20"/>
              </w:rPr>
            </w:pPr>
            <w:r>
              <w:rPr>
                <w:sz w:val="20"/>
                <w:szCs w:val="20"/>
              </w:rPr>
              <w:t>2.6</w:t>
            </w:r>
            <w:r w:rsidR="00DA0AA3" w:rsidRPr="006C1EEF">
              <w:rPr>
                <w:sz w:val="20"/>
                <w:szCs w:val="20"/>
              </w:rPr>
              <w:t>%</w:t>
            </w:r>
          </w:p>
        </w:tc>
        <w:tc>
          <w:tcPr>
            <w:tcW w:w="1260" w:type="dxa"/>
            <w:tcBorders>
              <w:top w:val="single" w:sz="4" w:space="0" w:color="auto"/>
              <w:left w:val="single" w:sz="4" w:space="0" w:color="auto"/>
              <w:right w:val="single" w:sz="4" w:space="0" w:color="auto"/>
            </w:tcBorders>
            <w:shd w:val="clear" w:color="auto" w:fill="FFFFFF"/>
          </w:tcPr>
          <w:p w14:paraId="1B9D88BF" w14:textId="77777777" w:rsidR="00DA0AA3" w:rsidRPr="006C1EEF" w:rsidRDefault="00DA0AA3" w:rsidP="00DA0AA3">
            <w:pPr>
              <w:spacing w:after="0" w:line="240" w:lineRule="auto"/>
              <w:jc w:val="center"/>
              <w:rPr>
                <w:sz w:val="20"/>
                <w:szCs w:val="20"/>
              </w:rPr>
            </w:pPr>
          </w:p>
          <w:p w14:paraId="0593C7D4" w14:textId="77777777" w:rsidR="00DA0AA3" w:rsidRPr="006C1EEF" w:rsidRDefault="00DA0AA3" w:rsidP="00DA0AA3">
            <w:pPr>
              <w:spacing w:after="0" w:line="240" w:lineRule="auto"/>
              <w:jc w:val="center"/>
              <w:rPr>
                <w:sz w:val="20"/>
                <w:szCs w:val="20"/>
              </w:rPr>
            </w:pPr>
          </w:p>
          <w:p w14:paraId="26ACFA2C" w14:textId="77777777" w:rsidR="00DA0AA3" w:rsidRDefault="00DA0AA3" w:rsidP="00DA0AA3">
            <w:pPr>
              <w:spacing w:after="0" w:line="240" w:lineRule="auto"/>
              <w:jc w:val="center"/>
              <w:rPr>
                <w:sz w:val="20"/>
                <w:szCs w:val="20"/>
              </w:rPr>
            </w:pPr>
          </w:p>
          <w:p w14:paraId="55062AA6" w14:textId="77777777" w:rsidR="00C15319" w:rsidRDefault="00C15319" w:rsidP="00DA0AA3">
            <w:pPr>
              <w:spacing w:after="0" w:line="240" w:lineRule="auto"/>
              <w:jc w:val="center"/>
              <w:rPr>
                <w:sz w:val="20"/>
                <w:szCs w:val="20"/>
              </w:rPr>
            </w:pPr>
          </w:p>
          <w:p w14:paraId="3E63ED9D" w14:textId="74F48150" w:rsidR="00C15319" w:rsidRDefault="00112C88" w:rsidP="00DA0AA3">
            <w:pPr>
              <w:spacing w:after="0" w:line="240" w:lineRule="auto"/>
              <w:jc w:val="center"/>
              <w:rPr>
                <w:sz w:val="20"/>
                <w:szCs w:val="20"/>
              </w:rPr>
            </w:pPr>
            <w:r>
              <w:rPr>
                <w:sz w:val="20"/>
                <w:szCs w:val="20"/>
              </w:rPr>
              <w:t>5.7</w:t>
            </w:r>
            <w:r w:rsidR="004F4CA3">
              <w:rPr>
                <w:sz w:val="20"/>
                <w:szCs w:val="20"/>
              </w:rPr>
              <w:t>%</w:t>
            </w:r>
          </w:p>
          <w:p w14:paraId="705BB757" w14:textId="77777777" w:rsidR="004F4CA3" w:rsidRDefault="004F4CA3" w:rsidP="00DA0AA3">
            <w:pPr>
              <w:spacing w:after="0" w:line="240" w:lineRule="auto"/>
              <w:jc w:val="center"/>
              <w:rPr>
                <w:sz w:val="20"/>
                <w:szCs w:val="20"/>
              </w:rPr>
            </w:pPr>
            <w:r>
              <w:rPr>
                <w:sz w:val="20"/>
                <w:szCs w:val="20"/>
              </w:rPr>
              <w:t>7.6%</w:t>
            </w:r>
          </w:p>
          <w:p w14:paraId="47FDCBFB" w14:textId="77777777" w:rsidR="004F4CA3" w:rsidRDefault="004F4CA3" w:rsidP="00DA0AA3">
            <w:pPr>
              <w:spacing w:after="0" w:line="240" w:lineRule="auto"/>
              <w:jc w:val="center"/>
              <w:rPr>
                <w:sz w:val="20"/>
                <w:szCs w:val="20"/>
              </w:rPr>
            </w:pPr>
            <w:r>
              <w:rPr>
                <w:sz w:val="20"/>
                <w:szCs w:val="20"/>
              </w:rPr>
              <w:t>58.1%</w:t>
            </w:r>
          </w:p>
          <w:p w14:paraId="545B73E9" w14:textId="77777777" w:rsidR="004F4CA3" w:rsidRDefault="004F4CA3" w:rsidP="00DA0AA3">
            <w:pPr>
              <w:spacing w:after="0" w:line="240" w:lineRule="auto"/>
              <w:jc w:val="center"/>
              <w:rPr>
                <w:sz w:val="20"/>
                <w:szCs w:val="20"/>
              </w:rPr>
            </w:pPr>
            <w:r>
              <w:rPr>
                <w:sz w:val="20"/>
                <w:szCs w:val="20"/>
              </w:rPr>
              <w:t>12.6%</w:t>
            </w:r>
          </w:p>
          <w:p w14:paraId="72D0903B" w14:textId="21738CA2" w:rsidR="004F4CA3" w:rsidRPr="006C1EEF" w:rsidRDefault="004F4CA3" w:rsidP="00DA0AA3">
            <w:pPr>
              <w:spacing w:after="0" w:line="240" w:lineRule="auto"/>
              <w:jc w:val="center"/>
              <w:rPr>
                <w:sz w:val="20"/>
                <w:szCs w:val="20"/>
              </w:rPr>
            </w:pPr>
            <w:r>
              <w:rPr>
                <w:sz w:val="20"/>
                <w:szCs w:val="20"/>
              </w:rPr>
              <w:t>2.8%</w:t>
            </w:r>
          </w:p>
        </w:tc>
        <w:tc>
          <w:tcPr>
            <w:tcW w:w="1332" w:type="dxa"/>
            <w:tcBorders>
              <w:top w:val="single" w:sz="4" w:space="0" w:color="auto"/>
              <w:left w:val="single" w:sz="4" w:space="0" w:color="auto"/>
              <w:right w:val="single" w:sz="4" w:space="0" w:color="auto"/>
            </w:tcBorders>
            <w:shd w:val="clear" w:color="auto" w:fill="FFFFFF"/>
          </w:tcPr>
          <w:p w14:paraId="463A0C70" w14:textId="77777777" w:rsidR="00DA0AA3" w:rsidRPr="006C1EEF" w:rsidRDefault="00DA0AA3" w:rsidP="00DA0AA3">
            <w:pPr>
              <w:spacing w:after="0" w:line="240" w:lineRule="auto"/>
              <w:jc w:val="center"/>
              <w:rPr>
                <w:sz w:val="20"/>
                <w:szCs w:val="20"/>
              </w:rPr>
            </w:pPr>
          </w:p>
          <w:p w14:paraId="3BFBF8D5" w14:textId="77777777" w:rsidR="00DA0AA3" w:rsidRPr="006C1EEF" w:rsidRDefault="00DA0AA3" w:rsidP="00DA0AA3">
            <w:pPr>
              <w:spacing w:after="0" w:line="240" w:lineRule="auto"/>
              <w:jc w:val="center"/>
              <w:rPr>
                <w:sz w:val="20"/>
                <w:szCs w:val="20"/>
              </w:rPr>
            </w:pPr>
          </w:p>
          <w:p w14:paraId="4C85DC8B" w14:textId="77777777" w:rsidR="00DA0AA3" w:rsidRPr="006C1EEF" w:rsidRDefault="00DA0AA3" w:rsidP="00DA0AA3">
            <w:pPr>
              <w:spacing w:after="0" w:line="240" w:lineRule="auto"/>
              <w:jc w:val="center"/>
              <w:rPr>
                <w:sz w:val="20"/>
                <w:szCs w:val="20"/>
              </w:rPr>
            </w:pPr>
          </w:p>
          <w:p w14:paraId="466AA02E" w14:textId="77777777" w:rsidR="00DA0AA3" w:rsidRPr="006C1EEF" w:rsidRDefault="00DA0AA3" w:rsidP="00DA0AA3">
            <w:pPr>
              <w:spacing w:after="0" w:line="240" w:lineRule="auto"/>
              <w:jc w:val="center"/>
              <w:rPr>
                <w:sz w:val="20"/>
                <w:szCs w:val="20"/>
              </w:rPr>
            </w:pPr>
          </w:p>
          <w:p w14:paraId="038FDCD5" w14:textId="28F65D94" w:rsidR="00DA0AA3" w:rsidRPr="006C1EEF" w:rsidRDefault="00351A64" w:rsidP="00DA0AA3">
            <w:pPr>
              <w:spacing w:after="0" w:line="240" w:lineRule="auto"/>
              <w:jc w:val="center"/>
              <w:rPr>
                <w:sz w:val="20"/>
                <w:szCs w:val="20"/>
              </w:rPr>
            </w:pPr>
            <w:r>
              <w:rPr>
                <w:sz w:val="20"/>
                <w:szCs w:val="20"/>
              </w:rPr>
              <w:t>9.3</w:t>
            </w:r>
            <w:r w:rsidR="00DA0AA3" w:rsidRPr="006C1EEF">
              <w:rPr>
                <w:sz w:val="20"/>
                <w:szCs w:val="20"/>
              </w:rPr>
              <w:t>%</w:t>
            </w:r>
          </w:p>
          <w:p w14:paraId="41177BDF" w14:textId="2741CFAA" w:rsidR="00DA0AA3" w:rsidRPr="006C1EEF" w:rsidRDefault="006C1EEF" w:rsidP="00DA0AA3">
            <w:pPr>
              <w:spacing w:after="0" w:line="240" w:lineRule="auto"/>
              <w:jc w:val="center"/>
              <w:rPr>
                <w:sz w:val="20"/>
                <w:szCs w:val="20"/>
              </w:rPr>
            </w:pPr>
            <w:r w:rsidRPr="006C1EEF">
              <w:rPr>
                <w:sz w:val="20"/>
                <w:szCs w:val="20"/>
              </w:rPr>
              <w:t>3</w:t>
            </w:r>
            <w:r w:rsidR="002C75C4">
              <w:rPr>
                <w:sz w:val="20"/>
                <w:szCs w:val="20"/>
              </w:rPr>
              <w:t>7.1</w:t>
            </w:r>
            <w:r w:rsidRPr="006C1EEF">
              <w:rPr>
                <w:sz w:val="20"/>
                <w:szCs w:val="20"/>
              </w:rPr>
              <w:t>%</w:t>
            </w:r>
          </w:p>
          <w:p w14:paraId="3CF7DF19" w14:textId="04430926" w:rsidR="006C1EEF" w:rsidRPr="006C1EEF" w:rsidRDefault="001202D6" w:rsidP="00DA0AA3">
            <w:pPr>
              <w:spacing w:after="0" w:line="240" w:lineRule="auto"/>
              <w:jc w:val="center"/>
              <w:rPr>
                <w:sz w:val="20"/>
                <w:szCs w:val="20"/>
              </w:rPr>
            </w:pPr>
            <w:r>
              <w:rPr>
                <w:sz w:val="20"/>
                <w:szCs w:val="20"/>
              </w:rPr>
              <w:t>9</w:t>
            </w:r>
            <w:r w:rsidR="002C75C4">
              <w:rPr>
                <w:sz w:val="20"/>
                <w:szCs w:val="20"/>
              </w:rPr>
              <w:t>6</w:t>
            </w:r>
            <w:r>
              <w:rPr>
                <w:sz w:val="20"/>
                <w:szCs w:val="20"/>
              </w:rPr>
              <w:t>.</w:t>
            </w:r>
            <w:r w:rsidR="002C75C4">
              <w:rPr>
                <w:sz w:val="20"/>
                <w:szCs w:val="20"/>
              </w:rPr>
              <w:t>7</w:t>
            </w:r>
            <w:r>
              <w:rPr>
                <w:sz w:val="20"/>
                <w:szCs w:val="20"/>
              </w:rPr>
              <w:t>%</w:t>
            </w:r>
          </w:p>
          <w:p w14:paraId="0C3687B2" w14:textId="7351E14B" w:rsidR="006C1EEF" w:rsidRPr="006C1EEF" w:rsidRDefault="002C75C4" w:rsidP="00DA0AA3">
            <w:pPr>
              <w:spacing w:after="0" w:line="240" w:lineRule="auto"/>
              <w:jc w:val="center"/>
              <w:rPr>
                <w:sz w:val="20"/>
                <w:szCs w:val="20"/>
              </w:rPr>
            </w:pPr>
            <w:r>
              <w:rPr>
                <w:sz w:val="20"/>
                <w:szCs w:val="20"/>
              </w:rPr>
              <w:t>21.3</w:t>
            </w:r>
            <w:r w:rsidR="00E76521">
              <w:rPr>
                <w:sz w:val="20"/>
                <w:szCs w:val="20"/>
              </w:rPr>
              <w:t>%</w:t>
            </w:r>
          </w:p>
          <w:p w14:paraId="23006154" w14:textId="6792146B" w:rsidR="00DA0AA3" w:rsidRPr="006C1EEF" w:rsidRDefault="002C75C4" w:rsidP="00DA0AA3">
            <w:pPr>
              <w:spacing w:after="0" w:line="240" w:lineRule="auto"/>
              <w:jc w:val="center"/>
              <w:rPr>
                <w:sz w:val="20"/>
                <w:szCs w:val="20"/>
              </w:rPr>
            </w:pPr>
            <w:r>
              <w:rPr>
                <w:sz w:val="20"/>
                <w:szCs w:val="20"/>
              </w:rPr>
              <w:t>4.7</w:t>
            </w:r>
            <w:r w:rsidR="00DA0AA3" w:rsidRPr="006C1EEF">
              <w:rPr>
                <w:sz w:val="20"/>
                <w:szCs w:val="20"/>
              </w:rPr>
              <w:t>%</w:t>
            </w:r>
          </w:p>
        </w:tc>
      </w:tr>
      <w:tr w:rsidR="00A90BC9" w:rsidRPr="00015A57" w14:paraId="7D915896" w14:textId="77777777" w:rsidTr="000119D2">
        <w:trPr>
          <w:trHeight w:val="359"/>
          <w:jc w:val="center"/>
        </w:trPr>
        <w:tc>
          <w:tcPr>
            <w:tcW w:w="3325" w:type="dxa"/>
            <w:vMerge/>
            <w:tcBorders>
              <w:left w:val="single" w:sz="4" w:space="0" w:color="auto"/>
              <w:bottom w:val="single" w:sz="4" w:space="0" w:color="auto"/>
              <w:right w:val="single" w:sz="4" w:space="0" w:color="auto"/>
            </w:tcBorders>
            <w:shd w:val="clear" w:color="auto" w:fill="auto"/>
            <w:vAlign w:val="center"/>
          </w:tcPr>
          <w:p w14:paraId="56161076" w14:textId="537A9A05" w:rsidR="00A90BC9" w:rsidRPr="00B66E9F" w:rsidRDefault="00A90BC9" w:rsidP="00A90BC9">
            <w:pPr>
              <w:spacing w:after="0" w:line="240" w:lineRule="auto"/>
              <w:rPr>
                <w:rFonts w:eastAsia="Calibri"/>
                <w:sz w:val="20"/>
                <w:szCs w:val="20"/>
              </w:rPr>
            </w:pPr>
          </w:p>
        </w:tc>
        <w:tc>
          <w:tcPr>
            <w:tcW w:w="720" w:type="dxa"/>
            <w:vMerge/>
            <w:tcBorders>
              <w:left w:val="single" w:sz="4" w:space="0" w:color="auto"/>
              <w:right w:val="single" w:sz="4" w:space="0" w:color="auto"/>
            </w:tcBorders>
            <w:shd w:val="clear" w:color="auto" w:fill="FFFFFF"/>
          </w:tcPr>
          <w:p w14:paraId="278268BE" w14:textId="77777777" w:rsidR="00A90BC9" w:rsidRPr="00B66E9F" w:rsidRDefault="00A90BC9" w:rsidP="00A90BC9">
            <w:pPr>
              <w:spacing w:after="0" w:line="240" w:lineRule="auto"/>
              <w:jc w:val="both"/>
              <w:rPr>
                <w:rFonts w:eastAsia="Calibri"/>
                <w:b/>
                <w:sz w:val="20"/>
                <w:szCs w:val="20"/>
              </w:rPr>
            </w:pPr>
          </w:p>
        </w:tc>
        <w:tc>
          <w:tcPr>
            <w:tcW w:w="10602" w:type="dxa"/>
            <w:gridSpan w:val="5"/>
            <w:tcBorders>
              <w:top w:val="single" w:sz="4" w:space="0" w:color="auto"/>
              <w:left w:val="single" w:sz="4" w:space="0" w:color="auto"/>
              <w:right w:val="single" w:sz="4" w:space="0" w:color="auto"/>
            </w:tcBorders>
            <w:shd w:val="clear" w:color="auto" w:fill="D9D9D9" w:themeFill="background1" w:themeFillShade="D9"/>
          </w:tcPr>
          <w:p w14:paraId="736DDC55" w14:textId="62209B74" w:rsidR="00A90BC9" w:rsidRPr="000119D2" w:rsidRDefault="00A90BC9" w:rsidP="00234574">
            <w:pPr>
              <w:spacing w:after="0" w:line="240" w:lineRule="auto"/>
              <w:rPr>
                <w:rFonts w:eastAsia="Calibri"/>
                <w:sz w:val="18"/>
                <w:szCs w:val="18"/>
              </w:rPr>
            </w:pPr>
            <w:r w:rsidRPr="000119D2">
              <w:rPr>
                <w:rFonts w:ascii="Calibri" w:eastAsia="Calibri" w:hAnsi="Calibri" w:cs="Times New Roman"/>
                <w:b/>
                <w:sz w:val="18"/>
                <w:szCs w:val="18"/>
                <w:lang w:eastAsia="en-US"/>
              </w:rPr>
              <w:t>Indicator 5.4.3 Note:</w:t>
            </w:r>
            <w:r w:rsidR="00931DCE" w:rsidRPr="000119D2">
              <w:rPr>
                <w:rFonts w:ascii="Calibri" w:eastAsia="Calibri" w:hAnsi="Calibri" w:cs="Times New Roman"/>
                <w:b/>
                <w:sz w:val="18"/>
                <w:szCs w:val="18"/>
                <w:lang w:eastAsia="en-US"/>
              </w:rPr>
              <w:t xml:space="preserve"> </w:t>
            </w:r>
            <w:r w:rsidR="005745E7" w:rsidRPr="000119D2">
              <w:rPr>
                <w:rFonts w:ascii="Calibri" w:eastAsia="Calibri" w:hAnsi="Calibri" w:cs="Times New Roman"/>
                <w:sz w:val="18"/>
                <w:szCs w:val="18"/>
                <w:lang w:eastAsia="en-US"/>
              </w:rPr>
              <w:t xml:space="preserve">Tracks the percentage of </w:t>
            </w:r>
            <w:r w:rsidR="00587EAA" w:rsidRPr="000119D2">
              <w:rPr>
                <w:rFonts w:ascii="Calibri" w:eastAsia="Calibri" w:hAnsi="Calibri" w:cs="Times New Roman"/>
                <w:sz w:val="18"/>
                <w:szCs w:val="18"/>
                <w:lang w:eastAsia="en-US"/>
              </w:rPr>
              <w:t>the population at risk of each type of disaster event (</w:t>
            </w:r>
            <w:r w:rsidR="007F10FB" w:rsidRPr="000119D2">
              <w:rPr>
                <w:rFonts w:ascii="Calibri" w:eastAsia="Calibri" w:hAnsi="Calibri" w:cs="Times New Roman"/>
                <w:sz w:val="18"/>
                <w:szCs w:val="18"/>
                <w:lang w:eastAsia="en-US"/>
              </w:rPr>
              <w:t xml:space="preserve">defined as </w:t>
            </w:r>
            <w:r w:rsidR="00587EAA" w:rsidRPr="000119D2">
              <w:rPr>
                <w:rFonts w:ascii="Calibri" w:eastAsia="Calibri" w:hAnsi="Calibri" w:cs="Times New Roman"/>
                <w:sz w:val="18"/>
                <w:szCs w:val="18"/>
                <w:lang w:eastAsia="en-US"/>
              </w:rPr>
              <w:t xml:space="preserve">flood, earthquake, hurricane, landslide and draught) covered by </w:t>
            </w:r>
            <w:r w:rsidR="00251B49" w:rsidRPr="000119D2">
              <w:rPr>
                <w:rFonts w:ascii="Calibri" w:eastAsia="Calibri" w:hAnsi="Calibri" w:cs="Times New Roman"/>
                <w:sz w:val="18"/>
                <w:szCs w:val="18"/>
                <w:lang w:eastAsia="en-US"/>
              </w:rPr>
              <w:t>contingency plans</w:t>
            </w:r>
            <w:r w:rsidR="005745E7" w:rsidRPr="000119D2">
              <w:rPr>
                <w:rFonts w:ascii="Calibri" w:eastAsia="Calibri" w:hAnsi="Calibri" w:cs="Times New Roman"/>
                <w:sz w:val="18"/>
                <w:szCs w:val="18"/>
                <w:lang w:eastAsia="en-US"/>
              </w:rPr>
              <w:t xml:space="preserve"> </w:t>
            </w:r>
            <w:r w:rsidR="00251B49" w:rsidRPr="000119D2">
              <w:rPr>
                <w:rFonts w:ascii="Calibri" w:eastAsia="Calibri" w:hAnsi="Calibri" w:cs="Times New Roman"/>
                <w:sz w:val="18"/>
                <w:szCs w:val="18"/>
                <w:lang w:eastAsia="en-US"/>
              </w:rPr>
              <w:t xml:space="preserve">with </w:t>
            </w:r>
            <w:r w:rsidR="005745E7" w:rsidRPr="000119D2">
              <w:rPr>
                <w:rFonts w:ascii="Calibri" w:eastAsia="Calibri" w:hAnsi="Calibri"/>
                <w:sz w:val="18"/>
                <w:szCs w:val="18"/>
              </w:rPr>
              <w:t xml:space="preserve">support by UNDP (on demand </w:t>
            </w:r>
            <w:r w:rsidR="005745E7" w:rsidRPr="000119D2">
              <w:rPr>
                <w:sz w:val="18"/>
                <w:szCs w:val="18"/>
              </w:rPr>
              <w:t>from programme countries</w:t>
            </w:r>
            <w:r w:rsidR="005745E7" w:rsidRPr="000119D2">
              <w:rPr>
                <w:rFonts w:ascii="Calibri" w:eastAsia="Calibri" w:hAnsi="Calibri"/>
                <w:sz w:val="18"/>
                <w:szCs w:val="18"/>
              </w:rPr>
              <w:t>)</w:t>
            </w:r>
            <w:r w:rsidR="005745E7" w:rsidRPr="000119D2">
              <w:rPr>
                <w:rFonts w:eastAsia="Calibri"/>
                <w:sz w:val="18"/>
                <w:szCs w:val="18"/>
              </w:rPr>
              <w:t xml:space="preserve"> from January 2014 onwards</w:t>
            </w:r>
            <w:r w:rsidR="00251B49" w:rsidRPr="000119D2">
              <w:rPr>
                <w:rFonts w:eastAsia="Calibri"/>
                <w:sz w:val="18"/>
                <w:szCs w:val="18"/>
              </w:rPr>
              <w:t xml:space="preserve">. </w:t>
            </w:r>
            <w:r w:rsidR="00234574" w:rsidRPr="000119D2">
              <w:rPr>
                <w:rFonts w:eastAsia="Calibri"/>
                <w:sz w:val="18"/>
                <w:szCs w:val="18"/>
              </w:rPr>
              <w:t xml:space="preserve">In cases where </w:t>
            </w:r>
            <w:r w:rsidR="000119D2">
              <w:rPr>
                <w:rFonts w:eastAsia="Calibri"/>
                <w:sz w:val="18"/>
                <w:szCs w:val="18"/>
              </w:rPr>
              <w:t>“</w:t>
            </w:r>
            <w:r w:rsidR="00234574" w:rsidRPr="000119D2">
              <w:rPr>
                <w:rFonts w:eastAsia="Calibri"/>
                <w:sz w:val="18"/>
                <w:szCs w:val="18"/>
              </w:rPr>
              <w:t>p</w:t>
            </w:r>
            <w:r w:rsidR="00251B49" w:rsidRPr="000119D2">
              <w:rPr>
                <w:rFonts w:eastAsia="Calibri"/>
                <w:sz w:val="18"/>
                <w:szCs w:val="18"/>
              </w:rPr>
              <w:t>opulation at risk</w:t>
            </w:r>
            <w:r w:rsidR="000119D2">
              <w:rPr>
                <w:rFonts w:eastAsia="Calibri"/>
                <w:sz w:val="18"/>
                <w:szCs w:val="18"/>
              </w:rPr>
              <w:t>”</w:t>
            </w:r>
            <w:r w:rsidR="00251B49" w:rsidRPr="000119D2">
              <w:rPr>
                <w:rFonts w:eastAsia="Calibri"/>
                <w:sz w:val="18"/>
                <w:szCs w:val="18"/>
              </w:rPr>
              <w:t xml:space="preserve"> grow</w:t>
            </w:r>
            <w:r w:rsidR="00234574" w:rsidRPr="000119D2">
              <w:rPr>
                <w:rFonts w:eastAsia="Calibri"/>
                <w:sz w:val="18"/>
                <w:szCs w:val="18"/>
              </w:rPr>
              <w:t>s</w:t>
            </w:r>
            <w:r w:rsidR="00251B49" w:rsidRPr="000119D2">
              <w:rPr>
                <w:rFonts w:eastAsia="Calibri"/>
                <w:sz w:val="18"/>
                <w:szCs w:val="18"/>
              </w:rPr>
              <w:t xml:space="preserve"> faster than coverage can be arranged</w:t>
            </w:r>
            <w:r w:rsidR="00234574" w:rsidRPr="000119D2">
              <w:rPr>
                <w:rFonts w:eastAsia="Calibri"/>
                <w:sz w:val="18"/>
                <w:szCs w:val="18"/>
              </w:rPr>
              <w:t>,</w:t>
            </w:r>
            <w:r w:rsidR="00251B49" w:rsidRPr="000119D2">
              <w:rPr>
                <w:rFonts w:eastAsia="Calibri"/>
                <w:sz w:val="18"/>
                <w:szCs w:val="18"/>
              </w:rPr>
              <w:t xml:space="preserve"> the </w:t>
            </w:r>
            <w:r w:rsidR="00DD0AEA" w:rsidRPr="000119D2">
              <w:rPr>
                <w:rFonts w:eastAsia="Calibri"/>
                <w:sz w:val="18"/>
                <w:szCs w:val="18"/>
              </w:rPr>
              <w:t xml:space="preserve">percentage </w:t>
            </w:r>
            <w:r w:rsidR="00234574" w:rsidRPr="000119D2">
              <w:rPr>
                <w:rFonts w:eastAsia="Calibri"/>
                <w:sz w:val="18"/>
                <w:szCs w:val="18"/>
              </w:rPr>
              <w:t xml:space="preserve">of </w:t>
            </w:r>
            <w:r w:rsidR="000119D2">
              <w:rPr>
                <w:rFonts w:eastAsia="Calibri"/>
                <w:sz w:val="18"/>
                <w:szCs w:val="18"/>
              </w:rPr>
              <w:t>“</w:t>
            </w:r>
            <w:r w:rsidR="00234574" w:rsidRPr="000119D2">
              <w:rPr>
                <w:rFonts w:eastAsia="Calibri"/>
                <w:sz w:val="18"/>
                <w:szCs w:val="18"/>
              </w:rPr>
              <w:t>population at risk</w:t>
            </w:r>
            <w:r w:rsidR="000119D2">
              <w:rPr>
                <w:rFonts w:eastAsia="Calibri"/>
                <w:sz w:val="18"/>
                <w:szCs w:val="18"/>
              </w:rPr>
              <w:t>”</w:t>
            </w:r>
            <w:r w:rsidR="00234574" w:rsidRPr="000119D2">
              <w:rPr>
                <w:rFonts w:eastAsia="Calibri"/>
                <w:sz w:val="18"/>
                <w:szCs w:val="18"/>
              </w:rPr>
              <w:t xml:space="preserve"> covered </w:t>
            </w:r>
            <w:r w:rsidR="00DD0AEA" w:rsidRPr="000119D2">
              <w:rPr>
                <w:rFonts w:eastAsia="Calibri"/>
                <w:sz w:val="18"/>
                <w:szCs w:val="18"/>
              </w:rPr>
              <w:t>can actually go down</w:t>
            </w:r>
            <w:r w:rsidR="007F10FB" w:rsidRPr="000119D2">
              <w:rPr>
                <w:rFonts w:eastAsia="Calibri"/>
                <w:sz w:val="18"/>
                <w:szCs w:val="18"/>
              </w:rPr>
              <w:t xml:space="preserve"> </w:t>
            </w:r>
            <w:r w:rsidR="000119D2">
              <w:rPr>
                <w:rFonts w:eastAsia="Calibri"/>
                <w:sz w:val="18"/>
                <w:szCs w:val="18"/>
              </w:rPr>
              <w:t xml:space="preserve">even </w:t>
            </w:r>
            <w:r w:rsidR="007F10FB" w:rsidRPr="000119D2">
              <w:rPr>
                <w:rFonts w:eastAsia="Calibri"/>
                <w:sz w:val="18"/>
                <w:szCs w:val="18"/>
              </w:rPr>
              <w:t>while coverage is being put in place.</w:t>
            </w:r>
          </w:p>
          <w:p w14:paraId="50F90DC0" w14:textId="6CF7B902" w:rsidR="00B212D4" w:rsidRPr="000119D2" w:rsidRDefault="00CF03B3" w:rsidP="00884152">
            <w:pPr>
              <w:spacing w:after="0" w:line="240" w:lineRule="auto"/>
              <w:rPr>
                <w:rFonts w:ascii="Calibri" w:eastAsia="Calibri" w:hAnsi="Calibri" w:cs="Times New Roman"/>
                <w:b/>
                <w:sz w:val="18"/>
                <w:szCs w:val="18"/>
                <w:lang w:eastAsia="en-US"/>
              </w:rPr>
            </w:pPr>
            <w:r w:rsidRPr="000119D2">
              <w:rPr>
                <w:rFonts w:eastAsia="Calibri"/>
                <w:b/>
                <w:sz w:val="18"/>
                <w:szCs w:val="18"/>
              </w:rPr>
              <w:t xml:space="preserve">2014 Reporting Note: </w:t>
            </w:r>
            <w:r w:rsidR="00B212D4" w:rsidRPr="000119D2">
              <w:rPr>
                <w:rFonts w:eastAsia="Calibri"/>
                <w:sz w:val="18"/>
                <w:szCs w:val="18"/>
              </w:rPr>
              <w:t xml:space="preserve">Substantial revisions have been made to baselines and </w:t>
            </w:r>
            <w:r w:rsidR="000B0931" w:rsidRPr="000119D2">
              <w:rPr>
                <w:rFonts w:eastAsia="Calibri"/>
                <w:sz w:val="18"/>
                <w:szCs w:val="18"/>
              </w:rPr>
              <w:t xml:space="preserve">2014 </w:t>
            </w:r>
            <w:r w:rsidR="00B212D4" w:rsidRPr="000119D2">
              <w:rPr>
                <w:rFonts w:eastAsia="Calibri"/>
                <w:sz w:val="18"/>
                <w:szCs w:val="18"/>
              </w:rPr>
              <w:t>milestones due to adoption of a more conservative analytic approach in cases of incomplete country reporting. Countries are only included in calculated results if they provided valid data for population at risk and population covered, and if the latter does not exceed the former</w:t>
            </w:r>
            <w:r w:rsidR="000B0931" w:rsidRPr="000119D2">
              <w:rPr>
                <w:rFonts w:eastAsia="Calibri"/>
                <w:sz w:val="18"/>
                <w:szCs w:val="18"/>
              </w:rPr>
              <w:t xml:space="preserve">. </w:t>
            </w:r>
            <w:r w:rsidR="009346C0" w:rsidRPr="000119D2">
              <w:rPr>
                <w:rFonts w:eastAsia="Calibri"/>
                <w:sz w:val="18"/>
                <w:szCs w:val="18"/>
              </w:rPr>
              <w:t xml:space="preserve">For reference, previous baselines were: a) 7.2%, b) 8.9%, c) 7.8%, d) 13.1%, e) 21.3%; previous 2014 milestones were: a) 10.1%, b) 8.5%, c) </w:t>
            </w:r>
            <w:r w:rsidR="00884152" w:rsidRPr="000119D2">
              <w:rPr>
                <w:rFonts w:eastAsia="Calibri"/>
                <w:sz w:val="18"/>
                <w:szCs w:val="18"/>
              </w:rPr>
              <w:t>8.8%, d) 13.3</w:t>
            </w:r>
            <w:r w:rsidR="009346C0" w:rsidRPr="000119D2">
              <w:rPr>
                <w:rFonts w:eastAsia="Calibri"/>
                <w:sz w:val="18"/>
                <w:szCs w:val="18"/>
              </w:rPr>
              <w:t>%, e) 21.</w:t>
            </w:r>
            <w:r w:rsidR="00884152" w:rsidRPr="000119D2">
              <w:rPr>
                <w:rFonts w:eastAsia="Calibri"/>
                <w:sz w:val="18"/>
                <w:szCs w:val="18"/>
              </w:rPr>
              <w:t>6</w:t>
            </w:r>
            <w:r w:rsidR="009346C0" w:rsidRPr="000119D2">
              <w:rPr>
                <w:rFonts w:eastAsia="Calibri"/>
                <w:sz w:val="18"/>
                <w:szCs w:val="18"/>
              </w:rPr>
              <w:t>%</w:t>
            </w:r>
            <w:r w:rsidR="00351A64" w:rsidRPr="000119D2">
              <w:rPr>
                <w:rFonts w:eastAsia="Calibri"/>
                <w:sz w:val="18"/>
                <w:szCs w:val="18"/>
              </w:rPr>
              <w:t>; previous targets were: a) 16.4%, b) 35.9%, c) 98.1%, d) 19.2%, e) 25.3%</w:t>
            </w:r>
            <w:r w:rsidR="009346C0" w:rsidRPr="000119D2">
              <w:rPr>
                <w:rFonts w:eastAsia="Calibri"/>
                <w:sz w:val="18"/>
                <w:szCs w:val="18"/>
              </w:rPr>
              <w:t>.</w:t>
            </w:r>
          </w:p>
        </w:tc>
      </w:tr>
      <w:tr w:rsidR="00A90BC9" w:rsidRPr="00015A57" w14:paraId="669A90B3" w14:textId="77777777" w:rsidTr="000119D2">
        <w:trPr>
          <w:trHeight w:val="431"/>
          <w:jc w:val="center"/>
        </w:trPr>
        <w:tc>
          <w:tcPr>
            <w:tcW w:w="3325" w:type="dxa"/>
            <w:vMerge w:val="restart"/>
            <w:tcBorders>
              <w:top w:val="single" w:sz="4" w:space="0" w:color="auto"/>
              <w:left w:val="single" w:sz="4" w:space="0" w:color="auto"/>
              <w:right w:val="single" w:sz="4" w:space="0" w:color="auto"/>
            </w:tcBorders>
            <w:shd w:val="clear" w:color="auto" w:fill="FFFFFF"/>
          </w:tcPr>
          <w:p w14:paraId="4C006A87" w14:textId="7D2C258A" w:rsidR="00A90BC9" w:rsidRDefault="00A90BC9" w:rsidP="00A90BC9">
            <w:pPr>
              <w:spacing w:after="0" w:line="240" w:lineRule="auto"/>
              <w:rPr>
                <w:rFonts w:eastAsia="Calibri"/>
                <w:sz w:val="20"/>
                <w:szCs w:val="20"/>
              </w:rPr>
            </w:pPr>
            <w:r w:rsidRPr="00B66E9F">
              <w:rPr>
                <w:rFonts w:eastAsia="Calibri"/>
                <w:sz w:val="20"/>
                <w:szCs w:val="20"/>
              </w:rPr>
              <w:br w:type="page"/>
            </w:r>
            <w:r w:rsidRPr="00B66E9F">
              <w:rPr>
                <w:rFonts w:eastAsia="Calibri"/>
                <w:b/>
                <w:sz w:val="20"/>
                <w:szCs w:val="20"/>
              </w:rPr>
              <w:t>Output 5.5.</w:t>
            </w:r>
            <w:r w:rsidRPr="00B66E9F">
              <w:rPr>
                <w:rFonts w:eastAsia="Calibri"/>
                <w:sz w:val="20"/>
                <w:szCs w:val="20"/>
              </w:rPr>
              <w:t xml:space="preserve"> Policy frameworks and institutional mechanisms enabled at the national and sub-national levels for the peaceful management of emerging and recurring conflicts and tensions</w:t>
            </w:r>
          </w:p>
          <w:p w14:paraId="47039695" w14:textId="77777777" w:rsidR="00A90BC9" w:rsidRDefault="00A90BC9" w:rsidP="00A90BC9">
            <w:pPr>
              <w:spacing w:after="0" w:line="240" w:lineRule="auto"/>
              <w:rPr>
                <w:rFonts w:eastAsia="Calibri"/>
                <w:sz w:val="20"/>
                <w:szCs w:val="20"/>
              </w:rPr>
            </w:pPr>
          </w:p>
          <w:p w14:paraId="23922461" w14:textId="57F8F533" w:rsidR="00CE35AD" w:rsidRDefault="00CE35AD" w:rsidP="00CE35AD">
            <w:pPr>
              <w:spacing w:after="0" w:line="240" w:lineRule="auto"/>
              <w:rPr>
                <w:rFonts w:ascii="Calibri" w:eastAsia="Calibri" w:hAnsi="Calibri"/>
                <w:b/>
                <w:color w:val="000000"/>
                <w:sz w:val="18"/>
                <w:szCs w:val="18"/>
              </w:rPr>
            </w:pPr>
            <w:r w:rsidRPr="00B359E7">
              <w:rPr>
                <w:rFonts w:ascii="Calibri" w:eastAsia="Calibri" w:hAnsi="Calibri"/>
                <w:b/>
                <w:i/>
                <w:color w:val="000000"/>
                <w:sz w:val="18"/>
                <w:szCs w:val="18"/>
              </w:rPr>
              <w:t>Number of countries linked:</w:t>
            </w:r>
            <w:r>
              <w:rPr>
                <w:rFonts w:ascii="Calibri" w:eastAsia="Calibri" w:hAnsi="Calibri"/>
                <w:b/>
                <w:color w:val="000000"/>
                <w:sz w:val="18"/>
                <w:szCs w:val="18"/>
              </w:rPr>
              <w:t xml:space="preserve"> 3</w:t>
            </w:r>
            <w:r w:rsidR="00D62E02">
              <w:rPr>
                <w:rFonts w:ascii="Calibri" w:eastAsia="Calibri" w:hAnsi="Calibri"/>
                <w:b/>
                <w:color w:val="000000"/>
                <w:sz w:val="18"/>
                <w:szCs w:val="18"/>
              </w:rPr>
              <w:t>0</w:t>
            </w:r>
            <w:r>
              <w:rPr>
                <w:rFonts w:ascii="Calibri" w:eastAsia="Calibri" w:hAnsi="Calibri"/>
                <w:b/>
                <w:color w:val="000000"/>
                <w:sz w:val="18"/>
                <w:szCs w:val="18"/>
              </w:rPr>
              <w:t xml:space="preserve"> </w:t>
            </w:r>
          </w:p>
          <w:p w14:paraId="6FB4AE4A" w14:textId="388A501E" w:rsidR="00A90BC9" w:rsidRPr="008C4519" w:rsidRDefault="00CE35AD" w:rsidP="00CE35AD">
            <w:pPr>
              <w:spacing w:after="0" w:line="240" w:lineRule="auto"/>
              <w:rPr>
                <w:rFonts w:eastAsia="Calibri"/>
                <w:color w:val="000000"/>
                <w:sz w:val="20"/>
              </w:rPr>
            </w:pPr>
            <w:r>
              <w:rPr>
                <w:rFonts w:ascii="Calibri" w:eastAsia="Calibri" w:hAnsi="Calibri"/>
                <w:b/>
                <w:color w:val="000000"/>
                <w:sz w:val="18"/>
                <w:szCs w:val="18"/>
              </w:rPr>
              <w:t>(February 2015</w:t>
            </w:r>
            <w:r w:rsidRPr="00B359E7">
              <w:rPr>
                <w:rFonts w:ascii="Calibri" w:eastAsia="Calibri" w:hAnsi="Calibri"/>
                <w:b/>
                <w:color w:val="000000"/>
                <w:sz w:val="18"/>
                <w:szCs w:val="18"/>
              </w:rPr>
              <w:t>)</w:t>
            </w:r>
          </w:p>
        </w:tc>
        <w:tc>
          <w:tcPr>
            <w:tcW w:w="720" w:type="dxa"/>
            <w:vMerge w:val="restart"/>
            <w:tcBorders>
              <w:top w:val="single" w:sz="4" w:space="0" w:color="auto"/>
              <w:left w:val="single" w:sz="4" w:space="0" w:color="auto"/>
              <w:right w:val="single" w:sz="4" w:space="0" w:color="auto"/>
            </w:tcBorders>
            <w:shd w:val="clear" w:color="auto" w:fill="FFFFFF"/>
            <w:hideMark/>
          </w:tcPr>
          <w:p w14:paraId="018F36C3" w14:textId="77777777" w:rsidR="00A90BC9" w:rsidRPr="00E57562" w:rsidRDefault="00A90BC9" w:rsidP="00A90BC9">
            <w:pPr>
              <w:spacing w:after="0" w:line="240" w:lineRule="auto"/>
              <w:rPr>
                <w:rFonts w:eastAsia="Calibri"/>
                <w:b/>
                <w:sz w:val="20"/>
                <w:szCs w:val="20"/>
              </w:rPr>
            </w:pPr>
            <w:r w:rsidRPr="00E57562">
              <w:rPr>
                <w:rFonts w:eastAsia="Calibri"/>
                <w:b/>
                <w:sz w:val="20"/>
                <w:szCs w:val="20"/>
              </w:rPr>
              <w:t>5.5.1</w:t>
            </w:r>
          </w:p>
        </w:tc>
        <w:tc>
          <w:tcPr>
            <w:tcW w:w="5310" w:type="dxa"/>
            <w:tcBorders>
              <w:top w:val="single" w:sz="4" w:space="0" w:color="auto"/>
              <w:left w:val="single" w:sz="4" w:space="0" w:color="auto"/>
              <w:bottom w:val="single" w:sz="4" w:space="0" w:color="auto"/>
              <w:right w:val="single" w:sz="4" w:space="0" w:color="auto"/>
            </w:tcBorders>
            <w:shd w:val="clear" w:color="auto" w:fill="FFFFFF"/>
            <w:hideMark/>
          </w:tcPr>
          <w:p w14:paraId="6E347D47" w14:textId="77777777" w:rsidR="00A90BC9" w:rsidRPr="0013161E" w:rsidRDefault="00A90BC9" w:rsidP="00A90BC9">
            <w:pPr>
              <w:spacing w:after="0" w:line="240" w:lineRule="auto"/>
              <w:rPr>
                <w:rFonts w:eastAsia="Calibri"/>
                <w:sz w:val="20"/>
                <w:szCs w:val="20"/>
              </w:rPr>
            </w:pPr>
            <w:r w:rsidRPr="0013161E">
              <w:rPr>
                <w:rFonts w:eastAsia="Calibri"/>
                <w:sz w:val="20"/>
                <w:szCs w:val="20"/>
              </w:rPr>
              <w:t xml:space="preserve">Number of countries with </w:t>
            </w:r>
            <w:r w:rsidRPr="0013161E">
              <w:rPr>
                <w:rFonts w:eastAsia="Calibri"/>
                <w:b/>
                <w:sz w:val="20"/>
                <w:szCs w:val="20"/>
              </w:rPr>
              <w:t>improved</w:t>
            </w:r>
            <w:r w:rsidRPr="0013161E">
              <w:rPr>
                <w:rFonts w:eastAsia="Calibri"/>
                <w:sz w:val="20"/>
                <w:szCs w:val="20"/>
              </w:rPr>
              <w:t xml:space="preserve"> </w:t>
            </w:r>
            <w:r w:rsidRPr="0013161E">
              <w:rPr>
                <w:rFonts w:eastAsia="Calibri"/>
                <w:b/>
                <w:sz w:val="20"/>
                <w:szCs w:val="20"/>
              </w:rPr>
              <w:t>sustainable</w:t>
            </w:r>
            <w:r w:rsidRPr="0013161E">
              <w:rPr>
                <w:rFonts w:eastAsia="Calibri"/>
                <w:sz w:val="20"/>
                <w:szCs w:val="20"/>
              </w:rPr>
              <w:t xml:space="preserve"> national and/or local </w:t>
            </w:r>
            <w:r w:rsidRPr="0013161E">
              <w:rPr>
                <w:rFonts w:eastAsia="Calibri"/>
                <w:b/>
                <w:sz w:val="20"/>
                <w:szCs w:val="20"/>
              </w:rPr>
              <w:t>human and</w:t>
            </w:r>
            <w:r w:rsidR="00154DBE" w:rsidRPr="0013161E">
              <w:rPr>
                <w:rFonts w:eastAsia="Calibri"/>
                <w:b/>
                <w:sz w:val="20"/>
                <w:szCs w:val="20"/>
              </w:rPr>
              <w:t>/or</w:t>
            </w:r>
            <w:r w:rsidRPr="0013161E">
              <w:rPr>
                <w:rFonts w:eastAsia="Calibri"/>
                <w:b/>
                <w:sz w:val="20"/>
                <w:szCs w:val="20"/>
              </w:rPr>
              <w:t xml:space="preserve"> financial capacities</w:t>
            </w:r>
            <w:r w:rsidRPr="0013161E">
              <w:rPr>
                <w:rFonts w:eastAsia="Calibri"/>
                <w:sz w:val="20"/>
                <w:szCs w:val="20"/>
              </w:rPr>
              <w:t xml:space="preserve"> to address emerging and/or recurring conflicts.</w:t>
            </w:r>
          </w:p>
          <w:p w14:paraId="6EB6ED99" w14:textId="4DB43C91" w:rsidR="000D3E05" w:rsidRPr="0013161E" w:rsidRDefault="000D3E05" w:rsidP="006F161D">
            <w:pPr>
              <w:pStyle w:val="ListParagraph"/>
              <w:numPr>
                <w:ilvl w:val="0"/>
                <w:numId w:val="40"/>
              </w:numPr>
              <w:rPr>
                <w:rFonts w:eastAsia="Calibri"/>
                <w:sz w:val="20"/>
                <w:szCs w:val="20"/>
              </w:rPr>
            </w:pPr>
            <w:r w:rsidRPr="0013161E">
              <w:rPr>
                <w:rFonts w:eastAsia="Calibri"/>
                <w:sz w:val="20"/>
                <w:szCs w:val="20"/>
              </w:rPr>
              <w:t xml:space="preserve">National </w:t>
            </w:r>
          </w:p>
          <w:p w14:paraId="7AC60608" w14:textId="77777777" w:rsidR="000D3E05" w:rsidRPr="0013161E" w:rsidRDefault="000D3E05" w:rsidP="006F161D">
            <w:pPr>
              <w:pStyle w:val="ListParagraph"/>
              <w:numPr>
                <w:ilvl w:val="1"/>
                <w:numId w:val="40"/>
              </w:numPr>
              <w:rPr>
                <w:rFonts w:eastAsia="Calibri"/>
                <w:sz w:val="20"/>
                <w:szCs w:val="20"/>
              </w:rPr>
            </w:pPr>
            <w:r w:rsidRPr="0013161E">
              <w:rPr>
                <w:rFonts w:eastAsia="Calibri"/>
                <w:sz w:val="20"/>
                <w:szCs w:val="20"/>
              </w:rPr>
              <w:t>Financial capacities</w:t>
            </w:r>
          </w:p>
          <w:p w14:paraId="19E26010" w14:textId="77777777" w:rsidR="000D3E05" w:rsidRPr="0013161E" w:rsidRDefault="000D3E05" w:rsidP="006F161D">
            <w:pPr>
              <w:pStyle w:val="ListParagraph"/>
              <w:numPr>
                <w:ilvl w:val="1"/>
                <w:numId w:val="40"/>
              </w:numPr>
              <w:rPr>
                <w:rFonts w:eastAsia="Calibri"/>
                <w:sz w:val="20"/>
                <w:szCs w:val="20"/>
              </w:rPr>
            </w:pPr>
            <w:r w:rsidRPr="0013161E">
              <w:rPr>
                <w:rFonts w:eastAsia="Calibri"/>
                <w:sz w:val="20"/>
                <w:szCs w:val="20"/>
              </w:rPr>
              <w:t>Human Resource capacities</w:t>
            </w:r>
          </w:p>
          <w:p w14:paraId="1C8C02BB" w14:textId="16845D12" w:rsidR="000D3E05" w:rsidRPr="0013161E" w:rsidRDefault="000D3E05" w:rsidP="006F161D">
            <w:pPr>
              <w:pStyle w:val="ListParagraph"/>
              <w:numPr>
                <w:ilvl w:val="0"/>
                <w:numId w:val="40"/>
              </w:numPr>
              <w:rPr>
                <w:rFonts w:eastAsia="Calibri"/>
                <w:sz w:val="20"/>
                <w:szCs w:val="20"/>
              </w:rPr>
            </w:pPr>
            <w:r w:rsidRPr="0013161E">
              <w:rPr>
                <w:rFonts w:eastAsia="Calibri"/>
                <w:sz w:val="20"/>
                <w:szCs w:val="20"/>
              </w:rPr>
              <w:t>Local</w:t>
            </w:r>
            <w:r w:rsidR="00C5527B" w:rsidRPr="0013161E">
              <w:rPr>
                <w:rFonts w:eastAsia="Calibri"/>
                <w:sz w:val="20"/>
                <w:szCs w:val="20"/>
              </w:rPr>
              <w:t xml:space="preserve"> </w:t>
            </w:r>
          </w:p>
          <w:p w14:paraId="42518D43" w14:textId="77777777" w:rsidR="000D3E05" w:rsidRPr="0013161E" w:rsidRDefault="000D3E05" w:rsidP="006F161D">
            <w:pPr>
              <w:pStyle w:val="ListParagraph"/>
              <w:numPr>
                <w:ilvl w:val="1"/>
                <w:numId w:val="40"/>
              </w:numPr>
              <w:rPr>
                <w:rFonts w:eastAsia="Calibri"/>
                <w:sz w:val="20"/>
                <w:szCs w:val="20"/>
              </w:rPr>
            </w:pPr>
            <w:r w:rsidRPr="0013161E">
              <w:rPr>
                <w:rFonts w:eastAsia="Calibri"/>
                <w:sz w:val="20"/>
                <w:szCs w:val="20"/>
              </w:rPr>
              <w:t>Financial capacities</w:t>
            </w:r>
          </w:p>
          <w:p w14:paraId="7291DE61" w14:textId="77777777" w:rsidR="000D3E05" w:rsidRPr="0013161E" w:rsidRDefault="000D3E05" w:rsidP="006F161D">
            <w:pPr>
              <w:pStyle w:val="ListParagraph"/>
              <w:numPr>
                <w:ilvl w:val="1"/>
                <w:numId w:val="40"/>
              </w:numPr>
              <w:rPr>
                <w:rFonts w:eastAsia="Calibri"/>
                <w:sz w:val="20"/>
                <w:szCs w:val="20"/>
              </w:rPr>
            </w:pPr>
            <w:r w:rsidRPr="0013161E">
              <w:rPr>
                <w:rFonts w:eastAsia="Calibri"/>
                <w:sz w:val="20"/>
                <w:szCs w:val="20"/>
              </w:rPr>
              <w:t>Human Resource capacities</w:t>
            </w:r>
          </w:p>
          <w:p w14:paraId="4DA50833" w14:textId="032E9705" w:rsidR="00546E49" w:rsidRPr="0013161E" w:rsidRDefault="00546E49" w:rsidP="00F410B0">
            <w:pPr>
              <w:spacing w:before="240" w:after="0"/>
              <w:rPr>
                <w:rFonts w:eastAsia="Calibri"/>
                <w:sz w:val="20"/>
                <w:szCs w:val="20"/>
              </w:rPr>
            </w:pPr>
            <w:r w:rsidRPr="0013161E">
              <w:rPr>
                <w:rFonts w:eastAsia="Calibri"/>
                <w:b/>
                <w:i/>
                <w:sz w:val="18"/>
                <w:szCs w:val="18"/>
              </w:rPr>
              <w:t xml:space="preserve">Number of countries </w:t>
            </w:r>
            <w:r w:rsidR="00983FF8" w:rsidRPr="0013161E">
              <w:rPr>
                <w:rFonts w:eastAsia="Calibri"/>
                <w:b/>
                <w:i/>
                <w:sz w:val="18"/>
                <w:szCs w:val="18"/>
              </w:rPr>
              <w:t>for which a 2017 target has currently been set under this indicator</w:t>
            </w:r>
            <w:r w:rsidR="00F410B0" w:rsidRPr="0013161E">
              <w:rPr>
                <w:rFonts w:eastAsia="Calibri"/>
                <w:b/>
                <w:i/>
                <w:sz w:val="18"/>
                <w:szCs w:val="18"/>
              </w:rPr>
              <w:t>: 23</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4F386398" w14:textId="77777777" w:rsidR="00A90BC9" w:rsidRDefault="00A90BC9" w:rsidP="007E0513">
            <w:pPr>
              <w:spacing w:after="0" w:line="240" w:lineRule="auto"/>
              <w:ind w:right="432"/>
              <w:jc w:val="right"/>
              <w:rPr>
                <w:rFonts w:eastAsia="Calibri"/>
                <w:sz w:val="20"/>
                <w:szCs w:val="20"/>
              </w:rPr>
            </w:pPr>
          </w:p>
          <w:p w14:paraId="41519A9B" w14:textId="77777777" w:rsidR="00345EB3" w:rsidRDefault="00345EB3" w:rsidP="007E0513">
            <w:pPr>
              <w:spacing w:after="0" w:line="240" w:lineRule="auto"/>
              <w:ind w:right="432"/>
              <w:jc w:val="right"/>
              <w:rPr>
                <w:rFonts w:eastAsia="Calibri"/>
                <w:sz w:val="20"/>
                <w:szCs w:val="20"/>
              </w:rPr>
            </w:pPr>
          </w:p>
          <w:p w14:paraId="72A504B9" w14:textId="77777777" w:rsidR="00345EB3" w:rsidRDefault="00345EB3" w:rsidP="007E0513">
            <w:pPr>
              <w:spacing w:after="0" w:line="240" w:lineRule="auto"/>
              <w:ind w:right="432"/>
              <w:jc w:val="right"/>
              <w:rPr>
                <w:rFonts w:eastAsia="Calibri"/>
                <w:sz w:val="20"/>
                <w:szCs w:val="20"/>
              </w:rPr>
            </w:pPr>
          </w:p>
          <w:p w14:paraId="3FB313EF" w14:textId="77777777" w:rsidR="00345EB3" w:rsidRDefault="00345EB3" w:rsidP="007E0513">
            <w:pPr>
              <w:spacing w:after="0" w:line="240" w:lineRule="auto"/>
              <w:ind w:right="432"/>
              <w:jc w:val="right"/>
              <w:rPr>
                <w:rFonts w:eastAsia="Calibri"/>
                <w:sz w:val="20"/>
                <w:szCs w:val="20"/>
              </w:rPr>
            </w:pPr>
          </w:p>
          <w:p w14:paraId="541092DC" w14:textId="77777777" w:rsidR="00345EB3" w:rsidRDefault="00345EB3" w:rsidP="007E0513">
            <w:pPr>
              <w:spacing w:after="0" w:line="240" w:lineRule="auto"/>
              <w:ind w:right="432"/>
              <w:jc w:val="right"/>
              <w:rPr>
                <w:rFonts w:eastAsia="Calibri"/>
                <w:sz w:val="20"/>
                <w:szCs w:val="20"/>
              </w:rPr>
            </w:pPr>
            <w:r>
              <w:rPr>
                <w:rFonts w:eastAsia="Calibri"/>
                <w:sz w:val="20"/>
                <w:szCs w:val="20"/>
              </w:rPr>
              <w:t>0</w:t>
            </w:r>
          </w:p>
          <w:p w14:paraId="1ADEF65D" w14:textId="77777777" w:rsidR="00345EB3" w:rsidRDefault="00345EB3" w:rsidP="007E0513">
            <w:pPr>
              <w:spacing w:after="0" w:line="240" w:lineRule="auto"/>
              <w:ind w:right="432"/>
              <w:jc w:val="right"/>
              <w:rPr>
                <w:rFonts w:eastAsia="Calibri"/>
                <w:sz w:val="20"/>
                <w:szCs w:val="20"/>
              </w:rPr>
            </w:pPr>
            <w:r>
              <w:rPr>
                <w:rFonts w:eastAsia="Calibri"/>
                <w:sz w:val="20"/>
                <w:szCs w:val="20"/>
              </w:rPr>
              <w:t>0</w:t>
            </w:r>
          </w:p>
          <w:p w14:paraId="769E0B99" w14:textId="77777777" w:rsidR="00345EB3" w:rsidRDefault="00345EB3" w:rsidP="007E0513">
            <w:pPr>
              <w:spacing w:after="0" w:line="240" w:lineRule="auto"/>
              <w:ind w:right="432"/>
              <w:jc w:val="right"/>
              <w:rPr>
                <w:rFonts w:eastAsia="Calibri"/>
                <w:sz w:val="20"/>
                <w:szCs w:val="20"/>
              </w:rPr>
            </w:pPr>
          </w:p>
          <w:p w14:paraId="282FE72B" w14:textId="77777777" w:rsidR="00345EB3" w:rsidRDefault="00345EB3" w:rsidP="007E0513">
            <w:pPr>
              <w:spacing w:after="0" w:line="240" w:lineRule="auto"/>
              <w:ind w:right="432"/>
              <w:jc w:val="right"/>
              <w:rPr>
                <w:rFonts w:eastAsia="Calibri"/>
                <w:sz w:val="20"/>
                <w:szCs w:val="20"/>
              </w:rPr>
            </w:pPr>
            <w:r>
              <w:rPr>
                <w:rFonts w:eastAsia="Calibri"/>
                <w:sz w:val="20"/>
                <w:szCs w:val="20"/>
              </w:rPr>
              <w:t>0</w:t>
            </w:r>
          </w:p>
          <w:p w14:paraId="50C41664" w14:textId="77777777" w:rsidR="00345EB3" w:rsidRPr="00B66E9F" w:rsidRDefault="00345EB3" w:rsidP="007E0513">
            <w:pPr>
              <w:spacing w:after="0" w:line="240" w:lineRule="auto"/>
              <w:ind w:right="432"/>
              <w:jc w:val="right"/>
              <w:rPr>
                <w:rFonts w:eastAsia="Calibri"/>
                <w:sz w:val="20"/>
                <w:szCs w:val="20"/>
              </w:rPr>
            </w:pPr>
            <w:r>
              <w:rPr>
                <w:rFonts w:eastAsia="Calibri"/>
                <w:sz w:val="20"/>
                <w:szCs w:val="20"/>
              </w:rPr>
              <w:t>0</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0D9BD5E5" w14:textId="77777777" w:rsidR="00A90BC9" w:rsidRDefault="00A90BC9" w:rsidP="007E0513">
            <w:pPr>
              <w:spacing w:after="0" w:line="240" w:lineRule="auto"/>
              <w:ind w:right="432"/>
              <w:jc w:val="right"/>
              <w:rPr>
                <w:rFonts w:eastAsia="Calibri"/>
                <w:sz w:val="20"/>
                <w:szCs w:val="20"/>
              </w:rPr>
            </w:pPr>
          </w:p>
          <w:p w14:paraId="2E696452" w14:textId="77777777" w:rsidR="00345EB3" w:rsidRDefault="00345EB3" w:rsidP="007E0513">
            <w:pPr>
              <w:spacing w:after="0" w:line="240" w:lineRule="auto"/>
              <w:ind w:right="432"/>
              <w:jc w:val="right"/>
              <w:rPr>
                <w:rFonts w:eastAsia="Calibri"/>
                <w:sz w:val="20"/>
                <w:szCs w:val="20"/>
              </w:rPr>
            </w:pPr>
          </w:p>
          <w:p w14:paraId="1C3A6520" w14:textId="77777777" w:rsidR="00345EB3" w:rsidRDefault="00345EB3" w:rsidP="007E0513">
            <w:pPr>
              <w:spacing w:after="0" w:line="240" w:lineRule="auto"/>
              <w:ind w:right="432"/>
              <w:jc w:val="right"/>
              <w:rPr>
                <w:rFonts w:eastAsia="Calibri"/>
                <w:sz w:val="20"/>
                <w:szCs w:val="20"/>
              </w:rPr>
            </w:pPr>
          </w:p>
          <w:p w14:paraId="07462D1B" w14:textId="77777777" w:rsidR="00345EB3" w:rsidRDefault="00345EB3" w:rsidP="007E0513">
            <w:pPr>
              <w:spacing w:after="0" w:line="240" w:lineRule="auto"/>
              <w:ind w:right="432"/>
              <w:jc w:val="right"/>
              <w:rPr>
                <w:rFonts w:eastAsia="Calibri"/>
                <w:sz w:val="20"/>
                <w:szCs w:val="20"/>
              </w:rPr>
            </w:pPr>
          </w:p>
          <w:p w14:paraId="2A3D2C4B" w14:textId="68E24884" w:rsidR="00345EB3" w:rsidRDefault="004F4CA3" w:rsidP="007E0513">
            <w:pPr>
              <w:spacing w:after="0" w:line="240" w:lineRule="auto"/>
              <w:ind w:right="432"/>
              <w:jc w:val="right"/>
              <w:rPr>
                <w:rFonts w:eastAsia="Calibri"/>
                <w:sz w:val="20"/>
                <w:szCs w:val="20"/>
              </w:rPr>
            </w:pPr>
            <w:r>
              <w:rPr>
                <w:rFonts w:eastAsia="Calibri"/>
                <w:sz w:val="20"/>
                <w:szCs w:val="20"/>
              </w:rPr>
              <w:t>5</w:t>
            </w:r>
          </w:p>
          <w:p w14:paraId="07D8F7AA" w14:textId="7147E530" w:rsidR="00345EB3" w:rsidRDefault="004F4CA3" w:rsidP="007E0513">
            <w:pPr>
              <w:spacing w:after="0" w:line="240" w:lineRule="auto"/>
              <w:ind w:right="432"/>
              <w:jc w:val="right"/>
              <w:rPr>
                <w:rFonts w:eastAsia="Calibri"/>
                <w:sz w:val="20"/>
                <w:szCs w:val="20"/>
              </w:rPr>
            </w:pPr>
            <w:r>
              <w:rPr>
                <w:rFonts w:eastAsia="Calibri"/>
                <w:sz w:val="20"/>
                <w:szCs w:val="20"/>
              </w:rPr>
              <w:t>6</w:t>
            </w:r>
          </w:p>
          <w:p w14:paraId="29A1F400" w14:textId="77777777" w:rsidR="00F504DA" w:rsidRDefault="00F504DA" w:rsidP="007E0513">
            <w:pPr>
              <w:spacing w:after="0" w:line="240" w:lineRule="auto"/>
              <w:ind w:right="432"/>
              <w:jc w:val="right"/>
              <w:rPr>
                <w:rFonts w:eastAsia="Calibri"/>
                <w:sz w:val="20"/>
                <w:szCs w:val="20"/>
              </w:rPr>
            </w:pPr>
          </w:p>
          <w:p w14:paraId="451A632A" w14:textId="4F9B9277" w:rsidR="00F504DA" w:rsidRDefault="004F4CA3" w:rsidP="007E0513">
            <w:pPr>
              <w:spacing w:after="0" w:line="240" w:lineRule="auto"/>
              <w:ind w:right="432"/>
              <w:jc w:val="right"/>
              <w:rPr>
                <w:rFonts w:eastAsia="Calibri"/>
                <w:sz w:val="20"/>
                <w:szCs w:val="20"/>
              </w:rPr>
            </w:pPr>
            <w:r>
              <w:rPr>
                <w:rFonts w:eastAsia="Calibri"/>
                <w:sz w:val="20"/>
                <w:szCs w:val="20"/>
              </w:rPr>
              <w:t>2</w:t>
            </w:r>
          </w:p>
          <w:p w14:paraId="205B20D2" w14:textId="77777777" w:rsidR="00595BA6" w:rsidRPr="00B66E9F" w:rsidRDefault="00595BA6" w:rsidP="007E0513">
            <w:pPr>
              <w:spacing w:after="0" w:line="240" w:lineRule="auto"/>
              <w:ind w:right="432"/>
              <w:jc w:val="right"/>
              <w:rPr>
                <w:rFonts w:eastAsia="Calibri"/>
                <w:sz w:val="20"/>
                <w:szCs w:val="20"/>
              </w:rPr>
            </w:pPr>
            <w:r>
              <w:rPr>
                <w:rFonts w:eastAsia="Calibri"/>
                <w:sz w:val="20"/>
                <w:szCs w:val="20"/>
              </w:rPr>
              <w:t>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6306D49B" w14:textId="77777777" w:rsidR="00A90BC9" w:rsidRDefault="00A90BC9" w:rsidP="007E0513">
            <w:pPr>
              <w:spacing w:after="0" w:line="240" w:lineRule="auto"/>
              <w:ind w:right="432"/>
              <w:jc w:val="right"/>
              <w:rPr>
                <w:rFonts w:eastAsia="Calibri"/>
                <w:sz w:val="20"/>
                <w:szCs w:val="20"/>
              </w:rPr>
            </w:pPr>
          </w:p>
          <w:p w14:paraId="1817209E" w14:textId="77777777" w:rsidR="00345EB3" w:rsidRDefault="00345EB3" w:rsidP="007E0513">
            <w:pPr>
              <w:spacing w:after="0" w:line="240" w:lineRule="auto"/>
              <w:ind w:right="432"/>
              <w:jc w:val="right"/>
              <w:rPr>
                <w:rFonts w:eastAsia="Calibri"/>
                <w:sz w:val="20"/>
                <w:szCs w:val="20"/>
              </w:rPr>
            </w:pPr>
          </w:p>
          <w:p w14:paraId="4A4B0CDD" w14:textId="77777777" w:rsidR="00345EB3" w:rsidRDefault="00345EB3" w:rsidP="007E0513">
            <w:pPr>
              <w:spacing w:after="0" w:line="240" w:lineRule="auto"/>
              <w:ind w:right="432"/>
              <w:jc w:val="right"/>
              <w:rPr>
                <w:rFonts w:eastAsia="Calibri"/>
                <w:sz w:val="20"/>
                <w:szCs w:val="20"/>
              </w:rPr>
            </w:pPr>
          </w:p>
          <w:p w14:paraId="68E6DC05" w14:textId="77777777" w:rsidR="00595BA6" w:rsidRDefault="00595BA6" w:rsidP="007E0513">
            <w:pPr>
              <w:spacing w:after="0" w:line="240" w:lineRule="auto"/>
              <w:ind w:right="432"/>
              <w:jc w:val="right"/>
              <w:rPr>
                <w:rFonts w:eastAsia="Calibri"/>
                <w:sz w:val="20"/>
                <w:szCs w:val="20"/>
              </w:rPr>
            </w:pPr>
          </w:p>
          <w:p w14:paraId="1E4EBBC5" w14:textId="77777777" w:rsidR="004F4CA3" w:rsidRDefault="004F4CA3" w:rsidP="007E0513">
            <w:pPr>
              <w:spacing w:after="0" w:line="240" w:lineRule="auto"/>
              <w:ind w:right="432"/>
              <w:jc w:val="right"/>
              <w:rPr>
                <w:rFonts w:eastAsia="Calibri"/>
                <w:sz w:val="20"/>
                <w:szCs w:val="20"/>
              </w:rPr>
            </w:pPr>
            <w:r>
              <w:rPr>
                <w:rFonts w:eastAsia="Calibri"/>
                <w:sz w:val="20"/>
                <w:szCs w:val="20"/>
              </w:rPr>
              <w:t>6</w:t>
            </w:r>
          </w:p>
          <w:p w14:paraId="309B0A12" w14:textId="77777777" w:rsidR="004F4CA3" w:rsidRDefault="004F4CA3" w:rsidP="007E0513">
            <w:pPr>
              <w:spacing w:after="0" w:line="240" w:lineRule="auto"/>
              <w:ind w:right="432"/>
              <w:jc w:val="right"/>
              <w:rPr>
                <w:rFonts w:eastAsia="Calibri"/>
                <w:sz w:val="20"/>
                <w:szCs w:val="20"/>
              </w:rPr>
            </w:pPr>
            <w:r>
              <w:rPr>
                <w:rFonts w:eastAsia="Calibri"/>
                <w:sz w:val="20"/>
                <w:szCs w:val="20"/>
              </w:rPr>
              <w:t>9</w:t>
            </w:r>
          </w:p>
          <w:p w14:paraId="54EDEDAD" w14:textId="77777777" w:rsidR="004F4CA3" w:rsidRDefault="004F4CA3" w:rsidP="007E0513">
            <w:pPr>
              <w:spacing w:after="0" w:line="240" w:lineRule="auto"/>
              <w:ind w:right="432"/>
              <w:jc w:val="right"/>
              <w:rPr>
                <w:rFonts w:eastAsia="Calibri"/>
                <w:sz w:val="20"/>
                <w:szCs w:val="20"/>
              </w:rPr>
            </w:pPr>
          </w:p>
          <w:p w14:paraId="46C3EB4D" w14:textId="77777777" w:rsidR="004F4CA3" w:rsidRDefault="004F4CA3" w:rsidP="007E0513">
            <w:pPr>
              <w:spacing w:after="0" w:line="240" w:lineRule="auto"/>
              <w:ind w:right="432"/>
              <w:jc w:val="right"/>
              <w:rPr>
                <w:rFonts w:eastAsia="Calibri"/>
                <w:sz w:val="20"/>
                <w:szCs w:val="20"/>
              </w:rPr>
            </w:pPr>
            <w:r>
              <w:rPr>
                <w:rFonts w:eastAsia="Calibri"/>
                <w:sz w:val="20"/>
                <w:szCs w:val="20"/>
              </w:rPr>
              <w:t>4</w:t>
            </w:r>
          </w:p>
          <w:p w14:paraId="3F3436D6" w14:textId="1AB63B1E" w:rsidR="004F4CA3" w:rsidRPr="00B66E9F" w:rsidRDefault="004F4CA3" w:rsidP="007E0513">
            <w:pPr>
              <w:spacing w:after="0" w:line="240" w:lineRule="auto"/>
              <w:ind w:right="432"/>
              <w:jc w:val="right"/>
              <w:rPr>
                <w:rFonts w:eastAsia="Calibri"/>
                <w:sz w:val="20"/>
                <w:szCs w:val="20"/>
              </w:rPr>
            </w:pPr>
            <w:r>
              <w:rPr>
                <w:rFonts w:eastAsia="Calibri"/>
                <w:sz w:val="20"/>
                <w:szCs w:val="20"/>
              </w:rPr>
              <w:t>5</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14:paraId="5128738D" w14:textId="77777777" w:rsidR="00A90BC9" w:rsidRDefault="00A90BC9" w:rsidP="007E0513">
            <w:pPr>
              <w:spacing w:after="0" w:line="240" w:lineRule="auto"/>
              <w:ind w:right="432"/>
              <w:jc w:val="right"/>
              <w:rPr>
                <w:rFonts w:eastAsia="Calibri"/>
                <w:sz w:val="20"/>
                <w:szCs w:val="20"/>
              </w:rPr>
            </w:pPr>
          </w:p>
          <w:p w14:paraId="17E5D0D3" w14:textId="77777777" w:rsidR="00345EB3" w:rsidRDefault="00345EB3" w:rsidP="007E0513">
            <w:pPr>
              <w:spacing w:after="0" w:line="240" w:lineRule="auto"/>
              <w:ind w:right="432"/>
              <w:jc w:val="right"/>
              <w:rPr>
                <w:rFonts w:eastAsia="Calibri"/>
                <w:sz w:val="20"/>
                <w:szCs w:val="20"/>
              </w:rPr>
            </w:pPr>
          </w:p>
          <w:p w14:paraId="6688F801" w14:textId="77777777" w:rsidR="00345EB3" w:rsidRDefault="00345EB3" w:rsidP="007E0513">
            <w:pPr>
              <w:spacing w:after="0" w:line="240" w:lineRule="auto"/>
              <w:ind w:right="432"/>
              <w:jc w:val="right"/>
              <w:rPr>
                <w:rFonts w:eastAsia="Calibri"/>
                <w:sz w:val="20"/>
                <w:szCs w:val="20"/>
              </w:rPr>
            </w:pPr>
          </w:p>
          <w:p w14:paraId="2F9F37E6" w14:textId="77777777" w:rsidR="00345EB3" w:rsidRDefault="00345EB3" w:rsidP="007E0513">
            <w:pPr>
              <w:spacing w:after="0" w:line="240" w:lineRule="auto"/>
              <w:ind w:right="432"/>
              <w:jc w:val="right"/>
              <w:rPr>
                <w:rFonts w:eastAsia="Calibri"/>
                <w:sz w:val="20"/>
                <w:szCs w:val="20"/>
              </w:rPr>
            </w:pPr>
          </w:p>
          <w:p w14:paraId="0A303DDC" w14:textId="1D8C9987" w:rsidR="00345EB3" w:rsidRDefault="00570B86" w:rsidP="007E0513">
            <w:pPr>
              <w:spacing w:after="0" w:line="240" w:lineRule="auto"/>
              <w:ind w:right="432"/>
              <w:jc w:val="right"/>
              <w:rPr>
                <w:rFonts w:eastAsia="Calibri"/>
                <w:sz w:val="20"/>
                <w:szCs w:val="20"/>
              </w:rPr>
            </w:pPr>
            <w:r>
              <w:rPr>
                <w:rFonts w:eastAsia="Calibri"/>
                <w:sz w:val="20"/>
                <w:szCs w:val="20"/>
              </w:rPr>
              <w:t>11</w:t>
            </w:r>
          </w:p>
          <w:p w14:paraId="77C1E973" w14:textId="03E932C8" w:rsidR="00345EB3" w:rsidRDefault="00570B86" w:rsidP="007E0513">
            <w:pPr>
              <w:spacing w:after="0" w:line="240" w:lineRule="auto"/>
              <w:ind w:right="432"/>
              <w:jc w:val="right"/>
              <w:rPr>
                <w:rFonts w:eastAsia="Calibri"/>
                <w:sz w:val="20"/>
                <w:szCs w:val="20"/>
              </w:rPr>
            </w:pPr>
            <w:r>
              <w:rPr>
                <w:rFonts w:eastAsia="Calibri"/>
                <w:sz w:val="20"/>
                <w:szCs w:val="20"/>
              </w:rPr>
              <w:t>17</w:t>
            </w:r>
          </w:p>
          <w:p w14:paraId="6525DA62" w14:textId="77777777" w:rsidR="00F504DA" w:rsidRDefault="00F504DA" w:rsidP="007E0513">
            <w:pPr>
              <w:spacing w:after="0" w:line="240" w:lineRule="auto"/>
              <w:ind w:right="432"/>
              <w:jc w:val="right"/>
              <w:rPr>
                <w:rFonts w:eastAsia="Calibri"/>
                <w:sz w:val="20"/>
                <w:szCs w:val="20"/>
              </w:rPr>
            </w:pPr>
          </w:p>
          <w:p w14:paraId="7837DA4F" w14:textId="58986DF9" w:rsidR="00F504DA" w:rsidRDefault="00570B86" w:rsidP="007E0513">
            <w:pPr>
              <w:spacing w:after="0" w:line="240" w:lineRule="auto"/>
              <w:ind w:right="432"/>
              <w:jc w:val="right"/>
              <w:rPr>
                <w:rFonts w:eastAsia="Calibri"/>
                <w:sz w:val="20"/>
                <w:szCs w:val="20"/>
              </w:rPr>
            </w:pPr>
            <w:r>
              <w:rPr>
                <w:rFonts w:eastAsia="Calibri"/>
                <w:sz w:val="20"/>
                <w:szCs w:val="20"/>
              </w:rPr>
              <w:t>9</w:t>
            </w:r>
          </w:p>
          <w:p w14:paraId="11BEFA72" w14:textId="77777777" w:rsidR="00595BA6" w:rsidRPr="00B66E9F" w:rsidRDefault="00595BA6" w:rsidP="007E0513">
            <w:pPr>
              <w:spacing w:after="0" w:line="240" w:lineRule="auto"/>
              <w:ind w:right="432"/>
              <w:jc w:val="right"/>
              <w:rPr>
                <w:rFonts w:eastAsia="Calibri"/>
                <w:sz w:val="20"/>
                <w:szCs w:val="20"/>
              </w:rPr>
            </w:pPr>
            <w:r>
              <w:rPr>
                <w:rFonts w:eastAsia="Calibri"/>
                <w:sz w:val="20"/>
                <w:szCs w:val="20"/>
              </w:rPr>
              <w:t>12</w:t>
            </w:r>
          </w:p>
        </w:tc>
      </w:tr>
      <w:tr w:rsidR="00A90BC9" w:rsidRPr="00015A57" w14:paraId="41EC14A8" w14:textId="77777777" w:rsidTr="000119D2">
        <w:trPr>
          <w:trHeight w:val="431"/>
          <w:jc w:val="center"/>
        </w:trPr>
        <w:tc>
          <w:tcPr>
            <w:tcW w:w="3325" w:type="dxa"/>
            <w:vMerge/>
            <w:tcBorders>
              <w:left w:val="single" w:sz="4" w:space="0" w:color="auto"/>
              <w:bottom w:val="single" w:sz="4" w:space="0" w:color="auto"/>
              <w:right w:val="single" w:sz="4" w:space="0" w:color="auto"/>
            </w:tcBorders>
            <w:shd w:val="clear" w:color="auto" w:fill="FFFFFF"/>
          </w:tcPr>
          <w:p w14:paraId="52AE0016" w14:textId="6526C090" w:rsidR="00A90BC9" w:rsidRPr="00B66E9F" w:rsidRDefault="00A90BC9" w:rsidP="00A90BC9">
            <w:pPr>
              <w:spacing w:after="0" w:line="240" w:lineRule="auto"/>
              <w:rPr>
                <w:rFonts w:eastAsia="Calibri"/>
                <w:sz w:val="20"/>
                <w:szCs w:val="20"/>
              </w:rPr>
            </w:pPr>
          </w:p>
        </w:tc>
        <w:tc>
          <w:tcPr>
            <w:tcW w:w="720" w:type="dxa"/>
            <w:vMerge/>
            <w:tcBorders>
              <w:left w:val="single" w:sz="4" w:space="0" w:color="auto"/>
              <w:bottom w:val="single" w:sz="4" w:space="0" w:color="auto"/>
              <w:right w:val="single" w:sz="4" w:space="0" w:color="auto"/>
            </w:tcBorders>
            <w:shd w:val="clear" w:color="auto" w:fill="FFFFFF"/>
          </w:tcPr>
          <w:p w14:paraId="78463CC2" w14:textId="77777777" w:rsidR="00A90BC9" w:rsidRPr="00E57562" w:rsidRDefault="00A90BC9" w:rsidP="00A90BC9">
            <w:pPr>
              <w:spacing w:after="0" w:line="240" w:lineRule="auto"/>
              <w:rPr>
                <w:rFonts w:eastAsia="Calibri"/>
                <w:b/>
                <w:sz w:val="20"/>
                <w:szCs w:val="20"/>
              </w:rPr>
            </w:pPr>
          </w:p>
        </w:tc>
        <w:tc>
          <w:tcPr>
            <w:tcW w:w="1060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06A977" w14:textId="3603E4D4" w:rsidR="00A90BC9" w:rsidRPr="0013161E" w:rsidRDefault="00A90BC9" w:rsidP="001E2092">
            <w:pPr>
              <w:spacing w:after="0" w:line="240" w:lineRule="auto"/>
              <w:rPr>
                <w:rFonts w:eastAsia="Calibri"/>
                <w:sz w:val="18"/>
                <w:szCs w:val="18"/>
              </w:rPr>
            </w:pPr>
            <w:r w:rsidRPr="0013161E">
              <w:rPr>
                <w:rFonts w:ascii="Calibri" w:eastAsia="Calibri" w:hAnsi="Calibri" w:cs="Times New Roman"/>
                <w:b/>
                <w:sz w:val="18"/>
                <w:szCs w:val="18"/>
                <w:lang w:eastAsia="en-US"/>
              </w:rPr>
              <w:t>Indicator 5.5.1 Note:</w:t>
            </w:r>
            <w:r w:rsidR="00931DCE" w:rsidRPr="0013161E">
              <w:rPr>
                <w:rFonts w:ascii="Calibri" w:eastAsia="Calibri" w:hAnsi="Calibri" w:cs="Times New Roman"/>
                <w:b/>
                <w:sz w:val="18"/>
                <w:szCs w:val="18"/>
                <w:lang w:eastAsia="en-US"/>
              </w:rPr>
              <w:t xml:space="preserve"> </w:t>
            </w:r>
            <w:r w:rsidR="00210C6D" w:rsidRPr="0013161E">
              <w:rPr>
                <w:rFonts w:ascii="Calibri" w:eastAsia="Calibri" w:hAnsi="Calibri" w:cs="Times New Roman"/>
                <w:sz w:val="18"/>
                <w:szCs w:val="18"/>
                <w:lang w:eastAsia="en-US"/>
              </w:rPr>
              <w:t>Q</w:t>
            </w:r>
            <w:r w:rsidR="00210C6D" w:rsidRPr="0013161E">
              <w:rPr>
                <w:rFonts w:eastAsia="Calibri"/>
                <w:sz w:val="18"/>
                <w:szCs w:val="18"/>
              </w:rPr>
              <w:t xml:space="preserve">ualitative indicator </w:t>
            </w:r>
            <w:r w:rsidR="00210C6D" w:rsidRPr="0013161E">
              <w:rPr>
                <w:rFonts w:ascii="Calibri" w:eastAsia="Calibri" w:hAnsi="Calibri"/>
                <w:sz w:val="18"/>
                <w:szCs w:val="18"/>
              </w:rPr>
              <w:t xml:space="preserve">through which effectiveness of UNDP’s support (on demand </w:t>
            </w:r>
            <w:r w:rsidR="00210C6D" w:rsidRPr="0013161E">
              <w:rPr>
                <w:sz w:val="18"/>
                <w:szCs w:val="18"/>
              </w:rPr>
              <w:t>from programme countries</w:t>
            </w:r>
            <w:r w:rsidR="00210C6D" w:rsidRPr="0013161E">
              <w:rPr>
                <w:rFonts w:ascii="Calibri" w:eastAsia="Calibri" w:hAnsi="Calibri"/>
                <w:sz w:val="18"/>
                <w:szCs w:val="18"/>
              </w:rPr>
              <w:t>)</w:t>
            </w:r>
            <w:r w:rsidR="00210C6D" w:rsidRPr="0013161E">
              <w:rPr>
                <w:sz w:val="18"/>
                <w:szCs w:val="18"/>
              </w:rPr>
              <w:t xml:space="preserve"> to </w:t>
            </w:r>
            <w:r w:rsidR="00210C6D" w:rsidRPr="0013161E">
              <w:rPr>
                <w:rFonts w:eastAsia="Calibri"/>
                <w:sz w:val="18"/>
                <w:szCs w:val="18"/>
              </w:rPr>
              <w:t>put in place</w:t>
            </w:r>
            <w:r w:rsidR="00360292" w:rsidRPr="0013161E">
              <w:rPr>
                <w:rFonts w:eastAsia="Calibri"/>
                <w:sz w:val="18"/>
                <w:szCs w:val="18"/>
              </w:rPr>
              <w:t xml:space="preserve"> financial and/or human resource capacities</w:t>
            </w:r>
            <w:r w:rsidR="00FD2809" w:rsidRPr="0013161E">
              <w:rPr>
                <w:rFonts w:eastAsia="Calibri"/>
                <w:sz w:val="18"/>
                <w:szCs w:val="18"/>
              </w:rPr>
              <w:t xml:space="preserve"> necessary to prevent, manage, or resolve conflicts, to ease tensions (for example, through convening multi-stakeholder dialogue to bridge significant gaps on critical national issues, and/or conducting advocacy for peace and social cohesion)</w:t>
            </w:r>
            <w:r w:rsidR="00360292" w:rsidRPr="0013161E">
              <w:rPr>
                <w:rFonts w:eastAsia="Calibri"/>
                <w:sz w:val="18"/>
                <w:szCs w:val="18"/>
              </w:rPr>
              <w:t xml:space="preserve">, is </w:t>
            </w:r>
            <w:r w:rsidR="00FD2809" w:rsidRPr="0013161E">
              <w:rPr>
                <w:rFonts w:eastAsia="Calibri"/>
                <w:sz w:val="18"/>
                <w:szCs w:val="18"/>
              </w:rPr>
              <w:t xml:space="preserve">tracked using a qualitative </w:t>
            </w:r>
            <w:r w:rsidR="00F81BCC" w:rsidRPr="0013161E">
              <w:rPr>
                <w:rFonts w:eastAsia="Calibri"/>
                <w:sz w:val="18"/>
                <w:szCs w:val="18"/>
              </w:rPr>
              <w:t>rating scale</w:t>
            </w:r>
            <w:r w:rsidR="00FD2809" w:rsidRPr="0013161E">
              <w:rPr>
                <w:rFonts w:eastAsia="Calibri"/>
                <w:sz w:val="18"/>
                <w:szCs w:val="18"/>
              </w:rPr>
              <w:t xml:space="preserve"> (1= not adequately, 2= partially, and 3=largely)</w:t>
            </w:r>
            <w:r w:rsidR="00FB1A77" w:rsidRPr="0013161E">
              <w:rPr>
                <w:rFonts w:eastAsia="Calibri"/>
                <w:sz w:val="18"/>
                <w:szCs w:val="18"/>
              </w:rPr>
              <w:t xml:space="preserve">, counting the number of countries where </w:t>
            </w:r>
            <w:r w:rsidR="000119D2" w:rsidRPr="0013161E">
              <w:rPr>
                <w:rFonts w:eastAsia="Calibri"/>
                <w:sz w:val="18"/>
                <w:szCs w:val="18"/>
              </w:rPr>
              <w:t xml:space="preserve">objective evidence exists that </w:t>
            </w:r>
            <w:r w:rsidR="00FB1A77" w:rsidRPr="0013161E">
              <w:rPr>
                <w:rFonts w:eastAsia="Calibri"/>
                <w:sz w:val="18"/>
                <w:szCs w:val="18"/>
              </w:rPr>
              <w:t>UNDP-supported capacities improved from January 2014 onwards.</w:t>
            </w:r>
          </w:p>
          <w:p w14:paraId="3995C67A" w14:textId="55AC625E" w:rsidR="004F4CA3" w:rsidRPr="0013161E" w:rsidRDefault="004F4CA3" w:rsidP="00356FEE">
            <w:pPr>
              <w:spacing w:after="0" w:line="240" w:lineRule="auto"/>
              <w:rPr>
                <w:rFonts w:ascii="Calibri" w:eastAsia="Calibri" w:hAnsi="Calibri" w:cs="Times New Roman"/>
                <w:b/>
                <w:sz w:val="18"/>
                <w:szCs w:val="18"/>
                <w:lang w:eastAsia="en-US"/>
              </w:rPr>
            </w:pPr>
            <w:r w:rsidRPr="0013161E">
              <w:rPr>
                <w:rFonts w:eastAsia="Calibri"/>
                <w:b/>
                <w:sz w:val="18"/>
                <w:szCs w:val="18"/>
              </w:rPr>
              <w:t xml:space="preserve">2014 Reporting Note: </w:t>
            </w:r>
            <w:r w:rsidRPr="0013161E">
              <w:rPr>
                <w:rFonts w:eastAsia="Calibri"/>
                <w:sz w:val="18"/>
                <w:szCs w:val="18"/>
              </w:rPr>
              <w:t xml:space="preserve">2014 </w:t>
            </w:r>
            <w:r w:rsidR="00356FEE" w:rsidRPr="0013161E">
              <w:rPr>
                <w:rFonts w:eastAsia="Calibri"/>
                <w:sz w:val="18"/>
                <w:szCs w:val="18"/>
              </w:rPr>
              <w:t>m</w:t>
            </w:r>
            <w:r w:rsidRPr="0013161E">
              <w:rPr>
                <w:rFonts w:eastAsia="Calibri"/>
                <w:sz w:val="18"/>
                <w:szCs w:val="18"/>
              </w:rPr>
              <w:t xml:space="preserve">ilestones </w:t>
            </w:r>
            <w:r w:rsidR="00356FEE" w:rsidRPr="0013161E">
              <w:rPr>
                <w:rFonts w:eastAsia="Calibri"/>
                <w:sz w:val="18"/>
                <w:szCs w:val="18"/>
              </w:rPr>
              <w:t xml:space="preserve">and 2017 targets </w:t>
            </w:r>
            <w:r w:rsidRPr="0013161E">
              <w:rPr>
                <w:rFonts w:eastAsia="Calibri"/>
                <w:sz w:val="18"/>
                <w:szCs w:val="18"/>
              </w:rPr>
              <w:t>updated to reflect more complete reporting from country offices. For reference, previous 2014 milestones were: National: a) 2, b) 5</w:t>
            </w:r>
            <w:r w:rsidR="00720D5B" w:rsidRPr="0013161E">
              <w:rPr>
                <w:rFonts w:eastAsia="Calibri"/>
                <w:sz w:val="18"/>
                <w:szCs w:val="18"/>
              </w:rPr>
              <w:t>, Local: a) 2, b) 4</w:t>
            </w:r>
            <w:r w:rsidR="00356FEE" w:rsidRPr="0013161E">
              <w:rPr>
                <w:rFonts w:eastAsia="Calibri"/>
                <w:sz w:val="18"/>
                <w:szCs w:val="18"/>
              </w:rPr>
              <w:t xml:space="preserve">; previous targets were: National: a) </w:t>
            </w:r>
            <w:r w:rsidR="00570B86" w:rsidRPr="0013161E">
              <w:rPr>
                <w:rFonts w:eastAsia="Calibri"/>
                <w:sz w:val="18"/>
                <w:szCs w:val="18"/>
              </w:rPr>
              <w:t xml:space="preserve">9, b) 15, Local: a) 8, b) 12. </w:t>
            </w:r>
          </w:p>
        </w:tc>
      </w:tr>
      <w:tr w:rsidR="00A90BC9" w:rsidRPr="00015A57" w14:paraId="1E6F61C3" w14:textId="77777777" w:rsidTr="000119D2">
        <w:trPr>
          <w:trHeight w:val="908"/>
          <w:jc w:val="center"/>
        </w:trPr>
        <w:tc>
          <w:tcPr>
            <w:tcW w:w="3325" w:type="dxa"/>
            <w:vMerge w:val="restart"/>
            <w:tcBorders>
              <w:top w:val="single" w:sz="4" w:space="0" w:color="auto"/>
              <w:left w:val="single" w:sz="4" w:space="0" w:color="auto"/>
              <w:right w:val="single" w:sz="4" w:space="0" w:color="auto"/>
            </w:tcBorders>
            <w:shd w:val="clear" w:color="auto" w:fill="FFFFFF"/>
            <w:hideMark/>
          </w:tcPr>
          <w:p w14:paraId="18E13ECF" w14:textId="430D53BD" w:rsidR="00A90BC9" w:rsidRDefault="00A90BC9" w:rsidP="00A90BC9">
            <w:pPr>
              <w:spacing w:after="0" w:line="240" w:lineRule="auto"/>
              <w:rPr>
                <w:rFonts w:eastAsia="Calibri"/>
                <w:sz w:val="20"/>
                <w:szCs w:val="20"/>
              </w:rPr>
            </w:pPr>
            <w:r w:rsidRPr="00B66E9F">
              <w:rPr>
                <w:rFonts w:eastAsia="Calibri"/>
                <w:b/>
                <w:sz w:val="20"/>
                <w:szCs w:val="20"/>
              </w:rPr>
              <w:t xml:space="preserve">Output 5.6. </w:t>
            </w:r>
            <w:r w:rsidR="0081508A">
              <w:rPr>
                <w:rFonts w:eastAsia="Calibri"/>
                <w:sz w:val="20"/>
                <w:szCs w:val="20"/>
              </w:rPr>
              <w:t xml:space="preserve">Mechanisms are enabled for </w:t>
            </w:r>
            <w:r w:rsidRPr="00B66E9F">
              <w:rPr>
                <w:rFonts w:eastAsia="Calibri"/>
                <w:sz w:val="20"/>
                <w:szCs w:val="20"/>
              </w:rPr>
              <w:t>consensus-building around contested priorities, and address specific tensions, through inclusive and peaceful processes</w:t>
            </w:r>
          </w:p>
          <w:p w14:paraId="14335382" w14:textId="77777777" w:rsidR="00A90BC9" w:rsidRDefault="00A90BC9" w:rsidP="00A90BC9">
            <w:pPr>
              <w:spacing w:after="0" w:line="240" w:lineRule="auto"/>
              <w:rPr>
                <w:rFonts w:eastAsia="Calibri"/>
                <w:sz w:val="20"/>
                <w:szCs w:val="20"/>
              </w:rPr>
            </w:pPr>
          </w:p>
          <w:p w14:paraId="55131A26" w14:textId="040F292A" w:rsidR="00CE35AD" w:rsidRDefault="00CE35AD" w:rsidP="00CE35AD">
            <w:pPr>
              <w:spacing w:after="0" w:line="240" w:lineRule="auto"/>
              <w:rPr>
                <w:rFonts w:ascii="Calibri" w:eastAsia="Calibri" w:hAnsi="Calibri"/>
                <w:b/>
                <w:color w:val="000000"/>
                <w:sz w:val="18"/>
                <w:szCs w:val="18"/>
              </w:rPr>
            </w:pPr>
            <w:r w:rsidRPr="00B359E7">
              <w:rPr>
                <w:rFonts w:ascii="Calibri" w:eastAsia="Calibri" w:hAnsi="Calibri"/>
                <w:b/>
                <w:i/>
                <w:color w:val="000000"/>
                <w:sz w:val="18"/>
                <w:szCs w:val="18"/>
              </w:rPr>
              <w:t>Number of countries linked:</w:t>
            </w:r>
            <w:r>
              <w:rPr>
                <w:rFonts w:ascii="Calibri" w:eastAsia="Calibri" w:hAnsi="Calibri"/>
                <w:b/>
                <w:color w:val="000000"/>
                <w:sz w:val="18"/>
                <w:szCs w:val="18"/>
              </w:rPr>
              <w:t xml:space="preserve"> 30</w:t>
            </w:r>
          </w:p>
          <w:p w14:paraId="10176092" w14:textId="58DEFB2C" w:rsidR="00A90BC9" w:rsidRPr="008C4519" w:rsidRDefault="00CE35AD" w:rsidP="00CE35AD">
            <w:pPr>
              <w:spacing w:after="0" w:line="240" w:lineRule="auto"/>
              <w:rPr>
                <w:rFonts w:eastAsia="Calibri"/>
                <w:color w:val="000000"/>
                <w:sz w:val="20"/>
              </w:rPr>
            </w:pPr>
            <w:r>
              <w:rPr>
                <w:rFonts w:ascii="Calibri" w:eastAsia="Calibri" w:hAnsi="Calibri"/>
                <w:b/>
                <w:color w:val="000000"/>
                <w:sz w:val="18"/>
                <w:szCs w:val="18"/>
              </w:rPr>
              <w:t>(February 2015</w:t>
            </w:r>
            <w:r w:rsidRPr="00B359E7">
              <w:rPr>
                <w:rFonts w:ascii="Calibri" w:eastAsia="Calibri" w:hAnsi="Calibri"/>
                <w:b/>
                <w:color w:val="000000"/>
                <w:sz w:val="18"/>
                <w:szCs w:val="18"/>
              </w:rPr>
              <w:t>)</w:t>
            </w:r>
          </w:p>
        </w:tc>
        <w:tc>
          <w:tcPr>
            <w:tcW w:w="720" w:type="dxa"/>
            <w:vMerge w:val="restart"/>
            <w:tcBorders>
              <w:top w:val="single" w:sz="4" w:space="0" w:color="auto"/>
              <w:left w:val="single" w:sz="4" w:space="0" w:color="auto"/>
              <w:right w:val="single" w:sz="4" w:space="0" w:color="auto"/>
            </w:tcBorders>
            <w:shd w:val="clear" w:color="auto" w:fill="FFFFFF"/>
            <w:hideMark/>
          </w:tcPr>
          <w:p w14:paraId="6BE0794F" w14:textId="77777777" w:rsidR="00A90BC9" w:rsidRPr="00E57562" w:rsidRDefault="00A90BC9" w:rsidP="00A90BC9">
            <w:pPr>
              <w:spacing w:after="0" w:line="240" w:lineRule="auto"/>
              <w:rPr>
                <w:rFonts w:eastAsia="Calibri"/>
                <w:b/>
                <w:sz w:val="20"/>
                <w:szCs w:val="20"/>
              </w:rPr>
            </w:pPr>
            <w:r w:rsidRPr="00E57562">
              <w:rPr>
                <w:rFonts w:eastAsia="Calibri"/>
                <w:b/>
                <w:sz w:val="20"/>
                <w:szCs w:val="20"/>
              </w:rPr>
              <w:t>5.6.1</w:t>
            </w:r>
          </w:p>
        </w:tc>
        <w:tc>
          <w:tcPr>
            <w:tcW w:w="5310" w:type="dxa"/>
            <w:tcBorders>
              <w:top w:val="single" w:sz="4" w:space="0" w:color="auto"/>
              <w:left w:val="single" w:sz="4" w:space="0" w:color="auto"/>
              <w:bottom w:val="single" w:sz="4" w:space="0" w:color="auto"/>
              <w:right w:val="single" w:sz="4" w:space="0" w:color="auto"/>
            </w:tcBorders>
            <w:shd w:val="clear" w:color="auto" w:fill="FFFFFF"/>
            <w:hideMark/>
          </w:tcPr>
          <w:p w14:paraId="4D3FC99E" w14:textId="77777777" w:rsidR="00A90BC9" w:rsidRPr="0013161E" w:rsidRDefault="00A90BC9" w:rsidP="00A90BC9">
            <w:pPr>
              <w:spacing w:after="0" w:line="240" w:lineRule="auto"/>
              <w:rPr>
                <w:rFonts w:eastAsia="Calibri"/>
                <w:sz w:val="20"/>
                <w:szCs w:val="20"/>
              </w:rPr>
            </w:pPr>
            <w:r w:rsidRPr="0013161E">
              <w:rPr>
                <w:rFonts w:eastAsia="Calibri"/>
                <w:sz w:val="20"/>
                <w:szCs w:val="20"/>
              </w:rPr>
              <w:t xml:space="preserve">Number of countries where national </w:t>
            </w:r>
            <w:r w:rsidRPr="0013161E">
              <w:rPr>
                <w:rFonts w:eastAsia="Calibri"/>
                <w:b/>
                <w:sz w:val="20"/>
                <w:szCs w:val="20"/>
              </w:rPr>
              <w:t>mechanisms for mediation and consensus building</w:t>
            </w:r>
            <w:r w:rsidRPr="0013161E">
              <w:rPr>
                <w:rFonts w:eastAsia="Calibri"/>
                <w:sz w:val="20"/>
                <w:szCs w:val="20"/>
              </w:rPr>
              <w:t xml:space="preserve"> show </w:t>
            </w:r>
            <w:r w:rsidRPr="0013161E">
              <w:rPr>
                <w:rFonts w:eastAsia="Calibri"/>
                <w:b/>
                <w:sz w:val="20"/>
                <w:szCs w:val="20"/>
              </w:rPr>
              <w:t>increased</w:t>
            </w:r>
            <w:r w:rsidRPr="0013161E">
              <w:rPr>
                <w:rFonts w:eastAsia="Calibri"/>
                <w:sz w:val="20"/>
                <w:szCs w:val="20"/>
              </w:rPr>
              <w:t xml:space="preserve"> capacities to </w:t>
            </w:r>
            <w:r w:rsidRPr="0013161E">
              <w:rPr>
                <w:rFonts w:eastAsia="Calibri"/>
                <w:b/>
                <w:sz w:val="20"/>
                <w:szCs w:val="20"/>
              </w:rPr>
              <w:t>build consensus</w:t>
            </w:r>
            <w:r w:rsidRPr="0013161E">
              <w:rPr>
                <w:rFonts w:eastAsia="Calibri"/>
                <w:sz w:val="20"/>
                <w:szCs w:val="20"/>
              </w:rPr>
              <w:t xml:space="preserve"> on contested issues and resolve disputes</w:t>
            </w:r>
          </w:p>
          <w:p w14:paraId="1D9AB55A" w14:textId="7BBD892F" w:rsidR="00546E49" w:rsidRPr="0013161E" w:rsidRDefault="00546E49" w:rsidP="004E2D72">
            <w:pPr>
              <w:spacing w:before="240" w:after="0" w:line="240" w:lineRule="auto"/>
              <w:rPr>
                <w:rFonts w:eastAsia="Calibri"/>
                <w:sz w:val="20"/>
                <w:szCs w:val="20"/>
              </w:rPr>
            </w:pPr>
            <w:r w:rsidRPr="0013161E">
              <w:rPr>
                <w:rFonts w:eastAsia="Calibri"/>
                <w:b/>
                <w:i/>
                <w:sz w:val="18"/>
                <w:szCs w:val="18"/>
              </w:rPr>
              <w:t xml:space="preserve">Number of countries </w:t>
            </w:r>
            <w:r w:rsidR="00983FF8" w:rsidRPr="0013161E">
              <w:rPr>
                <w:rFonts w:eastAsia="Calibri"/>
                <w:b/>
                <w:i/>
                <w:sz w:val="18"/>
                <w:szCs w:val="18"/>
              </w:rPr>
              <w:t>for which a 2017 target has currently been set under this indicator</w:t>
            </w:r>
            <w:r w:rsidR="001727BB" w:rsidRPr="0013161E">
              <w:rPr>
                <w:rFonts w:eastAsia="Calibri"/>
                <w:b/>
                <w:i/>
                <w:sz w:val="18"/>
                <w:szCs w:val="18"/>
              </w:rPr>
              <w:t>: 20</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532BF5AA" w14:textId="1E352D9B" w:rsidR="00A90BC9" w:rsidRPr="00B66E9F" w:rsidRDefault="0061246D" w:rsidP="0061246D">
            <w:pPr>
              <w:spacing w:after="0" w:line="240" w:lineRule="auto"/>
              <w:jc w:val="center"/>
              <w:rPr>
                <w:rFonts w:eastAsia="Calibri"/>
                <w:sz w:val="20"/>
                <w:szCs w:val="20"/>
              </w:rPr>
            </w:pPr>
            <w:r>
              <w:rPr>
                <w:rFonts w:eastAsia="Calibri"/>
                <w:sz w:val="20"/>
                <w:szCs w:val="20"/>
              </w:rPr>
              <w:t>0</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587C6EE5" w14:textId="5410B10B" w:rsidR="00A90BC9" w:rsidRPr="00B66E9F" w:rsidRDefault="00773C05" w:rsidP="00695A43">
            <w:pPr>
              <w:spacing w:after="0" w:line="240" w:lineRule="auto"/>
              <w:jc w:val="center"/>
              <w:rPr>
                <w:rFonts w:eastAsia="Calibri"/>
                <w:sz w:val="20"/>
                <w:szCs w:val="20"/>
              </w:rPr>
            </w:pPr>
            <w:r>
              <w:rPr>
                <w:rFonts w:eastAsia="Calibri"/>
                <w:sz w:val="20"/>
                <w:szCs w:val="20"/>
              </w:rPr>
              <w:t>11</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38B735DC" w14:textId="1F64C8B7" w:rsidR="00A90BC9" w:rsidRPr="00B66E9F" w:rsidRDefault="00773C05" w:rsidP="00695A43">
            <w:pPr>
              <w:spacing w:after="0" w:line="240" w:lineRule="auto"/>
              <w:jc w:val="center"/>
              <w:rPr>
                <w:rFonts w:eastAsia="Calibri"/>
                <w:sz w:val="20"/>
                <w:szCs w:val="20"/>
              </w:rPr>
            </w:pPr>
            <w:r>
              <w:rPr>
                <w:rFonts w:eastAsia="Calibri"/>
                <w:sz w:val="20"/>
                <w:szCs w:val="20"/>
              </w:rPr>
              <w:t>10</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14:paraId="679A1DA0" w14:textId="77777777" w:rsidR="00A90BC9" w:rsidRPr="00B66E9F" w:rsidRDefault="00695A43" w:rsidP="00695A43">
            <w:pPr>
              <w:spacing w:after="0" w:line="240" w:lineRule="auto"/>
              <w:jc w:val="center"/>
              <w:rPr>
                <w:rFonts w:eastAsia="Calibri"/>
                <w:sz w:val="20"/>
                <w:szCs w:val="20"/>
              </w:rPr>
            </w:pPr>
            <w:r>
              <w:rPr>
                <w:rFonts w:eastAsia="Calibri"/>
                <w:sz w:val="20"/>
                <w:szCs w:val="20"/>
              </w:rPr>
              <w:t>19</w:t>
            </w:r>
          </w:p>
        </w:tc>
      </w:tr>
      <w:tr w:rsidR="00A90BC9" w:rsidRPr="00015A57" w14:paraId="323C6CF8" w14:textId="77777777" w:rsidTr="000119D2">
        <w:trPr>
          <w:trHeight w:val="530"/>
          <w:jc w:val="center"/>
        </w:trPr>
        <w:tc>
          <w:tcPr>
            <w:tcW w:w="3325" w:type="dxa"/>
            <w:vMerge/>
            <w:tcBorders>
              <w:left w:val="single" w:sz="4" w:space="0" w:color="auto"/>
              <w:bottom w:val="single" w:sz="4" w:space="0" w:color="auto"/>
              <w:right w:val="single" w:sz="4" w:space="0" w:color="auto"/>
            </w:tcBorders>
            <w:shd w:val="clear" w:color="auto" w:fill="FFFFFF"/>
          </w:tcPr>
          <w:p w14:paraId="32063920" w14:textId="77777777" w:rsidR="00A90BC9" w:rsidRPr="00B66E9F" w:rsidRDefault="00A90BC9" w:rsidP="00A90BC9">
            <w:pPr>
              <w:spacing w:after="0" w:line="240" w:lineRule="auto"/>
              <w:rPr>
                <w:rFonts w:eastAsia="Calibri"/>
                <w:b/>
                <w:sz w:val="20"/>
                <w:szCs w:val="20"/>
              </w:rPr>
            </w:pPr>
          </w:p>
        </w:tc>
        <w:tc>
          <w:tcPr>
            <w:tcW w:w="720" w:type="dxa"/>
            <w:vMerge/>
            <w:tcBorders>
              <w:left w:val="single" w:sz="4" w:space="0" w:color="auto"/>
              <w:right w:val="single" w:sz="4" w:space="0" w:color="auto"/>
            </w:tcBorders>
            <w:shd w:val="clear" w:color="auto" w:fill="FFFFFF"/>
          </w:tcPr>
          <w:p w14:paraId="33CA5ED0" w14:textId="77777777" w:rsidR="00A90BC9" w:rsidRPr="00B66E9F" w:rsidRDefault="00A90BC9" w:rsidP="00A90BC9">
            <w:pPr>
              <w:spacing w:after="0" w:line="240" w:lineRule="auto"/>
              <w:rPr>
                <w:rFonts w:eastAsia="Calibri"/>
                <w:b/>
                <w:sz w:val="20"/>
                <w:szCs w:val="20"/>
              </w:rPr>
            </w:pPr>
          </w:p>
        </w:tc>
        <w:tc>
          <w:tcPr>
            <w:tcW w:w="10602" w:type="dxa"/>
            <w:gridSpan w:val="5"/>
            <w:tcBorders>
              <w:top w:val="single" w:sz="4" w:space="0" w:color="auto"/>
              <w:left w:val="single" w:sz="4" w:space="0" w:color="auto"/>
              <w:right w:val="single" w:sz="4" w:space="0" w:color="auto"/>
            </w:tcBorders>
            <w:shd w:val="clear" w:color="auto" w:fill="D9D9D9" w:themeFill="background1" w:themeFillShade="D9"/>
          </w:tcPr>
          <w:p w14:paraId="7874E686" w14:textId="77777777" w:rsidR="00A90BC9" w:rsidRPr="000119D2" w:rsidRDefault="00A90BC9" w:rsidP="00D659DC">
            <w:pPr>
              <w:spacing w:after="0" w:line="240" w:lineRule="auto"/>
              <w:rPr>
                <w:rFonts w:eastAsia="Calibri"/>
                <w:sz w:val="18"/>
                <w:szCs w:val="18"/>
              </w:rPr>
            </w:pPr>
            <w:r w:rsidRPr="000119D2">
              <w:rPr>
                <w:rFonts w:ascii="Calibri" w:eastAsia="Calibri" w:hAnsi="Calibri" w:cs="Times New Roman"/>
                <w:b/>
                <w:sz w:val="18"/>
                <w:szCs w:val="18"/>
                <w:lang w:eastAsia="en-US"/>
              </w:rPr>
              <w:t>Indicator 5.6.1 Note:</w:t>
            </w:r>
            <w:r w:rsidR="00695A43" w:rsidRPr="000119D2">
              <w:rPr>
                <w:rFonts w:ascii="Calibri" w:eastAsia="Calibri" w:hAnsi="Calibri" w:cs="Times New Roman"/>
                <w:b/>
                <w:sz w:val="18"/>
                <w:szCs w:val="18"/>
                <w:lang w:eastAsia="en-US"/>
              </w:rPr>
              <w:t xml:space="preserve"> </w:t>
            </w:r>
            <w:r w:rsidR="00695A43" w:rsidRPr="000119D2">
              <w:rPr>
                <w:rFonts w:ascii="Calibri" w:eastAsia="Calibri" w:hAnsi="Calibri" w:cs="Times New Roman"/>
                <w:sz w:val="18"/>
                <w:szCs w:val="18"/>
                <w:lang w:eastAsia="en-US"/>
              </w:rPr>
              <w:t>Q</w:t>
            </w:r>
            <w:r w:rsidR="00695A43" w:rsidRPr="000119D2">
              <w:rPr>
                <w:rFonts w:eastAsia="Calibri"/>
                <w:sz w:val="18"/>
                <w:szCs w:val="18"/>
              </w:rPr>
              <w:t xml:space="preserve">ualitative indicator </w:t>
            </w:r>
            <w:r w:rsidR="00695A43" w:rsidRPr="000119D2">
              <w:rPr>
                <w:rFonts w:ascii="Calibri" w:eastAsia="Calibri" w:hAnsi="Calibri"/>
                <w:sz w:val="18"/>
                <w:szCs w:val="18"/>
              </w:rPr>
              <w:t xml:space="preserve">through which effectiveness of UNDP’s support (on demand </w:t>
            </w:r>
            <w:r w:rsidR="00695A43" w:rsidRPr="000119D2">
              <w:rPr>
                <w:sz w:val="18"/>
                <w:szCs w:val="18"/>
              </w:rPr>
              <w:t>from programme countries</w:t>
            </w:r>
            <w:r w:rsidR="00695A43" w:rsidRPr="000119D2">
              <w:rPr>
                <w:rFonts w:ascii="Calibri" w:eastAsia="Calibri" w:hAnsi="Calibri"/>
                <w:sz w:val="18"/>
                <w:szCs w:val="18"/>
              </w:rPr>
              <w:t>)</w:t>
            </w:r>
            <w:r w:rsidR="00695A43" w:rsidRPr="000119D2">
              <w:rPr>
                <w:sz w:val="18"/>
                <w:szCs w:val="18"/>
              </w:rPr>
              <w:t xml:space="preserve"> to </w:t>
            </w:r>
            <w:r w:rsidR="00ED70AA" w:rsidRPr="000119D2">
              <w:rPr>
                <w:rFonts w:eastAsia="Calibri"/>
                <w:sz w:val="18"/>
                <w:szCs w:val="18"/>
              </w:rPr>
              <w:t>increase capacities of</w:t>
            </w:r>
            <w:r w:rsidR="00695A43" w:rsidRPr="000119D2">
              <w:rPr>
                <w:rFonts w:eastAsia="Calibri"/>
                <w:sz w:val="18"/>
                <w:szCs w:val="18"/>
              </w:rPr>
              <w:t xml:space="preserve"> </w:t>
            </w:r>
            <w:r w:rsidR="00001A01" w:rsidRPr="000119D2">
              <w:rPr>
                <w:rFonts w:eastAsia="Calibri"/>
                <w:sz w:val="18"/>
                <w:szCs w:val="18"/>
              </w:rPr>
              <w:t>mechanisms for mediation and consensus-building</w:t>
            </w:r>
            <w:r w:rsidR="00695A43" w:rsidRPr="000119D2">
              <w:rPr>
                <w:rFonts w:eastAsia="Calibri"/>
                <w:sz w:val="18"/>
                <w:szCs w:val="18"/>
              </w:rPr>
              <w:t xml:space="preserve">, is assessed based on objective criteria and evidence. The effectiveness of UNDP’s support is tracked using a qualitative rating scale (1= not adequately, 2= </w:t>
            </w:r>
            <w:r w:rsidR="00B349EB" w:rsidRPr="000119D2">
              <w:rPr>
                <w:rFonts w:eastAsia="Calibri"/>
                <w:sz w:val="18"/>
                <w:szCs w:val="18"/>
              </w:rPr>
              <w:t xml:space="preserve">very </w:t>
            </w:r>
            <w:r w:rsidR="00695A43" w:rsidRPr="000119D2">
              <w:rPr>
                <w:rFonts w:eastAsia="Calibri"/>
                <w:sz w:val="18"/>
                <w:szCs w:val="18"/>
              </w:rPr>
              <w:t xml:space="preserve">partially, </w:t>
            </w:r>
            <w:r w:rsidR="00B349EB" w:rsidRPr="000119D2">
              <w:rPr>
                <w:rFonts w:eastAsia="Calibri"/>
                <w:sz w:val="18"/>
                <w:szCs w:val="18"/>
              </w:rPr>
              <w:t>3=partially, and 4</w:t>
            </w:r>
            <w:r w:rsidR="00695A43" w:rsidRPr="000119D2">
              <w:rPr>
                <w:rFonts w:eastAsia="Calibri"/>
                <w:sz w:val="18"/>
                <w:szCs w:val="18"/>
              </w:rPr>
              <w:t>=largely), counting the number of countries where UNDP-supported capacities improved from January 2014 onwards.</w:t>
            </w:r>
          </w:p>
          <w:p w14:paraId="75A41166" w14:textId="258DD02C" w:rsidR="00773C05" w:rsidRPr="000119D2" w:rsidRDefault="00773C05" w:rsidP="001727BB">
            <w:pPr>
              <w:spacing w:after="0" w:line="240" w:lineRule="auto"/>
              <w:rPr>
                <w:rFonts w:ascii="Calibri" w:eastAsia="Calibri" w:hAnsi="Calibri" w:cs="Times New Roman"/>
                <w:b/>
                <w:sz w:val="18"/>
                <w:szCs w:val="18"/>
                <w:lang w:eastAsia="en-US"/>
              </w:rPr>
            </w:pPr>
            <w:r w:rsidRPr="000119D2">
              <w:rPr>
                <w:rFonts w:eastAsia="Calibri"/>
                <w:b/>
                <w:sz w:val="18"/>
                <w:szCs w:val="18"/>
              </w:rPr>
              <w:t xml:space="preserve">2014 Reporting Note: </w:t>
            </w:r>
            <w:r w:rsidRPr="000119D2">
              <w:rPr>
                <w:rFonts w:eastAsia="Calibri"/>
                <w:sz w:val="18"/>
                <w:szCs w:val="18"/>
              </w:rPr>
              <w:t xml:space="preserve">2014 </w:t>
            </w:r>
            <w:r w:rsidR="001727BB" w:rsidRPr="000119D2">
              <w:rPr>
                <w:rFonts w:eastAsia="Calibri"/>
                <w:sz w:val="18"/>
                <w:szCs w:val="18"/>
              </w:rPr>
              <w:t>milestone</w:t>
            </w:r>
            <w:r w:rsidRPr="000119D2">
              <w:rPr>
                <w:rFonts w:eastAsia="Calibri"/>
                <w:sz w:val="18"/>
                <w:szCs w:val="18"/>
              </w:rPr>
              <w:t xml:space="preserve"> updated to reflect more complete reporting from country offices. For reference, previous 2014 milestone was: 10</w:t>
            </w:r>
          </w:p>
        </w:tc>
      </w:tr>
    </w:tbl>
    <w:p w14:paraId="532D23C2" w14:textId="7F76FFEE" w:rsidR="000119D2" w:rsidRDefault="000119D2" w:rsidP="00FB6728">
      <w:pPr>
        <w:spacing w:after="120" w:line="240" w:lineRule="auto"/>
        <w:rPr>
          <w:rFonts w:eastAsia="Calibri"/>
        </w:rPr>
      </w:pPr>
    </w:p>
    <w:p w14:paraId="134541AE" w14:textId="77777777" w:rsidR="000119D2" w:rsidRDefault="000119D2">
      <w:pPr>
        <w:rPr>
          <w:rFonts w:eastAsia="Calibri"/>
        </w:rPr>
      </w:pPr>
      <w:r>
        <w:rPr>
          <w:rFonts w:eastAsia="Calibri"/>
        </w:rPr>
        <w:br w:type="page"/>
      </w:r>
    </w:p>
    <w:tbl>
      <w:tblPr>
        <w:tblW w:w="14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550"/>
        <w:gridCol w:w="2610"/>
        <w:gridCol w:w="1080"/>
        <w:gridCol w:w="1980"/>
      </w:tblGrid>
      <w:tr w:rsidR="004E2D72" w:rsidRPr="00283732" w14:paraId="7374ABA2" w14:textId="77777777" w:rsidTr="00EF7BF7">
        <w:trPr>
          <w:trHeight w:val="395"/>
          <w:jc w:val="center"/>
        </w:trPr>
        <w:tc>
          <w:tcPr>
            <w:tcW w:w="14935" w:type="dxa"/>
            <w:gridSpan w:val="5"/>
            <w:tcBorders>
              <w:top w:val="single" w:sz="4" w:space="0" w:color="auto"/>
              <w:left w:val="single" w:sz="4" w:space="0" w:color="auto"/>
              <w:bottom w:val="single" w:sz="4" w:space="0" w:color="auto"/>
              <w:right w:val="single" w:sz="4" w:space="0" w:color="auto"/>
            </w:tcBorders>
            <w:shd w:val="clear" w:color="auto" w:fill="0070C0"/>
          </w:tcPr>
          <w:p w14:paraId="05C1B620" w14:textId="70700014" w:rsidR="004E2D72" w:rsidRPr="00C447CB" w:rsidRDefault="004E2D72" w:rsidP="009718BB">
            <w:pPr>
              <w:shd w:val="clear" w:color="auto" w:fill="0070C0"/>
              <w:spacing w:after="0" w:line="240" w:lineRule="auto"/>
              <w:ind w:hanging="18"/>
              <w:rPr>
                <w:rFonts w:eastAsia="Calibri"/>
                <w:b/>
                <w:color w:val="FFFF00"/>
              </w:rPr>
            </w:pPr>
            <w:r w:rsidRPr="00C447CB">
              <w:rPr>
                <w:rFonts w:eastAsia="Calibri"/>
                <w:b/>
                <w:color w:val="FFFF00"/>
              </w:rPr>
              <w:br w:type="page"/>
            </w:r>
            <w:r w:rsidRPr="00C447CB">
              <w:rPr>
                <w:rStyle w:val="Heading3Char"/>
                <w:rFonts w:asciiTheme="minorHAnsi" w:eastAsia="Calibri" w:hAnsiTheme="minorHAnsi"/>
                <w:color w:val="FFFF00"/>
                <w:sz w:val="24"/>
                <w:szCs w:val="24"/>
                <w:u w:val="single"/>
              </w:rPr>
              <w:t>Outcome 6:</w:t>
            </w:r>
            <w:r w:rsidRPr="00C447CB">
              <w:rPr>
                <w:rFonts w:eastAsia="Calibri"/>
                <w:b/>
                <w:color w:val="FFFF00"/>
                <w:sz w:val="24"/>
                <w:szCs w:val="24"/>
              </w:rPr>
              <w:t xml:space="preserve"> Early recovery and rapid return to sustainable development pathways are achieved in post-conflict and post-disaster settings</w:t>
            </w:r>
          </w:p>
        </w:tc>
      </w:tr>
      <w:tr w:rsidR="00F41360" w:rsidRPr="00283732" w14:paraId="73E13C82" w14:textId="77777777" w:rsidTr="005C5885">
        <w:trPr>
          <w:trHeight w:val="263"/>
          <w:jc w:val="center"/>
        </w:trPr>
        <w:tc>
          <w:tcPr>
            <w:tcW w:w="9265"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DE96707" w14:textId="77777777" w:rsidR="00F41360" w:rsidRPr="00B66E9F" w:rsidRDefault="00F41360" w:rsidP="0060471A">
            <w:pPr>
              <w:spacing w:after="0" w:line="240" w:lineRule="auto"/>
              <w:rPr>
                <w:rFonts w:eastAsia="Calibri"/>
                <w:sz w:val="20"/>
                <w:szCs w:val="20"/>
              </w:rPr>
            </w:pPr>
            <w:r w:rsidRPr="00B66E9F">
              <w:rPr>
                <w:rFonts w:eastAsia="Calibri"/>
                <w:b/>
                <w:sz w:val="20"/>
                <w:szCs w:val="20"/>
              </w:rPr>
              <w:t>Outcome Indicators</w:t>
            </w:r>
            <w:r w:rsidRPr="00B66E9F">
              <w:rPr>
                <w:rFonts w:eastAsia="Calibri"/>
                <w:sz w:val="20"/>
                <w:szCs w:val="20"/>
              </w:rPr>
              <w:t xml:space="preserve"> </w:t>
            </w:r>
            <w:r w:rsidRPr="0073714F">
              <w:rPr>
                <w:i/>
                <w:sz w:val="18"/>
                <w:szCs w:val="18"/>
              </w:rPr>
              <w:t xml:space="preserve">The </w:t>
            </w:r>
            <w:r>
              <w:rPr>
                <w:i/>
                <w:sz w:val="18"/>
                <w:szCs w:val="18"/>
              </w:rPr>
              <w:t>18-</w:t>
            </w:r>
            <w:r w:rsidRPr="0073714F">
              <w:rPr>
                <w:i/>
                <w:sz w:val="18"/>
                <w:szCs w:val="18"/>
              </w:rPr>
              <w:t xml:space="preserve">month period depicts the duration of </w:t>
            </w:r>
            <w:r>
              <w:rPr>
                <w:i/>
                <w:sz w:val="18"/>
                <w:szCs w:val="18"/>
              </w:rPr>
              <w:t>a typical</w:t>
            </w:r>
            <w:r w:rsidRPr="0073714F">
              <w:rPr>
                <w:i/>
                <w:sz w:val="18"/>
                <w:szCs w:val="18"/>
              </w:rPr>
              <w:t xml:space="preserve"> humanitarian phase. Note that all milestones and targets will need to be adjusted depending on the number of countries that might be affected by disasters between mid-2014 and 2017</w:t>
            </w:r>
            <w:r>
              <w:rPr>
                <w:i/>
                <w:sz w:val="18"/>
                <w:szCs w:val="18"/>
              </w:rPr>
              <w:t>.</w:t>
            </w:r>
          </w:p>
        </w:tc>
        <w:tc>
          <w:tcPr>
            <w:tcW w:w="2610" w:type="dxa"/>
            <w:tcBorders>
              <w:top w:val="single" w:sz="4" w:space="0" w:color="auto"/>
              <w:left w:val="single" w:sz="4" w:space="0" w:color="auto"/>
              <w:bottom w:val="single" w:sz="4" w:space="0" w:color="auto"/>
              <w:right w:val="single" w:sz="4" w:space="0" w:color="auto"/>
            </w:tcBorders>
            <w:shd w:val="clear" w:color="auto" w:fill="F2F2F2"/>
          </w:tcPr>
          <w:p w14:paraId="5E225713" w14:textId="77777777" w:rsidR="00F41360" w:rsidRPr="00B66E9F" w:rsidRDefault="00F41360" w:rsidP="009718BB">
            <w:pPr>
              <w:spacing w:after="0" w:line="240" w:lineRule="auto"/>
              <w:rPr>
                <w:rFonts w:eastAsia="Calibri"/>
                <w:b/>
                <w:sz w:val="20"/>
                <w:szCs w:val="20"/>
              </w:rPr>
            </w:pPr>
            <w:r w:rsidRPr="00B66E9F">
              <w:rPr>
                <w:rFonts w:eastAsia="Calibri"/>
                <w:b/>
                <w:sz w:val="20"/>
                <w:szCs w:val="20"/>
              </w:rPr>
              <w:t>Base line 2013</w:t>
            </w: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1A0CA04F" w14:textId="65393406" w:rsidR="00F41360" w:rsidRPr="00B66E9F" w:rsidRDefault="00F41360" w:rsidP="009718BB">
            <w:pPr>
              <w:spacing w:after="0" w:line="240" w:lineRule="auto"/>
              <w:rPr>
                <w:rFonts w:eastAsia="Calibri"/>
                <w:b/>
                <w:sz w:val="20"/>
                <w:szCs w:val="20"/>
              </w:rPr>
            </w:pPr>
            <w:r>
              <w:rPr>
                <w:rFonts w:eastAsia="Calibri"/>
                <w:b/>
                <w:sz w:val="20"/>
                <w:szCs w:val="20"/>
              </w:rPr>
              <w:t>Actual 2014</w:t>
            </w:r>
          </w:p>
        </w:tc>
        <w:tc>
          <w:tcPr>
            <w:tcW w:w="1980" w:type="dxa"/>
            <w:tcBorders>
              <w:top w:val="single" w:sz="4" w:space="0" w:color="auto"/>
              <w:left w:val="single" w:sz="4" w:space="0" w:color="auto"/>
              <w:bottom w:val="single" w:sz="4" w:space="0" w:color="auto"/>
              <w:right w:val="single" w:sz="4" w:space="0" w:color="auto"/>
            </w:tcBorders>
            <w:shd w:val="clear" w:color="auto" w:fill="F2F2F2"/>
          </w:tcPr>
          <w:p w14:paraId="66736471" w14:textId="4462B6D3" w:rsidR="00F41360" w:rsidRPr="00B66E9F" w:rsidRDefault="00F41360" w:rsidP="009718BB">
            <w:pPr>
              <w:spacing w:after="0" w:line="240" w:lineRule="auto"/>
              <w:rPr>
                <w:rFonts w:eastAsia="Calibri"/>
                <w:b/>
                <w:sz w:val="20"/>
                <w:szCs w:val="20"/>
              </w:rPr>
            </w:pPr>
            <w:r w:rsidRPr="00B66E9F">
              <w:rPr>
                <w:rFonts w:eastAsia="Calibri"/>
                <w:b/>
                <w:sz w:val="20"/>
                <w:szCs w:val="20"/>
              </w:rPr>
              <w:t>Target 2017</w:t>
            </w:r>
          </w:p>
        </w:tc>
      </w:tr>
      <w:tr w:rsidR="00F41360" w:rsidRPr="00283732" w14:paraId="3555A05F" w14:textId="77777777" w:rsidTr="005C5885">
        <w:trPr>
          <w:trHeight w:val="404"/>
          <w:jc w:val="center"/>
        </w:trPr>
        <w:tc>
          <w:tcPr>
            <w:tcW w:w="715" w:type="dxa"/>
            <w:vMerge w:val="restart"/>
            <w:tcBorders>
              <w:top w:val="single" w:sz="4" w:space="0" w:color="auto"/>
              <w:left w:val="single" w:sz="4" w:space="0" w:color="auto"/>
              <w:right w:val="single" w:sz="4" w:space="0" w:color="auto"/>
            </w:tcBorders>
            <w:shd w:val="clear" w:color="auto" w:fill="FFFFFF" w:themeFill="background1"/>
            <w:hideMark/>
          </w:tcPr>
          <w:p w14:paraId="22DB31ED" w14:textId="77777777" w:rsidR="00F41360" w:rsidRPr="00B66E9F" w:rsidRDefault="00F41360" w:rsidP="0014210C">
            <w:pPr>
              <w:spacing w:after="0" w:line="240" w:lineRule="auto"/>
              <w:ind w:right="162"/>
              <w:rPr>
                <w:sz w:val="20"/>
                <w:szCs w:val="20"/>
              </w:rPr>
            </w:pPr>
            <w:r w:rsidRPr="00B66E9F">
              <w:rPr>
                <w:rFonts w:eastAsia="Calibri"/>
                <w:b/>
                <w:sz w:val="20"/>
                <w:szCs w:val="20"/>
              </w:rPr>
              <w:t>6.1</w:t>
            </w:r>
            <w:r w:rsidRPr="00B66E9F">
              <w:rPr>
                <w:rFonts w:eastAsia="Calibri"/>
                <w:sz w:val="20"/>
                <w:szCs w:val="20"/>
              </w:rPr>
              <w:t xml:space="preserve"> </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171DC0" w14:textId="6F0C6834" w:rsidR="00F41360" w:rsidRPr="00787121" w:rsidRDefault="00F41360" w:rsidP="00AA40DA">
            <w:pPr>
              <w:spacing w:after="0" w:line="240" w:lineRule="auto"/>
              <w:ind w:right="162"/>
              <w:rPr>
                <w:sz w:val="20"/>
                <w:szCs w:val="20"/>
              </w:rPr>
            </w:pPr>
            <w:r w:rsidRPr="00787121">
              <w:rPr>
                <w:rFonts w:eastAsia="Calibri"/>
                <w:sz w:val="20"/>
                <w:szCs w:val="20"/>
              </w:rPr>
              <w:t>Percentage of affected populations meeting critical benchmarks for social and economic recovery within 18 months after a crisis, disaggregated by type of crisi</w:t>
            </w:r>
            <w:r w:rsidR="00AA40DA" w:rsidRPr="00787121">
              <w:rPr>
                <w:rFonts w:eastAsia="Calibri"/>
                <w:sz w:val="20"/>
                <w:szCs w:val="20"/>
              </w:rPr>
              <w:t>s</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D219E" w14:textId="77777777" w:rsidR="00F41360" w:rsidRPr="00787121" w:rsidRDefault="00F41360" w:rsidP="0014210C">
            <w:pPr>
              <w:spacing w:after="0" w:line="240" w:lineRule="auto"/>
              <w:rPr>
                <w:sz w:val="20"/>
              </w:rPr>
            </w:pPr>
            <w:r w:rsidRPr="00787121">
              <w:rPr>
                <w:sz w:val="20"/>
              </w:rPr>
              <w:t>45% (disaster)</w:t>
            </w:r>
          </w:p>
          <w:p w14:paraId="55856E9A" w14:textId="228EC7FE" w:rsidR="00F41360" w:rsidRPr="00787121" w:rsidRDefault="00AA40DA" w:rsidP="0014210C">
            <w:pPr>
              <w:spacing w:after="0" w:line="240" w:lineRule="auto"/>
              <w:rPr>
                <w:sz w:val="20"/>
              </w:rPr>
            </w:pPr>
            <w:r w:rsidRPr="00787121">
              <w:rPr>
                <w:sz w:val="20"/>
              </w:rPr>
              <w:t>40% (conflict)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0DBEB7B" w14:textId="03B4A3E5" w:rsidR="00F41360" w:rsidRPr="00787121" w:rsidRDefault="005A182C" w:rsidP="005A182C">
            <w:pPr>
              <w:spacing w:after="0" w:line="240" w:lineRule="auto"/>
              <w:rPr>
                <w:sz w:val="20"/>
              </w:rPr>
            </w:pPr>
            <w:r w:rsidRPr="00787121">
              <w:rPr>
                <w:sz w:val="20"/>
              </w:rPr>
              <w:t>Not yet available</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0DBB0" w14:textId="716EC080" w:rsidR="00F41360" w:rsidRPr="00787121" w:rsidRDefault="00F41360" w:rsidP="0014210C">
            <w:pPr>
              <w:spacing w:after="0" w:line="240" w:lineRule="auto"/>
              <w:rPr>
                <w:sz w:val="20"/>
              </w:rPr>
            </w:pPr>
            <w:r w:rsidRPr="00787121">
              <w:rPr>
                <w:sz w:val="20"/>
              </w:rPr>
              <w:t>65% (disaster)</w:t>
            </w:r>
          </w:p>
          <w:p w14:paraId="0F651EA7" w14:textId="0BEA7265" w:rsidR="00F41360" w:rsidRPr="00787121" w:rsidRDefault="00AA40DA" w:rsidP="0014210C">
            <w:pPr>
              <w:spacing w:after="0" w:line="240" w:lineRule="auto"/>
              <w:rPr>
                <w:sz w:val="20"/>
              </w:rPr>
            </w:pPr>
            <w:r w:rsidRPr="00787121">
              <w:rPr>
                <w:sz w:val="20"/>
              </w:rPr>
              <w:t>65% (conflict)</w:t>
            </w:r>
          </w:p>
        </w:tc>
      </w:tr>
      <w:tr w:rsidR="00BA4DB2" w:rsidRPr="00283732" w14:paraId="0A5A34EF" w14:textId="77777777" w:rsidTr="00836C1D">
        <w:trPr>
          <w:trHeight w:val="404"/>
          <w:jc w:val="center"/>
        </w:trPr>
        <w:tc>
          <w:tcPr>
            <w:tcW w:w="715" w:type="dxa"/>
            <w:vMerge/>
            <w:tcBorders>
              <w:left w:val="single" w:sz="4" w:space="0" w:color="auto"/>
              <w:bottom w:val="single" w:sz="4" w:space="0" w:color="auto"/>
              <w:right w:val="single" w:sz="4" w:space="0" w:color="auto"/>
            </w:tcBorders>
            <w:shd w:val="clear" w:color="auto" w:fill="FFFFFF" w:themeFill="background1"/>
          </w:tcPr>
          <w:p w14:paraId="30F61CBA" w14:textId="77777777" w:rsidR="00BA4DB2" w:rsidRPr="00B66E9F" w:rsidRDefault="00BA4DB2" w:rsidP="00C673E2">
            <w:pPr>
              <w:spacing w:after="0" w:line="240" w:lineRule="auto"/>
              <w:ind w:right="162"/>
              <w:rPr>
                <w:rFonts w:eastAsia="Calibri"/>
                <w:b/>
                <w:sz w:val="20"/>
                <w:szCs w:val="20"/>
              </w:rPr>
            </w:pPr>
          </w:p>
        </w:tc>
        <w:tc>
          <w:tcPr>
            <w:tcW w:w="14220" w:type="dxa"/>
            <w:gridSpan w:val="4"/>
            <w:tcBorders>
              <w:left w:val="single" w:sz="4" w:space="0" w:color="auto"/>
              <w:bottom w:val="single" w:sz="4" w:space="0" w:color="auto"/>
              <w:right w:val="single" w:sz="4" w:space="0" w:color="auto"/>
            </w:tcBorders>
            <w:shd w:val="clear" w:color="auto" w:fill="D9D9D9" w:themeFill="background1" w:themeFillShade="D9"/>
          </w:tcPr>
          <w:p w14:paraId="1847FFBB" w14:textId="7E30D415" w:rsidR="00BA4DB2" w:rsidRPr="00A90516" w:rsidRDefault="00BA4DB2" w:rsidP="00C673E2">
            <w:pPr>
              <w:spacing w:after="0" w:line="240" w:lineRule="auto"/>
              <w:rPr>
                <w:sz w:val="18"/>
                <w:szCs w:val="18"/>
              </w:rPr>
            </w:pPr>
            <w:r w:rsidRPr="00A90516">
              <w:rPr>
                <w:b/>
                <w:sz w:val="18"/>
                <w:szCs w:val="18"/>
              </w:rPr>
              <w:t>Source</w:t>
            </w:r>
            <w:r w:rsidRPr="00A90516">
              <w:rPr>
                <w:sz w:val="18"/>
                <w:szCs w:val="18"/>
              </w:rPr>
              <w:t>: The measurement is based on building blocks of affected men and women's livelihoods (financial e.g. jobs/income; human; natural; physical; social), recovery of household /</w:t>
            </w:r>
            <w:r w:rsidR="00A90516">
              <w:rPr>
                <w:sz w:val="18"/>
                <w:szCs w:val="18"/>
              </w:rPr>
              <w:t xml:space="preserve"> </w:t>
            </w:r>
            <w:r w:rsidRPr="00A90516">
              <w:rPr>
                <w:sz w:val="18"/>
                <w:szCs w:val="18"/>
              </w:rPr>
              <w:t xml:space="preserve">community assets, and access to key socio-economic infrastructure that allow crisis affected people to build back better. The main focus is on stabilizing affected men and women’s livelihoods. A livelihood refers to capabilities, assets (both material and social) and activities required for a living. It has five building blocks: financial; social; human, natural, and physical. Early livelihoods opportunities that are sustainable </w:t>
            </w:r>
            <w:r w:rsidR="00A90516">
              <w:rPr>
                <w:sz w:val="18"/>
                <w:szCs w:val="18"/>
              </w:rPr>
              <w:t>should be put</w:t>
            </w:r>
            <w:r w:rsidRPr="00A90516">
              <w:rPr>
                <w:sz w:val="18"/>
                <w:szCs w:val="18"/>
              </w:rPr>
              <w:t xml:space="preserve"> in place right from the humanitarian settings. Data is based on historical trends and a percentage based on the average number of people reached in previous crises.</w:t>
            </w:r>
          </w:p>
          <w:p w14:paraId="6CB8D898" w14:textId="6D2C5E2E" w:rsidR="00AA40DA" w:rsidRPr="00A90516" w:rsidRDefault="00AA40DA" w:rsidP="00CC181C">
            <w:pPr>
              <w:spacing w:after="0" w:line="240" w:lineRule="auto"/>
              <w:rPr>
                <w:sz w:val="20"/>
                <w:szCs w:val="20"/>
              </w:rPr>
            </w:pPr>
            <w:r w:rsidRPr="00A90516">
              <w:rPr>
                <w:rFonts w:eastAsia="Calibri"/>
                <w:b/>
                <w:sz w:val="18"/>
                <w:szCs w:val="18"/>
              </w:rPr>
              <w:t xml:space="preserve">2014 Reporting Note: </w:t>
            </w:r>
            <w:r w:rsidRPr="00A90516">
              <w:rPr>
                <w:rFonts w:eastAsia="Calibri"/>
                <w:sz w:val="18"/>
                <w:szCs w:val="18"/>
              </w:rPr>
              <w:t>Indicator</w:t>
            </w:r>
            <w:r w:rsidR="00377AD9" w:rsidRPr="00A90516">
              <w:rPr>
                <w:rFonts w:eastAsia="Calibri"/>
                <w:sz w:val="18"/>
                <w:szCs w:val="18"/>
              </w:rPr>
              <w:t xml:space="preserve"> calc</w:t>
            </w:r>
            <w:r w:rsidR="00CC181C" w:rsidRPr="00A90516">
              <w:rPr>
                <w:rFonts w:eastAsia="Calibri"/>
                <w:sz w:val="18"/>
                <w:szCs w:val="18"/>
              </w:rPr>
              <w:t>ulation, baseline</w:t>
            </w:r>
            <w:r w:rsidR="00787121" w:rsidRPr="00A90516">
              <w:rPr>
                <w:rFonts w:eastAsia="Calibri"/>
                <w:sz w:val="18"/>
                <w:szCs w:val="18"/>
              </w:rPr>
              <w:t>s and targets</w:t>
            </w:r>
            <w:r w:rsidR="00CC181C" w:rsidRPr="00A90516">
              <w:rPr>
                <w:rFonts w:eastAsia="Calibri"/>
                <w:sz w:val="18"/>
                <w:szCs w:val="18"/>
              </w:rPr>
              <w:t xml:space="preserve"> to be revised as reporting will be based on country level data reported by affected programme countries</w:t>
            </w:r>
          </w:p>
        </w:tc>
      </w:tr>
      <w:tr w:rsidR="00F41360" w:rsidRPr="00283732" w14:paraId="00DE0083" w14:textId="77777777" w:rsidTr="005C5885">
        <w:trPr>
          <w:trHeight w:val="350"/>
          <w:jc w:val="center"/>
        </w:trPr>
        <w:tc>
          <w:tcPr>
            <w:tcW w:w="715" w:type="dxa"/>
            <w:vMerge w:val="restart"/>
            <w:tcBorders>
              <w:top w:val="single" w:sz="4" w:space="0" w:color="auto"/>
              <w:left w:val="single" w:sz="4" w:space="0" w:color="auto"/>
              <w:right w:val="single" w:sz="4" w:space="0" w:color="auto"/>
            </w:tcBorders>
            <w:shd w:val="clear" w:color="auto" w:fill="FFFFFF" w:themeFill="background1"/>
            <w:hideMark/>
          </w:tcPr>
          <w:p w14:paraId="41AD7616" w14:textId="77777777" w:rsidR="00F41360" w:rsidRPr="00B66E9F" w:rsidRDefault="00F41360" w:rsidP="00444661">
            <w:pPr>
              <w:spacing w:after="0" w:line="240" w:lineRule="auto"/>
              <w:ind w:right="162"/>
              <w:rPr>
                <w:sz w:val="20"/>
                <w:szCs w:val="20"/>
              </w:rPr>
            </w:pPr>
            <w:r w:rsidRPr="00B66E9F">
              <w:rPr>
                <w:b/>
                <w:sz w:val="20"/>
                <w:szCs w:val="20"/>
              </w:rPr>
              <w:t>6.2</w:t>
            </w:r>
            <w:r w:rsidRPr="00B66E9F">
              <w:rPr>
                <w:sz w:val="20"/>
                <w:szCs w:val="20"/>
              </w:rPr>
              <w:t xml:space="preserve"> </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30018F7" w14:textId="78E415DC" w:rsidR="00F41360" w:rsidRDefault="00F41360" w:rsidP="00444661">
            <w:pPr>
              <w:spacing w:after="0" w:line="240" w:lineRule="auto"/>
              <w:ind w:right="162"/>
              <w:rPr>
                <w:sz w:val="20"/>
                <w:szCs w:val="20"/>
              </w:rPr>
            </w:pPr>
            <w:r w:rsidRPr="00B66E9F">
              <w:rPr>
                <w:sz w:val="20"/>
                <w:szCs w:val="20"/>
              </w:rPr>
              <w:t xml:space="preserve">Percentage of post disaster and post conflict countries having </w:t>
            </w:r>
            <w:r w:rsidRPr="00B66E9F">
              <w:rPr>
                <w:b/>
                <w:sz w:val="20"/>
                <w:szCs w:val="20"/>
              </w:rPr>
              <w:t>operational strategies</w:t>
            </w:r>
            <w:r w:rsidRPr="00B66E9F">
              <w:rPr>
                <w:sz w:val="20"/>
                <w:szCs w:val="20"/>
              </w:rPr>
              <w:t xml:space="preserve"> to address the causes or triggers of crises </w:t>
            </w:r>
          </w:p>
          <w:p w14:paraId="224D9F10" w14:textId="16DBE44F" w:rsidR="00FB0F68" w:rsidRPr="00FB0F68" w:rsidRDefault="00FB0F68" w:rsidP="00444661">
            <w:pPr>
              <w:spacing w:after="0" w:line="240" w:lineRule="auto"/>
              <w:ind w:right="162"/>
              <w:rPr>
                <w:b/>
                <w:sz w:val="20"/>
                <w:szCs w:val="20"/>
              </w:rPr>
            </w:pPr>
            <w:r>
              <w:rPr>
                <w:b/>
                <w:sz w:val="20"/>
                <w:szCs w:val="20"/>
              </w:rPr>
              <w:t>a) Disaster</w:t>
            </w:r>
          </w:p>
          <w:p w14:paraId="3C7BB391" w14:textId="767BC249" w:rsidR="00FB0F68" w:rsidRDefault="00FB0F68" w:rsidP="00444661">
            <w:pPr>
              <w:spacing w:after="0" w:line="240" w:lineRule="auto"/>
              <w:ind w:right="162"/>
              <w:rPr>
                <w:sz w:val="20"/>
                <w:szCs w:val="20"/>
              </w:rPr>
            </w:pPr>
            <w:r w:rsidRPr="00FB0F68">
              <w:rPr>
                <w:sz w:val="20"/>
                <w:szCs w:val="20"/>
              </w:rPr>
              <w:t>i) % of affected countries with causes and triggers of crisis identified and a strategy to address them</w:t>
            </w:r>
          </w:p>
          <w:p w14:paraId="04D9603C" w14:textId="5470DFA2" w:rsidR="00FB0F68" w:rsidRDefault="00F11855" w:rsidP="00444661">
            <w:pPr>
              <w:spacing w:after="0" w:line="240" w:lineRule="auto"/>
              <w:ind w:right="162"/>
              <w:rPr>
                <w:sz w:val="20"/>
                <w:szCs w:val="20"/>
              </w:rPr>
            </w:pPr>
            <w:r w:rsidRPr="00F11855">
              <w:rPr>
                <w:sz w:val="20"/>
                <w:szCs w:val="20"/>
              </w:rPr>
              <w:t>ii) % of affected countries with an operational strategy to address causes and triggers of crisis</w:t>
            </w:r>
          </w:p>
          <w:p w14:paraId="094021E5" w14:textId="080BB145" w:rsidR="00F11855" w:rsidRPr="00F11855" w:rsidRDefault="00F11855" w:rsidP="00444661">
            <w:pPr>
              <w:spacing w:after="0" w:line="240" w:lineRule="auto"/>
              <w:ind w:right="162"/>
              <w:rPr>
                <w:b/>
                <w:sz w:val="20"/>
                <w:szCs w:val="20"/>
              </w:rPr>
            </w:pPr>
            <w:r>
              <w:rPr>
                <w:b/>
                <w:sz w:val="20"/>
                <w:szCs w:val="20"/>
              </w:rPr>
              <w:t>b) Conflict</w:t>
            </w:r>
          </w:p>
          <w:p w14:paraId="1E8D172B" w14:textId="77777777" w:rsidR="002618A9" w:rsidRDefault="00F11855" w:rsidP="007040E5">
            <w:pPr>
              <w:spacing w:after="0" w:line="240" w:lineRule="auto"/>
              <w:ind w:right="162"/>
              <w:rPr>
                <w:sz w:val="20"/>
                <w:szCs w:val="20"/>
              </w:rPr>
            </w:pPr>
            <w:r w:rsidRPr="00F11855">
              <w:rPr>
                <w:sz w:val="20"/>
                <w:szCs w:val="20"/>
              </w:rPr>
              <w:t>i) % of affected countries with causes and triggers of crisis identified and a strategy to address them</w:t>
            </w:r>
          </w:p>
          <w:p w14:paraId="36980BD9" w14:textId="514F8E5D" w:rsidR="00F11855" w:rsidRPr="00B66E9F" w:rsidRDefault="00110D13" w:rsidP="007040E5">
            <w:pPr>
              <w:spacing w:after="0" w:line="240" w:lineRule="auto"/>
              <w:ind w:right="162"/>
              <w:rPr>
                <w:sz w:val="20"/>
                <w:szCs w:val="20"/>
              </w:rPr>
            </w:pPr>
            <w:r w:rsidRPr="00110D13">
              <w:rPr>
                <w:sz w:val="20"/>
                <w:szCs w:val="20"/>
              </w:rPr>
              <w:t>ii) % of affected countries with an operational strategy to address causes and triggers of crisis</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FD059" w14:textId="77777777" w:rsidR="00F41360" w:rsidRPr="0009395F" w:rsidRDefault="00F41360" w:rsidP="00444661">
            <w:pPr>
              <w:spacing w:after="0" w:line="240" w:lineRule="auto"/>
              <w:rPr>
                <w:sz w:val="20"/>
              </w:rPr>
            </w:pPr>
          </w:p>
          <w:p w14:paraId="0F48CAF7" w14:textId="77777777" w:rsidR="00110D13" w:rsidRPr="0009395F" w:rsidRDefault="00110D13" w:rsidP="00444661">
            <w:pPr>
              <w:spacing w:after="0" w:line="240" w:lineRule="auto"/>
              <w:rPr>
                <w:sz w:val="20"/>
              </w:rPr>
            </w:pPr>
          </w:p>
          <w:p w14:paraId="769F171B" w14:textId="77777777" w:rsidR="00110D13" w:rsidRPr="0009395F" w:rsidRDefault="00110D13" w:rsidP="00444661">
            <w:pPr>
              <w:spacing w:after="0" w:line="240" w:lineRule="auto"/>
              <w:rPr>
                <w:sz w:val="20"/>
              </w:rPr>
            </w:pPr>
          </w:p>
          <w:p w14:paraId="50465B8C" w14:textId="66E3B8D6" w:rsidR="00110D13" w:rsidRPr="0009395F" w:rsidRDefault="00110D13" w:rsidP="00444661">
            <w:pPr>
              <w:spacing w:after="0" w:line="240" w:lineRule="auto"/>
              <w:rPr>
                <w:sz w:val="20"/>
              </w:rPr>
            </w:pPr>
            <w:r w:rsidRPr="0009395F">
              <w:rPr>
                <w:sz w:val="20"/>
              </w:rPr>
              <w:t>a.i) 9% (34 countries)</w:t>
            </w:r>
          </w:p>
          <w:p w14:paraId="59561BB3" w14:textId="4936E513" w:rsidR="00110D13" w:rsidRPr="0009395F" w:rsidRDefault="00110D13" w:rsidP="00444661">
            <w:pPr>
              <w:spacing w:after="0" w:line="240" w:lineRule="auto"/>
              <w:rPr>
                <w:sz w:val="20"/>
              </w:rPr>
            </w:pPr>
            <w:r w:rsidRPr="0009395F">
              <w:rPr>
                <w:sz w:val="20"/>
              </w:rPr>
              <w:t xml:space="preserve">a.ii) </w:t>
            </w:r>
            <w:r w:rsidRPr="00B54537">
              <w:rPr>
                <w:sz w:val="20"/>
              </w:rPr>
              <w:t>0% (</w:t>
            </w:r>
            <w:r w:rsidRPr="0009395F">
              <w:rPr>
                <w:sz w:val="20"/>
              </w:rPr>
              <w:t>34 countries)</w:t>
            </w:r>
          </w:p>
          <w:p w14:paraId="37988619" w14:textId="77777777" w:rsidR="00110D13" w:rsidRPr="0009395F" w:rsidRDefault="00110D13" w:rsidP="00444661">
            <w:pPr>
              <w:spacing w:after="0" w:line="240" w:lineRule="auto"/>
              <w:rPr>
                <w:sz w:val="20"/>
              </w:rPr>
            </w:pPr>
          </w:p>
          <w:p w14:paraId="59FEE2FE" w14:textId="36B2FC49" w:rsidR="00110D13" w:rsidRPr="0009395F" w:rsidRDefault="00110D13" w:rsidP="00444661">
            <w:pPr>
              <w:spacing w:after="0" w:line="240" w:lineRule="auto"/>
              <w:rPr>
                <w:sz w:val="20"/>
              </w:rPr>
            </w:pPr>
            <w:r w:rsidRPr="0009395F">
              <w:rPr>
                <w:sz w:val="20"/>
              </w:rPr>
              <w:t>b.i) 13% (31 countries)</w:t>
            </w:r>
          </w:p>
          <w:p w14:paraId="0A5D126B" w14:textId="0B854547" w:rsidR="00110D13" w:rsidRPr="0009395F" w:rsidRDefault="00110D13" w:rsidP="00444661">
            <w:pPr>
              <w:spacing w:after="0" w:line="240" w:lineRule="auto"/>
              <w:rPr>
                <w:sz w:val="20"/>
              </w:rPr>
            </w:pPr>
            <w:r w:rsidRPr="0009395F">
              <w:rPr>
                <w:sz w:val="20"/>
              </w:rPr>
              <w:t>b.ii) 0% (31 countries)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0C61B2E5" w14:textId="77777777" w:rsidR="00F41360" w:rsidRPr="0009395F" w:rsidRDefault="00F41360" w:rsidP="00444661">
            <w:pPr>
              <w:spacing w:after="0" w:line="240" w:lineRule="auto"/>
              <w:rPr>
                <w:sz w:val="20"/>
              </w:rPr>
            </w:pPr>
          </w:p>
          <w:p w14:paraId="1B18B93C" w14:textId="77777777" w:rsidR="004607F6" w:rsidRPr="0009395F" w:rsidRDefault="004607F6" w:rsidP="00444661">
            <w:pPr>
              <w:spacing w:after="0" w:line="240" w:lineRule="auto"/>
              <w:rPr>
                <w:sz w:val="20"/>
              </w:rPr>
            </w:pPr>
          </w:p>
          <w:p w14:paraId="1E86F58F" w14:textId="77777777" w:rsidR="004607F6" w:rsidRPr="0009395F" w:rsidRDefault="004607F6" w:rsidP="00444661">
            <w:pPr>
              <w:spacing w:after="0" w:line="240" w:lineRule="auto"/>
              <w:rPr>
                <w:sz w:val="20"/>
              </w:rPr>
            </w:pPr>
          </w:p>
          <w:p w14:paraId="3A8742B8" w14:textId="715F45D6" w:rsidR="004607F6" w:rsidRPr="0009395F" w:rsidRDefault="004607F6" w:rsidP="00444661">
            <w:pPr>
              <w:spacing w:after="0" w:line="240" w:lineRule="auto"/>
              <w:rPr>
                <w:sz w:val="20"/>
              </w:rPr>
            </w:pPr>
            <w:r w:rsidRPr="0009395F">
              <w:rPr>
                <w:sz w:val="20"/>
              </w:rPr>
              <w:t>6%*</w:t>
            </w:r>
          </w:p>
          <w:p w14:paraId="07385456" w14:textId="6F071CCC" w:rsidR="004607F6" w:rsidRPr="0009395F" w:rsidRDefault="004607F6" w:rsidP="00444661">
            <w:pPr>
              <w:spacing w:after="0" w:line="240" w:lineRule="auto"/>
              <w:rPr>
                <w:sz w:val="20"/>
              </w:rPr>
            </w:pPr>
            <w:r w:rsidRPr="0009395F">
              <w:rPr>
                <w:sz w:val="20"/>
              </w:rPr>
              <w:t>0%*</w:t>
            </w:r>
          </w:p>
          <w:p w14:paraId="19EB938A" w14:textId="77777777" w:rsidR="004607F6" w:rsidRPr="0009395F" w:rsidRDefault="004607F6" w:rsidP="00444661">
            <w:pPr>
              <w:spacing w:after="0" w:line="240" w:lineRule="auto"/>
              <w:rPr>
                <w:sz w:val="20"/>
              </w:rPr>
            </w:pPr>
          </w:p>
          <w:p w14:paraId="2C6BDCBA" w14:textId="7EE8BA43" w:rsidR="004607F6" w:rsidRPr="0009395F" w:rsidRDefault="004607F6" w:rsidP="00444661">
            <w:pPr>
              <w:spacing w:after="0" w:line="240" w:lineRule="auto"/>
              <w:rPr>
                <w:sz w:val="20"/>
              </w:rPr>
            </w:pPr>
            <w:r w:rsidRPr="0009395F">
              <w:rPr>
                <w:sz w:val="20"/>
              </w:rPr>
              <w:t>16%*</w:t>
            </w:r>
          </w:p>
          <w:p w14:paraId="04686ECA" w14:textId="413E9BCB" w:rsidR="004607F6" w:rsidRPr="0009395F" w:rsidRDefault="004607F6" w:rsidP="00444661">
            <w:pPr>
              <w:spacing w:after="0" w:line="240" w:lineRule="auto"/>
              <w:rPr>
                <w:sz w:val="20"/>
              </w:rPr>
            </w:pPr>
            <w:r w:rsidRPr="0009395F">
              <w:rPr>
                <w:sz w:val="20"/>
              </w:rPr>
              <w:t>3%*</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E7488" w14:textId="77777777" w:rsidR="00F41360" w:rsidRPr="0009395F" w:rsidRDefault="00F41360" w:rsidP="00444661">
            <w:pPr>
              <w:spacing w:after="0" w:line="240" w:lineRule="auto"/>
              <w:rPr>
                <w:sz w:val="20"/>
              </w:rPr>
            </w:pPr>
          </w:p>
          <w:p w14:paraId="657979D8" w14:textId="77777777" w:rsidR="00140BB2" w:rsidRPr="0009395F" w:rsidRDefault="00140BB2" w:rsidP="00444661">
            <w:pPr>
              <w:spacing w:after="0" w:line="240" w:lineRule="auto"/>
              <w:rPr>
                <w:sz w:val="20"/>
              </w:rPr>
            </w:pPr>
          </w:p>
          <w:p w14:paraId="004437A7" w14:textId="77777777" w:rsidR="00140BB2" w:rsidRPr="0009395F" w:rsidRDefault="00140BB2" w:rsidP="00444661">
            <w:pPr>
              <w:spacing w:after="0" w:line="240" w:lineRule="auto"/>
              <w:rPr>
                <w:sz w:val="20"/>
              </w:rPr>
            </w:pPr>
          </w:p>
          <w:p w14:paraId="5417AF86" w14:textId="62AF4972" w:rsidR="00140BB2" w:rsidRPr="0009395F" w:rsidRDefault="00140BB2" w:rsidP="00140BB2">
            <w:pPr>
              <w:spacing w:after="0" w:line="240" w:lineRule="auto"/>
              <w:rPr>
                <w:sz w:val="20"/>
              </w:rPr>
            </w:pPr>
            <w:r w:rsidRPr="0009395F">
              <w:rPr>
                <w:sz w:val="20"/>
              </w:rPr>
              <w:t>29%</w:t>
            </w:r>
          </w:p>
          <w:p w14:paraId="2BB587D1" w14:textId="20FCBBE4" w:rsidR="00140BB2" w:rsidRPr="0009395F" w:rsidRDefault="00140BB2" w:rsidP="00140BB2">
            <w:pPr>
              <w:spacing w:after="0" w:line="240" w:lineRule="auto"/>
              <w:rPr>
                <w:sz w:val="20"/>
              </w:rPr>
            </w:pPr>
            <w:r w:rsidRPr="0009395F">
              <w:rPr>
                <w:sz w:val="20"/>
              </w:rPr>
              <w:t>18%</w:t>
            </w:r>
          </w:p>
          <w:p w14:paraId="6E282082" w14:textId="77777777" w:rsidR="00140BB2" w:rsidRPr="0009395F" w:rsidRDefault="00140BB2" w:rsidP="00140BB2">
            <w:pPr>
              <w:spacing w:after="0" w:line="240" w:lineRule="auto"/>
              <w:rPr>
                <w:sz w:val="20"/>
              </w:rPr>
            </w:pPr>
          </w:p>
          <w:p w14:paraId="1474154A" w14:textId="089A8808" w:rsidR="00140BB2" w:rsidRPr="0009395F" w:rsidRDefault="00140BB2" w:rsidP="00140BB2">
            <w:pPr>
              <w:spacing w:after="0" w:line="240" w:lineRule="auto"/>
              <w:rPr>
                <w:sz w:val="20"/>
              </w:rPr>
            </w:pPr>
            <w:r w:rsidRPr="0009395F">
              <w:rPr>
                <w:sz w:val="20"/>
              </w:rPr>
              <w:t>35%</w:t>
            </w:r>
          </w:p>
          <w:p w14:paraId="7E543E11" w14:textId="40ACFC8E" w:rsidR="00140BB2" w:rsidRPr="0009395F" w:rsidRDefault="00140BB2" w:rsidP="00140BB2">
            <w:pPr>
              <w:spacing w:after="0" w:line="240" w:lineRule="auto"/>
              <w:rPr>
                <w:sz w:val="20"/>
              </w:rPr>
            </w:pPr>
            <w:r w:rsidRPr="0009395F">
              <w:rPr>
                <w:sz w:val="20"/>
              </w:rPr>
              <w:t>29%</w:t>
            </w:r>
          </w:p>
        </w:tc>
      </w:tr>
      <w:tr w:rsidR="00BA4DB2" w:rsidRPr="00283732" w14:paraId="5DA3516F" w14:textId="77777777" w:rsidTr="00836C1D">
        <w:trPr>
          <w:trHeight w:val="350"/>
          <w:jc w:val="center"/>
        </w:trPr>
        <w:tc>
          <w:tcPr>
            <w:tcW w:w="715" w:type="dxa"/>
            <w:vMerge/>
            <w:tcBorders>
              <w:left w:val="single" w:sz="4" w:space="0" w:color="auto"/>
              <w:bottom w:val="single" w:sz="4" w:space="0" w:color="auto"/>
              <w:right w:val="single" w:sz="4" w:space="0" w:color="auto"/>
            </w:tcBorders>
            <w:shd w:val="clear" w:color="auto" w:fill="FFFFFF" w:themeFill="background1"/>
          </w:tcPr>
          <w:p w14:paraId="5FC653DD" w14:textId="40FF8497" w:rsidR="00BA4DB2" w:rsidRPr="00B66E9F" w:rsidRDefault="00BA4DB2" w:rsidP="00C673E2">
            <w:pPr>
              <w:spacing w:after="0" w:line="240" w:lineRule="auto"/>
              <w:ind w:right="162"/>
              <w:rPr>
                <w:b/>
                <w:sz w:val="20"/>
                <w:szCs w:val="20"/>
              </w:rPr>
            </w:pPr>
          </w:p>
        </w:tc>
        <w:tc>
          <w:tcPr>
            <w:tcW w:w="14220" w:type="dxa"/>
            <w:gridSpan w:val="4"/>
            <w:tcBorders>
              <w:left w:val="single" w:sz="4" w:space="0" w:color="auto"/>
              <w:bottom w:val="single" w:sz="4" w:space="0" w:color="auto"/>
              <w:right w:val="single" w:sz="4" w:space="0" w:color="auto"/>
            </w:tcBorders>
            <w:shd w:val="clear" w:color="auto" w:fill="D9D9D9" w:themeFill="background1" w:themeFillShade="D9"/>
          </w:tcPr>
          <w:p w14:paraId="366935EB" w14:textId="77777777" w:rsidR="00B54537" w:rsidRDefault="00BA4DB2" w:rsidP="00B54537">
            <w:pPr>
              <w:spacing w:after="0" w:line="240" w:lineRule="auto"/>
              <w:rPr>
                <w:sz w:val="18"/>
                <w:szCs w:val="18"/>
              </w:rPr>
            </w:pPr>
            <w:r w:rsidRPr="00A90516">
              <w:rPr>
                <w:rFonts w:eastAsia="Calibri"/>
                <w:b/>
                <w:sz w:val="18"/>
                <w:szCs w:val="18"/>
              </w:rPr>
              <w:t>Source</w:t>
            </w:r>
            <w:r w:rsidRPr="00A90516">
              <w:rPr>
                <w:sz w:val="18"/>
                <w:szCs w:val="18"/>
              </w:rPr>
              <w:t xml:space="preserve">: Operational strategies means </w:t>
            </w:r>
            <w:r w:rsidR="00D616FD">
              <w:rPr>
                <w:sz w:val="18"/>
                <w:szCs w:val="18"/>
              </w:rPr>
              <w:t>“</w:t>
            </w:r>
            <w:r w:rsidRPr="00A90516">
              <w:rPr>
                <w:sz w:val="18"/>
                <w:szCs w:val="18"/>
              </w:rPr>
              <w:t>assessment and planning procedures which integrate risk reduction/conflict prevention in the recovery agenda, mechanisms, political will, partnerships and resources (institutional, human, economic) to implement the recovery process</w:t>
            </w:r>
            <w:r w:rsidR="002A5EB8">
              <w:rPr>
                <w:sz w:val="18"/>
                <w:szCs w:val="18"/>
              </w:rPr>
              <w:t xml:space="preserve">.” </w:t>
            </w:r>
          </w:p>
          <w:p w14:paraId="568C40EB" w14:textId="0A0D7AF8" w:rsidR="00BA4DB2" w:rsidRPr="00A90516" w:rsidRDefault="00BA4DB2" w:rsidP="00D2112C">
            <w:pPr>
              <w:spacing w:after="0" w:line="240" w:lineRule="auto"/>
              <w:rPr>
                <w:sz w:val="20"/>
                <w:szCs w:val="20"/>
              </w:rPr>
            </w:pPr>
            <w:r w:rsidRPr="00A90516">
              <w:rPr>
                <w:rFonts w:eastAsia="Calibri"/>
                <w:b/>
                <w:sz w:val="18"/>
                <w:szCs w:val="18"/>
              </w:rPr>
              <w:t xml:space="preserve">2014 Reporting Note: </w:t>
            </w:r>
            <w:r w:rsidR="005C5885" w:rsidRPr="00A90516">
              <w:rPr>
                <w:rFonts w:eastAsia="Calibri"/>
                <w:sz w:val="18"/>
                <w:szCs w:val="18"/>
              </w:rPr>
              <w:t>The indicator has been slightly modified to separately report on the two key sub-elements of this outcome level result. B</w:t>
            </w:r>
            <w:r w:rsidRPr="00A90516">
              <w:rPr>
                <w:rFonts w:eastAsia="Calibri"/>
                <w:sz w:val="18"/>
                <w:szCs w:val="18"/>
              </w:rPr>
              <w:t xml:space="preserve">aseline and 2017 </w:t>
            </w:r>
            <w:r w:rsidR="00D2112C">
              <w:rPr>
                <w:rFonts w:eastAsia="Calibri"/>
                <w:sz w:val="18"/>
                <w:szCs w:val="18"/>
              </w:rPr>
              <w:t>t</w:t>
            </w:r>
            <w:r w:rsidRPr="00A90516">
              <w:rPr>
                <w:rFonts w:eastAsia="Calibri"/>
                <w:sz w:val="18"/>
                <w:szCs w:val="18"/>
              </w:rPr>
              <w:t xml:space="preserve">argets </w:t>
            </w:r>
            <w:r w:rsidR="005C5885" w:rsidRPr="00A90516">
              <w:rPr>
                <w:rFonts w:eastAsia="Calibri"/>
                <w:sz w:val="18"/>
                <w:szCs w:val="18"/>
              </w:rPr>
              <w:t xml:space="preserve">have been </w:t>
            </w:r>
            <w:r w:rsidRPr="00A90516">
              <w:rPr>
                <w:rFonts w:eastAsia="Calibri"/>
                <w:sz w:val="18"/>
                <w:szCs w:val="18"/>
              </w:rPr>
              <w:t xml:space="preserve">updated to reflect more complete reporting </w:t>
            </w:r>
            <w:r w:rsidR="00D526AC" w:rsidRPr="00A90516">
              <w:rPr>
                <w:rFonts w:eastAsia="Calibri"/>
                <w:sz w:val="18"/>
                <w:szCs w:val="18"/>
              </w:rPr>
              <w:t>for the 34 U</w:t>
            </w:r>
            <w:r w:rsidRPr="00A90516">
              <w:rPr>
                <w:rFonts w:eastAsia="Calibri"/>
                <w:sz w:val="18"/>
                <w:szCs w:val="18"/>
              </w:rPr>
              <w:t xml:space="preserve">NDP </w:t>
            </w:r>
            <w:r w:rsidR="00D526AC" w:rsidRPr="00A90516">
              <w:rPr>
                <w:rFonts w:eastAsia="Calibri"/>
                <w:sz w:val="18"/>
                <w:szCs w:val="18"/>
              </w:rPr>
              <w:t xml:space="preserve">programme countries </w:t>
            </w:r>
            <w:r w:rsidRPr="00A90516">
              <w:rPr>
                <w:rFonts w:eastAsia="Calibri"/>
                <w:sz w:val="18"/>
                <w:szCs w:val="18"/>
              </w:rPr>
              <w:t>affected by disaster</w:t>
            </w:r>
            <w:r w:rsidR="00D526AC" w:rsidRPr="00A90516">
              <w:rPr>
                <w:rFonts w:eastAsia="Calibri"/>
                <w:sz w:val="18"/>
                <w:szCs w:val="18"/>
              </w:rPr>
              <w:t xml:space="preserve">, and 31 programme countries affected by </w:t>
            </w:r>
            <w:r w:rsidR="00E3654A" w:rsidRPr="00A90516">
              <w:rPr>
                <w:rFonts w:eastAsia="Calibri"/>
                <w:sz w:val="18"/>
                <w:szCs w:val="18"/>
              </w:rPr>
              <w:t>conflict</w:t>
            </w:r>
            <w:r w:rsidR="00D526AC" w:rsidRPr="00A90516">
              <w:rPr>
                <w:rFonts w:eastAsia="Calibri"/>
                <w:sz w:val="18"/>
                <w:szCs w:val="18"/>
              </w:rPr>
              <w:t>,</w:t>
            </w:r>
            <w:r w:rsidRPr="00A90516">
              <w:rPr>
                <w:rFonts w:eastAsia="Calibri"/>
                <w:sz w:val="18"/>
                <w:szCs w:val="18"/>
              </w:rPr>
              <w:t xml:space="preserve"> in 2014. For reference, previous baselines </w:t>
            </w:r>
            <w:r w:rsidR="00B80C8F" w:rsidRPr="00A90516">
              <w:rPr>
                <w:rFonts w:eastAsia="Calibri"/>
                <w:sz w:val="18"/>
                <w:szCs w:val="18"/>
              </w:rPr>
              <w:t xml:space="preserve">for the overall indicator </w:t>
            </w:r>
            <w:r w:rsidRPr="00A90516">
              <w:rPr>
                <w:rFonts w:eastAsia="Calibri"/>
                <w:sz w:val="18"/>
                <w:szCs w:val="18"/>
              </w:rPr>
              <w:t xml:space="preserve">were: 18% (disaster), 20% (conflict); previous </w:t>
            </w:r>
            <w:r w:rsidR="00B80C8F" w:rsidRPr="00A90516">
              <w:rPr>
                <w:rFonts w:eastAsia="Calibri"/>
                <w:sz w:val="18"/>
                <w:szCs w:val="18"/>
              </w:rPr>
              <w:t xml:space="preserve">2017 </w:t>
            </w:r>
            <w:r w:rsidRPr="00A90516">
              <w:rPr>
                <w:rFonts w:eastAsia="Calibri"/>
                <w:sz w:val="18"/>
                <w:szCs w:val="18"/>
              </w:rPr>
              <w:t xml:space="preserve">targets </w:t>
            </w:r>
            <w:r w:rsidR="00B80C8F" w:rsidRPr="00A90516">
              <w:rPr>
                <w:rFonts w:eastAsia="Calibri"/>
                <w:sz w:val="18"/>
                <w:szCs w:val="18"/>
              </w:rPr>
              <w:t xml:space="preserve">for the overall indicator </w:t>
            </w:r>
            <w:r w:rsidRPr="00A90516">
              <w:rPr>
                <w:rFonts w:eastAsia="Calibri"/>
                <w:sz w:val="18"/>
                <w:szCs w:val="18"/>
              </w:rPr>
              <w:t>were: 30% (disaster), 50% (conflict).</w:t>
            </w:r>
            <w:r w:rsidR="00D526AC" w:rsidRPr="00A90516">
              <w:rPr>
                <w:rFonts w:eastAsia="Calibri"/>
                <w:sz w:val="18"/>
                <w:szCs w:val="18"/>
              </w:rPr>
              <w:t xml:space="preserve"> </w:t>
            </w:r>
            <w:r w:rsidR="00D616FD">
              <w:rPr>
                <w:rFonts w:eastAsia="Calibri"/>
                <w:sz w:val="18"/>
                <w:szCs w:val="18"/>
              </w:rPr>
              <w:t>*</w:t>
            </w:r>
            <w:r w:rsidR="00D526AC" w:rsidRPr="00A90516">
              <w:rPr>
                <w:rFonts w:eastAsia="Calibri"/>
                <w:sz w:val="18"/>
                <w:szCs w:val="18"/>
              </w:rPr>
              <w:t xml:space="preserve">Preliminary 2014 actual </w:t>
            </w:r>
            <w:r w:rsidR="00E3654A" w:rsidRPr="00A90516">
              <w:rPr>
                <w:rFonts w:eastAsia="Calibri"/>
                <w:sz w:val="18"/>
                <w:szCs w:val="18"/>
              </w:rPr>
              <w:t xml:space="preserve">data </w:t>
            </w:r>
            <w:r w:rsidR="00D526AC" w:rsidRPr="00A90516">
              <w:rPr>
                <w:rFonts w:eastAsia="Calibri"/>
                <w:sz w:val="18"/>
                <w:szCs w:val="18"/>
              </w:rPr>
              <w:t>is based on partial reporting</w:t>
            </w:r>
            <w:r w:rsidR="00E3654A" w:rsidRPr="00A90516">
              <w:rPr>
                <w:rFonts w:eastAsia="Calibri"/>
                <w:sz w:val="18"/>
                <w:szCs w:val="18"/>
              </w:rPr>
              <w:t xml:space="preserve">: four relevant countries affected by disaster, and five countries affected by conflict, have not yet been able to report 2014 data. </w:t>
            </w:r>
          </w:p>
        </w:tc>
      </w:tr>
      <w:tr w:rsidR="00F41360" w:rsidRPr="00283732" w14:paraId="3F1894B7" w14:textId="77777777" w:rsidTr="001F0C0A">
        <w:trPr>
          <w:trHeight w:val="73"/>
          <w:jc w:val="center"/>
        </w:trPr>
        <w:tc>
          <w:tcPr>
            <w:tcW w:w="715" w:type="dxa"/>
            <w:vMerge w:val="restart"/>
            <w:tcBorders>
              <w:top w:val="single" w:sz="4" w:space="0" w:color="auto"/>
              <w:left w:val="single" w:sz="4" w:space="0" w:color="auto"/>
              <w:right w:val="single" w:sz="4" w:space="0" w:color="auto"/>
            </w:tcBorders>
            <w:shd w:val="clear" w:color="auto" w:fill="FFFFFF" w:themeFill="background1"/>
          </w:tcPr>
          <w:p w14:paraId="5D77F5E6" w14:textId="166C5A89" w:rsidR="00F41360" w:rsidRPr="00B66E9F" w:rsidRDefault="00F41360" w:rsidP="00444661">
            <w:pPr>
              <w:spacing w:after="0" w:line="240" w:lineRule="auto"/>
              <w:ind w:right="-126"/>
              <w:rPr>
                <w:sz w:val="20"/>
                <w:szCs w:val="20"/>
              </w:rPr>
            </w:pPr>
            <w:r w:rsidRPr="00B66E9F">
              <w:rPr>
                <w:b/>
                <w:sz w:val="20"/>
                <w:szCs w:val="20"/>
              </w:rPr>
              <w:t>6.4</w:t>
            </w:r>
            <w:r w:rsidRPr="00B66E9F">
              <w:rPr>
                <w:sz w:val="20"/>
                <w:szCs w:val="20"/>
              </w:rPr>
              <w:t xml:space="preserve"> </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5E216BF1" w14:textId="46249E11" w:rsidR="00F41360" w:rsidRPr="00B66E9F" w:rsidRDefault="00F41360" w:rsidP="00444661">
            <w:pPr>
              <w:spacing w:after="0" w:line="240" w:lineRule="auto"/>
              <w:ind w:right="-126"/>
              <w:rPr>
                <w:sz w:val="20"/>
                <w:szCs w:val="20"/>
              </w:rPr>
            </w:pPr>
            <w:r w:rsidRPr="00B66E9F">
              <w:rPr>
                <w:sz w:val="20"/>
                <w:szCs w:val="20"/>
              </w:rPr>
              <w:t xml:space="preserve">Percentage of (monetary equivalent) benefits from </w:t>
            </w:r>
            <w:r w:rsidRPr="00B66E9F">
              <w:rPr>
                <w:b/>
                <w:sz w:val="20"/>
                <w:szCs w:val="20"/>
              </w:rPr>
              <w:t>temporary employment/ productive livelihoods options</w:t>
            </w:r>
            <w:r w:rsidRPr="00B66E9F">
              <w:rPr>
                <w:sz w:val="20"/>
                <w:szCs w:val="20"/>
              </w:rPr>
              <w:t xml:space="preserve"> in the context of early economic recovery programmes </w:t>
            </w:r>
            <w:r w:rsidRPr="00B66E9F">
              <w:rPr>
                <w:b/>
                <w:sz w:val="20"/>
                <w:szCs w:val="20"/>
              </w:rPr>
              <w:t>received by women and girls</w:t>
            </w:r>
            <w:r w:rsidRPr="00B66E9F">
              <w:rPr>
                <w:sz w:val="20"/>
                <w:szCs w:val="20"/>
              </w:rPr>
              <w:t xml:space="preserve"> (UNSC 1325-Led by UNDP &amp; UN Women)</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6F243" w14:textId="68BE27E3" w:rsidR="00F41360" w:rsidRPr="00444661" w:rsidRDefault="00F41360" w:rsidP="0032611D">
            <w:pPr>
              <w:jc w:val="center"/>
              <w:rPr>
                <w:sz w:val="20"/>
              </w:rPr>
            </w:pPr>
            <w:r w:rsidRPr="00444661">
              <w:rPr>
                <w:sz w:val="20"/>
              </w:rPr>
              <w:t>3</w:t>
            </w:r>
            <w:r w:rsidR="0032611D">
              <w:rPr>
                <w:sz w:val="20"/>
              </w:rPr>
              <w:t>6</w:t>
            </w:r>
            <w:r w:rsidRPr="00444661">
              <w:rPr>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D2A64" w14:textId="2CE049E4" w:rsidR="00F41360" w:rsidRPr="00444661" w:rsidRDefault="001F0C0A" w:rsidP="001F0C0A">
            <w:pPr>
              <w:jc w:val="center"/>
              <w:rPr>
                <w:sz w:val="20"/>
              </w:rPr>
            </w:pPr>
            <w:r w:rsidRPr="001F0C0A">
              <w:rPr>
                <w:sz w:val="20"/>
              </w:rPr>
              <w:t>35%*</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8DBE4" w14:textId="55239F9F" w:rsidR="00F41360" w:rsidRPr="00444661" w:rsidRDefault="0032611D" w:rsidP="0032611D">
            <w:pPr>
              <w:jc w:val="center"/>
              <w:rPr>
                <w:sz w:val="20"/>
              </w:rPr>
            </w:pPr>
            <w:r>
              <w:rPr>
                <w:sz w:val="20"/>
              </w:rPr>
              <w:t>38</w:t>
            </w:r>
            <w:r w:rsidR="00F41360" w:rsidRPr="00444661">
              <w:rPr>
                <w:sz w:val="20"/>
              </w:rPr>
              <w:t>%</w:t>
            </w:r>
          </w:p>
        </w:tc>
      </w:tr>
      <w:tr w:rsidR="00BA4DB2" w:rsidRPr="00283732" w14:paraId="2D2318C8" w14:textId="77777777" w:rsidTr="00836C1D">
        <w:trPr>
          <w:trHeight w:val="73"/>
          <w:jc w:val="center"/>
        </w:trPr>
        <w:tc>
          <w:tcPr>
            <w:tcW w:w="715" w:type="dxa"/>
            <w:vMerge/>
            <w:tcBorders>
              <w:left w:val="single" w:sz="4" w:space="0" w:color="auto"/>
              <w:bottom w:val="single" w:sz="4" w:space="0" w:color="auto"/>
              <w:right w:val="single" w:sz="4" w:space="0" w:color="auto"/>
            </w:tcBorders>
            <w:shd w:val="clear" w:color="auto" w:fill="FFFFFF" w:themeFill="background1"/>
          </w:tcPr>
          <w:p w14:paraId="2D0E16FC" w14:textId="77777777" w:rsidR="00BA4DB2" w:rsidRPr="00B66E9F" w:rsidRDefault="00BA4DB2" w:rsidP="00C673E2">
            <w:pPr>
              <w:spacing w:after="0" w:line="240" w:lineRule="auto"/>
              <w:ind w:right="-126"/>
              <w:rPr>
                <w:b/>
                <w:sz w:val="20"/>
                <w:szCs w:val="20"/>
              </w:rPr>
            </w:pPr>
          </w:p>
        </w:tc>
        <w:tc>
          <w:tcPr>
            <w:tcW w:w="14220" w:type="dxa"/>
            <w:gridSpan w:val="4"/>
            <w:tcBorders>
              <w:left w:val="single" w:sz="4" w:space="0" w:color="auto"/>
              <w:bottom w:val="single" w:sz="4" w:space="0" w:color="auto"/>
              <w:right w:val="single" w:sz="4" w:space="0" w:color="auto"/>
            </w:tcBorders>
            <w:shd w:val="clear" w:color="auto" w:fill="D9D9D9" w:themeFill="background1" w:themeFillShade="D9"/>
          </w:tcPr>
          <w:p w14:paraId="59A31B86" w14:textId="0ADAF28A" w:rsidR="00BA4DB2" w:rsidRPr="00D616FD" w:rsidRDefault="00BA4DB2" w:rsidP="003C6D84">
            <w:pPr>
              <w:spacing w:after="0" w:line="240" w:lineRule="auto"/>
              <w:rPr>
                <w:sz w:val="18"/>
                <w:szCs w:val="18"/>
              </w:rPr>
            </w:pPr>
            <w:r w:rsidRPr="00D616FD">
              <w:rPr>
                <w:rFonts w:eastAsia="Calibri"/>
                <w:b/>
                <w:sz w:val="18"/>
                <w:szCs w:val="18"/>
              </w:rPr>
              <w:t>Source</w:t>
            </w:r>
            <w:r w:rsidRPr="00D616FD">
              <w:rPr>
                <w:rFonts w:eastAsia="Calibri"/>
                <w:sz w:val="18"/>
                <w:szCs w:val="18"/>
              </w:rPr>
              <w:t xml:space="preserve">: </w:t>
            </w:r>
            <w:r w:rsidR="00AF08FA" w:rsidRPr="00D616FD">
              <w:rPr>
                <w:rFonts w:eastAsia="Calibri"/>
                <w:sz w:val="18"/>
                <w:szCs w:val="18"/>
              </w:rPr>
              <w:t xml:space="preserve">Baseline and target </w:t>
            </w:r>
            <w:r w:rsidRPr="00D616FD">
              <w:rPr>
                <w:rFonts w:eastAsia="Calibri"/>
                <w:sz w:val="18"/>
                <w:szCs w:val="18"/>
              </w:rPr>
              <w:t xml:space="preserve">derived </w:t>
            </w:r>
            <w:r w:rsidRPr="00D616FD">
              <w:rPr>
                <w:sz w:val="18"/>
                <w:szCs w:val="18"/>
              </w:rPr>
              <w:t xml:space="preserve">from information </w:t>
            </w:r>
            <w:r w:rsidR="003B3B78" w:rsidRPr="00D616FD">
              <w:rPr>
                <w:sz w:val="18"/>
                <w:szCs w:val="18"/>
              </w:rPr>
              <w:t>reported by 11 UNDP</w:t>
            </w:r>
            <w:r w:rsidRPr="00D616FD">
              <w:rPr>
                <w:sz w:val="18"/>
                <w:szCs w:val="18"/>
              </w:rPr>
              <w:t xml:space="preserve"> </w:t>
            </w:r>
            <w:r w:rsidR="003B3B78" w:rsidRPr="00D616FD">
              <w:rPr>
                <w:sz w:val="18"/>
                <w:szCs w:val="18"/>
              </w:rPr>
              <w:t>country o</w:t>
            </w:r>
            <w:r w:rsidRPr="00D616FD">
              <w:rPr>
                <w:sz w:val="18"/>
                <w:szCs w:val="18"/>
              </w:rPr>
              <w:t xml:space="preserve">ffices. Monetary value of total benefits distributed </w:t>
            </w:r>
            <w:r w:rsidR="003C6D84" w:rsidRPr="00D616FD">
              <w:rPr>
                <w:sz w:val="18"/>
                <w:szCs w:val="18"/>
              </w:rPr>
              <w:t xml:space="preserve">in 2013 was </w:t>
            </w:r>
            <w:r w:rsidRPr="00D616FD">
              <w:rPr>
                <w:sz w:val="18"/>
                <w:szCs w:val="18"/>
              </w:rPr>
              <w:t>$</w:t>
            </w:r>
            <w:r w:rsidR="001B06BC" w:rsidRPr="00D616FD">
              <w:rPr>
                <w:sz w:val="18"/>
                <w:szCs w:val="18"/>
              </w:rPr>
              <w:t>169,580,883</w:t>
            </w:r>
            <w:r w:rsidRPr="00D616FD">
              <w:rPr>
                <w:bCs/>
                <w:sz w:val="18"/>
                <w:szCs w:val="18"/>
              </w:rPr>
              <w:t>, m</w:t>
            </w:r>
            <w:r w:rsidRPr="00D616FD">
              <w:rPr>
                <w:sz w:val="18"/>
                <w:szCs w:val="18"/>
              </w:rPr>
              <w:t>onetary value of benefits received by women and girls (US$) $</w:t>
            </w:r>
            <w:r w:rsidR="001B06BC" w:rsidRPr="00D616FD">
              <w:rPr>
                <w:sz w:val="18"/>
                <w:szCs w:val="18"/>
              </w:rPr>
              <w:t>61</w:t>
            </w:r>
            <w:r w:rsidRPr="00D616FD">
              <w:rPr>
                <w:sz w:val="18"/>
                <w:szCs w:val="18"/>
              </w:rPr>
              <w:t>,</w:t>
            </w:r>
            <w:r w:rsidR="001B06BC" w:rsidRPr="00D616FD">
              <w:rPr>
                <w:sz w:val="18"/>
                <w:szCs w:val="18"/>
              </w:rPr>
              <w:t>080</w:t>
            </w:r>
            <w:r w:rsidRPr="00D616FD">
              <w:rPr>
                <w:sz w:val="18"/>
                <w:szCs w:val="18"/>
              </w:rPr>
              <w:t>,</w:t>
            </w:r>
            <w:r w:rsidR="001B06BC" w:rsidRPr="00D616FD">
              <w:rPr>
                <w:sz w:val="18"/>
                <w:szCs w:val="18"/>
              </w:rPr>
              <w:t>679</w:t>
            </w:r>
            <w:r w:rsidR="00AF08FA" w:rsidRPr="00D616FD">
              <w:rPr>
                <w:sz w:val="18"/>
                <w:szCs w:val="18"/>
              </w:rPr>
              <w:t xml:space="preserve">, or </w:t>
            </w:r>
            <w:r w:rsidRPr="00D616FD">
              <w:rPr>
                <w:sz w:val="18"/>
                <w:szCs w:val="18"/>
              </w:rPr>
              <w:t>3</w:t>
            </w:r>
            <w:r w:rsidR="001B06BC" w:rsidRPr="00D616FD">
              <w:rPr>
                <w:sz w:val="18"/>
                <w:szCs w:val="18"/>
              </w:rPr>
              <w:t>6</w:t>
            </w:r>
            <w:r w:rsidR="00AF08FA" w:rsidRPr="00D616FD">
              <w:rPr>
                <w:sz w:val="18"/>
                <w:szCs w:val="18"/>
              </w:rPr>
              <w:t>% of the total funds</w:t>
            </w:r>
            <w:r w:rsidRPr="00D616FD">
              <w:rPr>
                <w:sz w:val="18"/>
                <w:szCs w:val="18"/>
              </w:rPr>
              <w:t>.</w:t>
            </w:r>
            <w:r w:rsidR="001F0C0A" w:rsidRPr="00D616FD">
              <w:rPr>
                <w:sz w:val="18"/>
                <w:szCs w:val="18"/>
              </w:rPr>
              <w:t xml:space="preserve"> </w:t>
            </w:r>
          </w:p>
          <w:p w14:paraId="1094879C" w14:textId="1BB0A06C" w:rsidR="003C6D84" w:rsidRPr="00D616FD" w:rsidRDefault="003C6D84" w:rsidP="002748FC">
            <w:pPr>
              <w:spacing w:after="0" w:line="240" w:lineRule="auto"/>
              <w:rPr>
                <w:sz w:val="20"/>
                <w:szCs w:val="20"/>
              </w:rPr>
            </w:pPr>
            <w:r w:rsidRPr="00D616FD">
              <w:rPr>
                <w:rFonts w:eastAsia="Calibri"/>
                <w:b/>
                <w:sz w:val="18"/>
                <w:szCs w:val="18"/>
              </w:rPr>
              <w:t xml:space="preserve">2014 Reporting Note: </w:t>
            </w:r>
            <w:r w:rsidR="00AF08FA" w:rsidRPr="00D616FD">
              <w:rPr>
                <w:rFonts w:eastAsia="Calibri"/>
                <w:sz w:val="18"/>
                <w:szCs w:val="18"/>
              </w:rPr>
              <w:t xml:space="preserve">Baseline and </w:t>
            </w:r>
            <w:r w:rsidR="001755B9" w:rsidRPr="00D616FD">
              <w:rPr>
                <w:rFonts w:eastAsia="Calibri"/>
                <w:sz w:val="18"/>
                <w:szCs w:val="18"/>
              </w:rPr>
              <w:t xml:space="preserve">2017 </w:t>
            </w:r>
            <w:r w:rsidR="00AF08FA" w:rsidRPr="00D616FD">
              <w:rPr>
                <w:rFonts w:eastAsia="Calibri"/>
                <w:sz w:val="18"/>
                <w:szCs w:val="18"/>
              </w:rPr>
              <w:t xml:space="preserve">target updated </w:t>
            </w:r>
            <w:r w:rsidR="001755B9" w:rsidRPr="00D616FD">
              <w:rPr>
                <w:rFonts w:eastAsia="Calibri"/>
                <w:sz w:val="18"/>
                <w:szCs w:val="18"/>
              </w:rPr>
              <w:t xml:space="preserve">to reflect more complete reporting from </w:t>
            </w:r>
            <w:r w:rsidR="002748FC" w:rsidRPr="00D616FD">
              <w:rPr>
                <w:rFonts w:eastAsia="Calibri"/>
                <w:sz w:val="18"/>
                <w:szCs w:val="18"/>
              </w:rPr>
              <w:t>11 UNDP programme countries</w:t>
            </w:r>
            <w:r w:rsidR="003F15DD" w:rsidRPr="00D616FD">
              <w:rPr>
                <w:rFonts w:eastAsia="Calibri"/>
                <w:sz w:val="18"/>
                <w:szCs w:val="18"/>
              </w:rPr>
              <w:t xml:space="preserve">. </w:t>
            </w:r>
            <w:r w:rsidR="001755B9" w:rsidRPr="00D616FD">
              <w:rPr>
                <w:rFonts w:eastAsia="Calibri"/>
                <w:sz w:val="18"/>
                <w:szCs w:val="18"/>
              </w:rPr>
              <w:t xml:space="preserve">For reference, previous </w:t>
            </w:r>
            <w:r w:rsidR="003F15DD" w:rsidRPr="00D616FD">
              <w:rPr>
                <w:rFonts w:eastAsia="Calibri"/>
                <w:sz w:val="18"/>
                <w:szCs w:val="18"/>
              </w:rPr>
              <w:t xml:space="preserve">baseline </w:t>
            </w:r>
            <w:r w:rsidR="001755B9" w:rsidRPr="00D616FD">
              <w:rPr>
                <w:rFonts w:eastAsia="Calibri"/>
                <w:sz w:val="18"/>
                <w:szCs w:val="18"/>
              </w:rPr>
              <w:t xml:space="preserve">was </w:t>
            </w:r>
            <w:r w:rsidR="003F15DD" w:rsidRPr="00D616FD">
              <w:rPr>
                <w:rFonts w:eastAsia="Calibri"/>
                <w:sz w:val="18"/>
                <w:szCs w:val="18"/>
              </w:rPr>
              <w:t>30%</w:t>
            </w:r>
            <w:r w:rsidR="001755B9" w:rsidRPr="00D616FD">
              <w:rPr>
                <w:rFonts w:eastAsia="Calibri"/>
                <w:sz w:val="18"/>
                <w:szCs w:val="18"/>
              </w:rPr>
              <w:t>, previous</w:t>
            </w:r>
            <w:r w:rsidR="003F15DD" w:rsidRPr="00D616FD">
              <w:rPr>
                <w:rFonts w:eastAsia="Calibri"/>
                <w:sz w:val="18"/>
                <w:szCs w:val="18"/>
              </w:rPr>
              <w:t xml:space="preserve"> target </w:t>
            </w:r>
            <w:r w:rsidR="001755B9" w:rsidRPr="00D616FD">
              <w:rPr>
                <w:rFonts w:eastAsia="Calibri"/>
                <w:sz w:val="18"/>
                <w:szCs w:val="18"/>
              </w:rPr>
              <w:t>was</w:t>
            </w:r>
            <w:r w:rsidR="003F15DD" w:rsidRPr="00D616FD">
              <w:rPr>
                <w:rFonts w:eastAsia="Calibri"/>
                <w:sz w:val="18"/>
                <w:szCs w:val="18"/>
              </w:rPr>
              <w:t xml:space="preserve"> 40%</w:t>
            </w:r>
            <w:r w:rsidR="001755B9" w:rsidRPr="00D616FD">
              <w:rPr>
                <w:rFonts w:eastAsia="Calibri"/>
                <w:sz w:val="18"/>
                <w:szCs w:val="18"/>
              </w:rPr>
              <w:t xml:space="preserve">. </w:t>
            </w:r>
            <w:r w:rsidR="003F15DD" w:rsidRPr="00D616FD">
              <w:rPr>
                <w:rFonts w:eastAsia="Calibri"/>
                <w:sz w:val="18"/>
                <w:szCs w:val="18"/>
              </w:rPr>
              <w:t>*P</w:t>
            </w:r>
            <w:r w:rsidRPr="00D616FD">
              <w:rPr>
                <w:rFonts w:eastAsia="Calibri"/>
                <w:sz w:val="18"/>
                <w:szCs w:val="18"/>
              </w:rPr>
              <w:t xml:space="preserve">reliminary </w:t>
            </w:r>
            <w:r w:rsidR="009B064A" w:rsidRPr="00D616FD">
              <w:rPr>
                <w:rFonts w:eastAsia="Calibri"/>
                <w:sz w:val="18"/>
                <w:szCs w:val="18"/>
              </w:rPr>
              <w:t xml:space="preserve">2014 </w:t>
            </w:r>
            <w:r w:rsidRPr="00D616FD">
              <w:rPr>
                <w:rFonts w:eastAsia="Calibri"/>
                <w:sz w:val="18"/>
                <w:szCs w:val="18"/>
              </w:rPr>
              <w:t xml:space="preserve">actual </w:t>
            </w:r>
            <w:r w:rsidR="009B064A" w:rsidRPr="00D616FD">
              <w:rPr>
                <w:rFonts w:eastAsia="Calibri"/>
                <w:sz w:val="18"/>
                <w:szCs w:val="18"/>
              </w:rPr>
              <w:t>dat</w:t>
            </w:r>
            <w:r w:rsidR="0058443D" w:rsidRPr="00D616FD">
              <w:rPr>
                <w:rFonts w:eastAsia="Calibri"/>
                <w:sz w:val="18"/>
                <w:szCs w:val="18"/>
              </w:rPr>
              <w:t xml:space="preserve">a is based on partial reporting: </w:t>
            </w:r>
            <w:r w:rsidR="009B064A" w:rsidRPr="00D616FD">
              <w:rPr>
                <w:rFonts w:eastAsia="Calibri"/>
                <w:sz w:val="18"/>
                <w:szCs w:val="18"/>
              </w:rPr>
              <w:t xml:space="preserve">four relevant countries have not yet been able to report 2014 data. </w:t>
            </w:r>
            <w:r w:rsidRPr="00D616FD">
              <w:rPr>
                <w:rFonts w:eastAsia="Calibri"/>
                <w:sz w:val="18"/>
                <w:szCs w:val="18"/>
              </w:rPr>
              <w:t xml:space="preserve"> </w:t>
            </w:r>
          </w:p>
        </w:tc>
      </w:tr>
    </w:tbl>
    <w:p w14:paraId="3CE9C2BD" w14:textId="77777777" w:rsidR="009E378C" w:rsidRDefault="009E378C">
      <w:r>
        <w:br w:type="page"/>
      </w:r>
    </w:p>
    <w:tbl>
      <w:tblPr>
        <w:tblW w:w="14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810"/>
        <w:gridCol w:w="5130"/>
        <w:gridCol w:w="1350"/>
        <w:gridCol w:w="1260"/>
        <w:gridCol w:w="1350"/>
        <w:gridCol w:w="1710"/>
      </w:tblGrid>
      <w:tr w:rsidR="00F41360" w:rsidRPr="00283732" w14:paraId="57368606" w14:textId="77777777" w:rsidTr="004F5331">
        <w:trPr>
          <w:trHeight w:val="395"/>
          <w:jc w:val="center"/>
        </w:trPr>
        <w:tc>
          <w:tcPr>
            <w:tcW w:w="3325" w:type="dxa"/>
            <w:vMerge w:val="restart"/>
            <w:tcBorders>
              <w:top w:val="single" w:sz="4" w:space="0" w:color="auto"/>
              <w:left w:val="single" w:sz="4" w:space="0" w:color="auto"/>
              <w:right w:val="single" w:sz="4" w:space="0" w:color="auto"/>
            </w:tcBorders>
            <w:shd w:val="clear" w:color="auto" w:fill="DAEEF3"/>
            <w:hideMark/>
          </w:tcPr>
          <w:p w14:paraId="367A7178" w14:textId="5A9262EB" w:rsidR="00F41360" w:rsidRPr="00B66E9F" w:rsidRDefault="00F41360" w:rsidP="002776AE">
            <w:pPr>
              <w:spacing w:after="0" w:line="240" w:lineRule="auto"/>
              <w:rPr>
                <w:rFonts w:eastAsia="Calibri"/>
                <w:i/>
                <w:sz w:val="20"/>
                <w:szCs w:val="20"/>
              </w:rPr>
            </w:pPr>
            <w:r w:rsidRPr="00B66E9F">
              <w:rPr>
                <w:rFonts w:eastAsia="Calibri"/>
                <w:sz w:val="20"/>
                <w:szCs w:val="20"/>
              </w:rPr>
              <w:br w:type="page"/>
            </w:r>
            <w:r w:rsidRPr="00B66E9F">
              <w:rPr>
                <w:rFonts w:eastAsia="Calibri"/>
                <w:b/>
                <w:sz w:val="20"/>
                <w:szCs w:val="20"/>
              </w:rPr>
              <w:t>Output</w:t>
            </w:r>
            <w:r w:rsidRPr="00B66E9F">
              <w:rPr>
                <w:rFonts w:eastAsia="Calibri"/>
                <w:i/>
                <w:sz w:val="20"/>
                <w:szCs w:val="20"/>
              </w:rPr>
              <w:t xml:space="preserve"> </w:t>
            </w:r>
            <w:r w:rsidRPr="00B2372F">
              <w:rPr>
                <w:rFonts w:ascii="Calibri" w:eastAsia="Calibri" w:hAnsi="Calibri"/>
                <w:i/>
                <w:sz w:val="18"/>
                <w:szCs w:val="18"/>
              </w:rPr>
              <w:t>(UNDP provides specific support for the following results, based on national demand)</w:t>
            </w:r>
          </w:p>
        </w:tc>
        <w:tc>
          <w:tcPr>
            <w:tcW w:w="5940" w:type="dxa"/>
            <w:gridSpan w:val="2"/>
            <w:vMerge w:val="restart"/>
            <w:tcBorders>
              <w:top w:val="single" w:sz="4" w:space="0" w:color="auto"/>
              <w:left w:val="single" w:sz="4" w:space="0" w:color="auto"/>
              <w:right w:val="single" w:sz="4" w:space="0" w:color="auto"/>
            </w:tcBorders>
            <w:shd w:val="clear" w:color="auto" w:fill="DAEEF3"/>
            <w:hideMark/>
          </w:tcPr>
          <w:p w14:paraId="125FE702" w14:textId="77777777" w:rsidR="00F41360" w:rsidRDefault="00F41360" w:rsidP="00EF08A0">
            <w:pPr>
              <w:spacing w:after="0" w:line="240" w:lineRule="auto"/>
              <w:rPr>
                <w:rFonts w:ascii="Calibri" w:eastAsia="Calibri" w:hAnsi="Calibri"/>
                <w:i/>
                <w:sz w:val="18"/>
                <w:szCs w:val="18"/>
              </w:rPr>
            </w:pPr>
            <w:r w:rsidRPr="00B66E9F">
              <w:rPr>
                <w:rFonts w:eastAsia="Calibri"/>
                <w:b/>
                <w:sz w:val="20"/>
                <w:szCs w:val="20"/>
              </w:rPr>
              <w:t xml:space="preserve">Output Indicator </w:t>
            </w:r>
            <w:r w:rsidRPr="00B2372F">
              <w:rPr>
                <w:rFonts w:ascii="Calibri" w:eastAsia="Calibri" w:hAnsi="Calibri"/>
                <w:i/>
                <w:sz w:val="18"/>
                <w:szCs w:val="18"/>
              </w:rPr>
              <w:t xml:space="preserve">(output indicators measure only those results which are specifically </w:t>
            </w:r>
            <w:r w:rsidRPr="00B2372F">
              <w:rPr>
                <w:rFonts w:ascii="Calibri" w:eastAsia="Calibri" w:hAnsi="Calibri"/>
                <w:i/>
                <w:sz w:val="18"/>
                <w:szCs w:val="18"/>
                <w:u w:val="single"/>
              </w:rPr>
              <w:t>supported</w:t>
            </w:r>
            <w:r w:rsidRPr="00B2372F">
              <w:rPr>
                <w:rFonts w:ascii="Calibri" w:eastAsia="Calibri" w:hAnsi="Calibri"/>
                <w:i/>
                <w:sz w:val="18"/>
                <w:szCs w:val="18"/>
              </w:rPr>
              <w:t xml:space="preserve"> by UNDP, in response to demand from programme countries)</w:t>
            </w:r>
            <w:r>
              <w:rPr>
                <w:rFonts w:ascii="Calibri" w:eastAsia="Calibri" w:hAnsi="Calibri"/>
                <w:i/>
                <w:sz w:val="18"/>
                <w:szCs w:val="18"/>
              </w:rPr>
              <w:t xml:space="preserve">. </w:t>
            </w:r>
          </w:p>
          <w:p w14:paraId="042DE61C" w14:textId="77777777" w:rsidR="00F41360" w:rsidRPr="00B66E9F" w:rsidRDefault="00F41360" w:rsidP="00EF08A0">
            <w:pPr>
              <w:spacing w:after="0" w:line="240" w:lineRule="auto"/>
              <w:rPr>
                <w:rFonts w:eastAsia="Calibri"/>
                <w:b/>
                <w:sz w:val="20"/>
                <w:szCs w:val="20"/>
              </w:rPr>
            </w:pPr>
            <w:r w:rsidRPr="00E10614">
              <w:rPr>
                <w:rFonts w:ascii="Calibri" w:eastAsia="Calibri" w:hAnsi="Calibri"/>
                <w:i/>
                <w:sz w:val="18"/>
                <w:szCs w:val="18"/>
                <w:u w:val="single"/>
              </w:rPr>
              <w:t>Note</w:t>
            </w:r>
            <w:r>
              <w:rPr>
                <w:rFonts w:ascii="Calibri" w:eastAsia="Calibri" w:hAnsi="Calibri"/>
                <w:i/>
                <w:sz w:val="18"/>
                <w:szCs w:val="18"/>
              </w:rPr>
              <w:t xml:space="preserve">: </w:t>
            </w:r>
            <w:r>
              <w:rPr>
                <w:i/>
                <w:sz w:val="18"/>
                <w:szCs w:val="18"/>
              </w:rPr>
              <w:t>Results of UNDP’s early recovery interventions should be detectable within 18 months of a programme country’s demand for support.</w:t>
            </w:r>
          </w:p>
        </w:tc>
        <w:tc>
          <w:tcPr>
            <w:tcW w:w="1350" w:type="dxa"/>
            <w:vMerge w:val="restart"/>
            <w:tcBorders>
              <w:top w:val="single" w:sz="4" w:space="0" w:color="auto"/>
              <w:left w:val="single" w:sz="4" w:space="0" w:color="auto"/>
              <w:right w:val="single" w:sz="4" w:space="0" w:color="auto"/>
            </w:tcBorders>
            <w:shd w:val="clear" w:color="auto" w:fill="DAEEF3"/>
          </w:tcPr>
          <w:p w14:paraId="6FE1845B" w14:textId="4991A2C1" w:rsidR="00F41360" w:rsidRPr="00B66E9F" w:rsidRDefault="00F41360" w:rsidP="004F5331">
            <w:pPr>
              <w:spacing w:after="0" w:line="240" w:lineRule="auto"/>
              <w:jc w:val="center"/>
              <w:rPr>
                <w:rFonts w:eastAsia="Calibri"/>
                <w:b/>
                <w:sz w:val="20"/>
                <w:szCs w:val="20"/>
              </w:rPr>
            </w:pPr>
            <w:r w:rsidRPr="00B66E9F">
              <w:rPr>
                <w:rFonts w:eastAsia="Calibri"/>
                <w:b/>
                <w:sz w:val="20"/>
                <w:szCs w:val="20"/>
              </w:rPr>
              <w:t>Baseline</w:t>
            </w:r>
          </w:p>
        </w:tc>
        <w:tc>
          <w:tcPr>
            <w:tcW w:w="2610" w:type="dxa"/>
            <w:gridSpan w:val="2"/>
            <w:tcBorders>
              <w:top w:val="single" w:sz="4" w:space="0" w:color="auto"/>
              <w:left w:val="single" w:sz="4" w:space="0" w:color="auto"/>
              <w:bottom w:val="single" w:sz="4" w:space="0" w:color="auto"/>
              <w:right w:val="single" w:sz="4" w:space="0" w:color="auto"/>
            </w:tcBorders>
            <w:shd w:val="clear" w:color="auto" w:fill="DAEEF3"/>
          </w:tcPr>
          <w:p w14:paraId="366A25E7" w14:textId="30B75EBE" w:rsidR="00F41360" w:rsidRPr="00B66E9F" w:rsidRDefault="00F41360" w:rsidP="004F5331">
            <w:pPr>
              <w:spacing w:after="0" w:line="240" w:lineRule="auto"/>
              <w:jc w:val="center"/>
              <w:rPr>
                <w:rFonts w:eastAsia="Calibri"/>
                <w:b/>
                <w:sz w:val="20"/>
                <w:szCs w:val="20"/>
              </w:rPr>
            </w:pPr>
            <w:r w:rsidRPr="00B66E9F">
              <w:rPr>
                <w:rFonts w:eastAsia="Calibri"/>
                <w:b/>
                <w:sz w:val="20"/>
                <w:szCs w:val="20"/>
              </w:rPr>
              <w:t>Milestones</w:t>
            </w:r>
          </w:p>
        </w:tc>
        <w:tc>
          <w:tcPr>
            <w:tcW w:w="1710" w:type="dxa"/>
            <w:vMerge w:val="restart"/>
            <w:tcBorders>
              <w:top w:val="single" w:sz="4" w:space="0" w:color="auto"/>
              <w:left w:val="single" w:sz="4" w:space="0" w:color="auto"/>
              <w:right w:val="single" w:sz="4" w:space="0" w:color="auto"/>
            </w:tcBorders>
            <w:shd w:val="clear" w:color="auto" w:fill="DAEEF3"/>
          </w:tcPr>
          <w:p w14:paraId="390D8866" w14:textId="5DE3C625" w:rsidR="00F41360" w:rsidRPr="00B66E9F" w:rsidRDefault="00F41360" w:rsidP="004F5331">
            <w:pPr>
              <w:spacing w:after="0" w:line="240" w:lineRule="auto"/>
              <w:jc w:val="center"/>
              <w:rPr>
                <w:rFonts w:eastAsia="Calibri"/>
                <w:b/>
                <w:sz w:val="20"/>
                <w:szCs w:val="20"/>
              </w:rPr>
            </w:pPr>
            <w:r w:rsidRPr="00B66E9F">
              <w:rPr>
                <w:rFonts w:eastAsia="Calibri"/>
                <w:b/>
                <w:sz w:val="20"/>
                <w:szCs w:val="20"/>
              </w:rPr>
              <w:t>Target</w:t>
            </w:r>
          </w:p>
        </w:tc>
      </w:tr>
      <w:tr w:rsidR="00F41360" w:rsidRPr="00283732" w14:paraId="05C868C0" w14:textId="77777777" w:rsidTr="004F5331">
        <w:trPr>
          <w:trHeight w:val="350"/>
          <w:jc w:val="center"/>
        </w:trPr>
        <w:tc>
          <w:tcPr>
            <w:tcW w:w="3325" w:type="dxa"/>
            <w:vMerge/>
            <w:tcBorders>
              <w:left w:val="single" w:sz="4" w:space="0" w:color="auto"/>
              <w:right w:val="single" w:sz="4" w:space="0" w:color="auto"/>
            </w:tcBorders>
            <w:shd w:val="clear" w:color="auto" w:fill="DAEEF3"/>
          </w:tcPr>
          <w:p w14:paraId="6FCC9DBA" w14:textId="77777777" w:rsidR="00F41360" w:rsidRPr="00B66E9F" w:rsidRDefault="00F41360" w:rsidP="002776AE">
            <w:pPr>
              <w:spacing w:after="0" w:line="240" w:lineRule="auto"/>
              <w:rPr>
                <w:rFonts w:eastAsia="Calibri"/>
                <w:sz w:val="20"/>
                <w:szCs w:val="20"/>
              </w:rPr>
            </w:pPr>
          </w:p>
        </w:tc>
        <w:tc>
          <w:tcPr>
            <w:tcW w:w="5940" w:type="dxa"/>
            <w:gridSpan w:val="2"/>
            <w:vMerge/>
            <w:tcBorders>
              <w:left w:val="single" w:sz="4" w:space="0" w:color="auto"/>
              <w:right w:val="single" w:sz="4" w:space="0" w:color="auto"/>
            </w:tcBorders>
            <w:shd w:val="clear" w:color="auto" w:fill="DAEEF3"/>
          </w:tcPr>
          <w:p w14:paraId="17CBCCE7" w14:textId="77777777" w:rsidR="00F41360" w:rsidRPr="00B66E9F" w:rsidRDefault="00F41360" w:rsidP="00EF08A0">
            <w:pPr>
              <w:spacing w:after="0" w:line="240" w:lineRule="auto"/>
              <w:rPr>
                <w:rFonts w:eastAsia="Calibri"/>
                <w:b/>
                <w:sz w:val="20"/>
                <w:szCs w:val="20"/>
              </w:rPr>
            </w:pPr>
          </w:p>
        </w:tc>
        <w:tc>
          <w:tcPr>
            <w:tcW w:w="1350" w:type="dxa"/>
            <w:vMerge/>
            <w:tcBorders>
              <w:left w:val="single" w:sz="4" w:space="0" w:color="auto"/>
              <w:bottom w:val="single" w:sz="4" w:space="0" w:color="auto"/>
              <w:right w:val="single" w:sz="4" w:space="0" w:color="auto"/>
            </w:tcBorders>
            <w:shd w:val="clear" w:color="auto" w:fill="DAEEF3"/>
          </w:tcPr>
          <w:p w14:paraId="008075CA" w14:textId="77777777" w:rsidR="00F41360" w:rsidRPr="00B66E9F" w:rsidRDefault="00F41360" w:rsidP="002776AE">
            <w:pPr>
              <w:spacing w:after="0" w:line="240" w:lineRule="auto"/>
              <w:jc w:val="center"/>
              <w:rPr>
                <w:rFonts w:eastAsia="Calibri"/>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AEEF3"/>
            <w:vAlign w:val="center"/>
          </w:tcPr>
          <w:p w14:paraId="58F4EECA" w14:textId="27E68AEE" w:rsidR="00F41360" w:rsidRPr="00B66E9F" w:rsidRDefault="00F41360" w:rsidP="00E764BE">
            <w:pPr>
              <w:spacing w:after="0" w:line="240" w:lineRule="auto"/>
              <w:jc w:val="center"/>
              <w:rPr>
                <w:rFonts w:eastAsia="Calibri"/>
                <w:b/>
                <w:sz w:val="20"/>
                <w:szCs w:val="20"/>
              </w:rPr>
            </w:pPr>
            <w:r>
              <w:rPr>
                <w:rFonts w:eastAsia="Calibri"/>
                <w:b/>
                <w:sz w:val="20"/>
                <w:szCs w:val="20"/>
              </w:rPr>
              <w:t>Planned</w:t>
            </w:r>
          </w:p>
        </w:tc>
        <w:tc>
          <w:tcPr>
            <w:tcW w:w="1350" w:type="dxa"/>
            <w:tcBorders>
              <w:top w:val="single" w:sz="4" w:space="0" w:color="auto"/>
              <w:left w:val="single" w:sz="4" w:space="0" w:color="auto"/>
              <w:bottom w:val="single" w:sz="4" w:space="0" w:color="auto"/>
              <w:right w:val="single" w:sz="4" w:space="0" w:color="auto"/>
            </w:tcBorders>
            <w:shd w:val="clear" w:color="auto" w:fill="DAEEF3"/>
            <w:vAlign w:val="center"/>
          </w:tcPr>
          <w:p w14:paraId="5B337EE1" w14:textId="59608197" w:rsidR="00F41360" w:rsidRPr="00B66E9F" w:rsidRDefault="00F41360" w:rsidP="00E764BE">
            <w:pPr>
              <w:spacing w:after="0" w:line="240" w:lineRule="auto"/>
              <w:jc w:val="center"/>
              <w:rPr>
                <w:rFonts w:eastAsia="Calibri"/>
                <w:b/>
                <w:sz w:val="20"/>
                <w:szCs w:val="20"/>
              </w:rPr>
            </w:pPr>
            <w:r>
              <w:rPr>
                <w:rFonts w:eastAsia="Calibri"/>
                <w:b/>
                <w:sz w:val="20"/>
                <w:szCs w:val="20"/>
              </w:rPr>
              <w:t>Actual</w:t>
            </w:r>
          </w:p>
        </w:tc>
        <w:tc>
          <w:tcPr>
            <w:tcW w:w="1710" w:type="dxa"/>
            <w:vMerge/>
            <w:tcBorders>
              <w:left w:val="single" w:sz="4" w:space="0" w:color="auto"/>
              <w:bottom w:val="single" w:sz="4" w:space="0" w:color="auto"/>
              <w:right w:val="single" w:sz="4" w:space="0" w:color="auto"/>
            </w:tcBorders>
            <w:shd w:val="clear" w:color="auto" w:fill="DAEEF3"/>
          </w:tcPr>
          <w:p w14:paraId="619755EE" w14:textId="77777777" w:rsidR="00F41360" w:rsidRPr="00B66E9F" w:rsidRDefault="00F41360" w:rsidP="002776AE">
            <w:pPr>
              <w:spacing w:after="0" w:line="240" w:lineRule="auto"/>
              <w:jc w:val="center"/>
              <w:rPr>
                <w:rFonts w:eastAsia="Calibri"/>
                <w:b/>
                <w:sz w:val="20"/>
                <w:szCs w:val="20"/>
              </w:rPr>
            </w:pPr>
          </w:p>
        </w:tc>
      </w:tr>
      <w:tr w:rsidR="00F41360" w:rsidRPr="00283732" w14:paraId="66CB5530" w14:textId="77777777" w:rsidTr="005C5885">
        <w:trPr>
          <w:jc w:val="center"/>
        </w:trPr>
        <w:tc>
          <w:tcPr>
            <w:tcW w:w="3325" w:type="dxa"/>
            <w:vMerge/>
            <w:tcBorders>
              <w:left w:val="single" w:sz="4" w:space="0" w:color="auto"/>
              <w:bottom w:val="single" w:sz="4" w:space="0" w:color="auto"/>
              <w:right w:val="single" w:sz="4" w:space="0" w:color="auto"/>
            </w:tcBorders>
            <w:shd w:val="clear" w:color="auto" w:fill="DAEEF3"/>
          </w:tcPr>
          <w:p w14:paraId="61C06D45" w14:textId="77777777" w:rsidR="00F41360" w:rsidRPr="00B66E9F" w:rsidRDefault="00F41360" w:rsidP="002776AE">
            <w:pPr>
              <w:spacing w:after="0" w:line="240" w:lineRule="auto"/>
              <w:rPr>
                <w:rFonts w:eastAsia="Calibri"/>
                <w:sz w:val="20"/>
                <w:szCs w:val="20"/>
              </w:rPr>
            </w:pPr>
          </w:p>
        </w:tc>
        <w:tc>
          <w:tcPr>
            <w:tcW w:w="5940" w:type="dxa"/>
            <w:gridSpan w:val="2"/>
            <w:vMerge/>
            <w:tcBorders>
              <w:left w:val="single" w:sz="4" w:space="0" w:color="auto"/>
              <w:bottom w:val="single" w:sz="4" w:space="0" w:color="auto"/>
              <w:right w:val="single" w:sz="4" w:space="0" w:color="auto"/>
            </w:tcBorders>
            <w:shd w:val="clear" w:color="auto" w:fill="DAEEF3"/>
          </w:tcPr>
          <w:p w14:paraId="2E2CC8C8" w14:textId="77777777" w:rsidR="00F41360" w:rsidRPr="00B66E9F" w:rsidRDefault="00F41360" w:rsidP="002776AE">
            <w:pPr>
              <w:spacing w:after="0" w:line="240" w:lineRule="auto"/>
              <w:rPr>
                <w:rFonts w:eastAsia="Calibri"/>
                <w:b/>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DAEEF3"/>
          </w:tcPr>
          <w:p w14:paraId="071F7CE6" w14:textId="77777777" w:rsidR="00F41360" w:rsidRPr="00C673E2" w:rsidRDefault="00F41360" w:rsidP="002776AE">
            <w:pPr>
              <w:spacing w:after="0" w:line="240" w:lineRule="auto"/>
              <w:jc w:val="center"/>
              <w:rPr>
                <w:rFonts w:eastAsia="Calibri"/>
                <w:b/>
                <w:sz w:val="20"/>
                <w:szCs w:val="20"/>
              </w:rPr>
            </w:pPr>
            <w:r w:rsidRPr="00C673E2">
              <w:rPr>
                <w:rFonts w:eastAsia="Calibri"/>
                <w:b/>
                <w:sz w:val="20"/>
                <w:szCs w:val="20"/>
              </w:rPr>
              <w:t>2013</w:t>
            </w:r>
          </w:p>
        </w:tc>
        <w:tc>
          <w:tcPr>
            <w:tcW w:w="1260" w:type="dxa"/>
            <w:tcBorders>
              <w:top w:val="single" w:sz="4" w:space="0" w:color="auto"/>
              <w:left w:val="single" w:sz="4" w:space="0" w:color="auto"/>
              <w:bottom w:val="single" w:sz="4" w:space="0" w:color="auto"/>
              <w:right w:val="single" w:sz="4" w:space="0" w:color="auto"/>
            </w:tcBorders>
            <w:shd w:val="clear" w:color="auto" w:fill="DAEEF3"/>
          </w:tcPr>
          <w:p w14:paraId="5E0727AB" w14:textId="77777777" w:rsidR="00F41360" w:rsidRPr="00C673E2" w:rsidRDefault="00F41360" w:rsidP="002776AE">
            <w:pPr>
              <w:spacing w:after="0" w:line="240" w:lineRule="auto"/>
              <w:jc w:val="center"/>
              <w:rPr>
                <w:rFonts w:eastAsia="Calibri"/>
                <w:b/>
                <w:sz w:val="20"/>
                <w:szCs w:val="20"/>
              </w:rPr>
            </w:pPr>
            <w:r w:rsidRPr="00C673E2">
              <w:rPr>
                <w:rFonts w:eastAsia="Calibri"/>
                <w:b/>
                <w:sz w:val="20"/>
                <w:szCs w:val="20"/>
              </w:rPr>
              <w:t>2014</w:t>
            </w:r>
          </w:p>
        </w:tc>
        <w:tc>
          <w:tcPr>
            <w:tcW w:w="1350" w:type="dxa"/>
            <w:tcBorders>
              <w:top w:val="single" w:sz="4" w:space="0" w:color="auto"/>
              <w:left w:val="single" w:sz="4" w:space="0" w:color="auto"/>
              <w:bottom w:val="single" w:sz="4" w:space="0" w:color="auto"/>
              <w:right w:val="single" w:sz="4" w:space="0" w:color="auto"/>
            </w:tcBorders>
            <w:shd w:val="clear" w:color="auto" w:fill="DAEEF3"/>
          </w:tcPr>
          <w:p w14:paraId="5389BA17" w14:textId="28DF1B91" w:rsidR="00F41360" w:rsidRPr="00C673E2" w:rsidRDefault="00F41360" w:rsidP="00E764BE">
            <w:pPr>
              <w:spacing w:after="0" w:line="240" w:lineRule="auto"/>
              <w:jc w:val="center"/>
              <w:rPr>
                <w:rFonts w:eastAsia="Calibri"/>
                <w:b/>
                <w:sz w:val="20"/>
                <w:szCs w:val="20"/>
              </w:rPr>
            </w:pPr>
            <w:r w:rsidRPr="00C673E2">
              <w:rPr>
                <w:rFonts w:eastAsia="Calibri"/>
                <w:b/>
                <w:sz w:val="20"/>
                <w:szCs w:val="20"/>
              </w:rPr>
              <w:t>201</w:t>
            </w:r>
            <w:r>
              <w:rPr>
                <w:rFonts w:eastAsia="Calibri"/>
                <w:b/>
                <w:sz w:val="20"/>
                <w:szCs w:val="20"/>
              </w:rPr>
              <w:t>4</w:t>
            </w:r>
          </w:p>
        </w:tc>
        <w:tc>
          <w:tcPr>
            <w:tcW w:w="1710" w:type="dxa"/>
            <w:tcBorders>
              <w:top w:val="single" w:sz="4" w:space="0" w:color="auto"/>
              <w:left w:val="single" w:sz="4" w:space="0" w:color="auto"/>
              <w:bottom w:val="single" w:sz="4" w:space="0" w:color="auto"/>
              <w:right w:val="single" w:sz="4" w:space="0" w:color="auto"/>
            </w:tcBorders>
            <w:shd w:val="clear" w:color="auto" w:fill="DAEEF3"/>
          </w:tcPr>
          <w:p w14:paraId="65B4DE91" w14:textId="77777777" w:rsidR="00F41360" w:rsidRPr="00C673E2" w:rsidRDefault="00F41360" w:rsidP="002776AE">
            <w:pPr>
              <w:spacing w:after="0" w:line="240" w:lineRule="auto"/>
              <w:jc w:val="center"/>
              <w:rPr>
                <w:rFonts w:eastAsia="Calibri"/>
                <w:b/>
                <w:sz w:val="20"/>
                <w:szCs w:val="20"/>
              </w:rPr>
            </w:pPr>
            <w:r w:rsidRPr="00C673E2">
              <w:rPr>
                <w:rFonts w:eastAsia="Calibri"/>
                <w:b/>
                <w:sz w:val="20"/>
                <w:szCs w:val="20"/>
              </w:rPr>
              <w:t>2017</w:t>
            </w:r>
          </w:p>
        </w:tc>
      </w:tr>
      <w:tr w:rsidR="00F41360" w:rsidRPr="00283732" w14:paraId="73FBEC50" w14:textId="77777777" w:rsidTr="009E378C">
        <w:trPr>
          <w:trHeight w:val="584"/>
          <w:jc w:val="center"/>
        </w:trPr>
        <w:tc>
          <w:tcPr>
            <w:tcW w:w="3325" w:type="dxa"/>
            <w:vMerge w:val="restart"/>
            <w:tcBorders>
              <w:top w:val="single" w:sz="4" w:space="0" w:color="auto"/>
              <w:left w:val="single" w:sz="4" w:space="0" w:color="auto"/>
              <w:right w:val="single" w:sz="4" w:space="0" w:color="auto"/>
            </w:tcBorders>
            <w:shd w:val="clear" w:color="auto" w:fill="FFFFFF"/>
            <w:hideMark/>
          </w:tcPr>
          <w:p w14:paraId="218FFD96" w14:textId="25AC5E6B" w:rsidR="00F41360" w:rsidRDefault="00F41360" w:rsidP="00BC4082">
            <w:pPr>
              <w:spacing w:after="0" w:line="240" w:lineRule="auto"/>
              <w:rPr>
                <w:rFonts w:eastAsia="Calibri"/>
                <w:sz w:val="20"/>
                <w:szCs w:val="20"/>
              </w:rPr>
            </w:pPr>
            <w:r w:rsidRPr="00B66E9F">
              <w:rPr>
                <w:rFonts w:eastAsia="Calibri"/>
                <w:b/>
                <w:sz w:val="20"/>
                <w:szCs w:val="20"/>
              </w:rPr>
              <w:t>Output 6.1.</w:t>
            </w:r>
            <w:r w:rsidRPr="00B66E9F">
              <w:rPr>
                <w:rFonts w:eastAsia="Calibri"/>
                <w:sz w:val="20"/>
                <w:szCs w:val="20"/>
              </w:rPr>
              <w:t xml:space="preserve"> From the humanitarian phase after crisis, early economic revitalization generates jobs and other environmentally sustainable livelihoods opportunities for crisis affected men and women</w:t>
            </w:r>
          </w:p>
          <w:p w14:paraId="2C003398" w14:textId="77777777" w:rsidR="00F41360" w:rsidRDefault="00F41360" w:rsidP="00BC4082">
            <w:pPr>
              <w:spacing w:after="0" w:line="240" w:lineRule="auto"/>
              <w:rPr>
                <w:rFonts w:eastAsia="Calibri"/>
                <w:sz w:val="20"/>
                <w:szCs w:val="20"/>
              </w:rPr>
            </w:pPr>
          </w:p>
          <w:p w14:paraId="1BAA3299" w14:textId="7199BF9E" w:rsidR="00BD4A28" w:rsidRDefault="00BD4A28" w:rsidP="00BD4A28">
            <w:pPr>
              <w:spacing w:after="0" w:line="240" w:lineRule="auto"/>
              <w:rPr>
                <w:rFonts w:ascii="Calibri" w:eastAsia="Calibri" w:hAnsi="Calibri"/>
                <w:b/>
                <w:color w:val="000000"/>
                <w:sz w:val="18"/>
                <w:szCs w:val="18"/>
              </w:rPr>
            </w:pPr>
            <w:r w:rsidRPr="00B359E7">
              <w:rPr>
                <w:rFonts w:ascii="Calibri" w:eastAsia="Calibri" w:hAnsi="Calibri"/>
                <w:b/>
                <w:i/>
                <w:color w:val="000000"/>
                <w:sz w:val="18"/>
                <w:szCs w:val="18"/>
              </w:rPr>
              <w:t>Number of countries linked:</w:t>
            </w:r>
            <w:r>
              <w:rPr>
                <w:rFonts w:ascii="Calibri" w:eastAsia="Calibri" w:hAnsi="Calibri"/>
                <w:b/>
                <w:color w:val="000000"/>
                <w:sz w:val="18"/>
                <w:szCs w:val="18"/>
              </w:rPr>
              <w:t xml:space="preserve"> 36 </w:t>
            </w:r>
          </w:p>
          <w:p w14:paraId="1EC8085E" w14:textId="6B63DAF1" w:rsidR="00F41360" w:rsidRPr="008C4519" w:rsidRDefault="00BD4A28" w:rsidP="00BD4A28">
            <w:pPr>
              <w:spacing w:after="0" w:line="240" w:lineRule="auto"/>
              <w:rPr>
                <w:rFonts w:eastAsia="Calibri"/>
                <w:color w:val="000000"/>
                <w:sz w:val="20"/>
              </w:rPr>
            </w:pPr>
            <w:r>
              <w:rPr>
                <w:rFonts w:ascii="Calibri" w:eastAsia="Calibri" w:hAnsi="Calibri"/>
                <w:b/>
                <w:color w:val="000000"/>
                <w:sz w:val="18"/>
                <w:szCs w:val="18"/>
              </w:rPr>
              <w:t>(February 2015</w:t>
            </w:r>
            <w:r w:rsidRPr="00B359E7">
              <w:rPr>
                <w:rFonts w:ascii="Calibri" w:eastAsia="Calibri" w:hAnsi="Calibri"/>
                <w:b/>
                <w:color w:val="000000"/>
                <w:sz w:val="18"/>
                <w:szCs w:val="18"/>
              </w:rPr>
              <w:t>)</w:t>
            </w:r>
          </w:p>
        </w:tc>
        <w:tc>
          <w:tcPr>
            <w:tcW w:w="810" w:type="dxa"/>
            <w:vMerge w:val="restart"/>
            <w:tcBorders>
              <w:top w:val="single" w:sz="4" w:space="0" w:color="auto"/>
              <w:left w:val="single" w:sz="4" w:space="0" w:color="auto"/>
              <w:right w:val="single" w:sz="4" w:space="0" w:color="auto"/>
            </w:tcBorders>
            <w:shd w:val="clear" w:color="auto" w:fill="FFFFFF"/>
            <w:hideMark/>
          </w:tcPr>
          <w:p w14:paraId="7AF5AFD3" w14:textId="77777777" w:rsidR="00F41360" w:rsidRPr="0032657A" w:rsidRDefault="00F41360" w:rsidP="00BC4082">
            <w:pPr>
              <w:spacing w:after="0" w:line="240" w:lineRule="auto"/>
              <w:jc w:val="both"/>
              <w:rPr>
                <w:rFonts w:eastAsia="Calibri"/>
                <w:b/>
                <w:sz w:val="20"/>
                <w:szCs w:val="20"/>
              </w:rPr>
            </w:pPr>
            <w:r w:rsidRPr="0032657A">
              <w:rPr>
                <w:rFonts w:eastAsia="Calibri"/>
                <w:b/>
                <w:sz w:val="20"/>
                <w:szCs w:val="20"/>
              </w:rPr>
              <w:t>6.1.1</w:t>
            </w:r>
          </w:p>
        </w:tc>
        <w:tc>
          <w:tcPr>
            <w:tcW w:w="5130" w:type="dxa"/>
            <w:tcBorders>
              <w:top w:val="single" w:sz="4" w:space="0" w:color="auto"/>
              <w:left w:val="single" w:sz="4" w:space="0" w:color="auto"/>
              <w:bottom w:val="single" w:sz="4" w:space="0" w:color="auto"/>
              <w:right w:val="single" w:sz="4" w:space="0" w:color="auto"/>
            </w:tcBorders>
            <w:shd w:val="clear" w:color="auto" w:fill="FFFFFF"/>
            <w:hideMark/>
          </w:tcPr>
          <w:p w14:paraId="3E671BE7" w14:textId="0812E251" w:rsidR="00F41360" w:rsidRPr="0013161E" w:rsidRDefault="00F41360" w:rsidP="00BC4082">
            <w:pPr>
              <w:spacing w:after="0" w:line="240" w:lineRule="auto"/>
              <w:rPr>
                <w:rFonts w:eastAsia="Calibri"/>
                <w:sz w:val="20"/>
                <w:szCs w:val="20"/>
              </w:rPr>
            </w:pPr>
            <w:r w:rsidRPr="0013161E">
              <w:rPr>
                <w:rFonts w:eastAsia="Calibri"/>
                <w:sz w:val="20"/>
                <w:szCs w:val="20"/>
              </w:rPr>
              <w:t xml:space="preserve">Number of </w:t>
            </w:r>
            <w:r w:rsidR="00195C81" w:rsidRPr="000B5DED">
              <w:rPr>
                <w:rFonts w:eastAsia="Calibri"/>
                <w:b/>
                <w:sz w:val="20"/>
                <w:szCs w:val="20"/>
              </w:rPr>
              <w:t xml:space="preserve">additional </w:t>
            </w:r>
            <w:r w:rsidRPr="000B5DED">
              <w:rPr>
                <w:rFonts w:eastAsia="Calibri"/>
                <w:b/>
                <w:sz w:val="20"/>
                <w:szCs w:val="20"/>
              </w:rPr>
              <w:t>people</w:t>
            </w:r>
            <w:r w:rsidRPr="0013161E">
              <w:rPr>
                <w:rFonts w:eastAsia="Calibri"/>
                <w:sz w:val="20"/>
                <w:szCs w:val="20"/>
              </w:rPr>
              <w:t xml:space="preserve"> benefitting from </w:t>
            </w:r>
            <w:r w:rsidRPr="0013161E">
              <w:rPr>
                <w:rFonts w:eastAsia="Calibri"/>
                <w:b/>
                <w:sz w:val="20"/>
                <w:szCs w:val="20"/>
              </w:rPr>
              <w:t>emergency jobs and other livelihoods</w:t>
            </w:r>
            <w:r w:rsidRPr="0013161E">
              <w:rPr>
                <w:rFonts w:eastAsia="Calibri"/>
                <w:sz w:val="20"/>
                <w:szCs w:val="20"/>
              </w:rPr>
              <w:t xml:space="preserve"> in </w:t>
            </w:r>
            <w:r w:rsidRPr="0013161E">
              <w:rPr>
                <w:rFonts w:eastAsia="Calibri"/>
                <w:b/>
                <w:sz w:val="20"/>
                <w:szCs w:val="20"/>
              </w:rPr>
              <w:t>crisis or post-crisis settings</w:t>
            </w:r>
            <w:r w:rsidRPr="0013161E">
              <w:rPr>
                <w:rFonts w:eastAsia="Calibri"/>
                <w:sz w:val="20"/>
                <w:szCs w:val="20"/>
              </w:rPr>
              <w:t>, disaggregated by sex.</w:t>
            </w:r>
          </w:p>
          <w:p w14:paraId="14A63647" w14:textId="4E29D9E9" w:rsidR="00F41360" w:rsidRPr="0013161E" w:rsidRDefault="00F41360" w:rsidP="006F161D">
            <w:pPr>
              <w:pStyle w:val="ListParagraph"/>
              <w:numPr>
                <w:ilvl w:val="0"/>
                <w:numId w:val="41"/>
              </w:numPr>
              <w:rPr>
                <w:rFonts w:asciiTheme="minorHAnsi" w:eastAsia="Calibri" w:hAnsiTheme="minorHAnsi"/>
                <w:sz w:val="20"/>
                <w:szCs w:val="20"/>
              </w:rPr>
            </w:pPr>
            <w:r w:rsidRPr="0013161E">
              <w:rPr>
                <w:rFonts w:asciiTheme="minorHAnsi" w:eastAsia="Calibri" w:hAnsiTheme="minorHAnsi"/>
                <w:sz w:val="20"/>
                <w:szCs w:val="20"/>
              </w:rPr>
              <w:t xml:space="preserve">New emergency jobs for women </w:t>
            </w:r>
          </w:p>
          <w:p w14:paraId="477CEE9A" w14:textId="1B595BF7" w:rsidR="00F41360" w:rsidRPr="0013161E" w:rsidRDefault="00F41360" w:rsidP="006F161D">
            <w:pPr>
              <w:pStyle w:val="ListParagraph"/>
              <w:numPr>
                <w:ilvl w:val="0"/>
                <w:numId w:val="41"/>
              </w:numPr>
              <w:rPr>
                <w:rFonts w:asciiTheme="minorHAnsi" w:eastAsia="Calibri" w:hAnsiTheme="minorHAnsi"/>
                <w:sz w:val="20"/>
                <w:szCs w:val="20"/>
              </w:rPr>
            </w:pPr>
            <w:r w:rsidRPr="0013161E">
              <w:rPr>
                <w:rFonts w:asciiTheme="minorHAnsi" w:eastAsia="Calibri" w:hAnsiTheme="minorHAnsi"/>
                <w:sz w:val="20"/>
                <w:szCs w:val="20"/>
              </w:rPr>
              <w:t xml:space="preserve">New emergency jobs for men </w:t>
            </w:r>
          </w:p>
          <w:p w14:paraId="1EDA5540" w14:textId="58BE65EF" w:rsidR="00F41360" w:rsidRPr="0013161E" w:rsidRDefault="00F41360" w:rsidP="006F161D">
            <w:pPr>
              <w:pStyle w:val="ListParagraph"/>
              <w:numPr>
                <w:ilvl w:val="0"/>
                <w:numId w:val="41"/>
              </w:numPr>
              <w:rPr>
                <w:rFonts w:asciiTheme="minorHAnsi" w:eastAsia="Calibri" w:hAnsiTheme="minorHAnsi"/>
                <w:sz w:val="20"/>
                <w:szCs w:val="20"/>
              </w:rPr>
            </w:pPr>
            <w:r w:rsidRPr="0013161E">
              <w:rPr>
                <w:rFonts w:asciiTheme="minorHAnsi" w:eastAsia="Calibri" w:hAnsiTheme="minorHAnsi"/>
                <w:sz w:val="20"/>
                <w:szCs w:val="20"/>
              </w:rPr>
              <w:t xml:space="preserve">Additional women benefitting from other emergency livelihoods </w:t>
            </w:r>
          </w:p>
          <w:p w14:paraId="1B06B901" w14:textId="77777777" w:rsidR="00F41360" w:rsidRPr="0013161E" w:rsidRDefault="00F41360" w:rsidP="006F161D">
            <w:pPr>
              <w:pStyle w:val="ListParagraph"/>
              <w:numPr>
                <w:ilvl w:val="0"/>
                <w:numId w:val="41"/>
              </w:numPr>
              <w:rPr>
                <w:rFonts w:asciiTheme="minorHAnsi" w:eastAsia="Calibri" w:hAnsiTheme="minorHAnsi"/>
                <w:sz w:val="20"/>
                <w:szCs w:val="20"/>
              </w:rPr>
            </w:pPr>
            <w:r w:rsidRPr="0013161E">
              <w:rPr>
                <w:rFonts w:asciiTheme="minorHAnsi" w:eastAsia="Calibri" w:hAnsiTheme="minorHAnsi"/>
                <w:sz w:val="20"/>
                <w:szCs w:val="20"/>
              </w:rPr>
              <w:t xml:space="preserve">Additional men benefitting from other emergency livelihoods </w:t>
            </w:r>
          </w:p>
          <w:p w14:paraId="390540C8" w14:textId="38BA7CBF" w:rsidR="00546E49" w:rsidRPr="0013161E" w:rsidRDefault="00546E49" w:rsidP="00114DF0">
            <w:pPr>
              <w:spacing w:before="240" w:after="0"/>
              <w:rPr>
                <w:rFonts w:eastAsia="Calibri"/>
                <w:sz w:val="20"/>
                <w:szCs w:val="20"/>
              </w:rPr>
            </w:pPr>
            <w:r w:rsidRPr="0013161E">
              <w:rPr>
                <w:rFonts w:eastAsia="Calibri"/>
                <w:b/>
                <w:i/>
                <w:sz w:val="18"/>
                <w:szCs w:val="18"/>
              </w:rPr>
              <w:t>Number of coun</w:t>
            </w:r>
            <w:r w:rsidR="00437767" w:rsidRPr="0013161E">
              <w:rPr>
                <w:rFonts w:eastAsia="Calibri"/>
                <w:b/>
                <w:i/>
                <w:sz w:val="18"/>
                <w:szCs w:val="18"/>
              </w:rPr>
              <w:t xml:space="preserve">tries </w:t>
            </w:r>
            <w:r w:rsidR="00983FF8" w:rsidRPr="0013161E">
              <w:rPr>
                <w:rFonts w:eastAsia="Calibri"/>
                <w:b/>
                <w:i/>
                <w:sz w:val="18"/>
                <w:szCs w:val="18"/>
              </w:rPr>
              <w:t>for which a 2017 target has currently been set under this indicator</w:t>
            </w:r>
            <w:r w:rsidR="00437767" w:rsidRPr="0013161E">
              <w:rPr>
                <w:rFonts w:eastAsia="Calibri"/>
                <w:b/>
                <w:i/>
                <w:sz w:val="18"/>
                <w:szCs w:val="18"/>
              </w:rPr>
              <w:t xml:space="preserve">: </w:t>
            </w:r>
            <w:r w:rsidR="00114DF0" w:rsidRPr="0013161E">
              <w:rPr>
                <w:rFonts w:eastAsia="Calibri"/>
                <w:b/>
                <w:i/>
                <w:sz w:val="18"/>
                <w:szCs w:val="18"/>
              </w:rPr>
              <w:t>19 (</w:t>
            </w:r>
            <w:r w:rsidR="00437767" w:rsidRPr="0013161E">
              <w:rPr>
                <w:rFonts w:eastAsia="Calibri"/>
                <w:b/>
                <w:i/>
                <w:sz w:val="18"/>
                <w:szCs w:val="18"/>
              </w:rPr>
              <w:t xml:space="preserve">a &amp; b), </w:t>
            </w:r>
            <w:r w:rsidR="00114DF0" w:rsidRPr="0013161E">
              <w:rPr>
                <w:rFonts w:eastAsia="Calibri"/>
                <w:b/>
                <w:i/>
                <w:sz w:val="18"/>
                <w:szCs w:val="18"/>
              </w:rPr>
              <w:t>22 (</w:t>
            </w:r>
            <w:r w:rsidR="00437767" w:rsidRPr="0013161E">
              <w:rPr>
                <w:rFonts w:eastAsia="Calibri"/>
                <w:b/>
                <w:i/>
                <w:sz w:val="18"/>
                <w:szCs w:val="18"/>
              </w:rPr>
              <w:t>c &amp;</w:t>
            </w:r>
            <w:r w:rsidR="00114DF0" w:rsidRPr="0013161E">
              <w:rPr>
                <w:rFonts w:eastAsia="Calibri"/>
                <w:b/>
                <w:i/>
                <w:sz w:val="18"/>
                <w:szCs w:val="18"/>
              </w:rPr>
              <w:t xml:space="preserve"> d)</w:t>
            </w:r>
          </w:p>
        </w:tc>
        <w:tc>
          <w:tcPr>
            <w:tcW w:w="1350" w:type="dxa"/>
            <w:tcBorders>
              <w:top w:val="single" w:sz="4" w:space="0" w:color="auto"/>
              <w:left w:val="single" w:sz="4" w:space="0" w:color="auto"/>
              <w:right w:val="single" w:sz="4" w:space="0" w:color="auto"/>
            </w:tcBorders>
            <w:shd w:val="clear" w:color="auto" w:fill="FFFFFF"/>
          </w:tcPr>
          <w:p w14:paraId="19930BE7" w14:textId="77777777" w:rsidR="00F41360" w:rsidRPr="00BC4082" w:rsidRDefault="00F41360" w:rsidP="009E378C">
            <w:pPr>
              <w:spacing w:after="0" w:line="240" w:lineRule="auto"/>
              <w:jc w:val="right"/>
              <w:rPr>
                <w:sz w:val="20"/>
                <w:szCs w:val="20"/>
              </w:rPr>
            </w:pPr>
          </w:p>
          <w:p w14:paraId="393C6F31" w14:textId="77777777" w:rsidR="00F41360" w:rsidRPr="00BC4082" w:rsidRDefault="00F41360" w:rsidP="009E378C">
            <w:pPr>
              <w:spacing w:after="0" w:line="240" w:lineRule="auto"/>
              <w:jc w:val="right"/>
              <w:rPr>
                <w:sz w:val="20"/>
                <w:szCs w:val="20"/>
              </w:rPr>
            </w:pPr>
          </w:p>
          <w:p w14:paraId="5E826F35" w14:textId="77777777" w:rsidR="00F41360" w:rsidRPr="00BC4082" w:rsidRDefault="00F41360" w:rsidP="009E378C">
            <w:pPr>
              <w:spacing w:after="0" w:line="240" w:lineRule="auto"/>
              <w:jc w:val="right"/>
              <w:rPr>
                <w:sz w:val="20"/>
                <w:szCs w:val="20"/>
              </w:rPr>
            </w:pPr>
          </w:p>
          <w:p w14:paraId="4CF13E3D" w14:textId="77777777" w:rsidR="00F41360" w:rsidRDefault="00F41360" w:rsidP="009E378C">
            <w:pPr>
              <w:spacing w:after="0" w:line="240" w:lineRule="auto"/>
              <w:jc w:val="right"/>
              <w:rPr>
                <w:sz w:val="20"/>
                <w:szCs w:val="20"/>
              </w:rPr>
            </w:pPr>
            <w:r w:rsidRPr="00BC4082">
              <w:rPr>
                <w:sz w:val="20"/>
                <w:szCs w:val="20"/>
              </w:rPr>
              <w:t>0</w:t>
            </w:r>
          </w:p>
          <w:p w14:paraId="5DED78E9" w14:textId="77777777" w:rsidR="00F41360" w:rsidRDefault="00F41360" w:rsidP="009E378C">
            <w:pPr>
              <w:spacing w:after="0" w:line="240" w:lineRule="auto"/>
              <w:jc w:val="right"/>
              <w:rPr>
                <w:sz w:val="20"/>
                <w:szCs w:val="20"/>
              </w:rPr>
            </w:pPr>
            <w:r>
              <w:rPr>
                <w:sz w:val="20"/>
                <w:szCs w:val="20"/>
              </w:rPr>
              <w:t>0</w:t>
            </w:r>
          </w:p>
          <w:p w14:paraId="7A4458CF" w14:textId="77777777" w:rsidR="00F41360" w:rsidRDefault="00F41360" w:rsidP="009E378C">
            <w:pPr>
              <w:spacing w:after="0" w:line="240" w:lineRule="auto"/>
              <w:jc w:val="right"/>
              <w:rPr>
                <w:sz w:val="20"/>
                <w:szCs w:val="20"/>
              </w:rPr>
            </w:pPr>
            <w:r>
              <w:rPr>
                <w:sz w:val="20"/>
                <w:szCs w:val="20"/>
              </w:rPr>
              <w:t>0</w:t>
            </w:r>
          </w:p>
          <w:p w14:paraId="2B0FF90F" w14:textId="77777777" w:rsidR="00F41360" w:rsidRDefault="00F41360" w:rsidP="009E378C">
            <w:pPr>
              <w:spacing w:after="0" w:line="240" w:lineRule="auto"/>
              <w:jc w:val="right"/>
              <w:rPr>
                <w:sz w:val="20"/>
                <w:szCs w:val="20"/>
              </w:rPr>
            </w:pPr>
          </w:p>
          <w:p w14:paraId="1ED271AB" w14:textId="77777777" w:rsidR="00F41360" w:rsidRPr="00BC4082" w:rsidRDefault="00F41360" w:rsidP="009E378C">
            <w:pPr>
              <w:spacing w:after="0" w:line="240" w:lineRule="auto"/>
              <w:jc w:val="right"/>
              <w:rPr>
                <w:sz w:val="20"/>
                <w:szCs w:val="20"/>
              </w:rPr>
            </w:pPr>
            <w:r>
              <w:rPr>
                <w:sz w:val="20"/>
                <w:szCs w:val="20"/>
              </w:rPr>
              <w:t>0</w:t>
            </w:r>
          </w:p>
        </w:tc>
        <w:tc>
          <w:tcPr>
            <w:tcW w:w="1260" w:type="dxa"/>
            <w:tcBorders>
              <w:top w:val="single" w:sz="4" w:space="0" w:color="auto"/>
              <w:left w:val="single" w:sz="4" w:space="0" w:color="auto"/>
              <w:right w:val="single" w:sz="4" w:space="0" w:color="auto"/>
            </w:tcBorders>
            <w:shd w:val="clear" w:color="auto" w:fill="FFFFFF"/>
          </w:tcPr>
          <w:p w14:paraId="0A5F6FF6" w14:textId="77777777" w:rsidR="00F41360" w:rsidRDefault="00F41360" w:rsidP="00B80E3E">
            <w:pPr>
              <w:spacing w:after="0" w:line="240" w:lineRule="auto"/>
              <w:jc w:val="right"/>
              <w:rPr>
                <w:rFonts w:eastAsia="Times New Roman" w:cs="Times New Roman"/>
                <w:color w:val="000000"/>
                <w:sz w:val="20"/>
                <w:szCs w:val="20"/>
              </w:rPr>
            </w:pPr>
          </w:p>
          <w:p w14:paraId="0A56E4BF" w14:textId="77777777" w:rsidR="00F41360" w:rsidRDefault="00F41360" w:rsidP="00B80E3E">
            <w:pPr>
              <w:spacing w:after="0" w:line="240" w:lineRule="auto"/>
              <w:jc w:val="right"/>
              <w:rPr>
                <w:rFonts w:eastAsia="Times New Roman" w:cs="Times New Roman"/>
                <w:color w:val="000000"/>
                <w:sz w:val="20"/>
                <w:szCs w:val="20"/>
              </w:rPr>
            </w:pPr>
          </w:p>
          <w:p w14:paraId="42922597" w14:textId="77777777" w:rsidR="00F41360" w:rsidRDefault="00F41360" w:rsidP="00B80E3E">
            <w:pPr>
              <w:spacing w:after="0" w:line="240" w:lineRule="auto"/>
              <w:jc w:val="right"/>
              <w:rPr>
                <w:rFonts w:eastAsia="Times New Roman" w:cs="Times New Roman"/>
                <w:color w:val="000000"/>
                <w:sz w:val="20"/>
                <w:szCs w:val="20"/>
              </w:rPr>
            </w:pPr>
          </w:p>
          <w:p w14:paraId="7BB8E027" w14:textId="77777777" w:rsidR="00F41360" w:rsidRDefault="00F41360" w:rsidP="00B80E3E">
            <w:pPr>
              <w:spacing w:after="0" w:line="240" w:lineRule="auto"/>
              <w:jc w:val="right"/>
              <w:rPr>
                <w:rFonts w:ascii="Calibri" w:eastAsia="Times New Roman" w:hAnsi="Calibri" w:cs="Times New Roman"/>
                <w:color w:val="000000"/>
                <w:sz w:val="20"/>
                <w:szCs w:val="20"/>
              </w:rPr>
            </w:pPr>
            <w:r w:rsidRPr="007E14BD">
              <w:rPr>
                <w:rFonts w:ascii="Calibri" w:eastAsia="Times New Roman" w:hAnsi="Calibri" w:cs="Times New Roman"/>
                <w:color w:val="000000"/>
                <w:sz w:val="20"/>
                <w:szCs w:val="20"/>
              </w:rPr>
              <w:t>38,456</w:t>
            </w:r>
          </w:p>
          <w:p w14:paraId="7E7C3140" w14:textId="796DCDDD" w:rsidR="00F41360" w:rsidRDefault="00095B77" w:rsidP="00B80E3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61,637</w:t>
            </w:r>
          </w:p>
          <w:p w14:paraId="7D7A5277" w14:textId="625EEB07" w:rsidR="00F41360" w:rsidRDefault="00F41360" w:rsidP="00B80E3E">
            <w:pPr>
              <w:spacing w:after="0" w:line="240" w:lineRule="auto"/>
              <w:jc w:val="right"/>
              <w:rPr>
                <w:rFonts w:ascii="Calibri" w:eastAsia="Times New Roman" w:hAnsi="Calibri" w:cs="Times New Roman"/>
                <w:color w:val="000000"/>
                <w:sz w:val="20"/>
                <w:szCs w:val="20"/>
              </w:rPr>
            </w:pPr>
            <w:r w:rsidRPr="007E14BD">
              <w:rPr>
                <w:rFonts w:ascii="Calibri" w:eastAsia="Times New Roman" w:hAnsi="Calibri" w:cs="Times New Roman"/>
                <w:color w:val="000000"/>
                <w:sz w:val="20"/>
                <w:szCs w:val="20"/>
              </w:rPr>
              <w:t>2,</w:t>
            </w:r>
            <w:r w:rsidR="00A167F1">
              <w:rPr>
                <w:rFonts w:ascii="Calibri" w:eastAsia="Times New Roman" w:hAnsi="Calibri" w:cs="Times New Roman"/>
                <w:color w:val="000000"/>
                <w:sz w:val="20"/>
                <w:szCs w:val="20"/>
              </w:rPr>
              <w:t>232</w:t>
            </w:r>
            <w:r w:rsidR="00095B77">
              <w:rPr>
                <w:rFonts w:ascii="Calibri" w:eastAsia="Times New Roman" w:hAnsi="Calibri" w:cs="Times New Roman"/>
                <w:color w:val="000000"/>
                <w:sz w:val="20"/>
                <w:szCs w:val="20"/>
              </w:rPr>
              <w:t>,210</w:t>
            </w:r>
          </w:p>
          <w:p w14:paraId="58BAA6ED" w14:textId="77777777" w:rsidR="00F41360" w:rsidRPr="007E14BD" w:rsidRDefault="00F41360" w:rsidP="00B80E3E">
            <w:pPr>
              <w:spacing w:after="0" w:line="240" w:lineRule="auto"/>
              <w:jc w:val="right"/>
              <w:rPr>
                <w:rFonts w:ascii="Calibri" w:eastAsia="Times New Roman" w:hAnsi="Calibri" w:cs="Times New Roman"/>
                <w:color w:val="000000"/>
                <w:sz w:val="20"/>
                <w:szCs w:val="20"/>
              </w:rPr>
            </w:pPr>
          </w:p>
          <w:p w14:paraId="0BA2AA24" w14:textId="7C18D4F2" w:rsidR="00F41360" w:rsidRPr="002C2E1C" w:rsidRDefault="00095B77" w:rsidP="00A167F1">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r w:rsidR="00A167F1">
              <w:rPr>
                <w:rFonts w:ascii="Calibri" w:eastAsia="Times New Roman" w:hAnsi="Calibri" w:cs="Times New Roman"/>
                <w:color w:val="000000"/>
                <w:sz w:val="20"/>
                <w:szCs w:val="20"/>
              </w:rPr>
              <w:t>53</w:t>
            </w:r>
            <w:r>
              <w:rPr>
                <w:rFonts w:ascii="Calibri" w:eastAsia="Times New Roman" w:hAnsi="Calibri" w:cs="Times New Roman"/>
                <w:color w:val="000000"/>
                <w:sz w:val="20"/>
                <w:szCs w:val="20"/>
              </w:rPr>
              <w:t>,4</w:t>
            </w:r>
            <w:r w:rsidR="00A167F1">
              <w:rPr>
                <w:rFonts w:ascii="Calibri" w:eastAsia="Times New Roman" w:hAnsi="Calibri" w:cs="Times New Roman"/>
                <w:color w:val="000000"/>
                <w:sz w:val="20"/>
                <w:szCs w:val="20"/>
              </w:rPr>
              <w:t>35</w:t>
            </w:r>
          </w:p>
        </w:tc>
        <w:tc>
          <w:tcPr>
            <w:tcW w:w="1350" w:type="dxa"/>
            <w:tcBorders>
              <w:top w:val="single" w:sz="4" w:space="0" w:color="auto"/>
              <w:left w:val="single" w:sz="4" w:space="0" w:color="auto"/>
              <w:right w:val="single" w:sz="4" w:space="0" w:color="auto"/>
            </w:tcBorders>
            <w:shd w:val="clear" w:color="auto" w:fill="FFFFFF"/>
          </w:tcPr>
          <w:p w14:paraId="7A65EAF6" w14:textId="089EB4D7" w:rsidR="00F41360" w:rsidRDefault="00F41360" w:rsidP="00B80E3E">
            <w:pPr>
              <w:spacing w:after="0" w:line="240" w:lineRule="auto"/>
              <w:jc w:val="right"/>
              <w:rPr>
                <w:rFonts w:eastAsia="Times New Roman" w:cs="Times New Roman"/>
                <w:color w:val="000000"/>
                <w:sz w:val="20"/>
                <w:szCs w:val="20"/>
              </w:rPr>
            </w:pPr>
          </w:p>
          <w:p w14:paraId="32F3CEF0" w14:textId="77777777" w:rsidR="00F41360" w:rsidRDefault="00F41360" w:rsidP="00B80E3E">
            <w:pPr>
              <w:spacing w:after="0" w:line="240" w:lineRule="auto"/>
              <w:jc w:val="right"/>
              <w:rPr>
                <w:rFonts w:eastAsia="Times New Roman" w:cs="Times New Roman"/>
                <w:color w:val="000000"/>
                <w:sz w:val="20"/>
                <w:szCs w:val="20"/>
              </w:rPr>
            </w:pPr>
          </w:p>
          <w:p w14:paraId="4E56927F" w14:textId="77777777" w:rsidR="00F41360" w:rsidRDefault="00F41360" w:rsidP="00B80E3E">
            <w:pPr>
              <w:spacing w:after="0" w:line="240" w:lineRule="auto"/>
              <w:jc w:val="right"/>
              <w:rPr>
                <w:rFonts w:eastAsia="Times New Roman" w:cs="Times New Roman"/>
                <w:color w:val="000000"/>
                <w:sz w:val="20"/>
                <w:szCs w:val="20"/>
              </w:rPr>
            </w:pPr>
          </w:p>
          <w:p w14:paraId="50A7FCA5" w14:textId="77777777" w:rsidR="00F41360" w:rsidRDefault="00095B77" w:rsidP="00B80E3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57,752</w:t>
            </w:r>
          </w:p>
          <w:p w14:paraId="6AA215A9" w14:textId="77777777" w:rsidR="00095B77" w:rsidRDefault="00095B77" w:rsidP="00B80E3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78,520</w:t>
            </w:r>
          </w:p>
          <w:p w14:paraId="324B6F9D" w14:textId="0647774A" w:rsidR="00095B77" w:rsidRDefault="00095B77" w:rsidP="00B80E3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2,8</w:t>
            </w:r>
            <w:r w:rsidR="00A167F1">
              <w:rPr>
                <w:rFonts w:ascii="Calibri" w:eastAsia="Times New Roman" w:hAnsi="Calibri" w:cs="Times New Roman"/>
                <w:color w:val="000000"/>
                <w:sz w:val="20"/>
                <w:szCs w:val="20"/>
              </w:rPr>
              <w:t>24</w:t>
            </w:r>
            <w:r>
              <w:rPr>
                <w:rFonts w:ascii="Calibri" w:eastAsia="Times New Roman" w:hAnsi="Calibri" w:cs="Times New Roman"/>
                <w:color w:val="000000"/>
                <w:sz w:val="20"/>
                <w:szCs w:val="20"/>
              </w:rPr>
              <w:t>,</w:t>
            </w:r>
            <w:r w:rsidR="00A167F1">
              <w:rPr>
                <w:rFonts w:ascii="Calibri" w:eastAsia="Times New Roman" w:hAnsi="Calibri" w:cs="Times New Roman"/>
                <w:color w:val="000000"/>
                <w:sz w:val="20"/>
                <w:szCs w:val="20"/>
              </w:rPr>
              <w:t>9</w:t>
            </w:r>
            <w:r>
              <w:rPr>
                <w:rFonts w:ascii="Calibri" w:eastAsia="Times New Roman" w:hAnsi="Calibri" w:cs="Times New Roman"/>
                <w:color w:val="000000"/>
                <w:sz w:val="20"/>
                <w:szCs w:val="20"/>
              </w:rPr>
              <w:t>70</w:t>
            </w:r>
          </w:p>
          <w:p w14:paraId="5BDE150A" w14:textId="77777777" w:rsidR="00095B77" w:rsidRDefault="00095B77" w:rsidP="00B80E3E">
            <w:pPr>
              <w:spacing w:after="0" w:line="240" w:lineRule="auto"/>
              <w:jc w:val="right"/>
              <w:rPr>
                <w:rFonts w:ascii="Calibri" w:eastAsia="Times New Roman" w:hAnsi="Calibri" w:cs="Times New Roman"/>
                <w:color w:val="000000"/>
                <w:sz w:val="20"/>
                <w:szCs w:val="20"/>
              </w:rPr>
            </w:pPr>
          </w:p>
          <w:p w14:paraId="568C1E1F" w14:textId="7B0E0F4F" w:rsidR="00095B77" w:rsidRPr="002C2E1C" w:rsidRDefault="00095B77" w:rsidP="00A167F1">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2,90</w:t>
            </w:r>
            <w:r w:rsidR="00A167F1">
              <w:rPr>
                <w:rFonts w:ascii="Calibri" w:eastAsia="Times New Roman" w:hAnsi="Calibri" w:cs="Times New Roman"/>
                <w:color w:val="000000"/>
                <w:sz w:val="20"/>
                <w:szCs w:val="20"/>
              </w:rPr>
              <w:t>5</w:t>
            </w:r>
            <w:r>
              <w:rPr>
                <w:rFonts w:ascii="Calibri" w:eastAsia="Times New Roman" w:hAnsi="Calibri" w:cs="Times New Roman"/>
                <w:color w:val="000000"/>
                <w:sz w:val="20"/>
                <w:szCs w:val="20"/>
              </w:rPr>
              <w:t>,</w:t>
            </w:r>
            <w:r w:rsidR="00A167F1">
              <w:rPr>
                <w:rFonts w:ascii="Calibri" w:eastAsia="Times New Roman" w:hAnsi="Calibri" w:cs="Times New Roman"/>
                <w:color w:val="000000"/>
                <w:sz w:val="20"/>
                <w:szCs w:val="20"/>
              </w:rPr>
              <w:t>400</w:t>
            </w:r>
          </w:p>
        </w:tc>
        <w:tc>
          <w:tcPr>
            <w:tcW w:w="1710" w:type="dxa"/>
            <w:tcBorders>
              <w:top w:val="single" w:sz="4" w:space="0" w:color="auto"/>
              <w:left w:val="single" w:sz="4" w:space="0" w:color="auto"/>
              <w:right w:val="single" w:sz="4" w:space="0" w:color="auto"/>
            </w:tcBorders>
            <w:shd w:val="clear" w:color="auto" w:fill="FFFFFF"/>
          </w:tcPr>
          <w:p w14:paraId="586C5D9B" w14:textId="77777777" w:rsidR="00F41360" w:rsidRDefault="00F41360" w:rsidP="00B80E3E">
            <w:pPr>
              <w:spacing w:after="0" w:line="240" w:lineRule="auto"/>
              <w:jc w:val="right"/>
              <w:rPr>
                <w:sz w:val="20"/>
                <w:szCs w:val="20"/>
              </w:rPr>
            </w:pPr>
          </w:p>
          <w:p w14:paraId="504FF50D" w14:textId="77777777" w:rsidR="00F41360" w:rsidRDefault="00F41360" w:rsidP="00B80E3E">
            <w:pPr>
              <w:spacing w:after="0" w:line="240" w:lineRule="auto"/>
              <w:jc w:val="right"/>
              <w:rPr>
                <w:sz w:val="20"/>
                <w:szCs w:val="20"/>
              </w:rPr>
            </w:pPr>
          </w:p>
          <w:p w14:paraId="2678C339" w14:textId="77777777" w:rsidR="00F41360" w:rsidRDefault="00F41360" w:rsidP="00B80E3E">
            <w:pPr>
              <w:spacing w:after="0" w:line="240" w:lineRule="auto"/>
              <w:jc w:val="right"/>
              <w:rPr>
                <w:sz w:val="20"/>
                <w:szCs w:val="20"/>
              </w:rPr>
            </w:pPr>
          </w:p>
          <w:p w14:paraId="01E630D6" w14:textId="25C77A23" w:rsidR="00F41360" w:rsidRDefault="00AE23C4" w:rsidP="00B80E3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69</w:t>
            </w:r>
            <w:r w:rsidR="00942FA9">
              <w:rPr>
                <w:rFonts w:ascii="Calibri" w:eastAsia="Times New Roman" w:hAnsi="Calibri" w:cs="Times New Roman"/>
                <w:color w:val="000000"/>
                <w:sz w:val="20"/>
                <w:szCs w:val="20"/>
              </w:rPr>
              <w:t>,527</w:t>
            </w:r>
          </w:p>
          <w:p w14:paraId="76EC2E06" w14:textId="10806E9A" w:rsidR="00F41360" w:rsidRPr="008D1FAF" w:rsidRDefault="00942FA9" w:rsidP="00B80E3E">
            <w:pPr>
              <w:spacing w:after="0" w:line="240" w:lineRule="auto"/>
              <w:jc w:val="right"/>
              <w:rPr>
                <w:rFonts w:ascii="Calibri" w:eastAsia="Times New Roman" w:hAnsi="Calibri" w:cs="Times New Roman"/>
                <w:color w:val="000000"/>
                <w:sz w:val="20"/>
                <w:szCs w:val="20"/>
              </w:rPr>
            </w:pPr>
            <w:r w:rsidRPr="008D1FAF">
              <w:rPr>
                <w:rFonts w:ascii="Calibri" w:eastAsia="Times New Roman" w:hAnsi="Calibri" w:cs="Times New Roman"/>
                <w:color w:val="000000"/>
                <w:sz w:val="20"/>
                <w:szCs w:val="20"/>
              </w:rPr>
              <w:t>1</w:t>
            </w:r>
            <w:r w:rsidR="00AE23C4" w:rsidRPr="008D1FAF">
              <w:rPr>
                <w:rFonts w:ascii="Calibri" w:eastAsia="Times New Roman" w:hAnsi="Calibri" w:cs="Times New Roman"/>
                <w:color w:val="000000"/>
                <w:sz w:val="20"/>
                <w:szCs w:val="20"/>
              </w:rPr>
              <w:t>2</w:t>
            </w:r>
            <w:r w:rsidRPr="008D1FAF">
              <w:rPr>
                <w:rFonts w:ascii="Calibri" w:eastAsia="Times New Roman" w:hAnsi="Calibri" w:cs="Times New Roman"/>
                <w:color w:val="000000"/>
                <w:sz w:val="20"/>
                <w:szCs w:val="20"/>
              </w:rPr>
              <w:t>2,865</w:t>
            </w:r>
          </w:p>
          <w:p w14:paraId="5DAE836F" w14:textId="6223DEE1" w:rsidR="00F41360" w:rsidRPr="008D1FAF" w:rsidRDefault="00C74ABB" w:rsidP="00B80E3E">
            <w:pPr>
              <w:spacing w:after="0" w:line="240" w:lineRule="auto"/>
              <w:jc w:val="right"/>
              <w:rPr>
                <w:rFonts w:ascii="Calibri" w:eastAsia="Times New Roman" w:hAnsi="Calibri" w:cs="Times New Roman"/>
                <w:color w:val="000000"/>
                <w:sz w:val="20"/>
                <w:szCs w:val="20"/>
              </w:rPr>
            </w:pPr>
            <w:r w:rsidRPr="008D1FAF">
              <w:rPr>
                <w:rFonts w:ascii="Calibri" w:eastAsia="Times New Roman" w:hAnsi="Calibri" w:cs="Times New Roman"/>
                <w:color w:val="000000"/>
                <w:sz w:val="20"/>
                <w:szCs w:val="20"/>
              </w:rPr>
              <w:t>2,</w:t>
            </w:r>
            <w:r w:rsidR="007F0F43" w:rsidRPr="008D1FAF">
              <w:rPr>
                <w:rFonts w:ascii="Calibri" w:eastAsia="Times New Roman" w:hAnsi="Calibri" w:cs="Times New Roman"/>
                <w:color w:val="000000"/>
                <w:sz w:val="20"/>
                <w:szCs w:val="20"/>
              </w:rPr>
              <w:t>480,</w:t>
            </w:r>
            <w:r w:rsidR="008D1FAF" w:rsidRPr="008D1FAF">
              <w:rPr>
                <w:rFonts w:ascii="Calibri" w:eastAsia="Times New Roman" w:hAnsi="Calibri" w:cs="Times New Roman"/>
                <w:color w:val="000000"/>
                <w:sz w:val="20"/>
                <w:szCs w:val="20"/>
              </w:rPr>
              <w:t>2</w:t>
            </w:r>
            <w:r w:rsidR="007F0F43" w:rsidRPr="008D1FAF">
              <w:rPr>
                <w:rFonts w:ascii="Calibri" w:eastAsia="Times New Roman" w:hAnsi="Calibri" w:cs="Times New Roman"/>
                <w:color w:val="000000"/>
                <w:sz w:val="20"/>
                <w:szCs w:val="20"/>
              </w:rPr>
              <w:t>57</w:t>
            </w:r>
          </w:p>
          <w:p w14:paraId="0AF50F6C" w14:textId="77777777" w:rsidR="00F41360" w:rsidRPr="008D1FAF" w:rsidRDefault="00F41360" w:rsidP="00B80E3E">
            <w:pPr>
              <w:spacing w:after="0" w:line="240" w:lineRule="auto"/>
              <w:jc w:val="right"/>
              <w:rPr>
                <w:rFonts w:ascii="Calibri" w:eastAsia="Times New Roman" w:hAnsi="Calibri" w:cs="Times New Roman"/>
                <w:color w:val="000000"/>
                <w:sz w:val="20"/>
                <w:szCs w:val="20"/>
              </w:rPr>
            </w:pPr>
          </w:p>
          <w:p w14:paraId="765D4A65" w14:textId="098CC4DB" w:rsidR="00F41360" w:rsidRPr="002C2E1C" w:rsidRDefault="00C74ABB" w:rsidP="007F0F43">
            <w:pPr>
              <w:spacing w:after="0" w:line="240" w:lineRule="auto"/>
              <w:jc w:val="right"/>
              <w:rPr>
                <w:rFonts w:ascii="Calibri" w:eastAsia="Times New Roman" w:hAnsi="Calibri" w:cs="Times New Roman"/>
                <w:color w:val="000000"/>
                <w:sz w:val="20"/>
                <w:szCs w:val="20"/>
              </w:rPr>
            </w:pPr>
            <w:r w:rsidRPr="008D1FAF">
              <w:rPr>
                <w:rFonts w:ascii="Calibri" w:eastAsia="Times New Roman" w:hAnsi="Calibri" w:cs="Times New Roman"/>
                <w:color w:val="000000"/>
                <w:sz w:val="20"/>
                <w:szCs w:val="20"/>
              </w:rPr>
              <w:t>2,</w:t>
            </w:r>
            <w:r w:rsidR="007F0F43" w:rsidRPr="008D1FAF">
              <w:rPr>
                <w:rFonts w:ascii="Calibri" w:eastAsia="Times New Roman" w:hAnsi="Calibri" w:cs="Times New Roman"/>
                <w:color w:val="000000"/>
                <w:sz w:val="20"/>
                <w:szCs w:val="20"/>
              </w:rPr>
              <w:t>497</w:t>
            </w:r>
            <w:r w:rsidRPr="008D1FAF">
              <w:rPr>
                <w:rFonts w:ascii="Calibri" w:eastAsia="Times New Roman" w:hAnsi="Calibri" w:cs="Times New Roman"/>
                <w:color w:val="000000"/>
                <w:sz w:val="20"/>
                <w:szCs w:val="20"/>
              </w:rPr>
              <w:t>,</w:t>
            </w:r>
            <w:r w:rsidR="007F0F43" w:rsidRPr="008D1FAF">
              <w:rPr>
                <w:rFonts w:ascii="Calibri" w:eastAsia="Times New Roman" w:hAnsi="Calibri" w:cs="Times New Roman"/>
                <w:color w:val="000000"/>
                <w:sz w:val="20"/>
                <w:szCs w:val="20"/>
              </w:rPr>
              <w:t>293</w:t>
            </w:r>
          </w:p>
        </w:tc>
      </w:tr>
      <w:tr w:rsidR="00017B2F" w:rsidRPr="00283732" w14:paraId="31AB39B8" w14:textId="77777777" w:rsidTr="004C3CB2">
        <w:trPr>
          <w:trHeight w:val="584"/>
          <w:jc w:val="center"/>
        </w:trPr>
        <w:tc>
          <w:tcPr>
            <w:tcW w:w="3325" w:type="dxa"/>
            <w:vMerge/>
            <w:tcBorders>
              <w:left w:val="single" w:sz="4" w:space="0" w:color="auto"/>
              <w:right w:val="single" w:sz="4" w:space="0" w:color="auto"/>
            </w:tcBorders>
            <w:shd w:val="clear" w:color="auto" w:fill="FFFFFF"/>
          </w:tcPr>
          <w:p w14:paraId="22A5C15C" w14:textId="1305AD82" w:rsidR="00017B2F" w:rsidRPr="00B66E9F" w:rsidRDefault="00017B2F" w:rsidP="002776AE">
            <w:pPr>
              <w:spacing w:after="0" w:line="240" w:lineRule="auto"/>
              <w:rPr>
                <w:rFonts w:eastAsia="Calibri"/>
                <w:b/>
                <w:sz w:val="20"/>
                <w:szCs w:val="20"/>
              </w:rPr>
            </w:pPr>
          </w:p>
        </w:tc>
        <w:tc>
          <w:tcPr>
            <w:tcW w:w="810" w:type="dxa"/>
            <w:vMerge/>
            <w:tcBorders>
              <w:left w:val="single" w:sz="4" w:space="0" w:color="auto"/>
              <w:bottom w:val="single" w:sz="4" w:space="0" w:color="auto"/>
              <w:right w:val="single" w:sz="4" w:space="0" w:color="auto"/>
            </w:tcBorders>
            <w:shd w:val="clear" w:color="auto" w:fill="FFFFFF"/>
          </w:tcPr>
          <w:p w14:paraId="4BF7A97B" w14:textId="77777777" w:rsidR="00017B2F" w:rsidRPr="001C4CF8" w:rsidRDefault="00017B2F" w:rsidP="002776AE">
            <w:pPr>
              <w:spacing w:after="0" w:line="240" w:lineRule="auto"/>
              <w:jc w:val="both"/>
              <w:rPr>
                <w:rFonts w:eastAsia="Calibri"/>
                <w:b/>
                <w:sz w:val="20"/>
                <w:szCs w:val="20"/>
                <w:highlight w:val="yellow"/>
              </w:rPr>
            </w:pPr>
          </w:p>
        </w:tc>
        <w:tc>
          <w:tcPr>
            <w:tcW w:w="10800" w:type="dxa"/>
            <w:gridSpan w:val="5"/>
            <w:tcBorders>
              <w:left w:val="single" w:sz="4" w:space="0" w:color="auto"/>
              <w:bottom w:val="single" w:sz="4" w:space="0" w:color="auto"/>
              <w:right w:val="single" w:sz="4" w:space="0" w:color="auto"/>
            </w:tcBorders>
            <w:shd w:val="clear" w:color="auto" w:fill="D9D9D9" w:themeFill="background1" w:themeFillShade="D9"/>
          </w:tcPr>
          <w:p w14:paraId="36A7FC1D" w14:textId="1378930F" w:rsidR="00017B2F" w:rsidRPr="0013161E" w:rsidRDefault="00017B2F" w:rsidP="002C60A2">
            <w:pPr>
              <w:spacing w:after="0" w:line="240" w:lineRule="auto"/>
              <w:rPr>
                <w:rFonts w:eastAsia="Calibri"/>
                <w:sz w:val="18"/>
                <w:szCs w:val="18"/>
              </w:rPr>
            </w:pPr>
            <w:r w:rsidRPr="0013161E">
              <w:rPr>
                <w:rFonts w:ascii="Calibri" w:eastAsia="Calibri" w:hAnsi="Calibri" w:cs="Times New Roman"/>
                <w:b/>
                <w:sz w:val="18"/>
                <w:szCs w:val="18"/>
                <w:lang w:eastAsia="en-US"/>
              </w:rPr>
              <w:t xml:space="preserve">Indicator 6.1.1 Note: </w:t>
            </w:r>
            <w:r w:rsidRPr="0013161E">
              <w:rPr>
                <w:rFonts w:ascii="Calibri" w:eastAsia="Calibri" w:hAnsi="Calibri"/>
                <w:sz w:val="18"/>
                <w:szCs w:val="18"/>
              </w:rPr>
              <w:t xml:space="preserve">Tracks the number of new emergency jobs created and number of additional people benefiting from strengthened livelihoods in crisis or post-crisis settings with UNDP support (on demand </w:t>
            </w:r>
            <w:r w:rsidRPr="0013161E">
              <w:rPr>
                <w:sz w:val="18"/>
                <w:szCs w:val="18"/>
              </w:rPr>
              <w:t>from programme countries</w:t>
            </w:r>
            <w:r w:rsidRPr="0013161E">
              <w:rPr>
                <w:rFonts w:ascii="Calibri" w:eastAsia="Calibri" w:hAnsi="Calibri"/>
                <w:sz w:val="18"/>
                <w:szCs w:val="18"/>
              </w:rPr>
              <w:t xml:space="preserve">) from January 2014 onward. Where data disaggregated by sex was not available, data were provided for the total number of people: an </w:t>
            </w:r>
            <w:r w:rsidRPr="0013161E">
              <w:rPr>
                <w:rFonts w:ascii="Calibri" w:eastAsia="Calibri" w:hAnsi="Calibri"/>
                <w:b/>
                <w:sz w:val="18"/>
                <w:szCs w:val="18"/>
              </w:rPr>
              <w:t xml:space="preserve">additional </w:t>
            </w:r>
            <w:r w:rsidR="00364E2F" w:rsidRPr="0013161E">
              <w:rPr>
                <w:rFonts w:ascii="Calibri" w:eastAsia="Calibri" w:hAnsi="Calibri"/>
                <w:b/>
                <w:sz w:val="18"/>
                <w:szCs w:val="18"/>
              </w:rPr>
              <w:t>1</w:t>
            </w:r>
            <w:r w:rsidR="00B708E1" w:rsidRPr="0013161E">
              <w:rPr>
                <w:rFonts w:ascii="Calibri" w:eastAsia="Calibri" w:hAnsi="Calibri"/>
                <w:b/>
                <w:sz w:val="18"/>
                <w:szCs w:val="18"/>
              </w:rPr>
              <w:t>81</w:t>
            </w:r>
            <w:r w:rsidR="00364E2F" w:rsidRPr="0013161E">
              <w:rPr>
                <w:rFonts w:ascii="Calibri" w:eastAsia="Calibri" w:hAnsi="Calibri"/>
                <w:b/>
                <w:sz w:val="18"/>
                <w:szCs w:val="18"/>
              </w:rPr>
              <w:t>,</w:t>
            </w:r>
            <w:r w:rsidR="00B708E1" w:rsidRPr="0013161E">
              <w:rPr>
                <w:rFonts w:ascii="Calibri" w:eastAsia="Calibri" w:hAnsi="Calibri"/>
                <w:b/>
                <w:sz w:val="18"/>
                <w:szCs w:val="18"/>
              </w:rPr>
              <w:t>630</w:t>
            </w:r>
            <w:r w:rsidRPr="0013161E">
              <w:rPr>
                <w:rFonts w:ascii="Calibri" w:eastAsia="Calibri" w:hAnsi="Calibri"/>
                <w:b/>
                <w:sz w:val="18"/>
                <w:szCs w:val="18"/>
              </w:rPr>
              <w:t xml:space="preserve"> people</w:t>
            </w:r>
            <w:r w:rsidRPr="0013161E">
              <w:rPr>
                <w:rFonts w:ascii="Calibri" w:eastAsia="Calibri" w:hAnsi="Calibri"/>
                <w:sz w:val="18"/>
                <w:szCs w:val="18"/>
              </w:rPr>
              <w:t xml:space="preserve"> benefitt</w:t>
            </w:r>
            <w:r w:rsidR="00364E2F" w:rsidRPr="0013161E">
              <w:rPr>
                <w:rFonts w:ascii="Calibri" w:eastAsia="Calibri" w:hAnsi="Calibri"/>
                <w:sz w:val="18"/>
                <w:szCs w:val="18"/>
              </w:rPr>
              <w:t>ed</w:t>
            </w:r>
            <w:r w:rsidRPr="0013161E">
              <w:rPr>
                <w:rFonts w:ascii="Calibri" w:eastAsia="Calibri" w:hAnsi="Calibri"/>
                <w:sz w:val="18"/>
                <w:szCs w:val="18"/>
              </w:rPr>
              <w:t xml:space="preserve"> from strengthened livelihoods </w:t>
            </w:r>
            <w:r w:rsidR="00364E2F" w:rsidRPr="0013161E">
              <w:rPr>
                <w:rFonts w:ascii="Calibri" w:eastAsia="Calibri" w:hAnsi="Calibri"/>
                <w:sz w:val="18"/>
                <w:szCs w:val="18"/>
              </w:rPr>
              <w:t>in 2014 for which sex disaggregation is not available</w:t>
            </w:r>
            <w:r w:rsidRPr="0013161E">
              <w:rPr>
                <w:rFonts w:ascii="Calibri" w:eastAsia="Calibri" w:hAnsi="Calibri"/>
                <w:sz w:val="18"/>
                <w:szCs w:val="18"/>
              </w:rPr>
              <w:t xml:space="preserve">. </w:t>
            </w:r>
            <w:r w:rsidRPr="0013161E">
              <w:rPr>
                <w:rFonts w:eastAsia="Calibri"/>
                <w:sz w:val="18"/>
                <w:szCs w:val="18"/>
              </w:rPr>
              <w:t xml:space="preserve">For complementary jobs and livelihoods </w:t>
            </w:r>
            <w:r w:rsidR="00926B89" w:rsidRPr="0013161E">
              <w:rPr>
                <w:rFonts w:eastAsia="Calibri"/>
                <w:sz w:val="18"/>
                <w:szCs w:val="18"/>
              </w:rPr>
              <w:t>results</w:t>
            </w:r>
            <w:r w:rsidRPr="0013161E">
              <w:rPr>
                <w:rFonts w:eastAsia="Calibri"/>
                <w:sz w:val="18"/>
                <w:szCs w:val="18"/>
              </w:rPr>
              <w:t xml:space="preserve">, please see </w:t>
            </w:r>
            <w:r w:rsidRPr="0013161E">
              <w:rPr>
                <w:rFonts w:eastAsia="Calibri"/>
                <w:b/>
                <w:sz w:val="18"/>
                <w:szCs w:val="18"/>
              </w:rPr>
              <w:t>indicator</w:t>
            </w:r>
            <w:r w:rsidR="00926B89" w:rsidRPr="0013161E">
              <w:rPr>
                <w:rFonts w:eastAsia="Calibri"/>
                <w:b/>
                <w:sz w:val="18"/>
                <w:szCs w:val="18"/>
              </w:rPr>
              <w:t>s</w:t>
            </w:r>
            <w:r w:rsidRPr="0013161E">
              <w:rPr>
                <w:rFonts w:eastAsia="Calibri"/>
                <w:b/>
                <w:sz w:val="18"/>
                <w:szCs w:val="18"/>
              </w:rPr>
              <w:t xml:space="preserve"> 1.1.1 </w:t>
            </w:r>
            <w:r w:rsidRPr="0013161E">
              <w:rPr>
                <w:rFonts w:eastAsia="Calibri"/>
                <w:sz w:val="18"/>
                <w:szCs w:val="18"/>
              </w:rPr>
              <w:t>and</w:t>
            </w:r>
            <w:r w:rsidRPr="0013161E">
              <w:rPr>
                <w:rFonts w:eastAsia="Calibri"/>
                <w:b/>
                <w:sz w:val="18"/>
                <w:szCs w:val="18"/>
              </w:rPr>
              <w:t xml:space="preserve"> 1.3.2</w:t>
            </w:r>
            <w:r w:rsidRPr="0013161E">
              <w:rPr>
                <w:rFonts w:eastAsia="Calibri"/>
                <w:sz w:val="18"/>
                <w:szCs w:val="18"/>
              </w:rPr>
              <w:t>.</w:t>
            </w:r>
          </w:p>
          <w:p w14:paraId="772DC353" w14:textId="669945D2" w:rsidR="00017B2F" w:rsidRPr="0013161E" w:rsidRDefault="00017B2F" w:rsidP="00114DF0">
            <w:pPr>
              <w:spacing w:after="0" w:line="240" w:lineRule="auto"/>
              <w:rPr>
                <w:rFonts w:ascii="Calibri" w:eastAsia="Calibri" w:hAnsi="Calibri" w:cs="Times New Roman"/>
                <w:b/>
                <w:sz w:val="18"/>
                <w:szCs w:val="18"/>
                <w:lang w:eastAsia="en-US"/>
              </w:rPr>
            </w:pPr>
            <w:r w:rsidRPr="0013161E">
              <w:rPr>
                <w:rFonts w:eastAsia="Calibri"/>
                <w:b/>
                <w:sz w:val="18"/>
                <w:szCs w:val="18"/>
              </w:rPr>
              <w:t xml:space="preserve">2014 Reporting Note: </w:t>
            </w:r>
            <w:r w:rsidRPr="0013161E">
              <w:rPr>
                <w:rFonts w:eastAsia="Calibri"/>
                <w:sz w:val="18"/>
                <w:szCs w:val="18"/>
              </w:rPr>
              <w:t xml:space="preserve">2014 </w:t>
            </w:r>
            <w:r w:rsidR="00114DF0" w:rsidRPr="0013161E">
              <w:rPr>
                <w:rFonts w:eastAsia="Calibri"/>
                <w:sz w:val="18"/>
                <w:szCs w:val="18"/>
              </w:rPr>
              <w:t>m</w:t>
            </w:r>
            <w:r w:rsidRPr="0013161E">
              <w:rPr>
                <w:rFonts w:eastAsia="Calibri"/>
                <w:sz w:val="18"/>
                <w:szCs w:val="18"/>
              </w:rPr>
              <w:t xml:space="preserve">ilestones </w:t>
            </w:r>
            <w:r w:rsidR="00114DF0" w:rsidRPr="0013161E">
              <w:rPr>
                <w:rFonts w:eastAsia="Calibri"/>
                <w:sz w:val="18"/>
                <w:szCs w:val="18"/>
              </w:rPr>
              <w:t xml:space="preserve">and 2017 targets </w:t>
            </w:r>
            <w:r w:rsidRPr="0013161E">
              <w:rPr>
                <w:rFonts w:eastAsia="Calibri"/>
                <w:sz w:val="18"/>
                <w:szCs w:val="18"/>
              </w:rPr>
              <w:t>updated to reflect more complete reporting from country offices. For reference, previous 2014 milestones were: a) 38,456, b) 45,</w:t>
            </w:r>
            <w:r w:rsidR="00720D5B" w:rsidRPr="0013161E">
              <w:rPr>
                <w:rFonts w:eastAsia="Calibri"/>
                <w:sz w:val="18"/>
                <w:szCs w:val="18"/>
              </w:rPr>
              <w:t xml:space="preserve"> 634, c) 2,261,035, d) 2,279,017</w:t>
            </w:r>
            <w:r w:rsidR="00114DF0" w:rsidRPr="0013161E">
              <w:rPr>
                <w:rFonts w:eastAsia="Calibri"/>
                <w:sz w:val="18"/>
                <w:szCs w:val="18"/>
              </w:rPr>
              <w:t xml:space="preserve">; previous targets were: a) 62,315, b) 100,603, c) 4,089,339, d) 4,124,283. </w:t>
            </w:r>
          </w:p>
        </w:tc>
      </w:tr>
      <w:tr w:rsidR="009420ED" w:rsidRPr="00283732" w14:paraId="7D6602A7" w14:textId="77777777" w:rsidTr="009E378C">
        <w:trPr>
          <w:trHeight w:val="350"/>
          <w:jc w:val="center"/>
        </w:trPr>
        <w:tc>
          <w:tcPr>
            <w:tcW w:w="3325" w:type="dxa"/>
            <w:vMerge/>
            <w:tcBorders>
              <w:left w:val="single" w:sz="4" w:space="0" w:color="auto"/>
              <w:right w:val="single" w:sz="4" w:space="0" w:color="auto"/>
            </w:tcBorders>
            <w:shd w:val="clear" w:color="auto" w:fill="auto"/>
            <w:vAlign w:val="center"/>
            <w:hideMark/>
          </w:tcPr>
          <w:p w14:paraId="10D21759" w14:textId="77777777" w:rsidR="009420ED" w:rsidRPr="00B66E9F" w:rsidRDefault="009420ED" w:rsidP="002776AE">
            <w:pPr>
              <w:spacing w:after="0" w:line="240" w:lineRule="auto"/>
              <w:rPr>
                <w:rFonts w:eastAsia="Calibri"/>
                <w:sz w:val="20"/>
                <w:szCs w:val="20"/>
              </w:rPr>
            </w:pPr>
          </w:p>
        </w:tc>
        <w:tc>
          <w:tcPr>
            <w:tcW w:w="810" w:type="dxa"/>
            <w:vMerge w:val="restart"/>
            <w:tcBorders>
              <w:top w:val="single" w:sz="4" w:space="0" w:color="auto"/>
              <w:left w:val="single" w:sz="4" w:space="0" w:color="auto"/>
              <w:right w:val="single" w:sz="4" w:space="0" w:color="auto"/>
            </w:tcBorders>
            <w:shd w:val="clear" w:color="auto" w:fill="FFFFFF"/>
            <w:hideMark/>
          </w:tcPr>
          <w:p w14:paraId="66D65A17" w14:textId="77777777" w:rsidR="009420ED" w:rsidRPr="00B66E9F" w:rsidRDefault="009420ED" w:rsidP="002776AE">
            <w:pPr>
              <w:spacing w:after="0" w:line="240" w:lineRule="auto"/>
              <w:jc w:val="both"/>
              <w:rPr>
                <w:rFonts w:eastAsia="Calibri"/>
                <w:b/>
                <w:sz w:val="20"/>
                <w:szCs w:val="20"/>
              </w:rPr>
            </w:pPr>
            <w:r w:rsidRPr="00B66E9F">
              <w:rPr>
                <w:rFonts w:eastAsia="Calibri"/>
                <w:b/>
                <w:sz w:val="20"/>
                <w:szCs w:val="20"/>
              </w:rPr>
              <w:t>6.1.2</w:t>
            </w:r>
          </w:p>
        </w:tc>
        <w:tc>
          <w:tcPr>
            <w:tcW w:w="5130" w:type="dxa"/>
            <w:tcBorders>
              <w:top w:val="single" w:sz="4" w:space="0" w:color="auto"/>
              <w:left w:val="single" w:sz="4" w:space="0" w:color="auto"/>
              <w:bottom w:val="single" w:sz="4" w:space="0" w:color="auto"/>
              <w:right w:val="single" w:sz="4" w:space="0" w:color="auto"/>
            </w:tcBorders>
            <w:shd w:val="clear" w:color="auto" w:fill="FFFFFF"/>
            <w:hideMark/>
          </w:tcPr>
          <w:p w14:paraId="484B1D5D" w14:textId="77777777" w:rsidR="009420ED" w:rsidRPr="0013161E" w:rsidRDefault="009420ED" w:rsidP="002776AE">
            <w:pPr>
              <w:spacing w:after="0" w:line="240" w:lineRule="auto"/>
              <w:rPr>
                <w:rFonts w:eastAsia="Calibri"/>
                <w:sz w:val="20"/>
                <w:szCs w:val="20"/>
              </w:rPr>
            </w:pPr>
            <w:r w:rsidRPr="0013161E">
              <w:rPr>
                <w:sz w:val="20"/>
              </w:rPr>
              <w:t xml:space="preserve">Percentage of crisis-affected countries where critical </w:t>
            </w:r>
            <w:r w:rsidRPr="0013161E">
              <w:rPr>
                <w:b/>
                <w:bCs/>
                <w:sz w:val="20"/>
              </w:rPr>
              <w:t>benchmarks are identified and actions implemented for Local Economic Revitalization (LER)</w:t>
            </w:r>
            <w:r w:rsidRPr="0013161E">
              <w:rPr>
                <w:sz w:val="20"/>
              </w:rPr>
              <w:t xml:space="preserve"> within eighteen months of the start of the crisis and/or of UNDP interventions</w:t>
            </w:r>
          </w:p>
          <w:p w14:paraId="04B2600A" w14:textId="3699AEEA" w:rsidR="009420ED" w:rsidRPr="0013161E" w:rsidRDefault="009420ED" w:rsidP="006F161D">
            <w:pPr>
              <w:pStyle w:val="ListParagraph"/>
              <w:numPr>
                <w:ilvl w:val="0"/>
                <w:numId w:val="46"/>
              </w:numPr>
              <w:rPr>
                <w:rFonts w:eastAsia="Calibri"/>
                <w:sz w:val="20"/>
                <w:szCs w:val="20"/>
              </w:rPr>
            </w:pPr>
            <w:r w:rsidRPr="0013161E">
              <w:rPr>
                <w:rFonts w:eastAsia="Calibri"/>
                <w:sz w:val="20"/>
                <w:szCs w:val="20"/>
              </w:rPr>
              <w:t xml:space="preserve">LER benchmark 1 </w:t>
            </w:r>
          </w:p>
          <w:p w14:paraId="4A1B1EA6" w14:textId="40D816BB" w:rsidR="009420ED" w:rsidRPr="0013161E" w:rsidRDefault="009420ED" w:rsidP="006F161D">
            <w:pPr>
              <w:pStyle w:val="ListParagraph"/>
              <w:numPr>
                <w:ilvl w:val="0"/>
                <w:numId w:val="46"/>
              </w:numPr>
              <w:rPr>
                <w:rFonts w:eastAsia="Calibri"/>
                <w:sz w:val="20"/>
                <w:szCs w:val="20"/>
              </w:rPr>
            </w:pPr>
            <w:r w:rsidRPr="0013161E">
              <w:rPr>
                <w:rFonts w:eastAsia="Calibri"/>
                <w:sz w:val="20"/>
                <w:szCs w:val="20"/>
              </w:rPr>
              <w:t xml:space="preserve">LER benchmark 2 </w:t>
            </w:r>
          </w:p>
          <w:p w14:paraId="0D7396EE" w14:textId="66CCDC0B" w:rsidR="009420ED" w:rsidRPr="0013161E" w:rsidRDefault="009420ED" w:rsidP="006F161D">
            <w:pPr>
              <w:pStyle w:val="ListParagraph"/>
              <w:numPr>
                <w:ilvl w:val="0"/>
                <w:numId w:val="46"/>
              </w:numPr>
              <w:rPr>
                <w:rFonts w:eastAsia="Calibri"/>
                <w:sz w:val="20"/>
                <w:szCs w:val="20"/>
              </w:rPr>
            </w:pPr>
            <w:r w:rsidRPr="0013161E">
              <w:rPr>
                <w:rFonts w:eastAsia="Calibri"/>
                <w:sz w:val="20"/>
                <w:szCs w:val="20"/>
              </w:rPr>
              <w:t>LER benchmark 3</w:t>
            </w:r>
            <w:r w:rsidR="0061246D" w:rsidRPr="0013161E">
              <w:rPr>
                <w:rFonts w:eastAsia="Calibri"/>
                <w:sz w:val="20"/>
                <w:szCs w:val="20"/>
              </w:rPr>
              <w:t xml:space="preserve"> </w:t>
            </w:r>
          </w:p>
          <w:p w14:paraId="244B7830" w14:textId="77777777" w:rsidR="009420ED" w:rsidRPr="0013161E" w:rsidRDefault="009420ED" w:rsidP="006F161D">
            <w:pPr>
              <w:pStyle w:val="ListParagraph"/>
              <w:numPr>
                <w:ilvl w:val="0"/>
                <w:numId w:val="46"/>
              </w:numPr>
              <w:rPr>
                <w:rFonts w:eastAsia="Calibri"/>
                <w:sz w:val="20"/>
                <w:szCs w:val="20"/>
              </w:rPr>
            </w:pPr>
            <w:r w:rsidRPr="0013161E">
              <w:rPr>
                <w:rFonts w:eastAsia="Calibri"/>
                <w:sz w:val="20"/>
                <w:szCs w:val="20"/>
              </w:rPr>
              <w:t>LER benchmark 4</w:t>
            </w:r>
            <w:r w:rsidR="0061246D" w:rsidRPr="0013161E">
              <w:rPr>
                <w:rFonts w:eastAsia="Calibri"/>
                <w:sz w:val="20"/>
                <w:szCs w:val="20"/>
              </w:rPr>
              <w:t xml:space="preserve"> </w:t>
            </w:r>
          </w:p>
          <w:p w14:paraId="2671ED06" w14:textId="5C4D7CAA" w:rsidR="00546E49" w:rsidRPr="0013161E" w:rsidRDefault="00546E49" w:rsidP="00D454E9">
            <w:pPr>
              <w:spacing w:before="240" w:after="0"/>
              <w:rPr>
                <w:rFonts w:eastAsia="Calibri"/>
                <w:sz w:val="20"/>
                <w:szCs w:val="20"/>
              </w:rPr>
            </w:pPr>
            <w:r w:rsidRPr="0013161E">
              <w:rPr>
                <w:rFonts w:eastAsia="Calibri"/>
                <w:b/>
                <w:i/>
                <w:sz w:val="18"/>
                <w:szCs w:val="18"/>
              </w:rPr>
              <w:t xml:space="preserve">Number of countries </w:t>
            </w:r>
            <w:r w:rsidR="00983FF8" w:rsidRPr="0013161E">
              <w:rPr>
                <w:rFonts w:eastAsia="Calibri"/>
                <w:b/>
                <w:i/>
                <w:sz w:val="18"/>
                <w:szCs w:val="18"/>
              </w:rPr>
              <w:t>for which a 2017 target has currently been set under this indicator</w:t>
            </w:r>
            <w:r w:rsidRPr="0013161E">
              <w:rPr>
                <w:rFonts w:eastAsia="Calibri"/>
                <w:b/>
                <w:i/>
                <w:sz w:val="18"/>
                <w:szCs w:val="18"/>
              </w:rPr>
              <w:t xml:space="preserve">: </w:t>
            </w:r>
            <w:r w:rsidR="00E309F6" w:rsidRPr="0013161E">
              <w:rPr>
                <w:rFonts w:eastAsia="Calibri"/>
                <w:b/>
                <w:i/>
                <w:sz w:val="18"/>
                <w:szCs w:val="18"/>
              </w:rPr>
              <w:t xml:space="preserve">a) 7, b) </w:t>
            </w:r>
            <w:r w:rsidR="00853575" w:rsidRPr="0013161E">
              <w:rPr>
                <w:rFonts w:eastAsia="Calibri"/>
                <w:b/>
                <w:i/>
                <w:sz w:val="18"/>
                <w:szCs w:val="18"/>
              </w:rPr>
              <w:t>5, c) 4, d) 2</w:t>
            </w:r>
          </w:p>
        </w:tc>
        <w:tc>
          <w:tcPr>
            <w:tcW w:w="1350" w:type="dxa"/>
            <w:tcBorders>
              <w:left w:val="single" w:sz="4" w:space="0" w:color="auto"/>
              <w:bottom w:val="single" w:sz="4" w:space="0" w:color="auto"/>
              <w:right w:val="single" w:sz="4" w:space="0" w:color="auto"/>
            </w:tcBorders>
            <w:shd w:val="clear" w:color="auto" w:fill="FFFFFF"/>
          </w:tcPr>
          <w:p w14:paraId="6EE09FAE" w14:textId="77777777" w:rsidR="009E378C" w:rsidRPr="009E378C" w:rsidRDefault="009E378C" w:rsidP="009E378C">
            <w:pPr>
              <w:spacing w:after="0" w:line="240" w:lineRule="auto"/>
              <w:rPr>
                <w:rFonts w:eastAsia="Calibri"/>
                <w:sz w:val="20"/>
                <w:szCs w:val="20"/>
              </w:rPr>
            </w:pPr>
          </w:p>
          <w:p w14:paraId="3A5AB9F1" w14:textId="77777777" w:rsidR="009E378C" w:rsidRPr="009E378C" w:rsidRDefault="009E378C" w:rsidP="009E378C">
            <w:pPr>
              <w:spacing w:after="0" w:line="240" w:lineRule="auto"/>
              <w:rPr>
                <w:rFonts w:eastAsia="Calibri"/>
                <w:sz w:val="20"/>
                <w:szCs w:val="20"/>
              </w:rPr>
            </w:pPr>
          </w:p>
          <w:p w14:paraId="459C2366" w14:textId="77777777" w:rsidR="009E378C" w:rsidRPr="009E378C" w:rsidRDefault="009E378C" w:rsidP="009E378C">
            <w:pPr>
              <w:spacing w:after="0" w:line="240" w:lineRule="auto"/>
              <w:rPr>
                <w:rFonts w:eastAsia="Calibri"/>
                <w:sz w:val="20"/>
                <w:szCs w:val="20"/>
              </w:rPr>
            </w:pPr>
          </w:p>
          <w:p w14:paraId="1206D986" w14:textId="77777777" w:rsidR="009E378C" w:rsidRPr="009E378C" w:rsidRDefault="009E378C" w:rsidP="009E378C">
            <w:pPr>
              <w:spacing w:after="0" w:line="240" w:lineRule="auto"/>
              <w:rPr>
                <w:rFonts w:eastAsia="Calibri"/>
                <w:sz w:val="20"/>
                <w:szCs w:val="20"/>
              </w:rPr>
            </w:pPr>
          </w:p>
          <w:p w14:paraId="7B9EBA5F" w14:textId="564536DF" w:rsidR="009420ED" w:rsidRDefault="00720D5B" w:rsidP="006F161D">
            <w:pPr>
              <w:pStyle w:val="ListParagraph"/>
              <w:numPr>
                <w:ilvl w:val="0"/>
                <w:numId w:val="47"/>
              </w:numPr>
              <w:rPr>
                <w:rFonts w:eastAsia="Calibri"/>
                <w:sz w:val="20"/>
                <w:szCs w:val="20"/>
              </w:rPr>
            </w:pPr>
            <w:r>
              <w:rPr>
                <w:rFonts w:eastAsia="Calibri"/>
                <w:sz w:val="20"/>
                <w:szCs w:val="20"/>
              </w:rPr>
              <w:t>10</w:t>
            </w:r>
            <w:r w:rsidR="009420ED">
              <w:rPr>
                <w:rFonts w:eastAsia="Calibri"/>
                <w:sz w:val="20"/>
                <w:szCs w:val="20"/>
              </w:rPr>
              <w:t>%</w:t>
            </w:r>
          </w:p>
          <w:p w14:paraId="1360BB63" w14:textId="7B88517D" w:rsidR="009420ED" w:rsidRDefault="00720D5B" w:rsidP="006F161D">
            <w:pPr>
              <w:pStyle w:val="ListParagraph"/>
              <w:numPr>
                <w:ilvl w:val="0"/>
                <w:numId w:val="47"/>
              </w:numPr>
              <w:rPr>
                <w:rFonts w:eastAsia="Calibri"/>
                <w:sz w:val="20"/>
                <w:szCs w:val="20"/>
              </w:rPr>
            </w:pPr>
            <w:r>
              <w:rPr>
                <w:rFonts w:eastAsia="Calibri"/>
                <w:sz w:val="20"/>
                <w:szCs w:val="20"/>
              </w:rPr>
              <w:t>11</w:t>
            </w:r>
            <w:r w:rsidR="009420ED">
              <w:rPr>
                <w:rFonts w:eastAsia="Calibri"/>
                <w:sz w:val="20"/>
                <w:szCs w:val="20"/>
              </w:rPr>
              <w:t>%</w:t>
            </w:r>
          </w:p>
          <w:p w14:paraId="01017599" w14:textId="3BEE849C" w:rsidR="009420ED" w:rsidRDefault="00720D5B" w:rsidP="006F161D">
            <w:pPr>
              <w:pStyle w:val="ListParagraph"/>
              <w:numPr>
                <w:ilvl w:val="0"/>
                <w:numId w:val="47"/>
              </w:numPr>
              <w:rPr>
                <w:rFonts w:eastAsia="Calibri"/>
                <w:sz w:val="20"/>
                <w:szCs w:val="20"/>
              </w:rPr>
            </w:pPr>
            <w:r>
              <w:rPr>
                <w:rFonts w:eastAsia="Calibri"/>
                <w:sz w:val="20"/>
                <w:szCs w:val="20"/>
              </w:rPr>
              <w:t>13</w:t>
            </w:r>
            <w:r w:rsidR="009420ED">
              <w:rPr>
                <w:rFonts w:eastAsia="Calibri"/>
                <w:sz w:val="20"/>
                <w:szCs w:val="20"/>
              </w:rPr>
              <w:t>%</w:t>
            </w:r>
          </w:p>
          <w:p w14:paraId="45F044DB" w14:textId="77777777" w:rsidR="009420ED" w:rsidRDefault="00720D5B" w:rsidP="006F161D">
            <w:pPr>
              <w:pStyle w:val="ListParagraph"/>
              <w:numPr>
                <w:ilvl w:val="0"/>
                <w:numId w:val="47"/>
              </w:numPr>
              <w:rPr>
                <w:rFonts w:eastAsia="Calibri"/>
                <w:sz w:val="20"/>
                <w:szCs w:val="20"/>
              </w:rPr>
            </w:pPr>
            <w:r>
              <w:rPr>
                <w:rFonts w:eastAsia="Calibri"/>
                <w:sz w:val="20"/>
                <w:szCs w:val="20"/>
              </w:rPr>
              <w:t>17</w:t>
            </w:r>
            <w:r w:rsidR="009420ED">
              <w:rPr>
                <w:rFonts w:eastAsia="Calibri"/>
                <w:sz w:val="20"/>
                <w:szCs w:val="20"/>
              </w:rPr>
              <w:t>%</w:t>
            </w:r>
          </w:p>
          <w:p w14:paraId="30091DA3" w14:textId="768E6C91" w:rsidR="00D454E9" w:rsidRPr="009E378C" w:rsidRDefault="00D454E9" w:rsidP="009E378C">
            <w:pPr>
              <w:rPr>
                <w:rFonts w:eastAsia="Calibri"/>
                <w:sz w:val="20"/>
                <w:szCs w:val="20"/>
              </w:rPr>
            </w:pPr>
          </w:p>
        </w:tc>
        <w:tc>
          <w:tcPr>
            <w:tcW w:w="1260" w:type="dxa"/>
            <w:tcBorders>
              <w:left w:val="single" w:sz="4" w:space="0" w:color="auto"/>
              <w:bottom w:val="single" w:sz="4" w:space="0" w:color="auto"/>
              <w:right w:val="single" w:sz="4" w:space="0" w:color="auto"/>
            </w:tcBorders>
            <w:shd w:val="clear" w:color="auto" w:fill="FFFFFF"/>
          </w:tcPr>
          <w:p w14:paraId="57E91EBE" w14:textId="77777777" w:rsidR="009E378C" w:rsidRPr="009E378C" w:rsidRDefault="009E378C" w:rsidP="009E378C">
            <w:pPr>
              <w:spacing w:after="0" w:line="240" w:lineRule="auto"/>
              <w:rPr>
                <w:rFonts w:eastAsia="Calibri"/>
                <w:sz w:val="20"/>
                <w:szCs w:val="20"/>
              </w:rPr>
            </w:pPr>
          </w:p>
          <w:p w14:paraId="254D4E4B" w14:textId="77777777" w:rsidR="009E378C" w:rsidRPr="009E378C" w:rsidRDefault="009E378C" w:rsidP="009E378C">
            <w:pPr>
              <w:spacing w:after="0" w:line="240" w:lineRule="auto"/>
              <w:rPr>
                <w:rFonts w:eastAsia="Calibri"/>
                <w:sz w:val="20"/>
                <w:szCs w:val="20"/>
              </w:rPr>
            </w:pPr>
          </w:p>
          <w:p w14:paraId="21C162F9" w14:textId="77777777" w:rsidR="009E378C" w:rsidRPr="009E378C" w:rsidRDefault="009E378C" w:rsidP="009E378C">
            <w:pPr>
              <w:spacing w:after="0" w:line="240" w:lineRule="auto"/>
              <w:rPr>
                <w:rFonts w:eastAsia="Calibri"/>
                <w:sz w:val="20"/>
                <w:szCs w:val="20"/>
              </w:rPr>
            </w:pPr>
          </w:p>
          <w:p w14:paraId="12FEA820" w14:textId="77777777" w:rsidR="009E378C" w:rsidRPr="009E378C" w:rsidRDefault="009E378C" w:rsidP="009E378C">
            <w:pPr>
              <w:spacing w:after="0" w:line="240" w:lineRule="auto"/>
              <w:rPr>
                <w:rFonts w:eastAsia="Calibri"/>
                <w:sz w:val="20"/>
                <w:szCs w:val="20"/>
              </w:rPr>
            </w:pPr>
          </w:p>
          <w:p w14:paraId="68C2D2C0" w14:textId="7481B24C" w:rsidR="009420ED" w:rsidRDefault="00F44BBD" w:rsidP="006F161D">
            <w:pPr>
              <w:pStyle w:val="ListParagraph"/>
              <w:numPr>
                <w:ilvl w:val="0"/>
                <w:numId w:val="48"/>
              </w:numPr>
              <w:rPr>
                <w:rFonts w:eastAsia="Calibri"/>
                <w:sz w:val="20"/>
                <w:szCs w:val="20"/>
              </w:rPr>
            </w:pPr>
            <w:r>
              <w:rPr>
                <w:rFonts w:eastAsia="Calibri"/>
                <w:sz w:val="20"/>
                <w:szCs w:val="20"/>
              </w:rPr>
              <w:t>30</w:t>
            </w:r>
            <w:r w:rsidR="009420ED" w:rsidRPr="004E2FEB">
              <w:rPr>
                <w:rFonts w:eastAsia="Calibri"/>
                <w:sz w:val="20"/>
                <w:szCs w:val="20"/>
              </w:rPr>
              <w:t>%</w:t>
            </w:r>
          </w:p>
          <w:p w14:paraId="151C019B" w14:textId="0B398DA4" w:rsidR="009420ED" w:rsidRDefault="00F44BBD" w:rsidP="006F161D">
            <w:pPr>
              <w:pStyle w:val="ListParagraph"/>
              <w:numPr>
                <w:ilvl w:val="0"/>
                <w:numId w:val="48"/>
              </w:numPr>
              <w:rPr>
                <w:rFonts w:eastAsia="Calibri"/>
                <w:sz w:val="20"/>
                <w:szCs w:val="20"/>
              </w:rPr>
            </w:pPr>
            <w:r>
              <w:rPr>
                <w:rFonts w:eastAsia="Calibri"/>
                <w:sz w:val="20"/>
                <w:szCs w:val="20"/>
              </w:rPr>
              <w:t>33</w:t>
            </w:r>
            <w:r w:rsidR="009420ED">
              <w:rPr>
                <w:rFonts w:eastAsia="Calibri"/>
                <w:sz w:val="20"/>
                <w:szCs w:val="20"/>
              </w:rPr>
              <w:t>%</w:t>
            </w:r>
          </w:p>
          <w:p w14:paraId="6E765E0A" w14:textId="0F561317" w:rsidR="009420ED" w:rsidRDefault="00F44BBD" w:rsidP="006F161D">
            <w:pPr>
              <w:pStyle w:val="ListParagraph"/>
              <w:numPr>
                <w:ilvl w:val="0"/>
                <w:numId w:val="48"/>
              </w:numPr>
              <w:rPr>
                <w:rFonts w:eastAsia="Calibri"/>
                <w:sz w:val="20"/>
                <w:szCs w:val="20"/>
              </w:rPr>
            </w:pPr>
            <w:r>
              <w:rPr>
                <w:rFonts w:eastAsia="Calibri"/>
                <w:sz w:val="20"/>
                <w:szCs w:val="20"/>
              </w:rPr>
              <w:t>25</w:t>
            </w:r>
            <w:r w:rsidR="009420ED">
              <w:rPr>
                <w:rFonts w:eastAsia="Calibri"/>
                <w:sz w:val="20"/>
                <w:szCs w:val="20"/>
              </w:rPr>
              <w:t>%</w:t>
            </w:r>
          </w:p>
          <w:p w14:paraId="47D2360A" w14:textId="77777777" w:rsidR="009420ED" w:rsidRDefault="00F44BBD" w:rsidP="006F161D">
            <w:pPr>
              <w:pStyle w:val="ListParagraph"/>
              <w:numPr>
                <w:ilvl w:val="0"/>
                <w:numId w:val="48"/>
              </w:numPr>
              <w:rPr>
                <w:rFonts w:eastAsia="Calibri"/>
                <w:sz w:val="20"/>
                <w:szCs w:val="20"/>
              </w:rPr>
            </w:pPr>
            <w:r>
              <w:rPr>
                <w:rFonts w:eastAsia="Calibri"/>
                <w:sz w:val="20"/>
                <w:szCs w:val="20"/>
              </w:rPr>
              <w:t>17</w:t>
            </w:r>
            <w:r w:rsidR="009420ED">
              <w:rPr>
                <w:rFonts w:eastAsia="Calibri"/>
                <w:sz w:val="20"/>
                <w:szCs w:val="20"/>
              </w:rPr>
              <w:t>%</w:t>
            </w:r>
          </w:p>
          <w:p w14:paraId="4E029174" w14:textId="1AE1B082" w:rsidR="00D454E9" w:rsidRPr="00D454E9" w:rsidRDefault="00D454E9" w:rsidP="009E378C">
            <w:pPr>
              <w:spacing w:after="0" w:line="240" w:lineRule="auto"/>
              <w:rPr>
                <w:rFonts w:eastAsia="Calibri"/>
                <w:sz w:val="20"/>
                <w:szCs w:val="20"/>
              </w:rPr>
            </w:pPr>
          </w:p>
        </w:tc>
        <w:tc>
          <w:tcPr>
            <w:tcW w:w="1350" w:type="dxa"/>
            <w:tcBorders>
              <w:left w:val="single" w:sz="4" w:space="0" w:color="auto"/>
              <w:bottom w:val="single" w:sz="4" w:space="0" w:color="auto"/>
              <w:right w:val="single" w:sz="4" w:space="0" w:color="auto"/>
            </w:tcBorders>
            <w:shd w:val="clear" w:color="auto" w:fill="FFFFFF"/>
          </w:tcPr>
          <w:p w14:paraId="4E8499E8" w14:textId="77777777" w:rsidR="009E378C" w:rsidRPr="009E378C" w:rsidRDefault="009E378C" w:rsidP="009E378C">
            <w:pPr>
              <w:spacing w:after="0" w:line="240" w:lineRule="auto"/>
              <w:rPr>
                <w:rFonts w:eastAsia="Calibri"/>
                <w:sz w:val="20"/>
                <w:szCs w:val="20"/>
              </w:rPr>
            </w:pPr>
          </w:p>
          <w:p w14:paraId="501141A8" w14:textId="77777777" w:rsidR="009E378C" w:rsidRPr="009E378C" w:rsidRDefault="009E378C" w:rsidP="009E378C">
            <w:pPr>
              <w:spacing w:after="0" w:line="240" w:lineRule="auto"/>
              <w:rPr>
                <w:rFonts w:eastAsia="Calibri"/>
                <w:sz w:val="20"/>
                <w:szCs w:val="20"/>
              </w:rPr>
            </w:pPr>
          </w:p>
          <w:p w14:paraId="4110A4D8" w14:textId="77777777" w:rsidR="009E378C" w:rsidRPr="009E378C" w:rsidRDefault="009E378C" w:rsidP="009E378C">
            <w:pPr>
              <w:spacing w:after="0" w:line="240" w:lineRule="auto"/>
              <w:rPr>
                <w:rFonts w:eastAsia="Calibri"/>
                <w:sz w:val="20"/>
                <w:szCs w:val="20"/>
              </w:rPr>
            </w:pPr>
          </w:p>
          <w:p w14:paraId="3690D201" w14:textId="77777777" w:rsidR="009E378C" w:rsidRPr="009E378C" w:rsidRDefault="009E378C" w:rsidP="009E378C">
            <w:pPr>
              <w:spacing w:after="0" w:line="240" w:lineRule="auto"/>
              <w:rPr>
                <w:rFonts w:eastAsia="Calibri"/>
                <w:sz w:val="20"/>
                <w:szCs w:val="20"/>
              </w:rPr>
            </w:pPr>
          </w:p>
          <w:p w14:paraId="21A2451B" w14:textId="77777777" w:rsidR="00F44BBD" w:rsidRPr="008D1FAF" w:rsidRDefault="00F44BBD" w:rsidP="006F161D">
            <w:pPr>
              <w:pStyle w:val="ListParagraph"/>
              <w:numPr>
                <w:ilvl w:val="0"/>
                <w:numId w:val="60"/>
              </w:numPr>
              <w:rPr>
                <w:rFonts w:eastAsia="Calibri"/>
                <w:sz w:val="20"/>
                <w:szCs w:val="20"/>
              </w:rPr>
            </w:pPr>
            <w:r w:rsidRPr="008D1FAF">
              <w:rPr>
                <w:rFonts w:eastAsia="Calibri"/>
                <w:sz w:val="20"/>
                <w:szCs w:val="20"/>
              </w:rPr>
              <w:t>30%</w:t>
            </w:r>
          </w:p>
          <w:p w14:paraId="6941E0D7" w14:textId="77777777" w:rsidR="00F44BBD" w:rsidRPr="008D1FAF" w:rsidRDefault="00F44BBD" w:rsidP="006F161D">
            <w:pPr>
              <w:pStyle w:val="ListParagraph"/>
              <w:numPr>
                <w:ilvl w:val="0"/>
                <w:numId w:val="60"/>
              </w:numPr>
              <w:rPr>
                <w:rFonts w:eastAsia="Calibri"/>
                <w:sz w:val="20"/>
                <w:szCs w:val="20"/>
              </w:rPr>
            </w:pPr>
            <w:r w:rsidRPr="008D1FAF">
              <w:rPr>
                <w:rFonts w:eastAsia="Calibri"/>
                <w:sz w:val="20"/>
                <w:szCs w:val="20"/>
              </w:rPr>
              <w:t>33%</w:t>
            </w:r>
          </w:p>
          <w:p w14:paraId="576C6FBA" w14:textId="77777777" w:rsidR="00F44BBD" w:rsidRPr="008D1FAF" w:rsidRDefault="00F44BBD" w:rsidP="006F161D">
            <w:pPr>
              <w:pStyle w:val="ListParagraph"/>
              <w:numPr>
                <w:ilvl w:val="0"/>
                <w:numId w:val="60"/>
              </w:numPr>
              <w:rPr>
                <w:rFonts w:eastAsia="Calibri"/>
                <w:sz w:val="20"/>
                <w:szCs w:val="20"/>
              </w:rPr>
            </w:pPr>
            <w:r w:rsidRPr="008D1FAF">
              <w:rPr>
                <w:rFonts w:eastAsia="Calibri"/>
                <w:sz w:val="20"/>
                <w:szCs w:val="20"/>
              </w:rPr>
              <w:t>38%</w:t>
            </w:r>
          </w:p>
          <w:p w14:paraId="5DD4C6FD" w14:textId="77777777" w:rsidR="009420ED" w:rsidRPr="008D1FAF" w:rsidRDefault="00F44BBD" w:rsidP="006F161D">
            <w:pPr>
              <w:pStyle w:val="ListParagraph"/>
              <w:numPr>
                <w:ilvl w:val="0"/>
                <w:numId w:val="60"/>
              </w:numPr>
              <w:rPr>
                <w:rFonts w:eastAsia="Calibri"/>
                <w:sz w:val="20"/>
                <w:szCs w:val="20"/>
              </w:rPr>
            </w:pPr>
            <w:r w:rsidRPr="008D1FAF">
              <w:rPr>
                <w:rFonts w:eastAsia="Calibri"/>
                <w:sz w:val="20"/>
                <w:szCs w:val="20"/>
              </w:rPr>
              <w:t>17%</w:t>
            </w:r>
          </w:p>
          <w:p w14:paraId="0F5E483F" w14:textId="76072462" w:rsidR="00D454E9" w:rsidRPr="008D1FAF" w:rsidRDefault="00D454E9" w:rsidP="009E378C">
            <w:pPr>
              <w:spacing w:after="0" w:line="240" w:lineRule="auto"/>
              <w:rPr>
                <w:rFonts w:eastAsia="Calibri"/>
                <w:sz w:val="20"/>
                <w:szCs w:val="20"/>
              </w:rPr>
            </w:pPr>
          </w:p>
        </w:tc>
        <w:tc>
          <w:tcPr>
            <w:tcW w:w="1710" w:type="dxa"/>
            <w:tcBorders>
              <w:left w:val="single" w:sz="4" w:space="0" w:color="auto"/>
              <w:bottom w:val="single" w:sz="4" w:space="0" w:color="auto"/>
              <w:right w:val="single" w:sz="4" w:space="0" w:color="auto"/>
            </w:tcBorders>
            <w:shd w:val="clear" w:color="auto" w:fill="FFFFFF"/>
          </w:tcPr>
          <w:p w14:paraId="6CD53A8A" w14:textId="77777777" w:rsidR="009E378C" w:rsidRPr="009E378C" w:rsidRDefault="009E378C" w:rsidP="009E378C">
            <w:pPr>
              <w:spacing w:after="0" w:line="240" w:lineRule="auto"/>
              <w:rPr>
                <w:rFonts w:eastAsia="Calibri"/>
                <w:sz w:val="20"/>
                <w:szCs w:val="20"/>
              </w:rPr>
            </w:pPr>
          </w:p>
          <w:p w14:paraId="4B33B997" w14:textId="77777777" w:rsidR="009E378C" w:rsidRPr="009E378C" w:rsidRDefault="009E378C" w:rsidP="009E378C">
            <w:pPr>
              <w:spacing w:after="0" w:line="240" w:lineRule="auto"/>
              <w:rPr>
                <w:rFonts w:eastAsia="Calibri"/>
                <w:sz w:val="20"/>
                <w:szCs w:val="20"/>
              </w:rPr>
            </w:pPr>
          </w:p>
          <w:p w14:paraId="1A63C0A2" w14:textId="77777777" w:rsidR="009E378C" w:rsidRPr="009E378C" w:rsidRDefault="009E378C" w:rsidP="009E378C">
            <w:pPr>
              <w:spacing w:after="0" w:line="240" w:lineRule="auto"/>
              <w:rPr>
                <w:rFonts w:eastAsia="Calibri"/>
                <w:sz w:val="20"/>
                <w:szCs w:val="20"/>
              </w:rPr>
            </w:pPr>
          </w:p>
          <w:p w14:paraId="7FE1B41B" w14:textId="77777777" w:rsidR="009E378C" w:rsidRPr="009E378C" w:rsidRDefault="009E378C" w:rsidP="009E378C">
            <w:pPr>
              <w:spacing w:after="0" w:line="240" w:lineRule="auto"/>
              <w:rPr>
                <w:rFonts w:eastAsia="Calibri"/>
                <w:sz w:val="20"/>
                <w:szCs w:val="20"/>
              </w:rPr>
            </w:pPr>
          </w:p>
          <w:p w14:paraId="2F0664F1" w14:textId="7B12006A" w:rsidR="009420ED" w:rsidRPr="008D1FAF" w:rsidRDefault="009420ED" w:rsidP="006F161D">
            <w:pPr>
              <w:pStyle w:val="ListParagraph"/>
              <w:numPr>
                <w:ilvl w:val="0"/>
                <w:numId w:val="49"/>
              </w:numPr>
              <w:rPr>
                <w:rFonts w:eastAsia="Calibri"/>
                <w:sz w:val="20"/>
                <w:szCs w:val="20"/>
              </w:rPr>
            </w:pPr>
            <w:r w:rsidRPr="008D1FAF">
              <w:rPr>
                <w:rFonts w:eastAsia="Calibri"/>
                <w:sz w:val="20"/>
                <w:szCs w:val="20"/>
              </w:rPr>
              <w:t>7</w:t>
            </w:r>
            <w:r w:rsidR="00853575" w:rsidRPr="008D1FAF">
              <w:rPr>
                <w:rFonts w:eastAsia="Calibri"/>
                <w:sz w:val="20"/>
                <w:szCs w:val="20"/>
              </w:rPr>
              <w:t>0</w:t>
            </w:r>
            <w:r w:rsidRPr="008D1FAF">
              <w:rPr>
                <w:rFonts w:eastAsia="Calibri"/>
                <w:sz w:val="20"/>
                <w:szCs w:val="20"/>
              </w:rPr>
              <w:t>%</w:t>
            </w:r>
          </w:p>
          <w:p w14:paraId="235B330A" w14:textId="5A91422B" w:rsidR="009420ED" w:rsidRPr="008D1FAF" w:rsidRDefault="009420ED" w:rsidP="006F161D">
            <w:pPr>
              <w:pStyle w:val="ListParagraph"/>
              <w:numPr>
                <w:ilvl w:val="0"/>
                <w:numId w:val="49"/>
              </w:numPr>
              <w:rPr>
                <w:rFonts w:eastAsia="Calibri"/>
                <w:sz w:val="20"/>
                <w:szCs w:val="20"/>
              </w:rPr>
            </w:pPr>
            <w:r w:rsidRPr="008D1FAF">
              <w:rPr>
                <w:rFonts w:eastAsia="Calibri"/>
                <w:sz w:val="20"/>
                <w:szCs w:val="20"/>
              </w:rPr>
              <w:t>5</w:t>
            </w:r>
            <w:r w:rsidR="0092366F" w:rsidRPr="008D1FAF">
              <w:rPr>
                <w:rFonts w:eastAsia="Calibri"/>
                <w:sz w:val="20"/>
                <w:szCs w:val="20"/>
              </w:rPr>
              <w:t>6</w:t>
            </w:r>
            <w:r w:rsidRPr="008D1FAF">
              <w:rPr>
                <w:rFonts w:eastAsia="Calibri"/>
                <w:sz w:val="20"/>
                <w:szCs w:val="20"/>
              </w:rPr>
              <w:t>%</w:t>
            </w:r>
          </w:p>
          <w:p w14:paraId="7CC1D707" w14:textId="77777777" w:rsidR="009420ED" w:rsidRPr="008D1FAF" w:rsidRDefault="009420ED" w:rsidP="006F161D">
            <w:pPr>
              <w:pStyle w:val="ListParagraph"/>
              <w:numPr>
                <w:ilvl w:val="0"/>
                <w:numId w:val="49"/>
              </w:numPr>
              <w:rPr>
                <w:rFonts w:eastAsia="Calibri"/>
                <w:sz w:val="20"/>
                <w:szCs w:val="20"/>
              </w:rPr>
            </w:pPr>
            <w:r w:rsidRPr="008D1FAF">
              <w:rPr>
                <w:rFonts w:eastAsia="Calibri"/>
                <w:sz w:val="20"/>
                <w:szCs w:val="20"/>
              </w:rPr>
              <w:t>50%</w:t>
            </w:r>
          </w:p>
          <w:p w14:paraId="6279F162" w14:textId="1FBCC4C8" w:rsidR="009420ED" w:rsidRPr="008D1FAF" w:rsidRDefault="0092366F" w:rsidP="006F161D">
            <w:pPr>
              <w:pStyle w:val="ListParagraph"/>
              <w:numPr>
                <w:ilvl w:val="0"/>
                <w:numId w:val="49"/>
              </w:numPr>
              <w:rPr>
                <w:rFonts w:eastAsia="Calibri"/>
                <w:sz w:val="20"/>
                <w:szCs w:val="20"/>
              </w:rPr>
            </w:pPr>
            <w:r w:rsidRPr="008D1FAF">
              <w:rPr>
                <w:rFonts w:eastAsia="Calibri"/>
                <w:sz w:val="20"/>
                <w:szCs w:val="20"/>
              </w:rPr>
              <w:t>33</w:t>
            </w:r>
            <w:r w:rsidR="009420ED" w:rsidRPr="008D1FAF">
              <w:rPr>
                <w:rFonts w:eastAsia="Calibri"/>
                <w:sz w:val="20"/>
                <w:szCs w:val="20"/>
              </w:rPr>
              <w:t>%</w:t>
            </w:r>
          </w:p>
          <w:p w14:paraId="336323ED" w14:textId="77777777" w:rsidR="00D454E9" w:rsidRPr="008D1FAF" w:rsidRDefault="00D454E9" w:rsidP="009E378C">
            <w:pPr>
              <w:spacing w:after="0" w:line="240" w:lineRule="auto"/>
              <w:rPr>
                <w:rFonts w:eastAsia="Calibri"/>
                <w:sz w:val="20"/>
                <w:szCs w:val="20"/>
              </w:rPr>
            </w:pPr>
          </w:p>
        </w:tc>
      </w:tr>
      <w:tr w:rsidR="00F44BBD" w:rsidRPr="00283732" w14:paraId="34578462" w14:textId="77777777" w:rsidTr="004C3CB2">
        <w:trPr>
          <w:trHeight w:val="305"/>
          <w:jc w:val="center"/>
        </w:trPr>
        <w:tc>
          <w:tcPr>
            <w:tcW w:w="3325" w:type="dxa"/>
            <w:vMerge/>
            <w:tcBorders>
              <w:left w:val="single" w:sz="4" w:space="0" w:color="auto"/>
              <w:bottom w:val="single" w:sz="4" w:space="0" w:color="auto"/>
              <w:right w:val="single" w:sz="4" w:space="0" w:color="auto"/>
            </w:tcBorders>
            <w:shd w:val="clear" w:color="auto" w:fill="auto"/>
            <w:vAlign w:val="center"/>
          </w:tcPr>
          <w:p w14:paraId="4D80AC6A" w14:textId="77777777" w:rsidR="00F44BBD" w:rsidRPr="00B66E9F" w:rsidRDefault="00F44BBD" w:rsidP="002776AE">
            <w:pPr>
              <w:spacing w:after="0" w:line="240" w:lineRule="auto"/>
              <w:rPr>
                <w:rFonts w:eastAsia="Calibri"/>
                <w:sz w:val="20"/>
                <w:szCs w:val="20"/>
              </w:rPr>
            </w:pPr>
          </w:p>
        </w:tc>
        <w:tc>
          <w:tcPr>
            <w:tcW w:w="810" w:type="dxa"/>
            <w:vMerge/>
            <w:tcBorders>
              <w:left w:val="single" w:sz="4" w:space="0" w:color="auto"/>
              <w:bottom w:val="single" w:sz="4" w:space="0" w:color="auto"/>
              <w:right w:val="single" w:sz="4" w:space="0" w:color="auto"/>
            </w:tcBorders>
            <w:shd w:val="clear" w:color="auto" w:fill="FFFFFF"/>
          </w:tcPr>
          <w:p w14:paraId="5C634023" w14:textId="77777777" w:rsidR="00F44BBD" w:rsidRPr="00B66E9F" w:rsidRDefault="00F44BBD" w:rsidP="002776AE">
            <w:pPr>
              <w:spacing w:after="0" w:line="240" w:lineRule="auto"/>
              <w:jc w:val="both"/>
              <w:rPr>
                <w:rFonts w:eastAsia="Calibri"/>
                <w:b/>
                <w:sz w:val="20"/>
                <w:szCs w:val="20"/>
              </w:rPr>
            </w:pPr>
          </w:p>
        </w:tc>
        <w:tc>
          <w:tcPr>
            <w:tcW w:w="10800" w:type="dxa"/>
            <w:gridSpan w:val="5"/>
            <w:tcBorders>
              <w:left w:val="single" w:sz="4" w:space="0" w:color="auto"/>
              <w:bottom w:val="single" w:sz="4" w:space="0" w:color="auto"/>
              <w:right w:val="single" w:sz="4" w:space="0" w:color="auto"/>
            </w:tcBorders>
            <w:shd w:val="clear" w:color="auto" w:fill="D9D9D9" w:themeFill="background1" w:themeFillShade="D9"/>
          </w:tcPr>
          <w:p w14:paraId="6DC9D0C0" w14:textId="77777777" w:rsidR="00F44BBD" w:rsidRPr="009E378C" w:rsidRDefault="00F44BBD" w:rsidP="004832AC">
            <w:pPr>
              <w:spacing w:after="0" w:line="240" w:lineRule="auto"/>
              <w:rPr>
                <w:rFonts w:ascii="Calibri" w:eastAsia="Calibri" w:hAnsi="Calibri" w:cs="Times New Roman"/>
                <w:sz w:val="18"/>
                <w:szCs w:val="18"/>
                <w:lang w:eastAsia="en-US"/>
              </w:rPr>
            </w:pPr>
            <w:r w:rsidRPr="009E378C">
              <w:rPr>
                <w:rFonts w:ascii="Calibri" w:eastAsia="Calibri" w:hAnsi="Calibri" w:cs="Times New Roman"/>
                <w:b/>
                <w:sz w:val="18"/>
                <w:szCs w:val="18"/>
                <w:lang w:eastAsia="en-US"/>
              </w:rPr>
              <w:t xml:space="preserve">Indicator 6.1.2 Note: </w:t>
            </w:r>
            <w:r w:rsidRPr="009E378C">
              <w:rPr>
                <w:rFonts w:ascii="Calibri" w:eastAsia="Calibri" w:hAnsi="Calibri" w:cs="Times New Roman"/>
                <w:sz w:val="18"/>
                <w:szCs w:val="18"/>
                <w:lang w:eastAsia="en-US"/>
              </w:rPr>
              <w:t>Tracks the percentage of crisis-affected countries where UNDP support (on demand from programme countries) to up to four country-set critical Local Economic Revitalization benchmarks are achieved within 18 months of the start of the crisis and/or UNDP intervention, from January 2014 onwards.</w:t>
            </w:r>
          </w:p>
          <w:p w14:paraId="66A0728D" w14:textId="58975BE5" w:rsidR="00F44BBD" w:rsidRPr="009E378C" w:rsidRDefault="00F44BBD" w:rsidP="00853575">
            <w:pPr>
              <w:spacing w:after="0" w:line="240" w:lineRule="auto"/>
              <w:rPr>
                <w:rFonts w:ascii="Calibri" w:eastAsia="Calibri" w:hAnsi="Calibri" w:cs="Times New Roman"/>
                <w:b/>
                <w:sz w:val="18"/>
                <w:szCs w:val="18"/>
                <w:lang w:eastAsia="en-US"/>
              </w:rPr>
            </w:pPr>
            <w:r w:rsidRPr="009E378C">
              <w:rPr>
                <w:rFonts w:eastAsia="Calibri"/>
                <w:b/>
                <w:sz w:val="18"/>
                <w:szCs w:val="18"/>
              </w:rPr>
              <w:t xml:space="preserve">2014 Reporting Note: </w:t>
            </w:r>
            <w:r w:rsidR="00D100AE" w:rsidRPr="009E378C">
              <w:rPr>
                <w:rFonts w:eastAsia="Calibri"/>
                <w:sz w:val="18"/>
                <w:szCs w:val="18"/>
              </w:rPr>
              <w:t>Baseline</w:t>
            </w:r>
            <w:r w:rsidR="00853575" w:rsidRPr="009E378C">
              <w:rPr>
                <w:rFonts w:eastAsia="Calibri"/>
                <w:sz w:val="18"/>
                <w:szCs w:val="18"/>
              </w:rPr>
              <w:t>,</w:t>
            </w:r>
            <w:r w:rsidR="00D100AE" w:rsidRPr="009E378C">
              <w:rPr>
                <w:rFonts w:eastAsia="Calibri"/>
                <w:b/>
                <w:sz w:val="18"/>
                <w:szCs w:val="18"/>
              </w:rPr>
              <w:t xml:space="preserve"> </w:t>
            </w:r>
            <w:r w:rsidR="00853575" w:rsidRPr="009E378C">
              <w:rPr>
                <w:rFonts w:eastAsia="Calibri"/>
                <w:sz w:val="18"/>
                <w:szCs w:val="18"/>
              </w:rPr>
              <w:t>2014 m</w:t>
            </w:r>
            <w:r w:rsidRPr="009E378C">
              <w:rPr>
                <w:rFonts w:eastAsia="Calibri"/>
                <w:sz w:val="18"/>
                <w:szCs w:val="18"/>
              </w:rPr>
              <w:t xml:space="preserve">ilestones </w:t>
            </w:r>
            <w:r w:rsidR="00853575" w:rsidRPr="009E378C">
              <w:rPr>
                <w:rFonts w:eastAsia="Calibri"/>
                <w:sz w:val="18"/>
                <w:szCs w:val="18"/>
              </w:rPr>
              <w:t xml:space="preserve">and 2017 targets </w:t>
            </w:r>
            <w:r w:rsidRPr="009E378C">
              <w:rPr>
                <w:rFonts w:eastAsia="Calibri"/>
                <w:sz w:val="18"/>
                <w:szCs w:val="18"/>
              </w:rPr>
              <w:t>updated to reflect more complete reporting from country offices. For reference,</w:t>
            </w:r>
            <w:r w:rsidR="000B0931" w:rsidRPr="009E378C">
              <w:rPr>
                <w:rFonts w:eastAsia="Calibri"/>
                <w:sz w:val="18"/>
                <w:szCs w:val="18"/>
              </w:rPr>
              <w:t xml:space="preserve"> </w:t>
            </w:r>
            <w:r w:rsidR="00D100AE" w:rsidRPr="009E378C">
              <w:rPr>
                <w:rFonts w:eastAsia="Calibri"/>
                <w:sz w:val="18"/>
                <w:szCs w:val="18"/>
              </w:rPr>
              <w:t>previous baselines were all shown as 0%</w:t>
            </w:r>
            <w:r w:rsidR="000B0931" w:rsidRPr="009E378C">
              <w:rPr>
                <w:rFonts w:eastAsia="Calibri"/>
                <w:sz w:val="18"/>
                <w:szCs w:val="18"/>
              </w:rPr>
              <w:t>,</w:t>
            </w:r>
            <w:r w:rsidR="00853575" w:rsidRPr="009E378C">
              <w:rPr>
                <w:rFonts w:eastAsia="Calibri"/>
                <w:sz w:val="18"/>
                <w:szCs w:val="18"/>
              </w:rPr>
              <w:t xml:space="preserve"> </w:t>
            </w:r>
            <w:r w:rsidRPr="009E378C">
              <w:rPr>
                <w:rFonts w:eastAsia="Calibri"/>
                <w:sz w:val="18"/>
                <w:szCs w:val="18"/>
              </w:rPr>
              <w:t>previous 2014 milestones were: a) 25%, b) 29%</w:t>
            </w:r>
            <w:r w:rsidR="000B0931" w:rsidRPr="009E378C">
              <w:rPr>
                <w:rFonts w:eastAsia="Calibri"/>
                <w:sz w:val="18"/>
                <w:szCs w:val="18"/>
              </w:rPr>
              <w:t xml:space="preserve">, </w:t>
            </w:r>
            <w:r w:rsidRPr="009E378C">
              <w:rPr>
                <w:rFonts w:eastAsia="Calibri"/>
                <w:sz w:val="18"/>
                <w:szCs w:val="18"/>
              </w:rPr>
              <w:t>c) 17%, d) 0%</w:t>
            </w:r>
            <w:r w:rsidR="00853575" w:rsidRPr="009E378C">
              <w:rPr>
                <w:rFonts w:eastAsia="Calibri"/>
                <w:sz w:val="18"/>
                <w:szCs w:val="18"/>
              </w:rPr>
              <w:t xml:space="preserve">, previous targets were: a) 75%, b) 57%, c) 50%, d) 25%. </w:t>
            </w:r>
          </w:p>
        </w:tc>
      </w:tr>
      <w:tr w:rsidR="009420ED" w:rsidRPr="00283732" w14:paraId="3145714B" w14:textId="77777777" w:rsidTr="005C5885">
        <w:trPr>
          <w:trHeight w:val="458"/>
          <w:jc w:val="center"/>
        </w:trPr>
        <w:tc>
          <w:tcPr>
            <w:tcW w:w="3325" w:type="dxa"/>
            <w:vMerge w:val="restart"/>
            <w:tcBorders>
              <w:top w:val="single" w:sz="4" w:space="0" w:color="auto"/>
              <w:left w:val="single" w:sz="4" w:space="0" w:color="auto"/>
              <w:right w:val="single" w:sz="4" w:space="0" w:color="auto"/>
            </w:tcBorders>
            <w:shd w:val="clear" w:color="auto" w:fill="FFFFFF"/>
            <w:hideMark/>
          </w:tcPr>
          <w:p w14:paraId="1C7E726E" w14:textId="215B83EF" w:rsidR="009420ED" w:rsidRDefault="009420ED" w:rsidP="002776AE">
            <w:pPr>
              <w:spacing w:after="0" w:line="240" w:lineRule="auto"/>
              <w:rPr>
                <w:rFonts w:eastAsia="Calibri"/>
                <w:sz w:val="20"/>
                <w:szCs w:val="20"/>
              </w:rPr>
            </w:pPr>
            <w:r w:rsidRPr="00B66E9F">
              <w:rPr>
                <w:rFonts w:eastAsia="Calibri"/>
                <w:b/>
                <w:sz w:val="20"/>
                <w:szCs w:val="20"/>
              </w:rPr>
              <w:t>Output 6.2.</w:t>
            </w:r>
            <w:r w:rsidRPr="00B66E9F">
              <w:rPr>
                <w:rFonts w:eastAsia="Calibri"/>
                <w:sz w:val="20"/>
                <w:szCs w:val="20"/>
              </w:rPr>
              <w:t xml:space="preserve"> National and local authorities /institutions enabled to lead the community engagement, planning, coordination, delivery and monit</w:t>
            </w:r>
            <w:r w:rsidR="00573503">
              <w:rPr>
                <w:rFonts w:eastAsia="Calibri"/>
                <w:sz w:val="20"/>
                <w:szCs w:val="20"/>
              </w:rPr>
              <w:t>oring of early recovery efforts</w:t>
            </w:r>
          </w:p>
          <w:p w14:paraId="39F89CBC" w14:textId="77777777" w:rsidR="009420ED" w:rsidRDefault="009420ED" w:rsidP="008C4519">
            <w:pPr>
              <w:spacing w:after="0" w:line="240" w:lineRule="auto"/>
              <w:rPr>
                <w:rFonts w:eastAsia="Calibri"/>
                <w:sz w:val="20"/>
                <w:szCs w:val="20"/>
              </w:rPr>
            </w:pPr>
          </w:p>
          <w:p w14:paraId="0AB0DA10" w14:textId="5EFD6A33" w:rsidR="00BD4A28" w:rsidRDefault="00BD4A28" w:rsidP="00BD4A28">
            <w:pPr>
              <w:spacing w:after="0" w:line="240" w:lineRule="auto"/>
              <w:rPr>
                <w:rFonts w:ascii="Calibri" w:eastAsia="Calibri" w:hAnsi="Calibri"/>
                <w:b/>
                <w:color w:val="000000"/>
                <w:sz w:val="18"/>
                <w:szCs w:val="18"/>
              </w:rPr>
            </w:pPr>
            <w:r w:rsidRPr="00B359E7">
              <w:rPr>
                <w:rFonts w:ascii="Calibri" w:eastAsia="Calibri" w:hAnsi="Calibri"/>
                <w:b/>
                <w:i/>
                <w:color w:val="000000"/>
                <w:sz w:val="18"/>
                <w:szCs w:val="18"/>
              </w:rPr>
              <w:t>Number of countries linked:</w:t>
            </w:r>
            <w:r>
              <w:rPr>
                <w:rFonts w:ascii="Calibri" w:eastAsia="Calibri" w:hAnsi="Calibri"/>
                <w:b/>
                <w:color w:val="000000"/>
                <w:sz w:val="18"/>
                <w:szCs w:val="18"/>
              </w:rPr>
              <w:t xml:space="preserve"> 27 </w:t>
            </w:r>
          </w:p>
          <w:p w14:paraId="11A1A9AC" w14:textId="3DAA54BB" w:rsidR="009420ED" w:rsidRPr="008C4519" w:rsidRDefault="00BD4A28" w:rsidP="00BD4A28">
            <w:pPr>
              <w:spacing w:after="0" w:line="240" w:lineRule="auto"/>
              <w:rPr>
                <w:rFonts w:eastAsia="Calibri"/>
                <w:color w:val="000000"/>
                <w:sz w:val="20"/>
              </w:rPr>
            </w:pPr>
            <w:r>
              <w:rPr>
                <w:rFonts w:ascii="Calibri" w:eastAsia="Calibri" w:hAnsi="Calibri"/>
                <w:b/>
                <w:color w:val="000000"/>
                <w:sz w:val="18"/>
                <w:szCs w:val="18"/>
              </w:rPr>
              <w:t>(February 2015</w:t>
            </w:r>
            <w:r w:rsidRPr="00B359E7">
              <w:rPr>
                <w:rFonts w:ascii="Calibri" w:eastAsia="Calibri" w:hAnsi="Calibri"/>
                <w:b/>
                <w:color w:val="000000"/>
                <w:sz w:val="18"/>
                <w:szCs w:val="18"/>
              </w:rPr>
              <w:t>)</w:t>
            </w:r>
          </w:p>
        </w:tc>
        <w:tc>
          <w:tcPr>
            <w:tcW w:w="810" w:type="dxa"/>
            <w:vMerge w:val="restart"/>
            <w:tcBorders>
              <w:top w:val="single" w:sz="4" w:space="0" w:color="auto"/>
              <w:left w:val="single" w:sz="4" w:space="0" w:color="auto"/>
              <w:right w:val="single" w:sz="4" w:space="0" w:color="auto"/>
            </w:tcBorders>
            <w:shd w:val="clear" w:color="auto" w:fill="FFFFFF"/>
          </w:tcPr>
          <w:p w14:paraId="01F6E901" w14:textId="77777777" w:rsidR="009420ED" w:rsidRPr="00094E65" w:rsidRDefault="009420ED" w:rsidP="002776AE">
            <w:pPr>
              <w:spacing w:after="0" w:line="240" w:lineRule="auto"/>
              <w:rPr>
                <w:rFonts w:eastAsia="Calibri"/>
                <w:b/>
                <w:sz w:val="20"/>
                <w:szCs w:val="20"/>
              </w:rPr>
            </w:pPr>
            <w:r w:rsidRPr="00094E65">
              <w:rPr>
                <w:rFonts w:eastAsia="Calibri"/>
                <w:b/>
                <w:sz w:val="20"/>
                <w:szCs w:val="20"/>
              </w:rPr>
              <w:t>6.2.1</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14:paraId="7F825134" w14:textId="77777777" w:rsidR="009420ED" w:rsidRPr="0013161E" w:rsidRDefault="009420ED" w:rsidP="002776AE">
            <w:pPr>
              <w:spacing w:after="0" w:line="240" w:lineRule="auto"/>
              <w:rPr>
                <w:sz w:val="20"/>
                <w:szCs w:val="20"/>
              </w:rPr>
            </w:pPr>
            <w:r w:rsidRPr="0013161E">
              <w:rPr>
                <w:sz w:val="20"/>
              </w:rPr>
              <w:t xml:space="preserve">Percentage of countries where national and/or sub-national institutions show </w:t>
            </w:r>
            <w:r w:rsidRPr="0013161E">
              <w:rPr>
                <w:b/>
                <w:sz w:val="20"/>
              </w:rPr>
              <w:t>improved capacities to lead and coordinate the early recovery process</w:t>
            </w:r>
            <w:r w:rsidRPr="0013161E">
              <w:rPr>
                <w:sz w:val="20"/>
              </w:rPr>
              <w:t xml:space="preserve"> within 18 months of the start of the crisis and/or of UNDP interventions</w:t>
            </w:r>
          </w:p>
          <w:p w14:paraId="785583B5" w14:textId="5C1187BE" w:rsidR="00546E49" w:rsidRPr="0013161E" w:rsidRDefault="00546E49" w:rsidP="001E2113">
            <w:pPr>
              <w:spacing w:before="240" w:after="0" w:line="240" w:lineRule="auto"/>
              <w:rPr>
                <w:rFonts w:eastAsia="Calibri"/>
                <w:b/>
                <w:sz w:val="20"/>
                <w:szCs w:val="20"/>
              </w:rPr>
            </w:pPr>
            <w:r w:rsidRPr="0013161E">
              <w:rPr>
                <w:rFonts w:eastAsia="Calibri"/>
                <w:b/>
                <w:i/>
                <w:sz w:val="18"/>
                <w:szCs w:val="18"/>
              </w:rPr>
              <w:t xml:space="preserve">Number of countries </w:t>
            </w:r>
            <w:r w:rsidR="00983FF8" w:rsidRPr="0013161E">
              <w:rPr>
                <w:rFonts w:eastAsia="Calibri"/>
                <w:b/>
                <w:i/>
                <w:sz w:val="18"/>
                <w:szCs w:val="18"/>
              </w:rPr>
              <w:t>for which a 2017 target has currently been set under this indicator</w:t>
            </w:r>
            <w:r w:rsidRPr="0013161E">
              <w:rPr>
                <w:rFonts w:eastAsia="Calibri"/>
                <w:b/>
                <w:i/>
                <w:sz w:val="18"/>
                <w:szCs w:val="18"/>
              </w:rPr>
              <w:t xml:space="preserve">: </w:t>
            </w:r>
            <w:r w:rsidR="003F6E10" w:rsidRPr="0013161E">
              <w:rPr>
                <w:rFonts w:eastAsia="Calibri"/>
                <w:b/>
                <w:i/>
                <w:sz w:val="18"/>
                <w:szCs w:val="18"/>
              </w:rPr>
              <w:t>17</w:t>
            </w:r>
          </w:p>
        </w:tc>
        <w:tc>
          <w:tcPr>
            <w:tcW w:w="1350" w:type="dxa"/>
            <w:tcBorders>
              <w:top w:val="single" w:sz="4" w:space="0" w:color="auto"/>
              <w:left w:val="single" w:sz="4" w:space="0" w:color="auto"/>
              <w:right w:val="single" w:sz="4" w:space="0" w:color="auto"/>
            </w:tcBorders>
            <w:shd w:val="clear" w:color="auto" w:fill="FFFFFF"/>
            <w:vAlign w:val="center"/>
          </w:tcPr>
          <w:p w14:paraId="03AAA761" w14:textId="77777777" w:rsidR="009420ED" w:rsidRPr="00F50F4D" w:rsidRDefault="009420ED" w:rsidP="005B5A58">
            <w:pPr>
              <w:spacing w:after="0" w:line="240" w:lineRule="auto"/>
              <w:jc w:val="center"/>
              <w:rPr>
                <w:sz w:val="20"/>
                <w:szCs w:val="20"/>
              </w:rPr>
            </w:pPr>
            <w:r>
              <w:rPr>
                <w:sz w:val="20"/>
                <w:szCs w:val="20"/>
              </w:rPr>
              <w:t>0%</w:t>
            </w:r>
          </w:p>
        </w:tc>
        <w:tc>
          <w:tcPr>
            <w:tcW w:w="1260" w:type="dxa"/>
            <w:tcBorders>
              <w:top w:val="single" w:sz="4" w:space="0" w:color="auto"/>
              <w:left w:val="single" w:sz="4" w:space="0" w:color="auto"/>
              <w:right w:val="single" w:sz="4" w:space="0" w:color="auto"/>
            </w:tcBorders>
            <w:shd w:val="clear" w:color="auto" w:fill="FFFFFF"/>
            <w:vAlign w:val="center"/>
          </w:tcPr>
          <w:p w14:paraId="44E3D894" w14:textId="214793B0" w:rsidR="009420ED" w:rsidRPr="00F50F4D" w:rsidRDefault="00A708D4" w:rsidP="00F50F4D">
            <w:pPr>
              <w:spacing w:after="0" w:line="240" w:lineRule="auto"/>
              <w:jc w:val="center"/>
              <w:rPr>
                <w:sz w:val="20"/>
                <w:szCs w:val="20"/>
              </w:rPr>
            </w:pPr>
            <w:r>
              <w:rPr>
                <w:sz w:val="20"/>
                <w:szCs w:val="20"/>
              </w:rPr>
              <w:t>27</w:t>
            </w:r>
            <w:r w:rsidR="009420ED">
              <w:rPr>
                <w:sz w:val="20"/>
                <w:szCs w:val="20"/>
              </w:rPr>
              <w:t>%</w:t>
            </w:r>
          </w:p>
        </w:tc>
        <w:tc>
          <w:tcPr>
            <w:tcW w:w="1350" w:type="dxa"/>
            <w:tcBorders>
              <w:top w:val="single" w:sz="4" w:space="0" w:color="auto"/>
              <w:left w:val="single" w:sz="4" w:space="0" w:color="auto"/>
              <w:right w:val="single" w:sz="4" w:space="0" w:color="auto"/>
            </w:tcBorders>
            <w:shd w:val="clear" w:color="auto" w:fill="FFFFFF"/>
            <w:vAlign w:val="center"/>
          </w:tcPr>
          <w:p w14:paraId="73F88346" w14:textId="6BE469AD" w:rsidR="009420ED" w:rsidRPr="00F50F4D" w:rsidRDefault="00A708D4" w:rsidP="00F50F4D">
            <w:pPr>
              <w:spacing w:after="0" w:line="240" w:lineRule="auto"/>
              <w:jc w:val="center"/>
              <w:rPr>
                <w:sz w:val="20"/>
                <w:szCs w:val="20"/>
              </w:rPr>
            </w:pPr>
            <w:r>
              <w:rPr>
                <w:sz w:val="20"/>
                <w:szCs w:val="20"/>
              </w:rPr>
              <w:t>27%</w:t>
            </w:r>
          </w:p>
        </w:tc>
        <w:tc>
          <w:tcPr>
            <w:tcW w:w="1710" w:type="dxa"/>
            <w:tcBorders>
              <w:top w:val="single" w:sz="4" w:space="0" w:color="auto"/>
              <w:left w:val="single" w:sz="4" w:space="0" w:color="auto"/>
              <w:right w:val="single" w:sz="4" w:space="0" w:color="auto"/>
            </w:tcBorders>
            <w:shd w:val="clear" w:color="auto" w:fill="FFFFFF"/>
            <w:vAlign w:val="center"/>
          </w:tcPr>
          <w:p w14:paraId="1FD108A5" w14:textId="090FCEE3" w:rsidR="009420ED" w:rsidRPr="00F50F4D" w:rsidRDefault="00215EDB" w:rsidP="00215EDB">
            <w:pPr>
              <w:spacing w:after="0" w:line="240" w:lineRule="auto"/>
              <w:jc w:val="center"/>
              <w:rPr>
                <w:sz w:val="20"/>
                <w:szCs w:val="20"/>
              </w:rPr>
            </w:pPr>
            <w:r>
              <w:rPr>
                <w:sz w:val="20"/>
                <w:szCs w:val="20"/>
              </w:rPr>
              <w:t>63</w:t>
            </w:r>
            <w:r w:rsidR="009420ED">
              <w:rPr>
                <w:sz w:val="20"/>
                <w:szCs w:val="20"/>
              </w:rPr>
              <w:t>%</w:t>
            </w:r>
          </w:p>
        </w:tc>
      </w:tr>
      <w:tr w:rsidR="00A708D4" w:rsidRPr="00283732" w14:paraId="4BE60D52" w14:textId="77777777" w:rsidTr="004C3CB2">
        <w:trPr>
          <w:trHeight w:val="458"/>
          <w:jc w:val="center"/>
        </w:trPr>
        <w:tc>
          <w:tcPr>
            <w:tcW w:w="3325" w:type="dxa"/>
            <w:vMerge/>
            <w:tcBorders>
              <w:left w:val="single" w:sz="4" w:space="0" w:color="auto"/>
              <w:right w:val="single" w:sz="4" w:space="0" w:color="auto"/>
            </w:tcBorders>
            <w:shd w:val="clear" w:color="auto" w:fill="FFFFFF"/>
          </w:tcPr>
          <w:p w14:paraId="50180B6F" w14:textId="77777777" w:rsidR="00A708D4" w:rsidRPr="00B66E9F" w:rsidRDefault="00A708D4" w:rsidP="002776AE">
            <w:pPr>
              <w:spacing w:after="0" w:line="240" w:lineRule="auto"/>
              <w:rPr>
                <w:rFonts w:eastAsia="Calibri"/>
                <w:b/>
                <w:sz w:val="20"/>
                <w:szCs w:val="20"/>
              </w:rPr>
            </w:pPr>
          </w:p>
        </w:tc>
        <w:tc>
          <w:tcPr>
            <w:tcW w:w="810" w:type="dxa"/>
            <w:vMerge/>
            <w:tcBorders>
              <w:left w:val="single" w:sz="4" w:space="0" w:color="auto"/>
              <w:bottom w:val="single" w:sz="4" w:space="0" w:color="auto"/>
              <w:right w:val="single" w:sz="4" w:space="0" w:color="auto"/>
            </w:tcBorders>
            <w:shd w:val="clear" w:color="auto" w:fill="FFFFFF"/>
          </w:tcPr>
          <w:p w14:paraId="457B7C36" w14:textId="77777777" w:rsidR="00A708D4" w:rsidRPr="00094E65" w:rsidRDefault="00A708D4" w:rsidP="002776AE">
            <w:pPr>
              <w:spacing w:after="0" w:line="240" w:lineRule="auto"/>
              <w:rPr>
                <w:rFonts w:eastAsia="Calibri"/>
                <w:b/>
                <w:sz w:val="20"/>
                <w:szCs w:val="20"/>
              </w:rPr>
            </w:pPr>
          </w:p>
        </w:tc>
        <w:tc>
          <w:tcPr>
            <w:tcW w:w="10800" w:type="dxa"/>
            <w:gridSpan w:val="5"/>
            <w:tcBorders>
              <w:left w:val="single" w:sz="4" w:space="0" w:color="auto"/>
              <w:bottom w:val="single" w:sz="4" w:space="0" w:color="auto"/>
              <w:right w:val="single" w:sz="4" w:space="0" w:color="auto"/>
            </w:tcBorders>
            <w:shd w:val="clear" w:color="auto" w:fill="D9D9D9" w:themeFill="background1" w:themeFillShade="D9"/>
          </w:tcPr>
          <w:p w14:paraId="0CDD2BD7" w14:textId="150B40E9" w:rsidR="00A708D4" w:rsidRPr="0013161E" w:rsidRDefault="00A708D4" w:rsidP="000B6627">
            <w:pPr>
              <w:spacing w:after="0" w:line="240" w:lineRule="auto"/>
              <w:rPr>
                <w:rFonts w:eastAsia="Calibri"/>
                <w:sz w:val="18"/>
                <w:szCs w:val="18"/>
              </w:rPr>
            </w:pPr>
            <w:r w:rsidRPr="0013161E">
              <w:rPr>
                <w:rFonts w:ascii="Calibri" w:eastAsia="Calibri" w:hAnsi="Calibri" w:cs="Times New Roman"/>
                <w:b/>
                <w:sz w:val="18"/>
                <w:szCs w:val="18"/>
                <w:lang w:eastAsia="en-US"/>
              </w:rPr>
              <w:t xml:space="preserve">Indicator 6.2.1 Note: </w:t>
            </w:r>
            <w:r w:rsidRPr="0013161E">
              <w:rPr>
                <w:rFonts w:ascii="Calibri" w:eastAsia="Calibri" w:hAnsi="Calibri" w:cs="Times New Roman"/>
                <w:sz w:val="18"/>
                <w:szCs w:val="18"/>
                <w:lang w:eastAsia="en-US"/>
              </w:rPr>
              <w:t xml:space="preserve">Qualitative indicator through </w:t>
            </w:r>
            <w:r w:rsidRPr="0013161E">
              <w:rPr>
                <w:rFonts w:ascii="Calibri" w:eastAsia="Calibri" w:hAnsi="Calibri"/>
                <w:sz w:val="18"/>
                <w:szCs w:val="18"/>
              </w:rPr>
              <w:t xml:space="preserve">which effectiveness of UNDP’s support (on demand </w:t>
            </w:r>
            <w:r w:rsidRPr="0013161E">
              <w:rPr>
                <w:sz w:val="18"/>
                <w:szCs w:val="18"/>
              </w:rPr>
              <w:t>from programme countries</w:t>
            </w:r>
            <w:r w:rsidRPr="0013161E">
              <w:rPr>
                <w:rFonts w:ascii="Calibri" w:eastAsia="Calibri" w:hAnsi="Calibri"/>
                <w:sz w:val="18"/>
                <w:szCs w:val="18"/>
              </w:rPr>
              <w:t>)</w:t>
            </w:r>
            <w:r w:rsidRPr="0013161E">
              <w:rPr>
                <w:sz w:val="18"/>
                <w:szCs w:val="18"/>
              </w:rPr>
              <w:t xml:space="preserve"> to </w:t>
            </w:r>
            <w:r w:rsidRPr="0013161E">
              <w:rPr>
                <w:rFonts w:eastAsia="Calibri"/>
                <w:sz w:val="18"/>
                <w:szCs w:val="18"/>
              </w:rPr>
              <w:t xml:space="preserve">improve capacities (physical infrastructure, equipment and vehicles, human resources, leadership skills, and institutional arrangements) to lead and coordinate early recovery processes, is tracked using a qualitative rating scale </w:t>
            </w:r>
            <w:r w:rsidRPr="0013161E">
              <w:rPr>
                <w:rFonts w:ascii="Calibri" w:eastAsia="Calibri" w:hAnsi="Calibri" w:cs="Times New Roman"/>
                <w:sz w:val="18"/>
                <w:szCs w:val="18"/>
                <w:lang w:eastAsia="en-US"/>
              </w:rPr>
              <w:t xml:space="preserve">(level reached by necessary capacities: 1=Less than pre-crisis:  2=Back to pre-crisis:  3=Better than pre-crisis), </w:t>
            </w:r>
            <w:r w:rsidRPr="0013161E">
              <w:rPr>
                <w:rFonts w:eastAsia="Calibri"/>
                <w:sz w:val="18"/>
                <w:szCs w:val="18"/>
              </w:rPr>
              <w:t xml:space="preserve">counting the number of countries where </w:t>
            </w:r>
            <w:r w:rsidR="009E378C" w:rsidRPr="0013161E">
              <w:rPr>
                <w:rFonts w:eastAsia="Calibri"/>
                <w:sz w:val="18"/>
                <w:szCs w:val="18"/>
              </w:rPr>
              <w:t xml:space="preserve">objective evidence exists that </w:t>
            </w:r>
            <w:r w:rsidRPr="0013161E">
              <w:rPr>
                <w:rFonts w:eastAsia="Calibri"/>
                <w:sz w:val="18"/>
                <w:szCs w:val="18"/>
              </w:rPr>
              <w:t>UNDP-supported capacities improved from January 2014 onwards</w:t>
            </w:r>
            <w:r w:rsidR="009E378C" w:rsidRPr="0013161E">
              <w:rPr>
                <w:rFonts w:eastAsia="Calibri"/>
                <w:sz w:val="18"/>
                <w:szCs w:val="18"/>
              </w:rPr>
              <w:t>,</w:t>
            </w:r>
            <w:r w:rsidRPr="0013161E">
              <w:rPr>
                <w:rFonts w:eastAsia="Calibri"/>
                <w:sz w:val="18"/>
                <w:szCs w:val="18"/>
              </w:rPr>
              <w:t xml:space="preserve"> and calculating the percentage over the total number of supported countries.</w:t>
            </w:r>
          </w:p>
          <w:p w14:paraId="2D590A1F" w14:textId="64A54656" w:rsidR="00A708D4" w:rsidRPr="0013161E" w:rsidRDefault="00A708D4" w:rsidP="003F6E10">
            <w:pPr>
              <w:spacing w:after="0" w:line="240" w:lineRule="auto"/>
              <w:rPr>
                <w:rFonts w:ascii="Calibri" w:eastAsia="Calibri" w:hAnsi="Calibri" w:cs="Times New Roman"/>
                <w:b/>
                <w:sz w:val="18"/>
                <w:szCs w:val="18"/>
                <w:lang w:eastAsia="en-US"/>
              </w:rPr>
            </w:pPr>
            <w:r w:rsidRPr="0013161E">
              <w:rPr>
                <w:rFonts w:eastAsia="Calibri"/>
                <w:b/>
                <w:sz w:val="18"/>
                <w:szCs w:val="18"/>
              </w:rPr>
              <w:t xml:space="preserve">2014 Reporting Note: </w:t>
            </w:r>
            <w:r w:rsidRPr="0013161E">
              <w:rPr>
                <w:rFonts w:eastAsia="Calibri"/>
                <w:sz w:val="18"/>
                <w:szCs w:val="18"/>
              </w:rPr>
              <w:t xml:space="preserve">2014 </w:t>
            </w:r>
            <w:r w:rsidR="003F6E10" w:rsidRPr="0013161E">
              <w:rPr>
                <w:rFonts w:eastAsia="Calibri"/>
                <w:sz w:val="18"/>
                <w:szCs w:val="18"/>
              </w:rPr>
              <w:t>m</w:t>
            </w:r>
            <w:r w:rsidRPr="0013161E">
              <w:rPr>
                <w:rFonts w:eastAsia="Calibri"/>
                <w:sz w:val="18"/>
                <w:szCs w:val="18"/>
              </w:rPr>
              <w:t xml:space="preserve">ilestone </w:t>
            </w:r>
            <w:r w:rsidR="003F6E10" w:rsidRPr="0013161E">
              <w:rPr>
                <w:rFonts w:eastAsia="Calibri"/>
                <w:sz w:val="18"/>
                <w:szCs w:val="18"/>
              </w:rPr>
              <w:t xml:space="preserve">and </w:t>
            </w:r>
            <w:r w:rsidR="00215EDB" w:rsidRPr="0013161E">
              <w:rPr>
                <w:rFonts w:eastAsia="Calibri"/>
                <w:sz w:val="18"/>
                <w:szCs w:val="18"/>
              </w:rPr>
              <w:t xml:space="preserve">2017 </w:t>
            </w:r>
            <w:r w:rsidR="003F6E10" w:rsidRPr="0013161E">
              <w:rPr>
                <w:rFonts w:eastAsia="Calibri"/>
                <w:sz w:val="18"/>
                <w:szCs w:val="18"/>
              </w:rPr>
              <w:t xml:space="preserve">target </w:t>
            </w:r>
            <w:r w:rsidRPr="0013161E">
              <w:rPr>
                <w:rFonts w:eastAsia="Calibri"/>
                <w:sz w:val="18"/>
                <w:szCs w:val="18"/>
              </w:rPr>
              <w:t>updated to reflect more complete reporting from country offices. For ref</w:t>
            </w:r>
            <w:r w:rsidR="00BA563E" w:rsidRPr="0013161E">
              <w:rPr>
                <w:rFonts w:eastAsia="Calibri"/>
                <w:sz w:val="18"/>
                <w:szCs w:val="18"/>
              </w:rPr>
              <w:t>erence, previous 2014 milestone</w:t>
            </w:r>
            <w:r w:rsidRPr="0013161E">
              <w:rPr>
                <w:rFonts w:eastAsia="Calibri"/>
                <w:sz w:val="18"/>
                <w:szCs w:val="18"/>
              </w:rPr>
              <w:t xml:space="preserve"> was 23%</w:t>
            </w:r>
            <w:r w:rsidR="00215EDB" w:rsidRPr="0013161E">
              <w:rPr>
                <w:rFonts w:eastAsia="Calibri"/>
                <w:sz w:val="18"/>
                <w:szCs w:val="18"/>
              </w:rPr>
              <w:t xml:space="preserve">, previous target was 73% </w:t>
            </w:r>
            <w:r w:rsidR="00215EDB" w:rsidRPr="002A5EB8">
              <w:rPr>
                <w:rFonts w:eastAsia="Calibri"/>
                <w:sz w:val="18"/>
                <w:szCs w:val="18"/>
              </w:rPr>
              <w:t>of 22 linked</w:t>
            </w:r>
            <w:r w:rsidR="00215EDB" w:rsidRPr="0013161E">
              <w:rPr>
                <w:rFonts w:eastAsia="Calibri"/>
                <w:sz w:val="18"/>
                <w:szCs w:val="18"/>
              </w:rPr>
              <w:t xml:space="preserve"> countries. </w:t>
            </w:r>
          </w:p>
        </w:tc>
      </w:tr>
      <w:tr w:rsidR="009420ED" w:rsidRPr="00283732" w14:paraId="3A7D5EEE" w14:textId="77777777" w:rsidTr="00D454E9">
        <w:trPr>
          <w:trHeight w:val="530"/>
          <w:jc w:val="center"/>
        </w:trPr>
        <w:tc>
          <w:tcPr>
            <w:tcW w:w="3325" w:type="dxa"/>
            <w:vMerge/>
            <w:tcBorders>
              <w:left w:val="single" w:sz="4" w:space="0" w:color="auto"/>
              <w:right w:val="single" w:sz="4" w:space="0" w:color="auto"/>
            </w:tcBorders>
            <w:shd w:val="clear" w:color="auto" w:fill="auto"/>
            <w:vAlign w:val="center"/>
            <w:hideMark/>
          </w:tcPr>
          <w:p w14:paraId="5399D642" w14:textId="77777777" w:rsidR="009420ED" w:rsidRPr="00B66E9F" w:rsidRDefault="009420ED" w:rsidP="002776AE">
            <w:pPr>
              <w:spacing w:after="0" w:line="240" w:lineRule="auto"/>
              <w:rPr>
                <w:rFonts w:eastAsia="Calibri"/>
                <w:b/>
                <w:sz w:val="20"/>
                <w:szCs w:val="20"/>
              </w:rPr>
            </w:pPr>
          </w:p>
        </w:tc>
        <w:tc>
          <w:tcPr>
            <w:tcW w:w="810" w:type="dxa"/>
            <w:vMerge w:val="restart"/>
            <w:tcBorders>
              <w:top w:val="single" w:sz="4" w:space="0" w:color="auto"/>
              <w:left w:val="single" w:sz="4" w:space="0" w:color="auto"/>
              <w:right w:val="single" w:sz="4" w:space="0" w:color="auto"/>
            </w:tcBorders>
            <w:shd w:val="clear" w:color="auto" w:fill="FFFFFF"/>
            <w:hideMark/>
          </w:tcPr>
          <w:p w14:paraId="4FBD8927" w14:textId="77777777" w:rsidR="009420ED" w:rsidRPr="00094E65" w:rsidRDefault="009420ED" w:rsidP="002776AE">
            <w:pPr>
              <w:spacing w:after="0" w:line="240" w:lineRule="auto"/>
              <w:rPr>
                <w:rFonts w:eastAsia="Calibri"/>
                <w:b/>
                <w:sz w:val="20"/>
                <w:szCs w:val="20"/>
              </w:rPr>
            </w:pPr>
            <w:r w:rsidRPr="00094E65">
              <w:rPr>
                <w:rFonts w:eastAsia="Calibri"/>
                <w:b/>
                <w:sz w:val="20"/>
                <w:szCs w:val="20"/>
              </w:rPr>
              <w:t>6.2.2</w:t>
            </w:r>
          </w:p>
        </w:tc>
        <w:tc>
          <w:tcPr>
            <w:tcW w:w="5130" w:type="dxa"/>
            <w:tcBorders>
              <w:top w:val="single" w:sz="4" w:space="0" w:color="auto"/>
              <w:left w:val="single" w:sz="4" w:space="0" w:color="auto"/>
              <w:right w:val="single" w:sz="4" w:space="0" w:color="auto"/>
            </w:tcBorders>
            <w:shd w:val="clear" w:color="auto" w:fill="FFFFFF"/>
            <w:hideMark/>
          </w:tcPr>
          <w:p w14:paraId="4715E28A" w14:textId="1AB77435" w:rsidR="009420ED" w:rsidRPr="0013161E" w:rsidRDefault="009420ED" w:rsidP="002776AE">
            <w:pPr>
              <w:spacing w:after="0" w:line="240" w:lineRule="auto"/>
              <w:rPr>
                <w:sz w:val="20"/>
              </w:rPr>
            </w:pPr>
            <w:r w:rsidRPr="0013161E">
              <w:rPr>
                <w:sz w:val="20"/>
              </w:rPr>
              <w:t>Percentage of countries affected by crisis with a</w:t>
            </w:r>
            <w:r w:rsidR="00C001C2" w:rsidRPr="0013161E">
              <w:rPr>
                <w:sz w:val="20"/>
              </w:rPr>
              <w:t xml:space="preserve"> </w:t>
            </w:r>
            <w:r w:rsidR="00C001C2" w:rsidRPr="000B5DED">
              <w:rPr>
                <w:b/>
                <w:sz w:val="20"/>
              </w:rPr>
              <w:t>strengthened</w:t>
            </w:r>
            <w:r w:rsidRPr="000B5DED">
              <w:rPr>
                <w:b/>
                <w:sz w:val="20"/>
              </w:rPr>
              <w:t xml:space="preserve"> financing or aid management mechanism</w:t>
            </w:r>
            <w:r w:rsidRPr="0013161E">
              <w:rPr>
                <w:sz w:val="20"/>
              </w:rPr>
              <w:t xml:space="preserve"> being </w:t>
            </w:r>
            <w:r w:rsidRPr="0013161E">
              <w:rPr>
                <w:b/>
                <w:bCs/>
                <w:sz w:val="20"/>
              </w:rPr>
              <w:t>accountably and effectively used</w:t>
            </w:r>
            <w:r w:rsidRPr="0013161E">
              <w:rPr>
                <w:sz w:val="20"/>
              </w:rPr>
              <w:t xml:space="preserve"> for early recovery within 18 months of the start of the crisis and/or of UNDP interventions</w:t>
            </w:r>
          </w:p>
          <w:p w14:paraId="35437B94" w14:textId="0E99DB29" w:rsidR="00546E49" w:rsidRPr="0013161E" w:rsidRDefault="00546E49" w:rsidP="001E2113">
            <w:pPr>
              <w:spacing w:before="240" w:after="0" w:line="240" w:lineRule="auto"/>
              <w:rPr>
                <w:rFonts w:eastAsia="Calibri"/>
                <w:sz w:val="20"/>
                <w:szCs w:val="20"/>
              </w:rPr>
            </w:pPr>
            <w:r w:rsidRPr="0013161E">
              <w:rPr>
                <w:rFonts w:eastAsia="Calibri"/>
                <w:b/>
                <w:i/>
                <w:sz w:val="18"/>
                <w:szCs w:val="18"/>
              </w:rPr>
              <w:t>Number of coun</w:t>
            </w:r>
            <w:r w:rsidR="00086DAA" w:rsidRPr="0013161E">
              <w:rPr>
                <w:rFonts w:eastAsia="Calibri"/>
                <w:b/>
                <w:i/>
                <w:sz w:val="18"/>
                <w:szCs w:val="18"/>
              </w:rPr>
              <w:t xml:space="preserve">tries </w:t>
            </w:r>
            <w:r w:rsidR="00983FF8" w:rsidRPr="0013161E">
              <w:rPr>
                <w:rFonts w:eastAsia="Calibri"/>
                <w:b/>
                <w:i/>
                <w:sz w:val="18"/>
                <w:szCs w:val="18"/>
              </w:rPr>
              <w:t>for which a 2017 target has currently been set under this indicator</w:t>
            </w:r>
            <w:r w:rsidR="00086DAA" w:rsidRPr="0013161E">
              <w:rPr>
                <w:rFonts w:eastAsia="Calibri"/>
                <w:b/>
                <w:i/>
                <w:sz w:val="18"/>
                <w:szCs w:val="18"/>
              </w:rPr>
              <w:t>: 13</w:t>
            </w:r>
          </w:p>
        </w:tc>
        <w:tc>
          <w:tcPr>
            <w:tcW w:w="1350" w:type="dxa"/>
            <w:tcBorders>
              <w:left w:val="single" w:sz="4" w:space="0" w:color="auto"/>
              <w:right w:val="single" w:sz="4" w:space="0" w:color="auto"/>
            </w:tcBorders>
            <w:shd w:val="clear" w:color="auto" w:fill="FFFFFF"/>
            <w:vAlign w:val="center"/>
          </w:tcPr>
          <w:p w14:paraId="78E8B182" w14:textId="77777777" w:rsidR="009420ED" w:rsidRPr="002D27D7" w:rsidRDefault="009420ED" w:rsidP="00017A24">
            <w:pPr>
              <w:spacing w:after="0" w:line="240" w:lineRule="auto"/>
              <w:jc w:val="center"/>
              <w:rPr>
                <w:sz w:val="20"/>
                <w:szCs w:val="20"/>
              </w:rPr>
            </w:pPr>
            <w:r>
              <w:rPr>
                <w:sz w:val="20"/>
                <w:szCs w:val="20"/>
              </w:rPr>
              <w:t>0%</w:t>
            </w:r>
          </w:p>
        </w:tc>
        <w:tc>
          <w:tcPr>
            <w:tcW w:w="1260" w:type="dxa"/>
            <w:tcBorders>
              <w:left w:val="single" w:sz="4" w:space="0" w:color="auto"/>
              <w:right w:val="single" w:sz="4" w:space="0" w:color="auto"/>
            </w:tcBorders>
            <w:shd w:val="clear" w:color="auto" w:fill="FFFFFF"/>
            <w:vAlign w:val="center"/>
          </w:tcPr>
          <w:p w14:paraId="11EEB2C7" w14:textId="77777777" w:rsidR="009420ED" w:rsidRPr="002D27D7" w:rsidRDefault="009420ED" w:rsidP="00DA116D">
            <w:pPr>
              <w:spacing w:after="0" w:line="240" w:lineRule="auto"/>
              <w:jc w:val="center"/>
              <w:rPr>
                <w:sz w:val="20"/>
                <w:szCs w:val="20"/>
              </w:rPr>
            </w:pPr>
            <w:r>
              <w:rPr>
                <w:sz w:val="20"/>
                <w:szCs w:val="20"/>
              </w:rPr>
              <w:t>14%</w:t>
            </w:r>
          </w:p>
        </w:tc>
        <w:tc>
          <w:tcPr>
            <w:tcW w:w="1350" w:type="dxa"/>
            <w:tcBorders>
              <w:left w:val="single" w:sz="4" w:space="0" w:color="auto"/>
              <w:right w:val="single" w:sz="4" w:space="0" w:color="auto"/>
            </w:tcBorders>
            <w:shd w:val="clear" w:color="auto" w:fill="FFFFFF"/>
            <w:vAlign w:val="center"/>
          </w:tcPr>
          <w:p w14:paraId="0D4D3B29" w14:textId="4468E775" w:rsidR="009420ED" w:rsidRPr="002D27D7" w:rsidRDefault="00A708D4" w:rsidP="00DA116D">
            <w:pPr>
              <w:spacing w:after="0" w:line="240" w:lineRule="auto"/>
              <w:jc w:val="center"/>
              <w:rPr>
                <w:sz w:val="20"/>
                <w:szCs w:val="20"/>
              </w:rPr>
            </w:pPr>
            <w:r>
              <w:rPr>
                <w:sz w:val="20"/>
                <w:szCs w:val="20"/>
              </w:rPr>
              <w:t>9%</w:t>
            </w:r>
          </w:p>
        </w:tc>
        <w:tc>
          <w:tcPr>
            <w:tcW w:w="1710" w:type="dxa"/>
            <w:tcBorders>
              <w:left w:val="single" w:sz="4" w:space="0" w:color="auto"/>
              <w:right w:val="single" w:sz="4" w:space="0" w:color="auto"/>
            </w:tcBorders>
            <w:shd w:val="clear" w:color="auto" w:fill="FFFFFF"/>
            <w:vAlign w:val="center"/>
          </w:tcPr>
          <w:p w14:paraId="66E35694" w14:textId="5563E88C" w:rsidR="009420ED" w:rsidRPr="002D27D7" w:rsidRDefault="00086DAA" w:rsidP="00086DAA">
            <w:pPr>
              <w:spacing w:after="0" w:line="240" w:lineRule="auto"/>
              <w:jc w:val="center"/>
              <w:rPr>
                <w:sz w:val="20"/>
                <w:szCs w:val="20"/>
              </w:rPr>
            </w:pPr>
            <w:r>
              <w:rPr>
                <w:sz w:val="20"/>
                <w:szCs w:val="20"/>
              </w:rPr>
              <w:t>44</w:t>
            </w:r>
            <w:r w:rsidR="009420ED">
              <w:rPr>
                <w:sz w:val="20"/>
                <w:szCs w:val="20"/>
              </w:rPr>
              <w:t>%</w:t>
            </w:r>
          </w:p>
        </w:tc>
      </w:tr>
      <w:tr w:rsidR="00A708D4" w:rsidRPr="00283732" w14:paraId="10DAB9D6" w14:textId="77777777" w:rsidTr="004C3CB2">
        <w:trPr>
          <w:trHeight w:val="431"/>
          <w:jc w:val="center"/>
        </w:trPr>
        <w:tc>
          <w:tcPr>
            <w:tcW w:w="3325" w:type="dxa"/>
            <w:vMerge/>
            <w:tcBorders>
              <w:left w:val="single" w:sz="4" w:space="0" w:color="auto"/>
              <w:bottom w:val="single" w:sz="4" w:space="0" w:color="auto"/>
              <w:right w:val="single" w:sz="4" w:space="0" w:color="auto"/>
            </w:tcBorders>
            <w:vAlign w:val="center"/>
          </w:tcPr>
          <w:p w14:paraId="76AFB144" w14:textId="77777777" w:rsidR="00A708D4" w:rsidRPr="00B66E9F" w:rsidRDefault="00A708D4" w:rsidP="002776AE">
            <w:pPr>
              <w:spacing w:after="0" w:line="240" w:lineRule="auto"/>
              <w:rPr>
                <w:rFonts w:eastAsia="Calibri"/>
                <w:b/>
                <w:sz w:val="20"/>
                <w:szCs w:val="20"/>
              </w:rPr>
            </w:pPr>
          </w:p>
        </w:tc>
        <w:tc>
          <w:tcPr>
            <w:tcW w:w="810" w:type="dxa"/>
            <w:vMerge/>
            <w:tcBorders>
              <w:left w:val="single" w:sz="4" w:space="0" w:color="auto"/>
              <w:right w:val="single" w:sz="4" w:space="0" w:color="auto"/>
            </w:tcBorders>
          </w:tcPr>
          <w:p w14:paraId="4D30719E" w14:textId="77777777" w:rsidR="00A708D4" w:rsidRPr="00B66E9F" w:rsidRDefault="00A708D4" w:rsidP="002776AE">
            <w:pPr>
              <w:spacing w:after="0" w:line="240" w:lineRule="auto"/>
              <w:rPr>
                <w:rFonts w:eastAsia="Calibri"/>
                <w:b/>
                <w:sz w:val="20"/>
                <w:szCs w:val="20"/>
              </w:rPr>
            </w:pPr>
          </w:p>
        </w:tc>
        <w:tc>
          <w:tcPr>
            <w:tcW w:w="10800" w:type="dxa"/>
            <w:gridSpan w:val="5"/>
            <w:tcBorders>
              <w:left w:val="single" w:sz="4" w:space="0" w:color="auto"/>
              <w:right w:val="single" w:sz="4" w:space="0" w:color="auto"/>
            </w:tcBorders>
            <w:shd w:val="clear" w:color="auto" w:fill="D9D9D9" w:themeFill="background1" w:themeFillShade="D9"/>
          </w:tcPr>
          <w:p w14:paraId="347691A3" w14:textId="31442B38" w:rsidR="00A708D4" w:rsidRPr="009E378C" w:rsidRDefault="00A708D4" w:rsidP="00A006C1">
            <w:pPr>
              <w:spacing w:after="0" w:line="240" w:lineRule="auto"/>
              <w:rPr>
                <w:rFonts w:eastAsia="Calibri"/>
                <w:sz w:val="18"/>
                <w:szCs w:val="18"/>
              </w:rPr>
            </w:pPr>
            <w:r w:rsidRPr="009E378C">
              <w:rPr>
                <w:rFonts w:ascii="Calibri" w:eastAsia="Calibri" w:hAnsi="Calibri" w:cs="Times New Roman"/>
                <w:b/>
                <w:sz w:val="18"/>
                <w:szCs w:val="18"/>
                <w:lang w:eastAsia="en-US"/>
              </w:rPr>
              <w:t xml:space="preserve">Indicator 6.2.2 Note: </w:t>
            </w:r>
            <w:r w:rsidRPr="009E378C">
              <w:rPr>
                <w:rFonts w:ascii="Calibri" w:eastAsia="Calibri" w:hAnsi="Calibri" w:cs="Times New Roman"/>
                <w:sz w:val="18"/>
                <w:szCs w:val="18"/>
                <w:lang w:eastAsia="en-US"/>
              </w:rPr>
              <w:t xml:space="preserve">Qualitative indicator through </w:t>
            </w:r>
            <w:r w:rsidRPr="009E378C">
              <w:rPr>
                <w:rFonts w:ascii="Calibri" w:eastAsia="Calibri" w:hAnsi="Calibri"/>
                <w:sz w:val="18"/>
                <w:szCs w:val="18"/>
              </w:rPr>
              <w:t xml:space="preserve">which effectiveness of UNDP’s support (on demand </w:t>
            </w:r>
            <w:r w:rsidRPr="009E378C">
              <w:rPr>
                <w:sz w:val="18"/>
                <w:szCs w:val="18"/>
              </w:rPr>
              <w:t>from programme countries</w:t>
            </w:r>
            <w:r w:rsidRPr="009E378C">
              <w:rPr>
                <w:rFonts w:ascii="Calibri" w:eastAsia="Calibri" w:hAnsi="Calibri"/>
                <w:sz w:val="18"/>
                <w:szCs w:val="18"/>
              </w:rPr>
              <w:t>)</w:t>
            </w:r>
            <w:r w:rsidRPr="009E378C">
              <w:rPr>
                <w:sz w:val="18"/>
                <w:szCs w:val="18"/>
              </w:rPr>
              <w:t xml:space="preserve"> to </w:t>
            </w:r>
            <w:r w:rsidRPr="009E378C">
              <w:rPr>
                <w:rFonts w:eastAsia="Calibri"/>
                <w:sz w:val="18"/>
                <w:szCs w:val="18"/>
              </w:rPr>
              <w:t xml:space="preserve">accountably and effectively use financing and aid management mechanisms, is tracked using a qualitative rating scale </w:t>
            </w:r>
            <w:r w:rsidRPr="009E378C">
              <w:rPr>
                <w:rFonts w:ascii="Calibri" w:eastAsia="Calibri" w:hAnsi="Calibri" w:cs="Times New Roman"/>
                <w:sz w:val="18"/>
                <w:szCs w:val="18"/>
                <w:lang w:eastAsia="en-US"/>
              </w:rPr>
              <w:t>(</w:t>
            </w:r>
            <w:r w:rsidRPr="009E378C">
              <w:rPr>
                <w:rFonts w:eastAsia="Calibri"/>
                <w:sz w:val="18"/>
                <w:szCs w:val="18"/>
              </w:rPr>
              <w:t>1- Not adequately, 2- Very partially, 3- Partially, and 4-Largely</w:t>
            </w:r>
            <w:r w:rsidRPr="009E378C">
              <w:rPr>
                <w:rFonts w:ascii="Calibri" w:eastAsia="Calibri" w:hAnsi="Calibri" w:cs="Times New Roman"/>
                <w:sz w:val="18"/>
                <w:szCs w:val="18"/>
                <w:lang w:eastAsia="en-US"/>
              </w:rPr>
              <w:t xml:space="preserve">), </w:t>
            </w:r>
            <w:r w:rsidRPr="009E378C">
              <w:rPr>
                <w:rFonts w:eastAsia="Calibri"/>
                <w:sz w:val="18"/>
                <w:szCs w:val="18"/>
              </w:rPr>
              <w:t xml:space="preserve">counting the number of countries where </w:t>
            </w:r>
            <w:r w:rsidR="0035289B">
              <w:rPr>
                <w:rFonts w:eastAsia="Calibri"/>
                <w:sz w:val="18"/>
                <w:szCs w:val="18"/>
              </w:rPr>
              <w:t xml:space="preserve">objective evidence exists that </w:t>
            </w:r>
            <w:r w:rsidRPr="009E378C">
              <w:rPr>
                <w:rFonts w:eastAsia="Calibri"/>
                <w:sz w:val="18"/>
                <w:szCs w:val="18"/>
              </w:rPr>
              <w:t>UNDP-supported capacities improved from January 2014 onwards</w:t>
            </w:r>
            <w:r w:rsidR="0035289B">
              <w:rPr>
                <w:rFonts w:eastAsia="Calibri"/>
                <w:sz w:val="18"/>
                <w:szCs w:val="18"/>
              </w:rPr>
              <w:t>,</w:t>
            </w:r>
            <w:r w:rsidRPr="009E378C">
              <w:rPr>
                <w:rFonts w:eastAsia="Calibri"/>
                <w:sz w:val="18"/>
                <w:szCs w:val="18"/>
              </w:rPr>
              <w:t xml:space="preserve"> and calculating the percentage over the total number of supported countries.</w:t>
            </w:r>
            <w:r w:rsidR="00215EDB" w:rsidRPr="009E378C">
              <w:rPr>
                <w:rFonts w:eastAsia="Calibri"/>
                <w:sz w:val="18"/>
                <w:szCs w:val="18"/>
              </w:rPr>
              <w:t xml:space="preserve"> </w:t>
            </w:r>
          </w:p>
          <w:p w14:paraId="5683943D" w14:textId="340B45A2" w:rsidR="00215EDB" w:rsidRPr="009E378C" w:rsidRDefault="00215EDB" w:rsidP="00215EDB">
            <w:pPr>
              <w:spacing w:after="0" w:line="240" w:lineRule="auto"/>
              <w:rPr>
                <w:rFonts w:ascii="Calibri" w:eastAsia="Calibri" w:hAnsi="Calibri" w:cs="Times New Roman"/>
                <w:b/>
                <w:sz w:val="18"/>
                <w:szCs w:val="18"/>
                <w:lang w:eastAsia="en-US"/>
              </w:rPr>
            </w:pPr>
            <w:r w:rsidRPr="009E378C">
              <w:rPr>
                <w:rFonts w:eastAsia="Calibri"/>
                <w:b/>
                <w:sz w:val="18"/>
                <w:szCs w:val="18"/>
              </w:rPr>
              <w:t xml:space="preserve">2014 Reporting Note: </w:t>
            </w:r>
            <w:r w:rsidRPr="009E378C">
              <w:rPr>
                <w:rFonts w:eastAsia="Calibri"/>
                <w:sz w:val="18"/>
                <w:szCs w:val="18"/>
              </w:rPr>
              <w:t>2017 target updated to reflect more complete reporting from country offices. For reference, previous target was 55% of 22 linked countries.</w:t>
            </w:r>
          </w:p>
        </w:tc>
      </w:tr>
    </w:tbl>
    <w:p w14:paraId="3101DD36" w14:textId="77777777" w:rsidR="0035289B" w:rsidRDefault="0035289B">
      <w:r>
        <w:br w:type="page"/>
      </w:r>
    </w:p>
    <w:tbl>
      <w:tblPr>
        <w:tblW w:w="14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810"/>
        <w:gridCol w:w="5130"/>
        <w:gridCol w:w="1350"/>
        <w:gridCol w:w="1260"/>
        <w:gridCol w:w="1350"/>
        <w:gridCol w:w="1525"/>
      </w:tblGrid>
      <w:tr w:rsidR="009420ED" w:rsidRPr="00283732" w14:paraId="1BA3E9EB" w14:textId="77777777" w:rsidTr="0035289B">
        <w:trPr>
          <w:trHeight w:val="449"/>
          <w:jc w:val="center"/>
        </w:trPr>
        <w:tc>
          <w:tcPr>
            <w:tcW w:w="3060" w:type="dxa"/>
            <w:vMerge w:val="restart"/>
            <w:tcBorders>
              <w:top w:val="single" w:sz="4" w:space="0" w:color="auto"/>
              <w:left w:val="single" w:sz="4" w:space="0" w:color="auto"/>
              <w:right w:val="single" w:sz="4" w:space="0" w:color="auto"/>
            </w:tcBorders>
            <w:shd w:val="clear" w:color="auto" w:fill="FFFFFF"/>
            <w:hideMark/>
          </w:tcPr>
          <w:p w14:paraId="3217F9C5" w14:textId="1F3AE221" w:rsidR="009420ED" w:rsidRDefault="009420ED" w:rsidP="004C0DE2">
            <w:pPr>
              <w:spacing w:after="0" w:line="240" w:lineRule="auto"/>
              <w:rPr>
                <w:rFonts w:eastAsia="Calibri"/>
                <w:sz w:val="20"/>
                <w:szCs w:val="20"/>
              </w:rPr>
            </w:pPr>
            <w:r w:rsidRPr="00B66E9F">
              <w:rPr>
                <w:rFonts w:eastAsia="Calibri"/>
                <w:sz w:val="20"/>
                <w:szCs w:val="20"/>
              </w:rPr>
              <w:br w:type="page"/>
            </w:r>
            <w:r w:rsidRPr="00B66E9F">
              <w:rPr>
                <w:rFonts w:eastAsia="Calibri"/>
                <w:b/>
                <w:sz w:val="20"/>
                <w:szCs w:val="20"/>
              </w:rPr>
              <w:t xml:space="preserve">Output 6.3. </w:t>
            </w:r>
            <w:r w:rsidRPr="00AF5623">
              <w:rPr>
                <w:rFonts w:eastAsia="Calibri"/>
                <w:sz w:val="20"/>
                <w:szCs w:val="20"/>
              </w:rPr>
              <w:t>I</w:t>
            </w:r>
            <w:r w:rsidRPr="00B66E9F">
              <w:rPr>
                <w:rFonts w:eastAsia="Calibri"/>
                <w:sz w:val="20"/>
                <w:szCs w:val="20"/>
              </w:rPr>
              <w:t xml:space="preserve">nnovative partnerships are used to inform national planning and identification </w:t>
            </w:r>
            <w:r w:rsidR="00573503">
              <w:rPr>
                <w:rFonts w:eastAsia="Calibri"/>
                <w:sz w:val="20"/>
                <w:szCs w:val="20"/>
              </w:rPr>
              <w:t>of solutions for early recovery</w:t>
            </w:r>
          </w:p>
          <w:p w14:paraId="5CD5C8CA" w14:textId="77777777" w:rsidR="009420ED" w:rsidRDefault="009420ED" w:rsidP="004C0DE2">
            <w:pPr>
              <w:spacing w:after="0" w:line="240" w:lineRule="auto"/>
              <w:rPr>
                <w:rFonts w:eastAsia="Calibri"/>
                <w:sz w:val="20"/>
                <w:szCs w:val="20"/>
              </w:rPr>
            </w:pPr>
          </w:p>
          <w:p w14:paraId="229ED4DE" w14:textId="3EE743EA" w:rsidR="00460746" w:rsidRDefault="00460746" w:rsidP="00460746">
            <w:pPr>
              <w:spacing w:after="0" w:line="240" w:lineRule="auto"/>
              <w:rPr>
                <w:rFonts w:ascii="Calibri" w:eastAsia="Calibri" w:hAnsi="Calibri"/>
                <w:b/>
                <w:color w:val="000000"/>
                <w:sz w:val="18"/>
                <w:szCs w:val="18"/>
              </w:rPr>
            </w:pPr>
            <w:r w:rsidRPr="00B359E7">
              <w:rPr>
                <w:rFonts w:ascii="Calibri" w:eastAsia="Calibri" w:hAnsi="Calibri"/>
                <w:b/>
                <w:i/>
                <w:color w:val="000000"/>
                <w:sz w:val="18"/>
                <w:szCs w:val="18"/>
              </w:rPr>
              <w:t>Number of countries linked:</w:t>
            </w:r>
            <w:r>
              <w:rPr>
                <w:rFonts w:ascii="Calibri" w:eastAsia="Calibri" w:hAnsi="Calibri"/>
                <w:b/>
                <w:color w:val="000000"/>
                <w:sz w:val="18"/>
                <w:szCs w:val="18"/>
              </w:rPr>
              <w:t xml:space="preserve"> 7 </w:t>
            </w:r>
          </w:p>
          <w:p w14:paraId="1084DF80" w14:textId="42591227" w:rsidR="009420ED" w:rsidRPr="008C4519" w:rsidRDefault="00460746" w:rsidP="00460746">
            <w:pPr>
              <w:spacing w:after="0" w:line="240" w:lineRule="auto"/>
              <w:rPr>
                <w:rFonts w:eastAsia="Calibri"/>
                <w:color w:val="000000"/>
                <w:sz w:val="20"/>
              </w:rPr>
            </w:pPr>
            <w:r>
              <w:rPr>
                <w:rFonts w:ascii="Calibri" w:eastAsia="Calibri" w:hAnsi="Calibri"/>
                <w:b/>
                <w:color w:val="000000"/>
                <w:sz w:val="18"/>
                <w:szCs w:val="18"/>
              </w:rPr>
              <w:t>(February 2015</w:t>
            </w:r>
            <w:r w:rsidRPr="00B359E7">
              <w:rPr>
                <w:rFonts w:ascii="Calibri" w:eastAsia="Calibri" w:hAnsi="Calibri"/>
                <w:b/>
                <w:color w:val="000000"/>
                <w:sz w:val="18"/>
                <w:szCs w:val="18"/>
              </w:rPr>
              <w:t>)</w:t>
            </w:r>
          </w:p>
        </w:tc>
        <w:tc>
          <w:tcPr>
            <w:tcW w:w="810" w:type="dxa"/>
            <w:vMerge w:val="restart"/>
            <w:tcBorders>
              <w:top w:val="single" w:sz="4" w:space="0" w:color="auto"/>
              <w:left w:val="single" w:sz="4" w:space="0" w:color="auto"/>
              <w:right w:val="single" w:sz="4" w:space="0" w:color="auto"/>
            </w:tcBorders>
            <w:shd w:val="clear" w:color="auto" w:fill="FFFFFF"/>
          </w:tcPr>
          <w:p w14:paraId="547EFD7A" w14:textId="77777777" w:rsidR="009420ED" w:rsidRPr="00B66E9F" w:rsidRDefault="009420ED" w:rsidP="004C0DE2">
            <w:pPr>
              <w:spacing w:after="0" w:line="240" w:lineRule="auto"/>
              <w:rPr>
                <w:rFonts w:eastAsia="Calibri"/>
                <w:b/>
                <w:sz w:val="20"/>
                <w:szCs w:val="20"/>
              </w:rPr>
            </w:pPr>
            <w:r w:rsidRPr="00B66E9F">
              <w:rPr>
                <w:rFonts w:eastAsia="Calibri"/>
                <w:b/>
                <w:sz w:val="20"/>
                <w:szCs w:val="20"/>
              </w:rPr>
              <w:t>6.3.1</w:t>
            </w:r>
          </w:p>
        </w:tc>
        <w:tc>
          <w:tcPr>
            <w:tcW w:w="5130" w:type="dxa"/>
            <w:tcBorders>
              <w:top w:val="single" w:sz="4" w:space="0" w:color="auto"/>
              <w:left w:val="single" w:sz="4" w:space="0" w:color="auto"/>
              <w:right w:val="single" w:sz="4" w:space="0" w:color="auto"/>
            </w:tcBorders>
            <w:shd w:val="clear" w:color="auto" w:fill="FFFFFF"/>
            <w:hideMark/>
          </w:tcPr>
          <w:p w14:paraId="26CF1234" w14:textId="0AF1CE0E" w:rsidR="009420ED" w:rsidRPr="0013161E" w:rsidRDefault="009420ED" w:rsidP="004C0DE2">
            <w:pPr>
              <w:spacing w:after="0" w:line="240" w:lineRule="auto"/>
              <w:rPr>
                <w:rFonts w:eastAsia="Calibri"/>
                <w:sz w:val="20"/>
                <w:szCs w:val="20"/>
              </w:rPr>
            </w:pPr>
            <w:r w:rsidRPr="0013161E">
              <w:rPr>
                <w:rFonts w:eastAsia="Calibri"/>
                <w:b/>
                <w:sz w:val="20"/>
                <w:szCs w:val="20"/>
              </w:rPr>
              <w:t>Number of</w:t>
            </w:r>
            <w:r w:rsidR="00C001C2" w:rsidRPr="0013161E">
              <w:rPr>
                <w:rFonts w:eastAsia="Calibri"/>
                <w:b/>
                <w:sz w:val="20"/>
                <w:szCs w:val="20"/>
              </w:rPr>
              <w:t xml:space="preserve"> new</w:t>
            </w:r>
            <w:r w:rsidRPr="0013161E">
              <w:rPr>
                <w:rFonts w:eastAsia="Calibri"/>
                <w:b/>
                <w:sz w:val="20"/>
                <w:szCs w:val="20"/>
              </w:rPr>
              <w:t xml:space="preserve"> partnerships</w:t>
            </w:r>
            <w:r w:rsidRPr="0013161E">
              <w:rPr>
                <w:rFonts w:eastAsia="Calibri"/>
                <w:sz w:val="20"/>
                <w:szCs w:val="20"/>
              </w:rPr>
              <w:t xml:space="preserve"> operational to ensure implementation of innovative solutions for early recovery, disaggregated by </w:t>
            </w:r>
            <w:r w:rsidRPr="0013161E">
              <w:rPr>
                <w:rFonts w:eastAsia="Calibri"/>
                <w:b/>
                <w:sz w:val="20"/>
                <w:szCs w:val="20"/>
              </w:rPr>
              <w:t>type of partnership</w:t>
            </w:r>
            <w:r w:rsidRPr="0013161E">
              <w:rPr>
                <w:rFonts w:eastAsia="Calibri"/>
                <w:sz w:val="20"/>
                <w:szCs w:val="20"/>
              </w:rPr>
              <w:t>.</w:t>
            </w:r>
          </w:p>
          <w:p w14:paraId="70FA2968" w14:textId="725C0D3B" w:rsidR="009420ED" w:rsidRPr="0013161E" w:rsidRDefault="00C001C2" w:rsidP="006F161D">
            <w:pPr>
              <w:pStyle w:val="ListParagraph"/>
              <w:numPr>
                <w:ilvl w:val="0"/>
                <w:numId w:val="42"/>
              </w:numPr>
              <w:contextualSpacing/>
              <w:rPr>
                <w:sz w:val="20"/>
                <w:szCs w:val="20"/>
              </w:rPr>
            </w:pPr>
            <w:r w:rsidRPr="0013161E">
              <w:rPr>
                <w:rFonts w:asciiTheme="minorHAnsi" w:hAnsiTheme="minorHAnsi"/>
                <w:sz w:val="20"/>
                <w:szCs w:val="20"/>
              </w:rPr>
              <w:t>New s</w:t>
            </w:r>
            <w:r w:rsidR="009420ED" w:rsidRPr="0013161E">
              <w:rPr>
                <w:rFonts w:asciiTheme="minorHAnsi" w:hAnsiTheme="minorHAnsi"/>
                <w:sz w:val="20"/>
                <w:szCs w:val="20"/>
              </w:rPr>
              <w:t>outh-South and triangular cooperation partnerships</w:t>
            </w:r>
          </w:p>
          <w:p w14:paraId="481376CA" w14:textId="1F7F35C3" w:rsidR="009420ED" w:rsidRPr="0013161E" w:rsidRDefault="00C001C2" w:rsidP="006F161D">
            <w:pPr>
              <w:pStyle w:val="ListParagraph"/>
              <w:numPr>
                <w:ilvl w:val="0"/>
                <w:numId w:val="42"/>
              </w:numPr>
              <w:contextualSpacing/>
              <w:rPr>
                <w:rFonts w:asciiTheme="minorHAnsi" w:hAnsiTheme="minorHAnsi"/>
                <w:sz w:val="20"/>
                <w:szCs w:val="20"/>
              </w:rPr>
            </w:pPr>
            <w:r w:rsidRPr="0013161E">
              <w:rPr>
                <w:rFonts w:asciiTheme="minorHAnsi" w:hAnsiTheme="minorHAnsi"/>
                <w:sz w:val="20"/>
                <w:szCs w:val="20"/>
              </w:rPr>
              <w:t>New p</w:t>
            </w:r>
            <w:r w:rsidR="009420ED" w:rsidRPr="0013161E">
              <w:rPr>
                <w:rFonts w:asciiTheme="minorHAnsi" w:hAnsiTheme="minorHAnsi"/>
                <w:sz w:val="20"/>
                <w:szCs w:val="20"/>
              </w:rPr>
              <w:t>ublic-private partnerships</w:t>
            </w:r>
            <w:r w:rsidR="009420ED" w:rsidRPr="0013161E">
              <w:rPr>
                <w:rFonts w:eastAsia="Calibri"/>
                <w:sz w:val="20"/>
                <w:szCs w:val="20"/>
              </w:rPr>
              <w:t xml:space="preserve"> </w:t>
            </w:r>
          </w:p>
          <w:p w14:paraId="2DC0EE8A" w14:textId="64A4D3D8" w:rsidR="009420ED" w:rsidRPr="0013161E" w:rsidRDefault="00C001C2" w:rsidP="006F161D">
            <w:pPr>
              <w:pStyle w:val="ListParagraph"/>
              <w:numPr>
                <w:ilvl w:val="0"/>
                <w:numId w:val="42"/>
              </w:numPr>
              <w:contextualSpacing/>
              <w:rPr>
                <w:rFonts w:asciiTheme="minorHAnsi" w:hAnsiTheme="minorHAnsi"/>
                <w:sz w:val="20"/>
                <w:szCs w:val="20"/>
              </w:rPr>
            </w:pPr>
            <w:r w:rsidRPr="0013161E">
              <w:rPr>
                <w:rFonts w:asciiTheme="minorHAnsi" w:hAnsiTheme="minorHAnsi"/>
                <w:sz w:val="20"/>
                <w:szCs w:val="20"/>
              </w:rPr>
              <w:t>New p</w:t>
            </w:r>
            <w:r w:rsidR="009420ED" w:rsidRPr="0013161E">
              <w:rPr>
                <w:rFonts w:asciiTheme="minorHAnsi" w:hAnsiTheme="minorHAnsi"/>
                <w:sz w:val="20"/>
                <w:szCs w:val="20"/>
              </w:rPr>
              <w:t>rivate sector partnerships</w:t>
            </w:r>
          </w:p>
          <w:p w14:paraId="055BCBAD" w14:textId="1FF85EA9" w:rsidR="009420ED" w:rsidRPr="0013161E" w:rsidRDefault="00C001C2" w:rsidP="006F161D">
            <w:pPr>
              <w:pStyle w:val="ListParagraph"/>
              <w:numPr>
                <w:ilvl w:val="0"/>
                <w:numId w:val="42"/>
              </w:numPr>
              <w:contextualSpacing/>
              <w:rPr>
                <w:rFonts w:asciiTheme="minorHAnsi" w:hAnsiTheme="minorHAnsi"/>
                <w:sz w:val="20"/>
                <w:szCs w:val="20"/>
              </w:rPr>
            </w:pPr>
            <w:r w:rsidRPr="0013161E">
              <w:rPr>
                <w:rFonts w:asciiTheme="minorHAnsi" w:hAnsiTheme="minorHAnsi"/>
                <w:sz w:val="20"/>
                <w:szCs w:val="20"/>
              </w:rPr>
              <w:t>Other new</w:t>
            </w:r>
            <w:r w:rsidR="009420ED" w:rsidRPr="0013161E">
              <w:rPr>
                <w:rFonts w:asciiTheme="minorHAnsi" w:hAnsiTheme="minorHAnsi"/>
                <w:sz w:val="20"/>
                <w:szCs w:val="20"/>
              </w:rPr>
              <w:t xml:space="preserve"> partnerships </w:t>
            </w:r>
          </w:p>
          <w:p w14:paraId="5D8BDEBA" w14:textId="2E6E6579" w:rsidR="00546E49" w:rsidRPr="0013161E" w:rsidRDefault="00546E49" w:rsidP="001E2113">
            <w:pPr>
              <w:spacing w:before="240"/>
              <w:contextualSpacing/>
              <w:rPr>
                <w:sz w:val="20"/>
                <w:szCs w:val="20"/>
              </w:rPr>
            </w:pPr>
            <w:r w:rsidRPr="0013161E">
              <w:rPr>
                <w:rFonts w:eastAsia="Calibri"/>
                <w:b/>
                <w:i/>
                <w:sz w:val="18"/>
                <w:szCs w:val="18"/>
              </w:rPr>
              <w:t>Number of coun</w:t>
            </w:r>
            <w:r w:rsidR="009C13FC" w:rsidRPr="0013161E">
              <w:rPr>
                <w:rFonts w:eastAsia="Calibri"/>
                <w:b/>
                <w:i/>
                <w:sz w:val="18"/>
                <w:szCs w:val="18"/>
              </w:rPr>
              <w:t xml:space="preserve">tries </w:t>
            </w:r>
            <w:r w:rsidR="00983FF8" w:rsidRPr="0013161E">
              <w:rPr>
                <w:rFonts w:eastAsia="Calibri"/>
                <w:b/>
                <w:i/>
                <w:sz w:val="18"/>
                <w:szCs w:val="18"/>
              </w:rPr>
              <w:t>for which a 2017 target has currently been set under this indicator</w:t>
            </w:r>
            <w:r w:rsidR="009C13FC" w:rsidRPr="0013161E">
              <w:rPr>
                <w:rFonts w:eastAsia="Calibri"/>
                <w:b/>
                <w:i/>
                <w:sz w:val="18"/>
                <w:szCs w:val="18"/>
              </w:rPr>
              <w:t>: a) 7, b) 6, c) 6, d) 4</w:t>
            </w:r>
          </w:p>
        </w:tc>
        <w:tc>
          <w:tcPr>
            <w:tcW w:w="1350" w:type="dxa"/>
            <w:tcBorders>
              <w:top w:val="single" w:sz="4" w:space="0" w:color="auto"/>
              <w:left w:val="single" w:sz="4" w:space="0" w:color="auto"/>
              <w:right w:val="single" w:sz="4" w:space="0" w:color="auto"/>
            </w:tcBorders>
            <w:shd w:val="clear" w:color="auto" w:fill="FFFFFF"/>
          </w:tcPr>
          <w:p w14:paraId="294014E9" w14:textId="77777777" w:rsidR="009420ED" w:rsidRDefault="009420ED" w:rsidP="0035289B">
            <w:pPr>
              <w:spacing w:after="0" w:line="240" w:lineRule="auto"/>
              <w:jc w:val="right"/>
              <w:rPr>
                <w:rFonts w:eastAsia="Calibri"/>
                <w:sz w:val="20"/>
                <w:szCs w:val="20"/>
              </w:rPr>
            </w:pPr>
          </w:p>
          <w:p w14:paraId="2F903690" w14:textId="77777777" w:rsidR="0035289B" w:rsidRDefault="0035289B" w:rsidP="0035289B">
            <w:pPr>
              <w:spacing w:after="0" w:line="240" w:lineRule="auto"/>
              <w:jc w:val="right"/>
              <w:rPr>
                <w:rFonts w:eastAsia="Calibri"/>
                <w:sz w:val="20"/>
                <w:szCs w:val="20"/>
              </w:rPr>
            </w:pPr>
          </w:p>
          <w:p w14:paraId="4A89F2E6" w14:textId="77777777" w:rsidR="0035289B" w:rsidRDefault="0035289B" w:rsidP="0035289B">
            <w:pPr>
              <w:spacing w:after="0" w:line="240" w:lineRule="auto"/>
              <w:jc w:val="right"/>
              <w:rPr>
                <w:rFonts w:eastAsia="Calibri"/>
                <w:sz w:val="20"/>
                <w:szCs w:val="20"/>
              </w:rPr>
            </w:pPr>
          </w:p>
          <w:p w14:paraId="1A6F051D" w14:textId="77777777" w:rsidR="009420ED" w:rsidRDefault="009420ED" w:rsidP="0035289B">
            <w:pPr>
              <w:spacing w:after="0" w:line="240" w:lineRule="auto"/>
              <w:jc w:val="right"/>
              <w:rPr>
                <w:rFonts w:eastAsia="Calibri"/>
                <w:sz w:val="20"/>
                <w:szCs w:val="20"/>
              </w:rPr>
            </w:pPr>
            <w:r>
              <w:rPr>
                <w:rFonts w:eastAsia="Calibri"/>
                <w:sz w:val="20"/>
                <w:szCs w:val="20"/>
              </w:rPr>
              <w:t>0</w:t>
            </w:r>
          </w:p>
          <w:p w14:paraId="3FC416A0" w14:textId="77777777" w:rsidR="00C001C2" w:rsidRDefault="00C001C2" w:rsidP="0035289B">
            <w:pPr>
              <w:spacing w:after="0" w:line="240" w:lineRule="auto"/>
              <w:jc w:val="right"/>
              <w:rPr>
                <w:rFonts w:eastAsia="Calibri"/>
                <w:sz w:val="20"/>
                <w:szCs w:val="20"/>
              </w:rPr>
            </w:pPr>
          </w:p>
          <w:p w14:paraId="6E692527" w14:textId="77777777" w:rsidR="009420ED" w:rsidRDefault="009420ED" w:rsidP="0035289B">
            <w:pPr>
              <w:spacing w:after="0" w:line="240" w:lineRule="auto"/>
              <w:jc w:val="right"/>
              <w:rPr>
                <w:rFonts w:eastAsia="Calibri"/>
                <w:sz w:val="20"/>
                <w:szCs w:val="20"/>
              </w:rPr>
            </w:pPr>
            <w:r>
              <w:rPr>
                <w:rFonts w:eastAsia="Calibri"/>
                <w:sz w:val="20"/>
                <w:szCs w:val="20"/>
              </w:rPr>
              <w:t>0</w:t>
            </w:r>
          </w:p>
          <w:p w14:paraId="52C32CE6" w14:textId="77777777" w:rsidR="009420ED" w:rsidRDefault="009420ED" w:rsidP="0035289B">
            <w:pPr>
              <w:spacing w:after="0" w:line="240" w:lineRule="auto"/>
              <w:jc w:val="right"/>
              <w:rPr>
                <w:rFonts w:eastAsia="Calibri"/>
                <w:sz w:val="20"/>
                <w:szCs w:val="20"/>
              </w:rPr>
            </w:pPr>
            <w:r>
              <w:rPr>
                <w:rFonts w:eastAsia="Calibri"/>
                <w:sz w:val="20"/>
                <w:szCs w:val="20"/>
              </w:rPr>
              <w:t>0</w:t>
            </w:r>
          </w:p>
          <w:p w14:paraId="249E4468" w14:textId="77777777" w:rsidR="009420ED" w:rsidRPr="00B66E9F" w:rsidRDefault="009420ED" w:rsidP="0035289B">
            <w:pPr>
              <w:spacing w:after="0" w:line="240" w:lineRule="auto"/>
              <w:jc w:val="right"/>
              <w:rPr>
                <w:rFonts w:eastAsia="Calibri"/>
                <w:sz w:val="20"/>
                <w:szCs w:val="20"/>
              </w:rPr>
            </w:pPr>
            <w:r>
              <w:rPr>
                <w:rFonts w:eastAsia="Calibri"/>
                <w:sz w:val="20"/>
                <w:szCs w:val="20"/>
              </w:rPr>
              <w:t>0</w:t>
            </w:r>
          </w:p>
        </w:tc>
        <w:tc>
          <w:tcPr>
            <w:tcW w:w="1260" w:type="dxa"/>
            <w:tcBorders>
              <w:top w:val="single" w:sz="4" w:space="0" w:color="auto"/>
              <w:left w:val="single" w:sz="4" w:space="0" w:color="auto"/>
              <w:right w:val="single" w:sz="4" w:space="0" w:color="auto"/>
            </w:tcBorders>
            <w:shd w:val="clear" w:color="auto" w:fill="FFFFFF"/>
          </w:tcPr>
          <w:p w14:paraId="66B2FCE1" w14:textId="77777777" w:rsidR="009420ED" w:rsidRDefault="009420ED" w:rsidP="0035289B">
            <w:pPr>
              <w:spacing w:after="0" w:line="240" w:lineRule="auto"/>
              <w:jc w:val="right"/>
              <w:rPr>
                <w:rFonts w:eastAsia="Calibri"/>
                <w:sz w:val="20"/>
                <w:szCs w:val="20"/>
              </w:rPr>
            </w:pPr>
          </w:p>
          <w:p w14:paraId="2938516D" w14:textId="77777777" w:rsidR="0035289B" w:rsidRDefault="0035289B" w:rsidP="0035289B">
            <w:pPr>
              <w:spacing w:after="0" w:line="240" w:lineRule="auto"/>
              <w:jc w:val="right"/>
              <w:rPr>
                <w:rFonts w:eastAsia="Calibri"/>
                <w:sz w:val="20"/>
                <w:szCs w:val="20"/>
              </w:rPr>
            </w:pPr>
          </w:p>
          <w:p w14:paraId="70987D57" w14:textId="77777777" w:rsidR="0035289B" w:rsidRDefault="0035289B" w:rsidP="0035289B">
            <w:pPr>
              <w:spacing w:after="0" w:line="240" w:lineRule="auto"/>
              <w:jc w:val="right"/>
              <w:rPr>
                <w:rFonts w:eastAsia="Calibri"/>
                <w:sz w:val="20"/>
                <w:szCs w:val="20"/>
              </w:rPr>
            </w:pPr>
          </w:p>
          <w:p w14:paraId="72702CDF" w14:textId="7A896FC6" w:rsidR="009420ED" w:rsidRDefault="00A708D4" w:rsidP="0035289B">
            <w:pPr>
              <w:spacing w:after="0" w:line="240" w:lineRule="auto"/>
              <w:jc w:val="right"/>
              <w:rPr>
                <w:rFonts w:eastAsia="Calibri"/>
                <w:sz w:val="20"/>
                <w:szCs w:val="20"/>
              </w:rPr>
            </w:pPr>
            <w:r>
              <w:rPr>
                <w:rFonts w:eastAsia="Calibri"/>
                <w:sz w:val="20"/>
                <w:szCs w:val="20"/>
              </w:rPr>
              <w:t>4</w:t>
            </w:r>
          </w:p>
          <w:p w14:paraId="74223355" w14:textId="77777777" w:rsidR="003F6A5E" w:rsidRDefault="003F6A5E" w:rsidP="0035289B">
            <w:pPr>
              <w:spacing w:after="0" w:line="240" w:lineRule="auto"/>
              <w:jc w:val="right"/>
              <w:rPr>
                <w:rFonts w:eastAsia="Calibri"/>
                <w:sz w:val="20"/>
                <w:szCs w:val="20"/>
              </w:rPr>
            </w:pPr>
          </w:p>
          <w:p w14:paraId="5DE994B9" w14:textId="77777777" w:rsidR="009420ED" w:rsidRDefault="009420ED" w:rsidP="0035289B">
            <w:pPr>
              <w:spacing w:after="0" w:line="240" w:lineRule="auto"/>
              <w:jc w:val="right"/>
              <w:rPr>
                <w:rFonts w:eastAsia="Calibri"/>
                <w:sz w:val="20"/>
                <w:szCs w:val="20"/>
              </w:rPr>
            </w:pPr>
            <w:r>
              <w:rPr>
                <w:rFonts w:eastAsia="Calibri"/>
                <w:sz w:val="20"/>
                <w:szCs w:val="20"/>
              </w:rPr>
              <w:t>4</w:t>
            </w:r>
          </w:p>
          <w:p w14:paraId="64FB62A8" w14:textId="77777777" w:rsidR="009420ED" w:rsidRDefault="009420ED" w:rsidP="0035289B">
            <w:pPr>
              <w:spacing w:after="0" w:line="240" w:lineRule="auto"/>
              <w:jc w:val="right"/>
              <w:rPr>
                <w:rFonts w:eastAsia="Calibri"/>
                <w:sz w:val="20"/>
                <w:szCs w:val="20"/>
              </w:rPr>
            </w:pPr>
            <w:r>
              <w:rPr>
                <w:rFonts w:eastAsia="Calibri"/>
                <w:sz w:val="20"/>
                <w:szCs w:val="20"/>
              </w:rPr>
              <w:t>8</w:t>
            </w:r>
          </w:p>
          <w:p w14:paraId="1B04C4FD" w14:textId="77777777" w:rsidR="009420ED" w:rsidRPr="00B66E9F" w:rsidRDefault="009420ED" w:rsidP="0035289B">
            <w:pPr>
              <w:spacing w:after="0" w:line="240" w:lineRule="auto"/>
              <w:jc w:val="right"/>
              <w:rPr>
                <w:rFonts w:eastAsia="Calibri"/>
                <w:sz w:val="20"/>
                <w:szCs w:val="20"/>
              </w:rPr>
            </w:pPr>
            <w:r>
              <w:rPr>
                <w:rFonts w:eastAsia="Calibri"/>
                <w:sz w:val="20"/>
                <w:szCs w:val="20"/>
              </w:rPr>
              <w:t>23</w:t>
            </w:r>
          </w:p>
        </w:tc>
        <w:tc>
          <w:tcPr>
            <w:tcW w:w="1350" w:type="dxa"/>
            <w:tcBorders>
              <w:top w:val="single" w:sz="4" w:space="0" w:color="auto"/>
              <w:left w:val="single" w:sz="4" w:space="0" w:color="auto"/>
              <w:right w:val="single" w:sz="4" w:space="0" w:color="auto"/>
            </w:tcBorders>
            <w:shd w:val="clear" w:color="auto" w:fill="FFFFFF"/>
          </w:tcPr>
          <w:p w14:paraId="679F3D82" w14:textId="77777777" w:rsidR="00784BC6" w:rsidRDefault="00784BC6" w:rsidP="0035289B">
            <w:pPr>
              <w:spacing w:after="0" w:line="240" w:lineRule="auto"/>
              <w:jc w:val="right"/>
              <w:rPr>
                <w:rFonts w:eastAsia="Calibri"/>
                <w:sz w:val="20"/>
                <w:szCs w:val="20"/>
              </w:rPr>
            </w:pPr>
          </w:p>
          <w:p w14:paraId="6307809D" w14:textId="77777777" w:rsidR="00784BC6" w:rsidRDefault="00784BC6" w:rsidP="0035289B">
            <w:pPr>
              <w:spacing w:after="0" w:line="240" w:lineRule="auto"/>
              <w:jc w:val="right"/>
              <w:rPr>
                <w:rFonts w:eastAsia="Calibri"/>
                <w:sz w:val="20"/>
                <w:szCs w:val="20"/>
              </w:rPr>
            </w:pPr>
          </w:p>
          <w:p w14:paraId="31DDDF74" w14:textId="77777777" w:rsidR="00784BC6" w:rsidRDefault="00784BC6" w:rsidP="0035289B">
            <w:pPr>
              <w:spacing w:after="0" w:line="240" w:lineRule="auto"/>
              <w:jc w:val="right"/>
              <w:rPr>
                <w:rFonts w:eastAsia="Calibri"/>
                <w:sz w:val="20"/>
                <w:szCs w:val="20"/>
              </w:rPr>
            </w:pPr>
          </w:p>
          <w:p w14:paraId="2105DE5A" w14:textId="1D8F1E77" w:rsidR="009420ED" w:rsidRDefault="00784BC6" w:rsidP="0035289B">
            <w:pPr>
              <w:spacing w:after="0" w:line="240" w:lineRule="auto"/>
              <w:jc w:val="right"/>
              <w:rPr>
                <w:rFonts w:eastAsia="Calibri"/>
                <w:sz w:val="20"/>
                <w:szCs w:val="20"/>
              </w:rPr>
            </w:pPr>
            <w:r>
              <w:rPr>
                <w:rFonts w:eastAsia="Calibri"/>
                <w:sz w:val="20"/>
                <w:szCs w:val="20"/>
              </w:rPr>
              <w:t>2</w:t>
            </w:r>
          </w:p>
          <w:p w14:paraId="250D5C08" w14:textId="77777777" w:rsidR="0035289B" w:rsidRDefault="0035289B" w:rsidP="0035289B">
            <w:pPr>
              <w:spacing w:after="0" w:line="240" w:lineRule="auto"/>
              <w:jc w:val="right"/>
              <w:rPr>
                <w:rFonts w:eastAsia="Calibri"/>
                <w:sz w:val="20"/>
                <w:szCs w:val="20"/>
              </w:rPr>
            </w:pPr>
          </w:p>
          <w:p w14:paraId="47514A79" w14:textId="77777777" w:rsidR="00784BC6" w:rsidRDefault="00784BC6" w:rsidP="0035289B">
            <w:pPr>
              <w:spacing w:after="0" w:line="240" w:lineRule="auto"/>
              <w:jc w:val="right"/>
              <w:rPr>
                <w:rFonts w:eastAsia="Calibri"/>
                <w:sz w:val="20"/>
                <w:szCs w:val="20"/>
              </w:rPr>
            </w:pPr>
            <w:r>
              <w:rPr>
                <w:rFonts w:eastAsia="Calibri"/>
                <w:sz w:val="20"/>
                <w:szCs w:val="20"/>
              </w:rPr>
              <w:t>1</w:t>
            </w:r>
          </w:p>
          <w:p w14:paraId="14A2E54B" w14:textId="77777777" w:rsidR="00784BC6" w:rsidRDefault="00784BC6" w:rsidP="0035289B">
            <w:pPr>
              <w:spacing w:after="0" w:line="240" w:lineRule="auto"/>
              <w:jc w:val="right"/>
              <w:rPr>
                <w:rFonts w:eastAsia="Calibri"/>
                <w:sz w:val="20"/>
                <w:szCs w:val="20"/>
              </w:rPr>
            </w:pPr>
            <w:r>
              <w:rPr>
                <w:rFonts w:eastAsia="Calibri"/>
                <w:sz w:val="20"/>
                <w:szCs w:val="20"/>
              </w:rPr>
              <w:t>7</w:t>
            </w:r>
          </w:p>
          <w:p w14:paraId="0AEE45E6" w14:textId="27D22581" w:rsidR="009420ED" w:rsidRPr="00B66E9F" w:rsidRDefault="00784BC6" w:rsidP="0035289B">
            <w:pPr>
              <w:spacing w:after="0" w:line="240" w:lineRule="auto"/>
              <w:jc w:val="right"/>
              <w:rPr>
                <w:rFonts w:eastAsia="Calibri"/>
                <w:sz w:val="20"/>
                <w:szCs w:val="20"/>
              </w:rPr>
            </w:pPr>
            <w:r>
              <w:rPr>
                <w:rFonts w:eastAsia="Calibri"/>
                <w:sz w:val="20"/>
                <w:szCs w:val="20"/>
              </w:rPr>
              <w:t>23</w:t>
            </w:r>
          </w:p>
        </w:tc>
        <w:tc>
          <w:tcPr>
            <w:tcW w:w="1525" w:type="dxa"/>
            <w:tcBorders>
              <w:top w:val="single" w:sz="4" w:space="0" w:color="auto"/>
              <w:left w:val="single" w:sz="4" w:space="0" w:color="auto"/>
              <w:right w:val="single" w:sz="4" w:space="0" w:color="auto"/>
            </w:tcBorders>
            <w:shd w:val="clear" w:color="auto" w:fill="FFFFFF"/>
          </w:tcPr>
          <w:p w14:paraId="71FC2CBE" w14:textId="77777777" w:rsidR="009420ED" w:rsidRDefault="009420ED" w:rsidP="0035289B">
            <w:pPr>
              <w:spacing w:after="0" w:line="240" w:lineRule="auto"/>
              <w:jc w:val="right"/>
              <w:rPr>
                <w:rFonts w:eastAsia="Calibri"/>
                <w:sz w:val="20"/>
                <w:szCs w:val="20"/>
              </w:rPr>
            </w:pPr>
          </w:p>
          <w:p w14:paraId="724D6AF5" w14:textId="77777777" w:rsidR="009420ED" w:rsidRDefault="009420ED" w:rsidP="0035289B">
            <w:pPr>
              <w:spacing w:after="0" w:line="240" w:lineRule="auto"/>
              <w:jc w:val="right"/>
              <w:rPr>
                <w:rFonts w:eastAsia="Calibri"/>
                <w:sz w:val="20"/>
                <w:szCs w:val="20"/>
              </w:rPr>
            </w:pPr>
          </w:p>
          <w:p w14:paraId="1F0D359D" w14:textId="77777777" w:rsidR="009420ED" w:rsidRDefault="009420ED" w:rsidP="0035289B">
            <w:pPr>
              <w:spacing w:after="0" w:line="240" w:lineRule="auto"/>
              <w:jc w:val="right"/>
              <w:rPr>
                <w:rFonts w:eastAsia="Calibri"/>
                <w:sz w:val="20"/>
                <w:szCs w:val="20"/>
              </w:rPr>
            </w:pPr>
          </w:p>
          <w:p w14:paraId="58CE7E35" w14:textId="497228F0" w:rsidR="009420ED" w:rsidRDefault="009C13FC" w:rsidP="0035289B">
            <w:pPr>
              <w:spacing w:after="0" w:line="240" w:lineRule="auto"/>
              <w:jc w:val="right"/>
              <w:rPr>
                <w:rFonts w:eastAsia="Calibri"/>
                <w:sz w:val="20"/>
                <w:szCs w:val="20"/>
              </w:rPr>
            </w:pPr>
            <w:r>
              <w:rPr>
                <w:rFonts w:eastAsia="Calibri"/>
                <w:sz w:val="20"/>
                <w:szCs w:val="20"/>
              </w:rPr>
              <w:t>18</w:t>
            </w:r>
          </w:p>
          <w:p w14:paraId="0C906844" w14:textId="77777777" w:rsidR="0035289B" w:rsidRDefault="0035289B" w:rsidP="0035289B">
            <w:pPr>
              <w:spacing w:after="0" w:line="240" w:lineRule="auto"/>
              <w:jc w:val="right"/>
              <w:rPr>
                <w:rFonts w:eastAsia="Calibri"/>
                <w:sz w:val="20"/>
                <w:szCs w:val="20"/>
              </w:rPr>
            </w:pPr>
          </w:p>
          <w:p w14:paraId="38C721CB" w14:textId="02920EE5" w:rsidR="009420ED" w:rsidRDefault="009C13FC" w:rsidP="0035289B">
            <w:pPr>
              <w:spacing w:after="0" w:line="240" w:lineRule="auto"/>
              <w:jc w:val="right"/>
              <w:rPr>
                <w:rFonts w:eastAsia="Calibri"/>
                <w:sz w:val="20"/>
                <w:szCs w:val="20"/>
              </w:rPr>
            </w:pPr>
            <w:r>
              <w:rPr>
                <w:rFonts w:eastAsia="Calibri"/>
                <w:sz w:val="20"/>
                <w:szCs w:val="20"/>
              </w:rPr>
              <w:t>19</w:t>
            </w:r>
          </w:p>
          <w:p w14:paraId="4A684475" w14:textId="40B36559" w:rsidR="009420ED" w:rsidRDefault="009C13FC" w:rsidP="0035289B">
            <w:pPr>
              <w:spacing w:after="0" w:line="240" w:lineRule="auto"/>
              <w:jc w:val="right"/>
              <w:rPr>
                <w:rFonts w:eastAsia="Calibri"/>
                <w:sz w:val="20"/>
                <w:szCs w:val="20"/>
              </w:rPr>
            </w:pPr>
            <w:r>
              <w:rPr>
                <w:rFonts w:eastAsia="Calibri"/>
                <w:sz w:val="20"/>
                <w:szCs w:val="20"/>
              </w:rPr>
              <w:t>30</w:t>
            </w:r>
          </w:p>
          <w:p w14:paraId="1D1722EF" w14:textId="6F6D0ECD" w:rsidR="009420ED" w:rsidRPr="00B66E9F" w:rsidRDefault="009C13FC" w:rsidP="0035289B">
            <w:pPr>
              <w:spacing w:after="0" w:line="240" w:lineRule="auto"/>
              <w:jc w:val="right"/>
              <w:rPr>
                <w:rFonts w:eastAsia="Calibri"/>
                <w:sz w:val="20"/>
                <w:szCs w:val="20"/>
              </w:rPr>
            </w:pPr>
            <w:r>
              <w:rPr>
                <w:rFonts w:eastAsia="Calibri"/>
                <w:sz w:val="20"/>
                <w:szCs w:val="20"/>
              </w:rPr>
              <w:t>57</w:t>
            </w:r>
          </w:p>
        </w:tc>
      </w:tr>
      <w:tr w:rsidR="00784BC6" w:rsidRPr="00283732" w14:paraId="4B102CC1" w14:textId="77777777" w:rsidTr="0035289B">
        <w:trPr>
          <w:trHeight w:val="449"/>
          <w:jc w:val="center"/>
        </w:trPr>
        <w:tc>
          <w:tcPr>
            <w:tcW w:w="3060" w:type="dxa"/>
            <w:vMerge/>
            <w:tcBorders>
              <w:left w:val="single" w:sz="4" w:space="0" w:color="auto"/>
              <w:right w:val="single" w:sz="4" w:space="0" w:color="auto"/>
            </w:tcBorders>
            <w:shd w:val="clear" w:color="auto" w:fill="FFFFFF"/>
          </w:tcPr>
          <w:p w14:paraId="7A518D99" w14:textId="239644DD" w:rsidR="00784BC6" w:rsidRPr="00B66E9F" w:rsidRDefault="00784BC6" w:rsidP="004C0DE2">
            <w:pPr>
              <w:spacing w:after="0" w:line="240" w:lineRule="auto"/>
              <w:rPr>
                <w:rFonts w:eastAsia="Calibri"/>
                <w:sz w:val="20"/>
                <w:szCs w:val="20"/>
              </w:rPr>
            </w:pPr>
          </w:p>
        </w:tc>
        <w:tc>
          <w:tcPr>
            <w:tcW w:w="810" w:type="dxa"/>
            <w:vMerge/>
            <w:tcBorders>
              <w:left w:val="single" w:sz="4" w:space="0" w:color="auto"/>
              <w:right w:val="single" w:sz="4" w:space="0" w:color="auto"/>
            </w:tcBorders>
            <w:shd w:val="clear" w:color="auto" w:fill="FFFFFF"/>
          </w:tcPr>
          <w:p w14:paraId="25B20D63" w14:textId="77777777" w:rsidR="00784BC6" w:rsidRPr="00B66E9F" w:rsidRDefault="00784BC6" w:rsidP="004C0DE2">
            <w:pPr>
              <w:spacing w:after="0" w:line="240" w:lineRule="auto"/>
              <w:rPr>
                <w:rFonts w:eastAsia="Calibri"/>
                <w:b/>
                <w:sz w:val="20"/>
                <w:szCs w:val="20"/>
              </w:rPr>
            </w:pPr>
          </w:p>
        </w:tc>
        <w:tc>
          <w:tcPr>
            <w:tcW w:w="10615" w:type="dxa"/>
            <w:gridSpan w:val="5"/>
            <w:tcBorders>
              <w:left w:val="single" w:sz="4" w:space="0" w:color="auto"/>
              <w:right w:val="single" w:sz="4" w:space="0" w:color="auto"/>
            </w:tcBorders>
            <w:shd w:val="clear" w:color="auto" w:fill="D9D9D9" w:themeFill="background1" w:themeFillShade="D9"/>
          </w:tcPr>
          <w:p w14:paraId="0309BB31" w14:textId="0A7A6DE9" w:rsidR="00784BC6" w:rsidRPr="002F4689" w:rsidRDefault="00784BC6" w:rsidP="006703A1">
            <w:pPr>
              <w:spacing w:after="0" w:line="240" w:lineRule="auto"/>
              <w:rPr>
                <w:sz w:val="18"/>
                <w:szCs w:val="18"/>
              </w:rPr>
            </w:pPr>
            <w:r w:rsidRPr="002F4689">
              <w:rPr>
                <w:rFonts w:ascii="Calibri" w:eastAsia="Calibri" w:hAnsi="Calibri" w:cs="Times New Roman"/>
                <w:b/>
                <w:sz w:val="18"/>
                <w:szCs w:val="18"/>
                <w:lang w:eastAsia="en-US"/>
              </w:rPr>
              <w:t xml:space="preserve">Indicator 6.3.1 Note: </w:t>
            </w:r>
            <w:r w:rsidRPr="002F4689">
              <w:rPr>
                <w:sz w:val="18"/>
                <w:szCs w:val="18"/>
              </w:rPr>
              <w:t xml:space="preserve">Tracks the number of new partnerships to ensure implementation of innovative solutions for early recovery (on demand from programme countries) that were operational </w:t>
            </w:r>
            <w:r w:rsidR="002F4689" w:rsidRPr="002F4689">
              <w:rPr>
                <w:sz w:val="18"/>
                <w:szCs w:val="18"/>
              </w:rPr>
              <w:t xml:space="preserve">(defined as those that have accountability mechanisms fully implemented) </w:t>
            </w:r>
            <w:r w:rsidRPr="002F4689">
              <w:rPr>
                <w:sz w:val="18"/>
                <w:szCs w:val="18"/>
              </w:rPr>
              <w:t>from January 2014 onwards, disaggregated by the type of partner involved.</w:t>
            </w:r>
          </w:p>
          <w:p w14:paraId="3AB84A89" w14:textId="4A91B55B" w:rsidR="00784BC6" w:rsidRPr="002F4689" w:rsidRDefault="00784BC6" w:rsidP="001E2113">
            <w:pPr>
              <w:spacing w:after="0" w:line="240" w:lineRule="auto"/>
              <w:rPr>
                <w:rFonts w:ascii="Calibri" w:eastAsia="Calibri" w:hAnsi="Calibri" w:cs="Times New Roman"/>
                <w:b/>
                <w:sz w:val="18"/>
                <w:szCs w:val="18"/>
                <w:lang w:eastAsia="en-US"/>
              </w:rPr>
            </w:pPr>
            <w:r w:rsidRPr="002F4689">
              <w:rPr>
                <w:rFonts w:eastAsia="Calibri"/>
                <w:b/>
                <w:sz w:val="18"/>
                <w:szCs w:val="18"/>
              </w:rPr>
              <w:t xml:space="preserve">2014 Reporting Note: </w:t>
            </w:r>
            <w:r w:rsidRPr="002F4689">
              <w:rPr>
                <w:rFonts w:eastAsia="Calibri"/>
                <w:sz w:val="18"/>
                <w:szCs w:val="18"/>
              </w:rPr>
              <w:t xml:space="preserve">2014 </w:t>
            </w:r>
            <w:r w:rsidR="001E2113" w:rsidRPr="002F4689">
              <w:rPr>
                <w:rFonts w:eastAsia="Calibri"/>
                <w:sz w:val="18"/>
                <w:szCs w:val="18"/>
              </w:rPr>
              <w:t>m</w:t>
            </w:r>
            <w:r w:rsidRPr="002F4689">
              <w:rPr>
                <w:rFonts w:eastAsia="Calibri"/>
                <w:sz w:val="18"/>
                <w:szCs w:val="18"/>
              </w:rPr>
              <w:t xml:space="preserve">ilestones </w:t>
            </w:r>
            <w:r w:rsidR="001E2113" w:rsidRPr="002F4689">
              <w:rPr>
                <w:rFonts w:eastAsia="Calibri"/>
                <w:sz w:val="18"/>
                <w:szCs w:val="18"/>
              </w:rPr>
              <w:t xml:space="preserve">and 2017 targets </w:t>
            </w:r>
            <w:r w:rsidRPr="002F4689">
              <w:rPr>
                <w:rFonts w:eastAsia="Calibri"/>
                <w:sz w:val="18"/>
                <w:szCs w:val="18"/>
              </w:rPr>
              <w:t>updated to reflect more complete reporting from country offices. For reference, previous 2014 milestones were: a) 2, b) 4, c) 8, d) 23</w:t>
            </w:r>
            <w:r w:rsidR="009C13FC" w:rsidRPr="002F4689">
              <w:rPr>
                <w:rFonts w:eastAsia="Calibri"/>
                <w:sz w:val="18"/>
                <w:szCs w:val="18"/>
              </w:rPr>
              <w:t xml:space="preserve">; previous targets were: a) 15, b) 16, c) 31, d) 58. </w:t>
            </w:r>
          </w:p>
        </w:tc>
      </w:tr>
      <w:tr w:rsidR="009420ED" w:rsidRPr="00283732" w14:paraId="29258B17" w14:textId="77777777" w:rsidTr="0035289B">
        <w:trPr>
          <w:trHeight w:val="64"/>
          <w:jc w:val="center"/>
        </w:trPr>
        <w:tc>
          <w:tcPr>
            <w:tcW w:w="3060" w:type="dxa"/>
            <w:vMerge/>
            <w:tcBorders>
              <w:left w:val="single" w:sz="4" w:space="0" w:color="auto"/>
              <w:right w:val="single" w:sz="4" w:space="0" w:color="auto"/>
            </w:tcBorders>
            <w:shd w:val="clear" w:color="auto" w:fill="FFFFFF"/>
          </w:tcPr>
          <w:p w14:paraId="4691D0CA" w14:textId="77777777" w:rsidR="009420ED" w:rsidRPr="00B66E9F" w:rsidRDefault="009420ED" w:rsidP="002776AE">
            <w:pPr>
              <w:spacing w:after="0" w:line="240" w:lineRule="auto"/>
              <w:rPr>
                <w:rFonts w:eastAsia="Calibri"/>
                <w:b/>
                <w:sz w:val="20"/>
                <w:szCs w:val="20"/>
              </w:rPr>
            </w:pPr>
          </w:p>
        </w:tc>
        <w:tc>
          <w:tcPr>
            <w:tcW w:w="810" w:type="dxa"/>
            <w:vMerge w:val="restart"/>
            <w:tcBorders>
              <w:top w:val="single" w:sz="4" w:space="0" w:color="auto"/>
              <w:left w:val="single" w:sz="4" w:space="0" w:color="auto"/>
              <w:right w:val="single" w:sz="4" w:space="0" w:color="auto"/>
            </w:tcBorders>
            <w:shd w:val="clear" w:color="auto" w:fill="FFFFFF"/>
          </w:tcPr>
          <w:p w14:paraId="6303A5B4" w14:textId="77777777" w:rsidR="009420ED" w:rsidRPr="00B66E9F" w:rsidRDefault="009420ED" w:rsidP="002776AE">
            <w:pPr>
              <w:spacing w:after="0" w:line="240" w:lineRule="auto"/>
              <w:rPr>
                <w:rFonts w:eastAsia="Calibri"/>
                <w:b/>
                <w:sz w:val="20"/>
                <w:szCs w:val="20"/>
              </w:rPr>
            </w:pPr>
            <w:r w:rsidRPr="00B66E9F">
              <w:rPr>
                <w:rFonts w:eastAsia="Calibri"/>
                <w:b/>
                <w:sz w:val="20"/>
                <w:szCs w:val="20"/>
              </w:rPr>
              <w:t>6.3.2</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14:paraId="6418A7A1" w14:textId="77777777" w:rsidR="009420ED" w:rsidRPr="0013161E" w:rsidRDefault="009420ED" w:rsidP="002776AE">
            <w:pPr>
              <w:spacing w:after="0" w:line="240" w:lineRule="auto"/>
              <w:rPr>
                <w:sz w:val="20"/>
              </w:rPr>
            </w:pPr>
            <w:r w:rsidRPr="0013161E">
              <w:rPr>
                <w:sz w:val="20"/>
              </w:rPr>
              <w:t xml:space="preserve">Percentage of </w:t>
            </w:r>
            <w:r w:rsidRPr="0013161E">
              <w:rPr>
                <w:b/>
                <w:bCs/>
                <w:sz w:val="20"/>
              </w:rPr>
              <w:t>total resources mobilized</w:t>
            </w:r>
            <w:r w:rsidRPr="0013161E">
              <w:rPr>
                <w:sz w:val="20"/>
              </w:rPr>
              <w:t xml:space="preserve"> in post-crisis situations </w:t>
            </w:r>
            <w:r w:rsidRPr="0013161E">
              <w:rPr>
                <w:b/>
                <w:bCs/>
                <w:sz w:val="20"/>
              </w:rPr>
              <w:t>allocated to early recovery</w:t>
            </w:r>
            <w:r w:rsidRPr="0013161E">
              <w:rPr>
                <w:sz w:val="20"/>
              </w:rPr>
              <w:t xml:space="preserve"> within 18 months of the start of the crisis and/or of UNDP interventions</w:t>
            </w:r>
          </w:p>
          <w:p w14:paraId="1DF8DFCE" w14:textId="5A49B531" w:rsidR="00546E49" w:rsidRPr="0013161E" w:rsidRDefault="00546E49" w:rsidP="001E2113">
            <w:pPr>
              <w:spacing w:before="240" w:after="0" w:line="240" w:lineRule="auto"/>
              <w:rPr>
                <w:rFonts w:eastAsia="Calibri"/>
                <w:sz w:val="20"/>
                <w:szCs w:val="20"/>
              </w:rPr>
            </w:pPr>
            <w:r w:rsidRPr="0013161E">
              <w:rPr>
                <w:rFonts w:eastAsia="Calibri"/>
                <w:b/>
                <w:i/>
                <w:sz w:val="18"/>
                <w:szCs w:val="18"/>
              </w:rPr>
              <w:t xml:space="preserve">Number of countries </w:t>
            </w:r>
            <w:r w:rsidR="00983FF8" w:rsidRPr="0013161E">
              <w:rPr>
                <w:rFonts w:eastAsia="Calibri"/>
                <w:b/>
                <w:i/>
                <w:sz w:val="18"/>
                <w:szCs w:val="18"/>
              </w:rPr>
              <w:t>for which a 2017 target has currently been set under this indicator</w:t>
            </w:r>
            <w:r w:rsidRPr="0013161E">
              <w:rPr>
                <w:rFonts w:eastAsia="Calibri"/>
                <w:b/>
                <w:i/>
                <w:sz w:val="18"/>
                <w:szCs w:val="18"/>
              </w:rPr>
              <w:t xml:space="preserve">: </w:t>
            </w:r>
            <w:r w:rsidR="003865B3" w:rsidRPr="0013161E">
              <w:rPr>
                <w:rFonts w:eastAsia="Calibri"/>
                <w:b/>
                <w:i/>
                <w:sz w:val="18"/>
                <w:szCs w:val="18"/>
              </w:rPr>
              <w:t>8</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6FAEAD83" w14:textId="035FCFB3" w:rsidR="009420ED" w:rsidRPr="00CC56B4" w:rsidRDefault="009420ED" w:rsidP="0061246D">
            <w:pPr>
              <w:spacing w:after="0" w:line="240" w:lineRule="auto"/>
              <w:jc w:val="center"/>
              <w:rPr>
                <w:sz w:val="20"/>
                <w:szCs w:val="20"/>
              </w:rPr>
            </w:pPr>
            <w:r>
              <w:rPr>
                <w:sz w:val="20"/>
                <w:szCs w:val="20"/>
              </w:rPr>
              <w:t>2.</w:t>
            </w:r>
            <w:r w:rsidR="00D100AE">
              <w:rPr>
                <w:sz w:val="20"/>
                <w:szCs w:val="20"/>
              </w:rPr>
              <w:t>3</w:t>
            </w:r>
            <w:r w:rsidR="0061246D">
              <w:rPr>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1B4365F7" w14:textId="43F3E6DF" w:rsidR="009420ED" w:rsidRPr="003A2222" w:rsidRDefault="00784BC6" w:rsidP="00784BC6">
            <w:pPr>
              <w:spacing w:after="0" w:line="240" w:lineRule="auto"/>
              <w:jc w:val="center"/>
              <w:rPr>
                <w:sz w:val="20"/>
                <w:szCs w:val="20"/>
                <w:highlight w:val="yellow"/>
              </w:rPr>
            </w:pPr>
            <w:r>
              <w:rPr>
                <w:sz w:val="20"/>
                <w:szCs w:val="20"/>
              </w:rPr>
              <w:t>15.5</w:t>
            </w:r>
            <w:r w:rsidR="009420ED" w:rsidRPr="00F64F2C">
              <w:rPr>
                <w:sz w:val="20"/>
                <w:szCs w:val="20"/>
              </w:rPr>
              <w:t>%</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03AB7373" w14:textId="4766469D" w:rsidR="009420ED" w:rsidRPr="00CC56B4" w:rsidRDefault="004C7308" w:rsidP="003A2222">
            <w:pPr>
              <w:spacing w:after="0" w:line="240" w:lineRule="auto"/>
              <w:jc w:val="center"/>
              <w:rPr>
                <w:sz w:val="20"/>
                <w:szCs w:val="20"/>
              </w:rPr>
            </w:pPr>
            <w:r>
              <w:rPr>
                <w:sz w:val="20"/>
                <w:szCs w:val="20"/>
              </w:rPr>
              <w:t>5.1%</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center"/>
          </w:tcPr>
          <w:p w14:paraId="6378B786" w14:textId="080AAE5A" w:rsidR="009420ED" w:rsidRPr="00CC56B4" w:rsidRDefault="003865B3" w:rsidP="003865B3">
            <w:pPr>
              <w:spacing w:after="0" w:line="240" w:lineRule="auto"/>
              <w:jc w:val="center"/>
              <w:rPr>
                <w:sz w:val="20"/>
                <w:szCs w:val="20"/>
              </w:rPr>
            </w:pPr>
            <w:r>
              <w:rPr>
                <w:sz w:val="20"/>
                <w:szCs w:val="20"/>
              </w:rPr>
              <w:t>29.6</w:t>
            </w:r>
            <w:r w:rsidR="009420ED">
              <w:rPr>
                <w:sz w:val="20"/>
                <w:szCs w:val="20"/>
              </w:rPr>
              <w:t>%</w:t>
            </w:r>
          </w:p>
        </w:tc>
      </w:tr>
      <w:tr w:rsidR="004C7308" w:rsidRPr="00283732" w14:paraId="49ECDC97" w14:textId="77777777" w:rsidTr="0035289B">
        <w:trPr>
          <w:trHeight w:val="64"/>
          <w:jc w:val="center"/>
        </w:trPr>
        <w:tc>
          <w:tcPr>
            <w:tcW w:w="3060" w:type="dxa"/>
            <w:vMerge/>
            <w:tcBorders>
              <w:left w:val="single" w:sz="4" w:space="0" w:color="auto"/>
              <w:bottom w:val="single" w:sz="4" w:space="0" w:color="auto"/>
              <w:right w:val="single" w:sz="4" w:space="0" w:color="auto"/>
            </w:tcBorders>
            <w:shd w:val="clear" w:color="auto" w:fill="FFFFFF"/>
          </w:tcPr>
          <w:p w14:paraId="2055AB0D" w14:textId="77777777" w:rsidR="004C7308" w:rsidRPr="00B66E9F" w:rsidRDefault="004C7308" w:rsidP="002776AE">
            <w:pPr>
              <w:spacing w:after="0" w:line="240" w:lineRule="auto"/>
              <w:rPr>
                <w:rFonts w:eastAsia="Calibri"/>
                <w:b/>
                <w:sz w:val="20"/>
                <w:szCs w:val="20"/>
              </w:rPr>
            </w:pPr>
          </w:p>
        </w:tc>
        <w:tc>
          <w:tcPr>
            <w:tcW w:w="810" w:type="dxa"/>
            <w:vMerge/>
            <w:tcBorders>
              <w:left w:val="single" w:sz="4" w:space="0" w:color="auto"/>
              <w:bottom w:val="single" w:sz="4" w:space="0" w:color="auto"/>
              <w:right w:val="single" w:sz="4" w:space="0" w:color="auto"/>
            </w:tcBorders>
            <w:shd w:val="clear" w:color="auto" w:fill="FFFFFF"/>
          </w:tcPr>
          <w:p w14:paraId="118FE652" w14:textId="77777777" w:rsidR="004C7308" w:rsidRPr="00B66E9F" w:rsidRDefault="004C7308" w:rsidP="002776AE">
            <w:pPr>
              <w:spacing w:after="0" w:line="240" w:lineRule="auto"/>
              <w:rPr>
                <w:rFonts w:eastAsia="Calibri"/>
                <w:b/>
                <w:sz w:val="20"/>
                <w:szCs w:val="20"/>
              </w:rPr>
            </w:pPr>
          </w:p>
        </w:tc>
        <w:tc>
          <w:tcPr>
            <w:tcW w:w="10615" w:type="dxa"/>
            <w:gridSpan w:val="5"/>
            <w:tcBorders>
              <w:left w:val="single" w:sz="4" w:space="0" w:color="auto"/>
              <w:bottom w:val="single" w:sz="4" w:space="0" w:color="auto"/>
              <w:right w:val="single" w:sz="4" w:space="0" w:color="auto"/>
            </w:tcBorders>
            <w:shd w:val="clear" w:color="auto" w:fill="D9D9D9" w:themeFill="background1" w:themeFillShade="D9"/>
          </w:tcPr>
          <w:p w14:paraId="4FAC6484" w14:textId="69665DE4" w:rsidR="004C7308" w:rsidRPr="0035289B" w:rsidRDefault="004C7308" w:rsidP="000F47FA">
            <w:pPr>
              <w:spacing w:after="0" w:line="240" w:lineRule="auto"/>
              <w:rPr>
                <w:sz w:val="18"/>
                <w:szCs w:val="18"/>
              </w:rPr>
            </w:pPr>
            <w:r w:rsidRPr="0035289B">
              <w:rPr>
                <w:rFonts w:ascii="Calibri" w:eastAsia="Calibri" w:hAnsi="Calibri" w:cs="Times New Roman"/>
                <w:b/>
                <w:sz w:val="18"/>
                <w:szCs w:val="18"/>
                <w:lang w:eastAsia="en-US"/>
              </w:rPr>
              <w:t xml:space="preserve">Indicator 6.3.2 Note: </w:t>
            </w:r>
            <w:r w:rsidRPr="0035289B">
              <w:rPr>
                <w:sz w:val="18"/>
                <w:szCs w:val="18"/>
              </w:rPr>
              <w:t>Tracks the percentage of resources mobilized in post-crisis settings allocated to early recovery with support from UNDP (on demand from programme count</w:t>
            </w:r>
            <w:r w:rsidR="0035289B">
              <w:rPr>
                <w:sz w:val="18"/>
                <w:szCs w:val="18"/>
              </w:rPr>
              <w:t>ries) from January 2014 onwards.</w:t>
            </w:r>
          </w:p>
          <w:p w14:paraId="58838E09" w14:textId="7D1CBA1F" w:rsidR="004C7308" w:rsidRPr="0035289B" w:rsidRDefault="004C7308" w:rsidP="00086DAA">
            <w:pPr>
              <w:spacing w:after="0" w:line="240" w:lineRule="auto"/>
              <w:rPr>
                <w:rFonts w:ascii="Calibri" w:eastAsia="Calibri" w:hAnsi="Calibri" w:cs="Times New Roman"/>
                <w:b/>
                <w:sz w:val="18"/>
                <w:szCs w:val="18"/>
                <w:lang w:eastAsia="en-US"/>
              </w:rPr>
            </w:pPr>
            <w:r w:rsidRPr="0035289B">
              <w:rPr>
                <w:rFonts w:eastAsia="Calibri"/>
                <w:b/>
                <w:sz w:val="18"/>
                <w:szCs w:val="18"/>
              </w:rPr>
              <w:t xml:space="preserve">2014 Reporting Note: </w:t>
            </w:r>
            <w:r w:rsidR="007F1C02" w:rsidRPr="0035289B">
              <w:rPr>
                <w:rFonts w:eastAsia="Calibri"/>
                <w:sz w:val="18"/>
                <w:szCs w:val="18"/>
              </w:rPr>
              <w:t>Baseline</w:t>
            </w:r>
            <w:r w:rsidR="00086DAA" w:rsidRPr="0035289B">
              <w:rPr>
                <w:rFonts w:eastAsia="Calibri"/>
                <w:sz w:val="18"/>
                <w:szCs w:val="18"/>
              </w:rPr>
              <w:t>,</w:t>
            </w:r>
            <w:r w:rsidR="007F1C02" w:rsidRPr="0035289B">
              <w:rPr>
                <w:rFonts w:eastAsia="Calibri"/>
                <w:b/>
                <w:sz w:val="18"/>
                <w:szCs w:val="18"/>
              </w:rPr>
              <w:t xml:space="preserve"> </w:t>
            </w:r>
            <w:r w:rsidRPr="0035289B">
              <w:rPr>
                <w:rFonts w:eastAsia="Calibri"/>
                <w:sz w:val="18"/>
                <w:szCs w:val="18"/>
              </w:rPr>
              <w:t xml:space="preserve">2014 </w:t>
            </w:r>
            <w:r w:rsidR="00086DAA" w:rsidRPr="0035289B">
              <w:rPr>
                <w:rFonts w:eastAsia="Calibri"/>
                <w:sz w:val="18"/>
                <w:szCs w:val="18"/>
              </w:rPr>
              <w:t>milestone and 2017 target</w:t>
            </w:r>
            <w:r w:rsidRPr="0035289B">
              <w:rPr>
                <w:rFonts w:eastAsia="Calibri"/>
                <w:sz w:val="18"/>
                <w:szCs w:val="18"/>
              </w:rPr>
              <w:t xml:space="preserve"> updated to reflect more complete reporting from country offices. For reference, </w:t>
            </w:r>
            <w:r w:rsidR="007F1C02" w:rsidRPr="0035289B">
              <w:rPr>
                <w:rFonts w:eastAsia="Calibri"/>
                <w:sz w:val="18"/>
                <w:szCs w:val="18"/>
              </w:rPr>
              <w:t>previous baseline was 2.8</w:t>
            </w:r>
            <w:r w:rsidR="00BA563E" w:rsidRPr="0035289B">
              <w:rPr>
                <w:rFonts w:eastAsia="Calibri"/>
                <w:sz w:val="18"/>
                <w:szCs w:val="18"/>
              </w:rPr>
              <w:t>%</w:t>
            </w:r>
            <w:r w:rsidR="00086DAA" w:rsidRPr="0035289B">
              <w:rPr>
                <w:rFonts w:eastAsia="Calibri"/>
                <w:sz w:val="18"/>
                <w:szCs w:val="18"/>
              </w:rPr>
              <w:t>,</w:t>
            </w:r>
            <w:r w:rsidR="007F1C02" w:rsidRPr="0035289B">
              <w:rPr>
                <w:rFonts w:eastAsia="Calibri"/>
                <w:sz w:val="18"/>
                <w:szCs w:val="18"/>
              </w:rPr>
              <w:t xml:space="preserve"> </w:t>
            </w:r>
            <w:r w:rsidRPr="0035289B">
              <w:rPr>
                <w:rFonts w:eastAsia="Calibri"/>
                <w:sz w:val="18"/>
                <w:szCs w:val="18"/>
              </w:rPr>
              <w:t>previous 2014 milestone was 2.4%</w:t>
            </w:r>
            <w:r w:rsidR="00086DAA" w:rsidRPr="0035289B">
              <w:rPr>
                <w:rFonts w:eastAsia="Calibri"/>
                <w:sz w:val="18"/>
                <w:szCs w:val="18"/>
              </w:rPr>
              <w:t xml:space="preserve">, </w:t>
            </w:r>
            <w:r w:rsidR="008C1DDA">
              <w:rPr>
                <w:rFonts w:eastAsia="Calibri"/>
                <w:sz w:val="18"/>
                <w:szCs w:val="18"/>
              </w:rPr>
              <w:t xml:space="preserve">and </w:t>
            </w:r>
            <w:r w:rsidR="00086DAA" w:rsidRPr="0035289B">
              <w:rPr>
                <w:rFonts w:eastAsia="Calibri"/>
                <w:sz w:val="18"/>
                <w:szCs w:val="18"/>
              </w:rPr>
              <w:t xml:space="preserve">previous target was 5.5%. </w:t>
            </w:r>
          </w:p>
        </w:tc>
      </w:tr>
    </w:tbl>
    <w:p w14:paraId="5468F632" w14:textId="77777777" w:rsidR="0035289B" w:rsidRDefault="0035289B">
      <w:r>
        <w:br w:type="page"/>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810"/>
        <w:gridCol w:w="5130"/>
        <w:gridCol w:w="1350"/>
        <w:gridCol w:w="1260"/>
        <w:gridCol w:w="1350"/>
        <w:gridCol w:w="1525"/>
      </w:tblGrid>
      <w:tr w:rsidR="008A553F" w:rsidRPr="00283732" w14:paraId="2E6DC0EB" w14:textId="77777777" w:rsidTr="0035289B">
        <w:trPr>
          <w:trHeight w:val="710"/>
          <w:jc w:val="center"/>
        </w:trPr>
        <w:tc>
          <w:tcPr>
            <w:tcW w:w="2970" w:type="dxa"/>
            <w:vMerge w:val="restart"/>
            <w:tcBorders>
              <w:top w:val="single" w:sz="4" w:space="0" w:color="auto"/>
              <w:left w:val="single" w:sz="4" w:space="0" w:color="auto"/>
              <w:right w:val="single" w:sz="4" w:space="0" w:color="auto"/>
            </w:tcBorders>
            <w:shd w:val="clear" w:color="auto" w:fill="FFFFFF"/>
          </w:tcPr>
          <w:p w14:paraId="1ED76739" w14:textId="266D9139" w:rsidR="008A553F" w:rsidRDefault="008A553F" w:rsidP="002776AE">
            <w:pPr>
              <w:spacing w:after="0" w:line="240" w:lineRule="auto"/>
              <w:rPr>
                <w:rFonts w:eastAsia="Calibri"/>
                <w:sz w:val="20"/>
                <w:szCs w:val="20"/>
              </w:rPr>
            </w:pPr>
            <w:r w:rsidRPr="00B66E9F">
              <w:rPr>
                <w:rFonts w:eastAsia="Calibri"/>
                <w:b/>
                <w:sz w:val="20"/>
                <w:szCs w:val="20"/>
              </w:rPr>
              <w:t xml:space="preserve">Output 6.4. </w:t>
            </w:r>
            <w:r w:rsidRPr="00B66E9F">
              <w:rPr>
                <w:rFonts w:eastAsia="Calibri"/>
                <w:sz w:val="20"/>
                <w:szCs w:val="20"/>
              </w:rPr>
              <w:t>Recovery processes reinforce social cohesion and trust and enable rapid return to sustainable development</w:t>
            </w:r>
          </w:p>
          <w:p w14:paraId="489FAB6E" w14:textId="77777777" w:rsidR="008A553F" w:rsidRDefault="008A553F" w:rsidP="008C4519">
            <w:pPr>
              <w:spacing w:after="0" w:line="240" w:lineRule="auto"/>
              <w:rPr>
                <w:rFonts w:eastAsia="Calibri"/>
                <w:sz w:val="20"/>
                <w:szCs w:val="20"/>
              </w:rPr>
            </w:pPr>
          </w:p>
          <w:p w14:paraId="345C2A7B" w14:textId="57C1FA41" w:rsidR="00460746" w:rsidRDefault="00460746" w:rsidP="00460746">
            <w:pPr>
              <w:spacing w:after="0" w:line="240" w:lineRule="auto"/>
              <w:rPr>
                <w:rFonts w:ascii="Calibri" w:eastAsia="Calibri" w:hAnsi="Calibri"/>
                <w:b/>
                <w:color w:val="000000"/>
                <w:sz w:val="18"/>
                <w:szCs w:val="18"/>
              </w:rPr>
            </w:pPr>
            <w:r w:rsidRPr="00B359E7">
              <w:rPr>
                <w:rFonts w:ascii="Calibri" w:eastAsia="Calibri" w:hAnsi="Calibri"/>
                <w:b/>
                <w:i/>
                <w:color w:val="000000"/>
                <w:sz w:val="18"/>
                <w:szCs w:val="18"/>
              </w:rPr>
              <w:t>Number of countries linked:</w:t>
            </w:r>
            <w:r w:rsidR="006F6DD9">
              <w:rPr>
                <w:rFonts w:ascii="Calibri" w:eastAsia="Calibri" w:hAnsi="Calibri"/>
                <w:b/>
                <w:color w:val="000000"/>
                <w:sz w:val="18"/>
                <w:szCs w:val="18"/>
              </w:rPr>
              <w:t xml:space="preserve"> 20</w:t>
            </w:r>
          </w:p>
          <w:p w14:paraId="30807DDE" w14:textId="4ED67132" w:rsidR="008A553F" w:rsidRPr="008C4519" w:rsidRDefault="00460746" w:rsidP="00460746">
            <w:pPr>
              <w:spacing w:after="0" w:line="240" w:lineRule="auto"/>
              <w:rPr>
                <w:rFonts w:eastAsia="Calibri"/>
                <w:color w:val="000000"/>
                <w:sz w:val="20"/>
              </w:rPr>
            </w:pPr>
            <w:r>
              <w:rPr>
                <w:rFonts w:ascii="Calibri" w:eastAsia="Calibri" w:hAnsi="Calibri"/>
                <w:b/>
                <w:color w:val="000000"/>
                <w:sz w:val="18"/>
                <w:szCs w:val="18"/>
              </w:rPr>
              <w:t>(February 2015</w:t>
            </w:r>
            <w:r w:rsidRPr="00B359E7">
              <w:rPr>
                <w:rFonts w:ascii="Calibri" w:eastAsia="Calibri" w:hAnsi="Calibri"/>
                <w:b/>
                <w:color w:val="000000"/>
                <w:sz w:val="18"/>
                <w:szCs w:val="18"/>
              </w:rPr>
              <w:t>)</w:t>
            </w:r>
          </w:p>
        </w:tc>
        <w:tc>
          <w:tcPr>
            <w:tcW w:w="810" w:type="dxa"/>
            <w:vMerge w:val="restart"/>
            <w:tcBorders>
              <w:top w:val="single" w:sz="4" w:space="0" w:color="auto"/>
              <w:left w:val="single" w:sz="4" w:space="0" w:color="auto"/>
              <w:right w:val="single" w:sz="4" w:space="0" w:color="auto"/>
            </w:tcBorders>
            <w:shd w:val="clear" w:color="auto" w:fill="FFFFFF"/>
            <w:hideMark/>
          </w:tcPr>
          <w:p w14:paraId="4C697E7F" w14:textId="77777777" w:rsidR="008A553F" w:rsidRPr="00B66E9F" w:rsidRDefault="008A553F" w:rsidP="002776AE">
            <w:pPr>
              <w:spacing w:after="0" w:line="240" w:lineRule="auto"/>
              <w:rPr>
                <w:rFonts w:eastAsia="Calibri"/>
                <w:b/>
                <w:sz w:val="20"/>
                <w:szCs w:val="20"/>
              </w:rPr>
            </w:pPr>
            <w:r w:rsidRPr="00B66E9F">
              <w:rPr>
                <w:rFonts w:eastAsia="Calibri"/>
                <w:b/>
                <w:sz w:val="20"/>
                <w:szCs w:val="20"/>
              </w:rPr>
              <w:t>6.4.1</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14:paraId="1EC61791" w14:textId="53C71E77" w:rsidR="008A553F" w:rsidRPr="0013161E" w:rsidRDefault="008A553F" w:rsidP="002776AE">
            <w:pPr>
              <w:spacing w:after="0" w:line="240" w:lineRule="auto"/>
              <w:rPr>
                <w:rFonts w:eastAsia="Calibri"/>
                <w:sz w:val="20"/>
                <w:szCs w:val="20"/>
              </w:rPr>
            </w:pPr>
            <w:r w:rsidRPr="0013161E">
              <w:rPr>
                <w:rFonts w:eastAsia="Calibri"/>
                <w:sz w:val="20"/>
                <w:szCs w:val="20"/>
              </w:rPr>
              <w:t xml:space="preserve">Percentage of conflict-affected countries </w:t>
            </w:r>
            <w:r w:rsidR="00267AC8" w:rsidRPr="000B5DED">
              <w:rPr>
                <w:rFonts w:eastAsia="Calibri"/>
                <w:b/>
                <w:sz w:val="20"/>
                <w:szCs w:val="20"/>
              </w:rPr>
              <w:t>more effectively</w:t>
            </w:r>
            <w:r w:rsidR="00267AC8" w:rsidRPr="0013161E">
              <w:rPr>
                <w:rFonts w:eastAsia="Calibri"/>
                <w:sz w:val="20"/>
                <w:szCs w:val="20"/>
              </w:rPr>
              <w:t xml:space="preserve"> </w:t>
            </w:r>
            <w:r w:rsidRPr="0013161E">
              <w:rPr>
                <w:rFonts w:eastAsia="Calibri"/>
                <w:sz w:val="20"/>
                <w:szCs w:val="20"/>
              </w:rPr>
              <w:t xml:space="preserve">bringing together </w:t>
            </w:r>
            <w:r w:rsidRPr="0013161E">
              <w:rPr>
                <w:rFonts w:eastAsia="Calibri"/>
                <w:b/>
                <w:sz w:val="20"/>
                <w:szCs w:val="20"/>
              </w:rPr>
              <w:t>sub-national, national institutions and communities, including women</w:t>
            </w:r>
            <w:r w:rsidRPr="0013161E">
              <w:rPr>
                <w:rFonts w:eastAsia="Calibri"/>
                <w:sz w:val="20"/>
                <w:szCs w:val="20"/>
              </w:rPr>
              <w:t>, for peaceful resolution of recurrent conflicts within 1</w:t>
            </w:r>
            <w:r w:rsidR="00546E49" w:rsidRPr="0013161E">
              <w:rPr>
                <w:rFonts w:eastAsia="Calibri"/>
                <w:sz w:val="20"/>
                <w:szCs w:val="20"/>
              </w:rPr>
              <w:t>8 months of the end of conflict</w:t>
            </w:r>
          </w:p>
          <w:p w14:paraId="0626A79B" w14:textId="4C4997D7" w:rsidR="00546E49" w:rsidRPr="0013161E" w:rsidRDefault="00546E49" w:rsidP="00D454E9">
            <w:pPr>
              <w:spacing w:before="240" w:after="0" w:line="240" w:lineRule="auto"/>
              <w:rPr>
                <w:rFonts w:eastAsia="Calibri"/>
                <w:sz w:val="20"/>
                <w:szCs w:val="20"/>
              </w:rPr>
            </w:pPr>
            <w:r w:rsidRPr="0013161E">
              <w:rPr>
                <w:rFonts w:eastAsia="Calibri"/>
                <w:b/>
                <w:i/>
                <w:sz w:val="18"/>
                <w:szCs w:val="18"/>
              </w:rPr>
              <w:t>Number of coun</w:t>
            </w:r>
            <w:r w:rsidR="008737F3" w:rsidRPr="0013161E">
              <w:rPr>
                <w:rFonts w:eastAsia="Calibri"/>
                <w:b/>
                <w:i/>
                <w:sz w:val="18"/>
                <w:szCs w:val="18"/>
              </w:rPr>
              <w:t xml:space="preserve">tries </w:t>
            </w:r>
            <w:r w:rsidR="00983FF8" w:rsidRPr="0013161E">
              <w:rPr>
                <w:rFonts w:eastAsia="Calibri"/>
                <w:b/>
                <w:i/>
                <w:sz w:val="18"/>
                <w:szCs w:val="18"/>
              </w:rPr>
              <w:t>for which a 2017 target has currently been set under this indicator</w:t>
            </w:r>
            <w:r w:rsidR="008737F3" w:rsidRPr="0013161E">
              <w:rPr>
                <w:rFonts w:eastAsia="Calibri"/>
                <w:b/>
                <w:i/>
                <w:sz w:val="18"/>
                <w:szCs w:val="18"/>
              </w:rPr>
              <w:t>: 13</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13F89424" w14:textId="77777777" w:rsidR="008A553F" w:rsidRPr="000F6150" w:rsidRDefault="008A553F" w:rsidP="000F6150">
            <w:pPr>
              <w:spacing w:after="0" w:line="240" w:lineRule="auto"/>
              <w:jc w:val="center"/>
              <w:rPr>
                <w:sz w:val="20"/>
                <w:szCs w:val="20"/>
              </w:rPr>
            </w:pPr>
            <w:r w:rsidRPr="000F6150">
              <w:rPr>
                <w:sz w:val="20"/>
                <w:szCs w:val="20"/>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4257F0B6" w14:textId="4F6AF5CB" w:rsidR="008A553F" w:rsidRPr="000F6150" w:rsidRDefault="004C7308" w:rsidP="000F6150">
            <w:pPr>
              <w:spacing w:after="0" w:line="240" w:lineRule="auto"/>
              <w:jc w:val="center"/>
              <w:rPr>
                <w:sz w:val="20"/>
                <w:szCs w:val="20"/>
              </w:rPr>
            </w:pPr>
            <w:r>
              <w:rPr>
                <w:sz w:val="20"/>
                <w:szCs w:val="20"/>
              </w:rPr>
              <w:t>29</w:t>
            </w:r>
            <w:r w:rsidR="008A553F" w:rsidRPr="000F6150">
              <w:rPr>
                <w:sz w:val="20"/>
                <w:szCs w:val="20"/>
              </w:rPr>
              <w:t>%</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42BA4278" w14:textId="55644190" w:rsidR="008A553F" w:rsidRPr="000F6150" w:rsidRDefault="004C7308" w:rsidP="000F6150">
            <w:pPr>
              <w:spacing w:after="0" w:line="240" w:lineRule="auto"/>
              <w:jc w:val="center"/>
              <w:rPr>
                <w:sz w:val="20"/>
                <w:szCs w:val="20"/>
              </w:rPr>
            </w:pPr>
            <w:r>
              <w:rPr>
                <w:sz w:val="20"/>
                <w:szCs w:val="20"/>
              </w:rPr>
              <w:t>41%</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center"/>
          </w:tcPr>
          <w:p w14:paraId="7E94D2F3" w14:textId="52F806D7" w:rsidR="008A553F" w:rsidRPr="000F6150" w:rsidRDefault="008A553F" w:rsidP="000F6150">
            <w:pPr>
              <w:spacing w:after="0" w:line="240" w:lineRule="auto"/>
              <w:jc w:val="center"/>
              <w:rPr>
                <w:sz w:val="20"/>
                <w:szCs w:val="20"/>
              </w:rPr>
            </w:pPr>
            <w:r w:rsidRPr="000F6150">
              <w:rPr>
                <w:sz w:val="20"/>
                <w:szCs w:val="20"/>
              </w:rPr>
              <w:t>6</w:t>
            </w:r>
            <w:r w:rsidR="008737F3">
              <w:rPr>
                <w:sz w:val="20"/>
                <w:szCs w:val="20"/>
              </w:rPr>
              <w:t>2</w:t>
            </w:r>
            <w:r w:rsidRPr="000F6150">
              <w:rPr>
                <w:sz w:val="20"/>
                <w:szCs w:val="20"/>
              </w:rPr>
              <w:t>%</w:t>
            </w:r>
          </w:p>
        </w:tc>
      </w:tr>
      <w:tr w:rsidR="00A51697" w:rsidRPr="00283732" w14:paraId="4FFA1B92" w14:textId="77777777" w:rsidTr="0035289B">
        <w:trPr>
          <w:trHeight w:val="287"/>
          <w:jc w:val="center"/>
        </w:trPr>
        <w:tc>
          <w:tcPr>
            <w:tcW w:w="2970" w:type="dxa"/>
            <w:vMerge/>
            <w:tcBorders>
              <w:left w:val="single" w:sz="4" w:space="0" w:color="auto"/>
              <w:right w:val="single" w:sz="4" w:space="0" w:color="auto"/>
            </w:tcBorders>
            <w:shd w:val="clear" w:color="auto" w:fill="FFFFFF"/>
          </w:tcPr>
          <w:p w14:paraId="438ECEF6" w14:textId="3082D72A" w:rsidR="00A51697" w:rsidRPr="00B66E9F" w:rsidRDefault="00A51697" w:rsidP="002776AE">
            <w:pPr>
              <w:spacing w:after="0" w:line="240" w:lineRule="auto"/>
              <w:rPr>
                <w:rFonts w:eastAsia="Calibri"/>
                <w:b/>
                <w:sz w:val="20"/>
                <w:szCs w:val="20"/>
              </w:rPr>
            </w:pPr>
          </w:p>
        </w:tc>
        <w:tc>
          <w:tcPr>
            <w:tcW w:w="810" w:type="dxa"/>
            <w:vMerge/>
            <w:tcBorders>
              <w:left w:val="single" w:sz="4" w:space="0" w:color="auto"/>
              <w:bottom w:val="single" w:sz="4" w:space="0" w:color="auto"/>
              <w:right w:val="single" w:sz="4" w:space="0" w:color="auto"/>
            </w:tcBorders>
            <w:shd w:val="clear" w:color="auto" w:fill="FFFFFF"/>
          </w:tcPr>
          <w:p w14:paraId="58A69A2B" w14:textId="77777777" w:rsidR="00A51697" w:rsidRPr="00B66E9F" w:rsidRDefault="00A51697" w:rsidP="002776AE">
            <w:pPr>
              <w:spacing w:after="0" w:line="240" w:lineRule="auto"/>
              <w:rPr>
                <w:rFonts w:eastAsia="Calibri"/>
                <w:b/>
                <w:sz w:val="20"/>
                <w:szCs w:val="20"/>
              </w:rPr>
            </w:pPr>
          </w:p>
        </w:tc>
        <w:tc>
          <w:tcPr>
            <w:tcW w:w="10615" w:type="dxa"/>
            <w:gridSpan w:val="5"/>
            <w:tcBorders>
              <w:left w:val="single" w:sz="4" w:space="0" w:color="auto"/>
              <w:bottom w:val="single" w:sz="4" w:space="0" w:color="auto"/>
              <w:right w:val="single" w:sz="4" w:space="0" w:color="auto"/>
            </w:tcBorders>
            <w:shd w:val="clear" w:color="auto" w:fill="D9D9D9" w:themeFill="background1" w:themeFillShade="D9"/>
          </w:tcPr>
          <w:p w14:paraId="10D3569E" w14:textId="2B102BD0" w:rsidR="00A51697" w:rsidRPr="0013161E" w:rsidRDefault="00A51697" w:rsidP="005B0AA7">
            <w:pPr>
              <w:spacing w:after="0" w:line="240" w:lineRule="auto"/>
              <w:rPr>
                <w:rFonts w:eastAsia="Calibri"/>
                <w:sz w:val="18"/>
                <w:szCs w:val="18"/>
              </w:rPr>
            </w:pPr>
            <w:r w:rsidRPr="0013161E">
              <w:rPr>
                <w:rFonts w:ascii="Calibri" w:eastAsia="Calibri" w:hAnsi="Calibri" w:cs="Times New Roman"/>
                <w:b/>
                <w:sz w:val="18"/>
                <w:szCs w:val="18"/>
                <w:lang w:eastAsia="en-US"/>
              </w:rPr>
              <w:t>Indicator 6.4.1 Note:</w:t>
            </w:r>
            <w:r w:rsidRPr="0013161E">
              <w:rPr>
                <w:rFonts w:ascii="Calibri" w:eastAsia="Calibri" w:hAnsi="Calibri" w:cs="Times New Roman"/>
                <w:sz w:val="18"/>
                <w:szCs w:val="18"/>
                <w:lang w:eastAsia="en-US"/>
              </w:rPr>
              <w:t xml:space="preserve"> Qualitative indicator through </w:t>
            </w:r>
            <w:r w:rsidRPr="0013161E">
              <w:rPr>
                <w:rFonts w:ascii="Calibri" w:eastAsia="Calibri" w:hAnsi="Calibri"/>
                <w:sz w:val="18"/>
                <w:szCs w:val="18"/>
              </w:rPr>
              <w:t xml:space="preserve">which effectiveness of UNDP’s support (on demand </w:t>
            </w:r>
            <w:r w:rsidRPr="0013161E">
              <w:rPr>
                <w:sz w:val="18"/>
                <w:szCs w:val="18"/>
              </w:rPr>
              <w:t>from programme countries</w:t>
            </w:r>
            <w:r w:rsidRPr="0013161E">
              <w:rPr>
                <w:rFonts w:ascii="Calibri" w:eastAsia="Calibri" w:hAnsi="Calibri"/>
                <w:sz w:val="18"/>
                <w:szCs w:val="18"/>
              </w:rPr>
              <w:t>)</w:t>
            </w:r>
            <w:r w:rsidRPr="0013161E">
              <w:rPr>
                <w:sz w:val="18"/>
                <w:szCs w:val="18"/>
              </w:rPr>
              <w:t xml:space="preserve"> to </w:t>
            </w:r>
            <w:r w:rsidRPr="0013161E">
              <w:rPr>
                <w:rFonts w:eastAsia="Calibri"/>
                <w:sz w:val="18"/>
                <w:szCs w:val="18"/>
              </w:rPr>
              <w:t xml:space="preserve">bring together institutions and communities for peaceful resolution of recurrent conflicts, is tracked using a qualitative rating scale </w:t>
            </w:r>
            <w:r w:rsidRPr="0013161E">
              <w:rPr>
                <w:rFonts w:ascii="Calibri" w:eastAsia="Calibri" w:hAnsi="Calibri" w:cs="Times New Roman"/>
                <w:sz w:val="18"/>
                <w:szCs w:val="18"/>
                <w:lang w:eastAsia="en-US"/>
              </w:rPr>
              <w:t xml:space="preserve">(1=not significant; 2=average; 3=significant), </w:t>
            </w:r>
            <w:r w:rsidRPr="0013161E">
              <w:rPr>
                <w:rFonts w:eastAsia="Calibri"/>
                <w:sz w:val="18"/>
                <w:szCs w:val="18"/>
              </w:rPr>
              <w:t xml:space="preserve">counting the number of countries where </w:t>
            </w:r>
            <w:r w:rsidR="0035289B" w:rsidRPr="0013161E">
              <w:rPr>
                <w:rFonts w:eastAsia="Calibri"/>
                <w:sz w:val="18"/>
                <w:szCs w:val="18"/>
              </w:rPr>
              <w:t xml:space="preserve">objective evidence exists that </w:t>
            </w:r>
            <w:r w:rsidRPr="0013161E">
              <w:rPr>
                <w:rFonts w:eastAsia="Calibri"/>
                <w:sz w:val="18"/>
                <w:szCs w:val="18"/>
              </w:rPr>
              <w:t>UNDP-supported participatory conflict resolution</w:t>
            </w:r>
            <w:r w:rsidR="0035289B" w:rsidRPr="0013161E">
              <w:rPr>
                <w:rFonts w:eastAsia="Calibri"/>
                <w:sz w:val="18"/>
                <w:szCs w:val="18"/>
              </w:rPr>
              <w:t xml:space="preserve"> processes have contributed to peaceful solutions</w:t>
            </w:r>
            <w:r w:rsidRPr="0013161E">
              <w:rPr>
                <w:rFonts w:eastAsia="Calibri"/>
                <w:sz w:val="18"/>
                <w:szCs w:val="18"/>
              </w:rPr>
              <w:t xml:space="preserve"> from January 2014 onwards</w:t>
            </w:r>
            <w:r w:rsidR="0035289B" w:rsidRPr="0013161E">
              <w:rPr>
                <w:rFonts w:eastAsia="Calibri"/>
                <w:sz w:val="18"/>
                <w:szCs w:val="18"/>
              </w:rPr>
              <w:t>,</w:t>
            </w:r>
            <w:r w:rsidRPr="0013161E">
              <w:rPr>
                <w:rFonts w:eastAsia="Calibri"/>
                <w:sz w:val="18"/>
                <w:szCs w:val="18"/>
              </w:rPr>
              <w:t xml:space="preserve"> and calculating the percentage over the total number of supported countries.</w:t>
            </w:r>
          </w:p>
          <w:p w14:paraId="0A75458E" w14:textId="6E940871" w:rsidR="00A51697" w:rsidRPr="0013161E" w:rsidRDefault="00A51697" w:rsidP="008737F3">
            <w:pPr>
              <w:spacing w:after="0" w:line="240" w:lineRule="auto"/>
              <w:rPr>
                <w:rFonts w:ascii="Calibri" w:eastAsia="Calibri" w:hAnsi="Calibri" w:cs="Times New Roman"/>
                <w:b/>
                <w:sz w:val="18"/>
                <w:szCs w:val="18"/>
                <w:lang w:eastAsia="en-US"/>
              </w:rPr>
            </w:pPr>
            <w:r w:rsidRPr="0013161E">
              <w:rPr>
                <w:rFonts w:eastAsia="Calibri"/>
                <w:b/>
                <w:sz w:val="18"/>
                <w:szCs w:val="18"/>
              </w:rPr>
              <w:t xml:space="preserve">2014 Reporting Note: </w:t>
            </w:r>
            <w:r w:rsidRPr="0013161E">
              <w:rPr>
                <w:rFonts w:eastAsia="Calibri"/>
                <w:sz w:val="18"/>
                <w:szCs w:val="18"/>
              </w:rPr>
              <w:t xml:space="preserve">2014 </w:t>
            </w:r>
            <w:r w:rsidR="008737F3" w:rsidRPr="0013161E">
              <w:rPr>
                <w:rFonts w:eastAsia="Calibri"/>
                <w:sz w:val="18"/>
                <w:szCs w:val="18"/>
              </w:rPr>
              <w:t>milestone and 2017 target</w:t>
            </w:r>
            <w:r w:rsidRPr="0013161E">
              <w:rPr>
                <w:rFonts w:eastAsia="Calibri"/>
                <w:sz w:val="18"/>
                <w:szCs w:val="18"/>
              </w:rPr>
              <w:t xml:space="preserve"> updated to reflect more complete reporting from country offices. For reference, previous 2014 milestone was 35%</w:t>
            </w:r>
            <w:r w:rsidR="008737F3" w:rsidRPr="0013161E">
              <w:rPr>
                <w:rFonts w:eastAsia="Calibri"/>
                <w:sz w:val="18"/>
                <w:szCs w:val="18"/>
              </w:rPr>
              <w:t>, previous target was 76%</w:t>
            </w:r>
            <w:r w:rsidR="00BF37AC" w:rsidRPr="0013161E">
              <w:rPr>
                <w:rFonts w:eastAsia="Calibri"/>
                <w:sz w:val="18"/>
                <w:szCs w:val="18"/>
              </w:rPr>
              <w:t xml:space="preserve"> of 17 linked countries</w:t>
            </w:r>
            <w:r w:rsidR="008737F3" w:rsidRPr="0013161E">
              <w:rPr>
                <w:rFonts w:eastAsia="Calibri"/>
                <w:sz w:val="18"/>
                <w:szCs w:val="18"/>
              </w:rPr>
              <w:t xml:space="preserve">. </w:t>
            </w:r>
          </w:p>
        </w:tc>
      </w:tr>
      <w:tr w:rsidR="008A553F" w:rsidRPr="00283732" w14:paraId="776E1486" w14:textId="77777777" w:rsidTr="0035289B">
        <w:trPr>
          <w:trHeight w:val="58"/>
          <w:jc w:val="center"/>
        </w:trPr>
        <w:tc>
          <w:tcPr>
            <w:tcW w:w="2970" w:type="dxa"/>
            <w:vMerge/>
            <w:tcBorders>
              <w:left w:val="single" w:sz="4" w:space="0" w:color="auto"/>
              <w:right w:val="single" w:sz="4" w:space="0" w:color="auto"/>
            </w:tcBorders>
            <w:shd w:val="clear" w:color="auto" w:fill="auto"/>
            <w:vAlign w:val="center"/>
            <w:hideMark/>
          </w:tcPr>
          <w:p w14:paraId="490098B7" w14:textId="77777777" w:rsidR="008A553F" w:rsidRPr="00B66E9F" w:rsidRDefault="008A553F" w:rsidP="002776AE">
            <w:pPr>
              <w:spacing w:after="0" w:line="240" w:lineRule="auto"/>
              <w:rPr>
                <w:rFonts w:eastAsia="Calibri"/>
                <w:sz w:val="20"/>
                <w:szCs w:val="20"/>
              </w:rPr>
            </w:pPr>
          </w:p>
        </w:tc>
        <w:tc>
          <w:tcPr>
            <w:tcW w:w="810" w:type="dxa"/>
            <w:vMerge w:val="restart"/>
            <w:tcBorders>
              <w:top w:val="single" w:sz="4" w:space="0" w:color="auto"/>
              <w:left w:val="single" w:sz="4" w:space="0" w:color="auto"/>
              <w:right w:val="single" w:sz="4" w:space="0" w:color="auto"/>
            </w:tcBorders>
            <w:shd w:val="clear" w:color="auto" w:fill="FFFFFF"/>
          </w:tcPr>
          <w:p w14:paraId="36EF74CE" w14:textId="77777777" w:rsidR="008A553F" w:rsidRPr="00B66E9F" w:rsidRDefault="008A553F" w:rsidP="002776AE">
            <w:pPr>
              <w:spacing w:after="0" w:line="240" w:lineRule="auto"/>
              <w:rPr>
                <w:rFonts w:eastAsia="Calibri"/>
                <w:b/>
                <w:sz w:val="20"/>
                <w:szCs w:val="20"/>
              </w:rPr>
            </w:pPr>
            <w:r>
              <w:rPr>
                <w:rFonts w:eastAsia="Calibri"/>
                <w:b/>
                <w:sz w:val="20"/>
                <w:szCs w:val="20"/>
              </w:rPr>
              <w:t>6.4.2</w:t>
            </w:r>
          </w:p>
        </w:tc>
        <w:tc>
          <w:tcPr>
            <w:tcW w:w="5130" w:type="dxa"/>
            <w:tcBorders>
              <w:top w:val="single" w:sz="4" w:space="0" w:color="auto"/>
              <w:left w:val="single" w:sz="4" w:space="0" w:color="auto"/>
              <w:bottom w:val="single" w:sz="4" w:space="0" w:color="auto"/>
              <w:right w:val="single" w:sz="4" w:space="0" w:color="auto"/>
            </w:tcBorders>
            <w:shd w:val="clear" w:color="auto" w:fill="FFFFFF"/>
            <w:hideMark/>
          </w:tcPr>
          <w:p w14:paraId="5F8EA10C" w14:textId="32304B57" w:rsidR="008A553F" w:rsidRPr="008C1DDA" w:rsidRDefault="008A553F" w:rsidP="002776AE">
            <w:pPr>
              <w:spacing w:after="0" w:line="240" w:lineRule="auto"/>
              <w:rPr>
                <w:sz w:val="20"/>
                <w:szCs w:val="20"/>
              </w:rPr>
            </w:pPr>
            <w:r w:rsidRPr="008C1DDA">
              <w:rPr>
                <w:bCs/>
                <w:sz w:val="20"/>
                <w:szCs w:val="20"/>
              </w:rPr>
              <w:t>Percentage of countries</w:t>
            </w:r>
            <w:r w:rsidRPr="008C1DDA">
              <w:rPr>
                <w:sz w:val="20"/>
                <w:szCs w:val="20"/>
              </w:rPr>
              <w:t xml:space="preserve"> that </w:t>
            </w:r>
            <w:r w:rsidRPr="008C1DDA">
              <w:rPr>
                <w:b/>
                <w:sz w:val="20"/>
                <w:szCs w:val="20"/>
              </w:rPr>
              <w:t>improve institutional, policy and budgetary arrangements</w:t>
            </w:r>
            <w:r w:rsidRPr="008C1DDA">
              <w:rPr>
                <w:sz w:val="20"/>
                <w:szCs w:val="20"/>
              </w:rPr>
              <w:t xml:space="preserve"> </w:t>
            </w:r>
            <w:r w:rsidRPr="008C1DDA">
              <w:rPr>
                <w:b/>
                <w:sz w:val="20"/>
                <w:szCs w:val="20"/>
              </w:rPr>
              <w:t>for risk management</w:t>
            </w:r>
            <w:r w:rsidRPr="008C1DDA">
              <w:rPr>
                <w:sz w:val="20"/>
                <w:szCs w:val="20"/>
              </w:rPr>
              <w:t xml:space="preserve"> </w:t>
            </w:r>
            <w:r w:rsidR="008C1DDA" w:rsidRPr="008C1DDA">
              <w:rPr>
                <w:sz w:val="20"/>
                <w:szCs w:val="20"/>
              </w:rPr>
              <w:t xml:space="preserve">within 18 months of start of crisis and/or UNDP intervention </w:t>
            </w:r>
            <w:r w:rsidRPr="008C1DDA">
              <w:rPr>
                <w:sz w:val="20"/>
                <w:szCs w:val="20"/>
              </w:rPr>
              <w:t>(early recovery)</w:t>
            </w:r>
          </w:p>
          <w:p w14:paraId="1B60D1E3" w14:textId="117ACD82" w:rsidR="00546E49" w:rsidRPr="008C1DDA" w:rsidRDefault="00546E49" w:rsidP="00694485">
            <w:pPr>
              <w:spacing w:before="240" w:after="0" w:line="240" w:lineRule="auto"/>
              <w:rPr>
                <w:sz w:val="20"/>
                <w:szCs w:val="20"/>
              </w:rPr>
            </w:pPr>
            <w:r w:rsidRPr="008C1DDA">
              <w:rPr>
                <w:rFonts w:eastAsia="Calibri"/>
                <w:b/>
                <w:i/>
                <w:sz w:val="20"/>
                <w:szCs w:val="20"/>
              </w:rPr>
              <w:t>Number of coun</w:t>
            </w:r>
            <w:r w:rsidR="00785AA7" w:rsidRPr="008C1DDA">
              <w:rPr>
                <w:rFonts w:eastAsia="Calibri"/>
                <w:b/>
                <w:i/>
                <w:sz w:val="20"/>
                <w:szCs w:val="20"/>
              </w:rPr>
              <w:t xml:space="preserve">tries </w:t>
            </w:r>
            <w:r w:rsidR="00983FF8" w:rsidRPr="008C1DDA">
              <w:rPr>
                <w:rFonts w:eastAsia="Calibri"/>
                <w:b/>
                <w:i/>
                <w:sz w:val="20"/>
                <w:szCs w:val="20"/>
              </w:rPr>
              <w:t>for which a 2017 target has currently been set under this indicator</w:t>
            </w:r>
            <w:r w:rsidR="00785AA7" w:rsidRPr="008C1DDA">
              <w:rPr>
                <w:rFonts w:eastAsia="Calibri"/>
                <w:b/>
                <w:i/>
                <w:sz w:val="20"/>
                <w:szCs w:val="20"/>
              </w:rPr>
              <w:t>: 8</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6C60BD24" w14:textId="77777777" w:rsidR="008A553F" w:rsidRPr="00B66E9F" w:rsidRDefault="008A553F" w:rsidP="00AE3872">
            <w:pPr>
              <w:spacing w:after="0" w:line="240" w:lineRule="auto"/>
              <w:jc w:val="center"/>
              <w:rPr>
                <w:sz w:val="20"/>
                <w:szCs w:val="20"/>
              </w:rPr>
            </w:pPr>
            <w:r>
              <w:rPr>
                <w:sz w:val="20"/>
                <w:szCs w:val="20"/>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5644F973" w14:textId="77777777" w:rsidR="008A553F" w:rsidRPr="00B66E9F" w:rsidRDefault="008A553F" w:rsidP="00AE3872">
            <w:pPr>
              <w:spacing w:after="0" w:line="240" w:lineRule="auto"/>
              <w:jc w:val="center"/>
              <w:rPr>
                <w:sz w:val="20"/>
                <w:szCs w:val="20"/>
              </w:rPr>
            </w:pPr>
            <w:r>
              <w:rPr>
                <w:sz w:val="20"/>
                <w:szCs w:val="20"/>
              </w:rPr>
              <w:t>24%</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2F2295DB" w14:textId="41CD0EC0" w:rsidR="008A553F" w:rsidRPr="00B66E9F" w:rsidRDefault="00A51697" w:rsidP="00AE3872">
            <w:pPr>
              <w:spacing w:after="0" w:line="240" w:lineRule="auto"/>
              <w:jc w:val="center"/>
              <w:rPr>
                <w:sz w:val="20"/>
                <w:szCs w:val="20"/>
              </w:rPr>
            </w:pPr>
            <w:r>
              <w:rPr>
                <w:sz w:val="20"/>
                <w:szCs w:val="20"/>
              </w:rPr>
              <w:t>29%</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center"/>
          </w:tcPr>
          <w:p w14:paraId="5CDBCDAC" w14:textId="319010EB" w:rsidR="008A553F" w:rsidRPr="00B66E9F" w:rsidRDefault="00BF37AC" w:rsidP="00BF37AC">
            <w:pPr>
              <w:spacing w:after="0" w:line="240" w:lineRule="auto"/>
              <w:jc w:val="center"/>
              <w:rPr>
                <w:sz w:val="20"/>
                <w:szCs w:val="20"/>
              </w:rPr>
            </w:pPr>
            <w:r>
              <w:rPr>
                <w:sz w:val="20"/>
                <w:szCs w:val="20"/>
              </w:rPr>
              <w:t>38</w:t>
            </w:r>
            <w:r w:rsidR="008A553F">
              <w:rPr>
                <w:sz w:val="20"/>
                <w:szCs w:val="20"/>
              </w:rPr>
              <w:t>%</w:t>
            </w:r>
          </w:p>
        </w:tc>
      </w:tr>
      <w:tr w:rsidR="00A51697" w:rsidRPr="00283732" w14:paraId="3D9E5CA0" w14:textId="77777777" w:rsidTr="0035289B">
        <w:trPr>
          <w:trHeight w:val="58"/>
          <w:jc w:val="center"/>
        </w:trPr>
        <w:tc>
          <w:tcPr>
            <w:tcW w:w="2970" w:type="dxa"/>
            <w:vMerge/>
            <w:tcBorders>
              <w:left w:val="single" w:sz="4" w:space="0" w:color="auto"/>
              <w:bottom w:val="single" w:sz="4" w:space="0" w:color="auto"/>
              <w:right w:val="single" w:sz="4" w:space="0" w:color="auto"/>
            </w:tcBorders>
            <w:shd w:val="clear" w:color="auto" w:fill="auto"/>
            <w:vAlign w:val="center"/>
          </w:tcPr>
          <w:p w14:paraId="55165F1A" w14:textId="77777777" w:rsidR="00A51697" w:rsidRPr="00B66E9F" w:rsidRDefault="00A51697" w:rsidP="002776AE">
            <w:pPr>
              <w:spacing w:after="0" w:line="240" w:lineRule="auto"/>
              <w:rPr>
                <w:rFonts w:eastAsia="Calibri"/>
                <w:sz w:val="20"/>
                <w:szCs w:val="20"/>
              </w:rPr>
            </w:pPr>
          </w:p>
        </w:tc>
        <w:tc>
          <w:tcPr>
            <w:tcW w:w="810" w:type="dxa"/>
            <w:vMerge/>
            <w:tcBorders>
              <w:left w:val="single" w:sz="4" w:space="0" w:color="auto"/>
              <w:bottom w:val="single" w:sz="4" w:space="0" w:color="auto"/>
              <w:right w:val="single" w:sz="4" w:space="0" w:color="auto"/>
            </w:tcBorders>
            <w:shd w:val="clear" w:color="auto" w:fill="FFFFFF"/>
          </w:tcPr>
          <w:p w14:paraId="564B3D30" w14:textId="77777777" w:rsidR="00A51697" w:rsidRPr="00B66E9F" w:rsidRDefault="00A51697" w:rsidP="002776AE">
            <w:pPr>
              <w:spacing w:after="0" w:line="240" w:lineRule="auto"/>
              <w:rPr>
                <w:rFonts w:eastAsia="Calibri"/>
                <w:b/>
                <w:sz w:val="20"/>
                <w:szCs w:val="20"/>
              </w:rPr>
            </w:pPr>
          </w:p>
        </w:tc>
        <w:tc>
          <w:tcPr>
            <w:tcW w:w="10615" w:type="dxa"/>
            <w:gridSpan w:val="5"/>
            <w:tcBorders>
              <w:left w:val="single" w:sz="4" w:space="0" w:color="auto"/>
              <w:bottom w:val="single" w:sz="4" w:space="0" w:color="auto"/>
              <w:right w:val="single" w:sz="4" w:space="0" w:color="auto"/>
            </w:tcBorders>
            <w:shd w:val="clear" w:color="auto" w:fill="D9D9D9" w:themeFill="background1" w:themeFillShade="D9"/>
          </w:tcPr>
          <w:p w14:paraId="79567895" w14:textId="7330DD30" w:rsidR="00A51697" w:rsidRDefault="00A51697" w:rsidP="007B0B24">
            <w:pPr>
              <w:spacing w:after="0" w:line="240" w:lineRule="auto"/>
              <w:rPr>
                <w:rFonts w:eastAsia="Calibri"/>
                <w:sz w:val="18"/>
                <w:szCs w:val="18"/>
              </w:rPr>
            </w:pPr>
            <w:r>
              <w:rPr>
                <w:rFonts w:ascii="Calibri" w:eastAsia="Calibri" w:hAnsi="Calibri" w:cs="Times New Roman"/>
                <w:b/>
                <w:sz w:val="18"/>
                <w:szCs w:val="18"/>
                <w:lang w:eastAsia="en-US"/>
              </w:rPr>
              <w:t xml:space="preserve">Indicator 6.4.2 </w:t>
            </w:r>
            <w:r w:rsidRPr="00D64FD3">
              <w:rPr>
                <w:rFonts w:ascii="Calibri" w:eastAsia="Calibri" w:hAnsi="Calibri" w:cs="Times New Roman"/>
                <w:b/>
                <w:sz w:val="18"/>
                <w:szCs w:val="18"/>
                <w:lang w:eastAsia="en-US"/>
              </w:rPr>
              <w:t>Note:</w:t>
            </w:r>
            <w:r>
              <w:rPr>
                <w:rFonts w:ascii="Calibri" w:eastAsia="Calibri" w:hAnsi="Calibri" w:cs="Times New Roman"/>
                <w:b/>
                <w:sz w:val="18"/>
                <w:szCs w:val="18"/>
                <w:lang w:eastAsia="en-US"/>
              </w:rPr>
              <w:t xml:space="preserve"> </w:t>
            </w:r>
            <w:r w:rsidRPr="005B0AA7">
              <w:rPr>
                <w:rFonts w:ascii="Calibri" w:eastAsia="Calibri" w:hAnsi="Calibri" w:cs="Times New Roman"/>
                <w:sz w:val="18"/>
                <w:szCs w:val="18"/>
                <w:lang w:eastAsia="en-US"/>
              </w:rPr>
              <w:t xml:space="preserve">Qualitative indicator through </w:t>
            </w:r>
            <w:r w:rsidRPr="005B0AA7">
              <w:rPr>
                <w:rFonts w:ascii="Calibri" w:eastAsia="Calibri" w:hAnsi="Calibri"/>
                <w:sz w:val="18"/>
                <w:szCs w:val="18"/>
              </w:rPr>
              <w:t xml:space="preserve">which effectiveness of UNDP’s support (on demand </w:t>
            </w:r>
            <w:r w:rsidRPr="005B0AA7">
              <w:rPr>
                <w:sz w:val="18"/>
                <w:szCs w:val="18"/>
              </w:rPr>
              <w:t>from programme countries</w:t>
            </w:r>
            <w:r w:rsidRPr="005B0AA7">
              <w:rPr>
                <w:rFonts w:ascii="Calibri" w:eastAsia="Calibri" w:hAnsi="Calibri"/>
                <w:sz w:val="18"/>
                <w:szCs w:val="18"/>
              </w:rPr>
              <w:t>)</w:t>
            </w:r>
            <w:r w:rsidRPr="005B0AA7">
              <w:rPr>
                <w:color w:val="000000" w:themeColor="text1"/>
                <w:sz w:val="18"/>
                <w:szCs w:val="18"/>
              </w:rPr>
              <w:t xml:space="preserve"> to </w:t>
            </w:r>
            <w:r>
              <w:rPr>
                <w:rFonts w:eastAsia="Calibri"/>
                <w:sz w:val="18"/>
                <w:szCs w:val="18"/>
              </w:rPr>
              <w:t>improve risk management arrangements</w:t>
            </w:r>
            <w:r w:rsidRPr="005B0AA7">
              <w:rPr>
                <w:rFonts w:eastAsia="Calibri"/>
                <w:sz w:val="18"/>
                <w:szCs w:val="18"/>
              </w:rPr>
              <w:t xml:space="preserve">, is tracked using a qualitative rating scale </w:t>
            </w:r>
            <w:r w:rsidRPr="005B0AA7">
              <w:rPr>
                <w:rFonts w:ascii="Calibri" w:eastAsia="Calibri" w:hAnsi="Calibri" w:cs="Times New Roman"/>
                <w:sz w:val="18"/>
                <w:szCs w:val="18"/>
                <w:lang w:eastAsia="en-US"/>
              </w:rPr>
              <w:t>(</w:t>
            </w:r>
            <w:r w:rsidR="008C1DDA" w:rsidRPr="008C1DDA">
              <w:rPr>
                <w:rFonts w:ascii="Calibri" w:eastAsia="Calibri" w:hAnsi="Calibri" w:cs="Times New Roman"/>
                <w:sz w:val="18"/>
                <w:szCs w:val="18"/>
                <w:lang w:eastAsia="en-US"/>
              </w:rPr>
              <w:t>1= Not improved 2= very partially; 3= partially; 4= largely</w:t>
            </w:r>
            <w:r w:rsidRPr="005B0AA7">
              <w:rPr>
                <w:rFonts w:ascii="Calibri" w:eastAsia="Calibri" w:hAnsi="Calibri" w:cs="Times New Roman"/>
                <w:sz w:val="18"/>
                <w:szCs w:val="18"/>
                <w:lang w:eastAsia="en-US"/>
              </w:rPr>
              <w:t xml:space="preserve">), </w:t>
            </w:r>
            <w:r w:rsidRPr="005B0AA7">
              <w:rPr>
                <w:rFonts w:eastAsia="Calibri"/>
                <w:sz w:val="18"/>
                <w:szCs w:val="18"/>
              </w:rPr>
              <w:t xml:space="preserve">counting the number of countries where </w:t>
            </w:r>
            <w:r w:rsidR="0013161E">
              <w:rPr>
                <w:rFonts w:eastAsia="Calibri"/>
                <w:sz w:val="18"/>
                <w:szCs w:val="18"/>
              </w:rPr>
              <w:t xml:space="preserve">objective evidence exists that </w:t>
            </w:r>
            <w:r w:rsidRPr="005B0AA7">
              <w:rPr>
                <w:rFonts w:eastAsia="Calibri"/>
                <w:sz w:val="18"/>
                <w:szCs w:val="18"/>
              </w:rPr>
              <w:t xml:space="preserve">UNDP-supported </w:t>
            </w:r>
            <w:r>
              <w:rPr>
                <w:rFonts w:eastAsia="Calibri"/>
                <w:sz w:val="18"/>
                <w:szCs w:val="18"/>
              </w:rPr>
              <w:t>arrangements</w:t>
            </w:r>
            <w:r w:rsidRPr="005B0AA7">
              <w:rPr>
                <w:rFonts w:eastAsia="Calibri"/>
                <w:sz w:val="18"/>
                <w:szCs w:val="18"/>
              </w:rPr>
              <w:t xml:space="preserve"> </w:t>
            </w:r>
            <w:r w:rsidR="0013161E">
              <w:rPr>
                <w:rFonts w:eastAsia="Calibri"/>
                <w:sz w:val="18"/>
                <w:szCs w:val="18"/>
              </w:rPr>
              <w:t>have led to</w:t>
            </w:r>
            <w:r w:rsidRPr="005B0AA7">
              <w:rPr>
                <w:rFonts w:eastAsia="Calibri"/>
                <w:sz w:val="18"/>
                <w:szCs w:val="18"/>
              </w:rPr>
              <w:t xml:space="preserve"> </w:t>
            </w:r>
            <w:r>
              <w:rPr>
                <w:rFonts w:eastAsia="Calibri"/>
                <w:sz w:val="18"/>
                <w:szCs w:val="18"/>
              </w:rPr>
              <w:t>improvement</w:t>
            </w:r>
            <w:r w:rsidR="0013161E">
              <w:rPr>
                <w:rFonts w:eastAsia="Calibri"/>
                <w:sz w:val="18"/>
                <w:szCs w:val="18"/>
              </w:rPr>
              <w:t>s</w:t>
            </w:r>
            <w:r w:rsidRPr="005B0AA7">
              <w:rPr>
                <w:rFonts w:eastAsia="Calibri"/>
                <w:sz w:val="18"/>
                <w:szCs w:val="18"/>
              </w:rPr>
              <w:t xml:space="preserve"> from January 2014 onwards</w:t>
            </w:r>
            <w:r w:rsidR="0013161E">
              <w:rPr>
                <w:rFonts w:eastAsia="Calibri"/>
                <w:sz w:val="18"/>
                <w:szCs w:val="18"/>
              </w:rPr>
              <w:t>,</w:t>
            </w:r>
            <w:r w:rsidRPr="005B0AA7">
              <w:rPr>
                <w:rFonts w:eastAsia="Calibri"/>
                <w:sz w:val="18"/>
                <w:szCs w:val="18"/>
              </w:rPr>
              <w:t xml:space="preserve"> and calculating the percentage over the total number of supported countries.</w:t>
            </w:r>
          </w:p>
          <w:p w14:paraId="1F7744FD" w14:textId="63018F82" w:rsidR="00BF37AC" w:rsidRPr="00562B56" w:rsidRDefault="00BF37AC" w:rsidP="00BF37AC">
            <w:pPr>
              <w:spacing w:after="0" w:line="240" w:lineRule="auto"/>
              <w:rPr>
                <w:rFonts w:ascii="Calibri" w:eastAsia="Calibri" w:hAnsi="Calibri" w:cs="Times New Roman"/>
                <w:b/>
                <w:sz w:val="18"/>
                <w:szCs w:val="18"/>
                <w:lang w:eastAsia="en-US"/>
              </w:rPr>
            </w:pPr>
            <w:r w:rsidRPr="0013161E">
              <w:rPr>
                <w:rFonts w:eastAsia="Calibri"/>
                <w:b/>
                <w:sz w:val="18"/>
                <w:szCs w:val="18"/>
              </w:rPr>
              <w:t xml:space="preserve">2014 Reporting Note: </w:t>
            </w:r>
            <w:r w:rsidRPr="0013161E">
              <w:rPr>
                <w:rFonts w:eastAsia="Calibri"/>
                <w:sz w:val="18"/>
                <w:szCs w:val="18"/>
              </w:rPr>
              <w:t>2017 target updated to reflect more complete reporting from country offices. For reference, previous target was 47% of 17 linked countries.</w:t>
            </w:r>
          </w:p>
        </w:tc>
      </w:tr>
    </w:tbl>
    <w:p w14:paraId="2BE85934" w14:textId="0FE19B35" w:rsidR="0035289B" w:rsidRDefault="0035289B" w:rsidP="00724F77"/>
    <w:p w14:paraId="5D0BEF75" w14:textId="77777777" w:rsidR="0035289B" w:rsidRDefault="0035289B">
      <w:r>
        <w:br w:type="page"/>
      </w:r>
    </w:p>
    <w:p w14:paraId="38CC478C" w14:textId="77777777" w:rsidR="002F2ED5" w:rsidRDefault="002F2ED5" w:rsidP="00724F77"/>
    <w:tbl>
      <w:tblPr>
        <w:tblW w:w="14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610"/>
        <w:gridCol w:w="720"/>
        <w:gridCol w:w="5220"/>
        <w:gridCol w:w="1350"/>
        <w:gridCol w:w="1170"/>
        <w:gridCol w:w="1260"/>
        <w:gridCol w:w="90"/>
        <w:gridCol w:w="1170"/>
      </w:tblGrid>
      <w:tr w:rsidR="004E2D72" w:rsidRPr="00283732" w14:paraId="612A2906" w14:textId="77777777" w:rsidTr="00EF7BF7">
        <w:trPr>
          <w:trHeight w:val="179"/>
          <w:jc w:val="center"/>
        </w:trPr>
        <w:tc>
          <w:tcPr>
            <w:tcW w:w="14305" w:type="dxa"/>
            <w:gridSpan w:val="9"/>
            <w:tcBorders>
              <w:top w:val="single" w:sz="4" w:space="0" w:color="auto"/>
              <w:left w:val="single" w:sz="4" w:space="0" w:color="auto"/>
              <w:bottom w:val="single" w:sz="4" w:space="0" w:color="auto"/>
              <w:right w:val="single" w:sz="4" w:space="0" w:color="auto"/>
            </w:tcBorders>
            <w:shd w:val="clear" w:color="auto" w:fill="0070C0"/>
          </w:tcPr>
          <w:p w14:paraId="5E579634" w14:textId="02078E75" w:rsidR="004E2D72" w:rsidRPr="00015A57" w:rsidRDefault="004E2D72" w:rsidP="002E4667">
            <w:pPr>
              <w:spacing w:after="0" w:line="240" w:lineRule="auto"/>
              <w:rPr>
                <w:rFonts w:eastAsia="Calibri"/>
                <w:b/>
              </w:rPr>
            </w:pPr>
            <w:r w:rsidRPr="00015A57">
              <w:rPr>
                <w:rFonts w:eastAsia="Calibri"/>
              </w:rPr>
              <w:br w:type="page"/>
            </w:r>
            <w:r w:rsidRPr="00C673E2">
              <w:rPr>
                <w:rStyle w:val="Heading3Char"/>
                <w:rFonts w:asciiTheme="minorHAnsi" w:eastAsia="Calibri" w:hAnsiTheme="minorHAnsi"/>
                <w:color w:val="FFFF00"/>
                <w:sz w:val="24"/>
                <w:szCs w:val="24"/>
                <w:u w:val="single"/>
              </w:rPr>
              <w:t>Outcome 7:</w:t>
            </w:r>
            <w:r w:rsidRPr="00C673E2">
              <w:rPr>
                <w:rFonts w:eastAsia="Calibri"/>
                <w:b/>
                <w:color w:val="FFFF00"/>
                <w:sz w:val="24"/>
                <w:szCs w:val="24"/>
              </w:rPr>
              <w:t xml:space="preserve">  Development debates and actions at all levels prioritize poverty, inequality and exclusion, consistent with our engagement principles</w:t>
            </w:r>
          </w:p>
        </w:tc>
      </w:tr>
      <w:tr w:rsidR="00BE7BDE" w:rsidRPr="00283732" w14:paraId="515A915C" w14:textId="77777777" w:rsidTr="006D43CD">
        <w:trPr>
          <w:trHeight w:val="251"/>
          <w:jc w:val="center"/>
        </w:trPr>
        <w:tc>
          <w:tcPr>
            <w:tcW w:w="9265"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2974A6BE" w14:textId="77777777" w:rsidR="00BE7BDE" w:rsidRPr="00B66E9F" w:rsidRDefault="00BE7BDE" w:rsidP="002E4667">
            <w:pPr>
              <w:spacing w:after="0" w:line="240" w:lineRule="auto"/>
              <w:rPr>
                <w:rFonts w:eastAsia="Calibri"/>
                <w:sz w:val="20"/>
                <w:szCs w:val="20"/>
              </w:rPr>
            </w:pPr>
            <w:r w:rsidRPr="00B66E9F">
              <w:rPr>
                <w:rFonts w:eastAsia="Calibri"/>
                <w:b/>
                <w:sz w:val="20"/>
                <w:szCs w:val="20"/>
              </w:rPr>
              <w:t>Outcome Indicators</w:t>
            </w:r>
            <w:r w:rsidRPr="00B66E9F">
              <w:rPr>
                <w:rFonts w:eastAsia="Calibri"/>
                <w:sz w:val="20"/>
                <w:szCs w:val="20"/>
              </w:rPr>
              <w:t xml:space="preserve"> </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2F2F2"/>
          </w:tcPr>
          <w:p w14:paraId="7B2D9F83" w14:textId="77777777" w:rsidR="00BE7BDE" w:rsidRPr="00B66E9F" w:rsidRDefault="00BE7BDE" w:rsidP="002E4667">
            <w:pPr>
              <w:spacing w:after="0" w:line="240" w:lineRule="auto"/>
              <w:rPr>
                <w:rFonts w:eastAsia="Calibri"/>
                <w:b/>
                <w:sz w:val="20"/>
                <w:szCs w:val="20"/>
              </w:rPr>
            </w:pPr>
            <w:r w:rsidRPr="00B66E9F">
              <w:rPr>
                <w:rFonts w:eastAsia="Calibri"/>
                <w:b/>
                <w:sz w:val="20"/>
                <w:szCs w:val="20"/>
              </w:rPr>
              <w:t>Baseline 2013</w:t>
            </w:r>
          </w:p>
        </w:tc>
        <w:tc>
          <w:tcPr>
            <w:tcW w:w="1260" w:type="dxa"/>
            <w:tcBorders>
              <w:top w:val="single" w:sz="4" w:space="0" w:color="auto"/>
              <w:left w:val="single" w:sz="4" w:space="0" w:color="auto"/>
              <w:bottom w:val="single" w:sz="4" w:space="0" w:color="auto"/>
              <w:right w:val="single" w:sz="4" w:space="0" w:color="auto"/>
            </w:tcBorders>
            <w:shd w:val="clear" w:color="auto" w:fill="F2F2F2"/>
          </w:tcPr>
          <w:p w14:paraId="3D1156D5" w14:textId="3F092A76" w:rsidR="00BE7BDE" w:rsidRPr="00B66E9F" w:rsidRDefault="00BE7BDE" w:rsidP="002E4667">
            <w:pPr>
              <w:spacing w:after="0" w:line="240" w:lineRule="auto"/>
              <w:rPr>
                <w:rFonts w:eastAsia="Calibri"/>
                <w:b/>
                <w:sz w:val="20"/>
                <w:szCs w:val="20"/>
              </w:rPr>
            </w:pPr>
            <w:r>
              <w:rPr>
                <w:rFonts w:eastAsia="Calibri"/>
                <w:b/>
                <w:sz w:val="20"/>
                <w:szCs w:val="20"/>
              </w:rPr>
              <w:t>Actual 2014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2F2F2"/>
          </w:tcPr>
          <w:p w14:paraId="204D524A" w14:textId="0CD75CD7" w:rsidR="00BE7BDE" w:rsidRPr="00B66E9F" w:rsidRDefault="00BE7BDE" w:rsidP="002E4667">
            <w:pPr>
              <w:spacing w:after="0" w:line="240" w:lineRule="auto"/>
              <w:rPr>
                <w:rFonts w:eastAsia="Calibri"/>
                <w:b/>
                <w:sz w:val="20"/>
                <w:szCs w:val="20"/>
              </w:rPr>
            </w:pPr>
            <w:r w:rsidRPr="00B66E9F">
              <w:rPr>
                <w:rFonts w:eastAsia="Calibri"/>
                <w:b/>
                <w:sz w:val="20"/>
                <w:szCs w:val="20"/>
              </w:rPr>
              <w:t>Target 2017</w:t>
            </w:r>
          </w:p>
        </w:tc>
      </w:tr>
      <w:tr w:rsidR="00BE7BDE" w:rsidRPr="00283732" w14:paraId="15B869EC" w14:textId="77777777" w:rsidTr="006D43CD">
        <w:trPr>
          <w:trHeight w:val="575"/>
          <w:jc w:val="center"/>
        </w:trPr>
        <w:tc>
          <w:tcPr>
            <w:tcW w:w="715" w:type="dxa"/>
            <w:vMerge w:val="restart"/>
            <w:tcBorders>
              <w:top w:val="single" w:sz="4" w:space="0" w:color="auto"/>
              <w:left w:val="single" w:sz="4" w:space="0" w:color="auto"/>
              <w:right w:val="single" w:sz="4" w:space="0" w:color="auto"/>
            </w:tcBorders>
            <w:shd w:val="clear" w:color="auto" w:fill="FFFFFF" w:themeFill="background1"/>
            <w:hideMark/>
          </w:tcPr>
          <w:p w14:paraId="1A876445" w14:textId="77777777" w:rsidR="00BE7BDE" w:rsidRPr="00B66E9F" w:rsidRDefault="00BE7BDE" w:rsidP="00096E1D">
            <w:pPr>
              <w:pStyle w:val="ListParagraph"/>
              <w:numPr>
                <w:ilvl w:val="1"/>
                <w:numId w:val="5"/>
              </w:numPr>
              <w:tabs>
                <w:tab w:val="left" w:pos="342"/>
              </w:tabs>
              <w:rPr>
                <w:rFonts w:asciiTheme="minorHAnsi" w:eastAsia="SimSun" w:hAnsiTheme="minorHAnsi"/>
                <w:sz w:val="20"/>
                <w:szCs w:val="20"/>
                <w:lang w:eastAsia="zh-CN"/>
              </w:rPr>
            </w:pPr>
          </w:p>
        </w:tc>
        <w:tc>
          <w:tcPr>
            <w:tcW w:w="85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71E697B" w14:textId="6E4E3B61" w:rsidR="00BE7BDE" w:rsidRPr="00673E0A" w:rsidRDefault="00BE7BDE" w:rsidP="006B28B3">
            <w:pPr>
              <w:tabs>
                <w:tab w:val="left" w:pos="342"/>
              </w:tabs>
              <w:spacing w:after="0" w:line="240" w:lineRule="auto"/>
              <w:rPr>
                <w:rFonts w:eastAsia="SimSun"/>
                <w:sz w:val="20"/>
                <w:szCs w:val="20"/>
                <w:lang w:eastAsia="zh-CN"/>
              </w:rPr>
            </w:pPr>
            <w:r>
              <w:rPr>
                <w:rFonts w:eastAsia="SimSun"/>
                <w:sz w:val="20"/>
                <w:szCs w:val="20"/>
                <w:lang w:eastAsia="zh-CN"/>
              </w:rPr>
              <w:t>Extent to which the agreed post-</w:t>
            </w:r>
            <w:r w:rsidRPr="00673E0A">
              <w:rPr>
                <w:rFonts w:eastAsia="SimSun"/>
                <w:sz w:val="20"/>
                <w:szCs w:val="20"/>
                <w:lang w:eastAsia="zh-CN"/>
              </w:rPr>
              <w:t xml:space="preserve">2015 agenda and sustainable development goals </w:t>
            </w:r>
            <w:r w:rsidRPr="00673E0A">
              <w:rPr>
                <w:rFonts w:eastAsia="SimSun"/>
                <w:b/>
                <w:sz w:val="20"/>
                <w:szCs w:val="20"/>
                <w:lang w:eastAsia="zh-CN"/>
              </w:rPr>
              <w:t>reflect sustainable human development concepts and ideas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C17949" w14:textId="5983BC5C" w:rsidR="00BE7BDE" w:rsidRPr="00CE4EC8" w:rsidRDefault="001C731B" w:rsidP="006B28B3">
            <w:pPr>
              <w:rPr>
                <w:rFonts w:eastAsia="SimSun"/>
                <w:sz w:val="20"/>
                <w:szCs w:val="20"/>
                <w:lang w:eastAsia="zh-CN"/>
              </w:rPr>
            </w:pPr>
            <w:r>
              <w:rPr>
                <w:rFonts w:eastAsia="SimSun"/>
                <w:sz w:val="20"/>
                <w:szCs w:val="20"/>
                <w:lang w:eastAsia="zh-CN"/>
              </w:rPr>
              <w:t>Not applicable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862EF6" w14:textId="7A7DFE51" w:rsidR="00BE7BDE" w:rsidRPr="00CE4EC8" w:rsidRDefault="006D43CD" w:rsidP="006B28B3">
            <w:pPr>
              <w:rPr>
                <w:rFonts w:eastAsia="SimSun"/>
                <w:sz w:val="20"/>
                <w:szCs w:val="20"/>
                <w:lang w:eastAsia="zh-CN"/>
              </w:rPr>
            </w:pPr>
            <w:r>
              <w:rPr>
                <w:rFonts w:eastAsia="SimSun"/>
                <w:sz w:val="20"/>
                <w:szCs w:val="20"/>
                <w:lang w:eastAsia="zh-CN"/>
              </w:rPr>
              <w:t>Draft goals under discussion</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56CB0C" w14:textId="6E3CB161" w:rsidR="00BE7BDE" w:rsidRPr="00CE4EC8" w:rsidRDefault="002F4689" w:rsidP="002F4689">
            <w:pPr>
              <w:rPr>
                <w:rFonts w:eastAsia="SimSun"/>
                <w:sz w:val="20"/>
                <w:szCs w:val="20"/>
                <w:lang w:eastAsia="zh-CN"/>
              </w:rPr>
            </w:pPr>
            <w:r>
              <w:rPr>
                <w:rFonts w:eastAsia="SimSun"/>
                <w:sz w:val="20"/>
                <w:szCs w:val="20"/>
                <w:lang w:eastAsia="zh-CN"/>
              </w:rPr>
              <w:t>*</w:t>
            </w:r>
            <w:r w:rsidR="00BE7BDE" w:rsidRPr="00CE4EC8">
              <w:rPr>
                <w:rFonts w:eastAsia="SimSun"/>
                <w:sz w:val="20"/>
                <w:szCs w:val="20"/>
                <w:lang w:eastAsia="zh-CN"/>
              </w:rPr>
              <w:t>To be determined</w:t>
            </w:r>
          </w:p>
        </w:tc>
      </w:tr>
      <w:tr w:rsidR="0050518E" w:rsidRPr="00283732" w14:paraId="6EA7CA5E" w14:textId="77777777" w:rsidTr="00836C1D">
        <w:trPr>
          <w:trHeight w:val="64"/>
          <w:jc w:val="center"/>
        </w:trPr>
        <w:tc>
          <w:tcPr>
            <w:tcW w:w="715" w:type="dxa"/>
            <w:vMerge/>
            <w:tcBorders>
              <w:left w:val="single" w:sz="4" w:space="0" w:color="auto"/>
              <w:bottom w:val="single" w:sz="4" w:space="0" w:color="auto"/>
              <w:right w:val="single" w:sz="4" w:space="0" w:color="auto"/>
            </w:tcBorders>
            <w:shd w:val="clear" w:color="auto" w:fill="FFFFFF" w:themeFill="background1"/>
          </w:tcPr>
          <w:p w14:paraId="5EC43F0D" w14:textId="77777777" w:rsidR="0050518E" w:rsidRPr="00C673E2" w:rsidRDefault="0050518E" w:rsidP="00C673E2">
            <w:pPr>
              <w:tabs>
                <w:tab w:val="left" w:pos="342"/>
              </w:tabs>
              <w:rPr>
                <w:rFonts w:eastAsia="SimSun"/>
                <w:sz w:val="20"/>
                <w:szCs w:val="20"/>
                <w:lang w:eastAsia="zh-CN"/>
              </w:rPr>
            </w:pPr>
          </w:p>
        </w:tc>
        <w:tc>
          <w:tcPr>
            <w:tcW w:w="13590" w:type="dxa"/>
            <w:gridSpan w:val="8"/>
            <w:tcBorders>
              <w:left w:val="single" w:sz="4" w:space="0" w:color="auto"/>
              <w:bottom w:val="single" w:sz="4" w:space="0" w:color="auto"/>
              <w:right w:val="single" w:sz="4" w:space="0" w:color="auto"/>
            </w:tcBorders>
            <w:shd w:val="clear" w:color="auto" w:fill="D9D9D9" w:themeFill="background1" w:themeFillShade="D9"/>
          </w:tcPr>
          <w:p w14:paraId="29B3B808" w14:textId="07AC7CC7" w:rsidR="0050518E" w:rsidRPr="002F4689" w:rsidRDefault="0050518E" w:rsidP="002F4689">
            <w:pPr>
              <w:spacing w:after="0" w:line="240" w:lineRule="auto"/>
              <w:rPr>
                <w:rFonts w:eastAsiaTheme="minorHAnsi"/>
                <w:bCs/>
                <w:sz w:val="18"/>
                <w:szCs w:val="18"/>
              </w:rPr>
            </w:pPr>
            <w:r w:rsidRPr="002F4689">
              <w:rPr>
                <w:rFonts w:eastAsiaTheme="minorHAnsi"/>
                <w:bCs/>
                <w:sz w:val="18"/>
                <w:szCs w:val="18"/>
              </w:rPr>
              <w:t>Source</w:t>
            </w:r>
            <w:r w:rsidR="0035289B" w:rsidRPr="002F4689">
              <w:rPr>
                <w:rFonts w:eastAsiaTheme="minorHAnsi"/>
                <w:bCs/>
                <w:sz w:val="18"/>
                <w:szCs w:val="18"/>
              </w:rPr>
              <w:t>: UNDP r</w:t>
            </w:r>
            <w:r w:rsidR="0066408A" w:rsidRPr="002F4689">
              <w:rPr>
                <w:rFonts w:eastAsiaTheme="minorHAnsi"/>
                <w:bCs/>
                <w:sz w:val="18"/>
                <w:szCs w:val="18"/>
              </w:rPr>
              <w:t>eporting</w:t>
            </w:r>
            <w:r w:rsidR="002F4689" w:rsidRPr="002F4689">
              <w:rPr>
                <w:rFonts w:eastAsiaTheme="minorHAnsi"/>
                <w:bCs/>
                <w:sz w:val="18"/>
                <w:szCs w:val="18"/>
              </w:rPr>
              <w:t xml:space="preserve">. </w:t>
            </w:r>
            <w:r w:rsidR="002F4689">
              <w:rPr>
                <w:rFonts w:eastAsiaTheme="minorHAnsi"/>
                <w:bCs/>
                <w:sz w:val="18"/>
                <w:szCs w:val="18"/>
              </w:rPr>
              <w:t>*</w:t>
            </w:r>
            <w:r w:rsidR="002F4689" w:rsidRPr="002F4689">
              <w:rPr>
                <w:rFonts w:eastAsiaTheme="minorHAnsi"/>
                <w:bCs/>
                <w:sz w:val="18"/>
                <w:szCs w:val="18"/>
              </w:rPr>
              <w:t xml:space="preserve">2017 target </w:t>
            </w:r>
            <w:r w:rsidR="002F4689" w:rsidRPr="002F4689">
              <w:rPr>
                <w:sz w:val="18"/>
                <w:szCs w:val="18"/>
              </w:rPr>
              <w:t xml:space="preserve">to be determined by the mid-term review </w:t>
            </w:r>
            <w:r w:rsidR="002F4689">
              <w:rPr>
                <w:sz w:val="18"/>
                <w:szCs w:val="18"/>
              </w:rPr>
              <w:t xml:space="preserve">(MTR) </w:t>
            </w:r>
            <w:r w:rsidR="002F4689" w:rsidRPr="002F4689">
              <w:rPr>
                <w:sz w:val="18"/>
                <w:szCs w:val="18"/>
              </w:rPr>
              <w:t>o</w:t>
            </w:r>
            <w:r w:rsidR="002F4689">
              <w:rPr>
                <w:sz w:val="18"/>
                <w:szCs w:val="18"/>
              </w:rPr>
              <w:t>f the SP and its a</w:t>
            </w:r>
            <w:r w:rsidR="002F4689" w:rsidRPr="002F4689">
              <w:rPr>
                <w:sz w:val="18"/>
                <w:szCs w:val="18"/>
              </w:rPr>
              <w:t>nnexes</w:t>
            </w:r>
            <w:r w:rsidR="002F4689">
              <w:rPr>
                <w:sz w:val="18"/>
                <w:szCs w:val="18"/>
              </w:rPr>
              <w:t>,</w:t>
            </w:r>
            <w:r w:rsidR="002F4689" w:rsidRPr="002F4689">
              <w:rPr>
                <w:sz w:val="18"/>
                <w:szCs w:val="18"/>
              </w:rPr>
              <w:t xml:space="preserve"> in 2016.</w:t>
            </w:r>
          </w:p>
        </w:tc>
      </w:tr>
      <w:tr w:rsidR="00BE7BDE" w:rsidRPr="00283732" w14:paraId="0D9B5EE9" w14:textId="77777777" w:rsidTr="006D43CD">
        <w:trPr>
          <w:trHeight w:val="314"/>
          <w:jc w:val="center"/>
        </w:trPr>
        <w:tc>
          <w:tcPr>
            <w:tcW w:w="715" w:type="dxa"/>
            <w:vMerge w:val="restart"/>
            <w:tcBorders>
              <w:top w:val="single" w:sz="4" w:space="0" w:color="auto"/>
              <w:left w:val="single" w:sz="4" w:space="0" w:color="auto"/>
              <w:right w:val="single" w:sz="4" w:space="0" w:color="auto"/>
            </w:tcBorders>
            <w:shd w:val="clear" w:color="auto" w:fill="FFFFFF" w:themeFill="background1"/>
            <w:hideMark/>
          </w:tcPr>
          <w:p w14:paraId="360B7295" w14:textId="77777777" w:rsidR="00BE7BDE" w:rsidRPr="00B66E9F" w:rsidRDefault="00BE7BDE" w:rsidP="00096E1D">
            <w:pPr>
              <w:pStyle w:val="ListParagraph"/>
              <w:numPr>
                <w:ilvl w:val="1"/>
                <w:numId w:val="5"/>
              </w:numPr>
              <w:tabs>
                <w:tab w:val="left" w:pos="342"/>
              </w:tabs>
              <w:rPr>
                <w:rFonts w:asciiTheme="minorHAnsi" w:eastAsia="SimSun" w:hAnsiTheme="minorHAnsi"/>
                <w:sz w:val="20"/>
                <w:szCs w:val="20"/>
                <w:lang w:eastAsia="zh-CN"/>
              </w:rPr>
            </w:pPr>
          </w:p>
        </w:tc>
        <w:tc>
          <w:tcPr>
            <w:tcW w:w="85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0379079" w14:textId="073DF0DE" w:rsidR="00BE7BDE" w:rsidRPr="00673E0A" w:rsidRDefault="00BE7BDE" w:rsidP="006B28B3">
            <w:pPr>
              <w:tabs>
                <w:tab w:val="left" w:pos="342"/>
              </w:tabs>
              <w:spacing w:after="0" w:line="240" w:lineRule="auto"/>
              <w:rPr>
                <w:rFonts w:eastAsia="SimSun"/>
                <w:sz w:val="20"/>
                <w:szCs w:val="20"/>
                <w:lang w:eastAsia="zh-CN"/>
              </w:rPr>
            </w:pPr>
            <w:r w:rsidRPr="00673E0A">
              <w:rPr>
                <w:rFonts w:eastAsia="SimSun"/>
                <w:sz w:val="20"/>
                <w:szCs w:val="20"/>
                <w:lang w:eastAsia="zh-CN"/>
              </w:rPr>
              <w:t xml:space="preserve">Existence of an </w:t>
            </w:r>
            <w:r w:rsidRPr="00673E0A">
              <w:rPr>
                <w:rFonts w:eastAsia="SimSun"/>
                <w:b/>
                <w:sz w:val="20"/>
                <w:szCs w:val="20"/>
                <w:lang w:eastAsia="zh-CN"/>
              </w:rPr>
              <w:t>initial global agreement on financing mechanisms</w:t>
            </w:r>
            <w:r>
              <w:rPr>
                <w:rFonts w:eastAsia="SimSun"/>
                <w:sz w:val="20"/>
                <w:szCs w:val="20"/>
                <w:lang w:eastAsia="zh-CN"/>
              </w:rPr>
              <w:t xml:space="preserve"> for the post-</w:t>
            </w:r>
            <w:r w:rsidRPr="00673E0A">
              <w:rPr>
                <w:rFonts w:eastAsia="SimSun"/>
                <w:sz w:val="20"/>
                <w:szCs w:val="20"/>
                <w:lang w:eastAsia="zh-CN"/>
              </w:rPr>
              <w:t>2015 agenda and sustainable development goals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AE63B3" w14:textId="185F689A" w:rsidR="00BE7BDE" w:rsidRPr="00CE4EC8" w:rsidRDefault="00D2415F" w:rsidP="00D2415F">
            <w:pPr>
              <w:rPr>
                <w:rFonts w:eastAsia="SimSun"/>
                <w:sz w:val="20"/>
                <w:szCs w:val="20"/>
                <w:lang w:eastAsia="zh-CN"/>
              </w:rPr>
            </w:pPr>
            <w:r>
              <w:rPr>
                <w:rFonts w:eastAsia="SimSun"/>
                <w:sz w:val="20"/>
                <w:szCs w:val="20"/>
                <w:lang w:eastAsia="zh-CN"/>
              </w:rPr>
              <w:t>Not applicable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472441" w14:textId="087DF244" w:rsidR="00BE7BDE" w:rsidRPr="00CE4EC8" w:rsidRDefault="0035289B" w:rsidP="0035289B">
            <w:pPr>
              <w:rPr>
                <w:rFonts w:eastAsia="SimSun"/>
                <w:sz w:val="20"/>
                <w:szCs w:val="20"/>
                <w:lang w:eastAsia="zh-CN"/>
              </w:rPr>
            </w:pPr>
            <w:r>
              <w:rPr>
                <w:rFonts w:eastAsia="SimSun"/>
                <w:sz w:val="20"/>
                <w:szCs w:val="20"/>
                <w:lang w:eastAsia="zh-CN"/>
              </w:rPr>
              <w:t>Draft under discussion</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3399AE" w14:textId="296DD94A" w:rsidR="00BE7BDE" w:rsidRPr="00CE4EC8" w:rsidRDefault="002F4689" w:rsidP="006B28B3">
            <w:pPr>
              <w:rPr>
                <w:rFonts w:eastAsia="SimSun"/>
                <w:sz w:val="20"/>
                <w:szCs w:val="20"/>
                <w:lang w:eastAsia="zh-CN"/>
              </w:rPr>
            </w:pPr>
            <w:r>
              <w:rPr>
                <w:rFonts w:eastAsia="SimSun"/>
                <w:sz w:val="20"/>
                <w:szCs w:val="20"/>
                <w:lang w:eastAsia="zh-CN"/>
              </w:rPr>
              <w:t>*</w:t>
            </w:r>
            <w:r w:rsidR="00BE7BDE" w:rsidRPr="00CE4EC8">
              <w:rPr>
                <w:rFonts w:eastAsia="SimSun"/>
                <w:sz w:val="20"/>
                <w:szCs w:val="20"/>
                <w:lang w:eastAsia="zh-CN"/>
              </w:rPr>
              <w:t>To be determined</w:t>
            </w:r>
          </w:p>
        </w:tc>
      </w:tr>
      <w:tr w:rsidR="0050518E" w:rsidRPr="00283732" w14:paraId="59B8FEC1" w14:textId="77777777" w:rsidTr="00836C1D">
        <w:trPr>
          <w:trHeight w:val="314"/>
          <w:jc w:val="center"/>
        </w:trPr>
        <w:tc>
          <w:tcPr>
            <w:tcW w:w="715" w:type="dxa"/>
            <w:vMerge/>
            <w:tcBorders>
              <w:left w:val="single" w:sz="4" w:space="0" w:color="auto"/>
              <w:bottom w:val="single" w:sz="4" w:space="0" w:color="auto"/>
              <w:right w:val="single" w:sz="4" w:space="0" w:color="auto"/>
            </w:tcBorders>
            <w:shd w:val="clear" w:color="auto" w:fill="FFFFFF" w:themeFill="background1"/>
          </w:tcPr>
          <w:p w14:paraId="1C94DB0D" w14:textId="77777777" w:rsidR="0050518E" w:rsidRPr="00C673E2" w:rsidRDefault="0050518E" w:rsidP="00C673E2">
            <w:pPr>
              <w:tabs>
                <w:tab w:val="left" w:pos="342"/>
              </w:tabs>
              <w:rPr>
                <w:rFonts w:eastAsia="SimSun"/>
                <w:sz w:val="20"/>
                <w:szCs w:val="20"/>
                <w:lang w:eastAsia="zh-CN"/>
              </w:rPr>
            </w:pPr>
          </w:p>
        </w:tc>
        <w:tc>
          <w:tcPr>
            <w:tcW w:w="13590" w:type="dxa"/>
            <w:gridSpan w:val="8"/>
            <w:tcBorders>
              <w:left w:val="single" w:sz="4" w:space="0" w:color="auto"/>
              <w:bottom w:val="single" w:sz="4" w:space="0" w:color="auto"/>
              <w:right w:val="single" w:sz="4" w:space="0" w:color="auto"/>
            </w:tcBorders>
            <w:shd w:val="clear" w:color="auto" w:fill="D9D9D9" w:themeFill="background1" w:themeFillShade="D9"/>
          </w:tcPr>
          <w:p w14:paraId="15A4435D" w14:textId="7F3B9D01" w:rsidR="0050518E" w:rsidRPr="00470777" w:rsidRDefault="0050518E" w:rsidP="002E4667">
            <w:pPr>
              <w:spacing w:after="0" w:line="240" w:lineRule="auto"/>
              <w:rPr>
                <w:rFonts w:eastAsiaTheme="minorHAnsi"/>
                <w:sz w:val="18"/>
                <w:szCs w:val="20"/>
              </w:rPr>
            </w:pPr>
            <w:r w:rsidRPr="00470777">
              <w:rPr>
                <w:rFonts w:eastAsiaTheme="minorHAnsi"/>
                <w:b/>
                <w:sz w:val="18"/>
                <w:szCs w:val="20"/>
              </w:rPr>
              <w:t>Source</w:t>
            </w:r>
            <w:r w:rsidRPr="00470777">
              <w:rPr>
                <w:rFonts w:eastAsiaTheme="minorHAnsi"/>
                <w:sz w:val="18"/>
                <w:szCs w:val="20"/>
              </w:rPr>
              <w:t xml:space="preserve">: </w:t>
            </w:r>
            <w:r w:rsidR="0035289B" w:rsidRPr="00470777">
              <w:rPr>
                <w:rFonts w:eastAsiaTheme="minorHAnsi"/>
                <w:bCs/>
                <w:sz w:val="18"/>
                <w:szCs w:val="20"/>
              </w:rPr>
              <w:t>UNDP r</w:t>
            </w:r>
            <w:r w:rsidR="0066408A" w:rsidRPr="00470777">
              <w:rPr>
                <w:rFonts w:eastAsiaTheme="minorHAnsi"/>
                <w:bCs/>
                <w:sz w:val="18"/>
                <w:szCs w:val="20"/>
              </w:rPr>
              <w:t>eporting</w:t>
            </w:r>
            <w:r w:rsidR="002F4689">
              <w:rPr>
                <w:rFonts w:eastAsiaTheme="minorHAnsi"/>
                <w:bCs/>
                <w:sz w:val="18"/>
                <w:szCs w:val="20"/>
              </w:rPr>
              <w:t>. *</w:t>
            </w:r>
            <w:r w:rsidR="002F4689" w:rsidRPr="002F4689">
              <w:rPr>
                <w:rFonts w:eastAsiaTheme="minorHAnsi"/>
                <w:bCs/>
                <w:sz w:val="18"/>
                <w:szCs w:val="18"/>
              </w:rPr>
              <w:t xml:space="preserve">2017 target </w:t>
            </w:r>
            <w:r w:rsidR="002F4689" w:rsidRPr="002F4689">
              <w:rPr>
                <w:sz w:val="18"/>
                <w:szCs w:val="18"/>
              </w:rPr>
              <w:t xml:space="preserve">to be determined by the mid-term review </w:t>
            </w:r>
            <w:r w:rsidR="002F4689">
              <w:rPr>
                <w:sz w:val="18"/>
                <w:szCs w:val="18"/>
              </w:rPr>
              <w:t xml:space="preserve">(MTR) </w:t>
            </w:r>
            <w:r w:rsidR="002F4689" w:rsidRPr="002F4689">
              <w:rPr>
                <w:sz w:val="18"/>
                <w:szCs w:val="18"/>
              </w:rPr>
              <w:t>o</w:t>
            </w:r>
            <w:r w:rsidR="002F4689">
              <w:rPr>
                <w:sz w:val="18"/>
                <w:szCs w:val="18"/>
              </w:rPr>
              <w:t>f the SP and its a</w:t>
            </w:r>
            <w:r w:rsidR="002F4689" w:rsidRPr="002F4689">
              <w:rPr>
                <w:sz w:val="18"/>
                <w:szCs w:val="18"/>
              </w:rPr>
              <w:t>nnexes</w:t>
            </w:r>
            <w:r w:rsidR="002F4689">
              <w:rPr>
                <w:sz w:val="18"/>
                <w:szCs w:val="18"/>
              </w:rPr>
              <w:t>,</w:t>
            </w:r>
            <w:r w:rsidR="002F4689" w:rsidRPr="002F4689">
              <w:rPr>
                <w:sz w:val="18"/>
                <w:szCs w:val="18"/>
              </w:rPr>
              <w:t xml:space="preserve"> in 2016.</w:t>
            </w:r>
          </w:p>
        </w:tc>
      </w:tr>
      <w:tr w:rsidR="00BE7BDE" w:rsidRPr="00283732" w14:paraId="59E6876B" w14:textId="77777777" w:rsidTr="006D43CD">
        <w:trPr>
          <w:trHeight w:val="548"/>
          <w:jc w:val="center"/>
        </w:trPr>
        <w:tc>
          <w:tcPr>
            <w:tcW w:w="715" w:type="dxa"/>
            <w:vMerge w:val="restart"/>
            <w:tcBorders>
              <w:top w:val="single" w:sz="4" w:space="0" w:color="auto"/>
              <w:left w:val="single" w:sz="4" w:space="0" w:color="auto"/>
              <w:right w:val="single" w:sz="4" w:space="0" w:color="auto"/>
            </w:tcBorders>
            <w:shd w:val="clear" w:color="auto" w:fill="FFFFFF" w:themeFill="background1"/>
            <w:hideMark/>
          </w:tcPr>
          <w:p w14:paraId="29122641" w14:textId="77777777" w:rsidR="00BE7BDE" w:rsidRPr="00B66E9F" w:rsidRDefault="00BE7BDE" w:rsidP="006B28B3">
            <w:pPr>
              <w:rPr>
                <w:rFonts w:eastAsia="SimSun"/>
                <w:sz w:val="20"/>
                <w:szCs w:val="20"/>
                <w:lang w:eastAsia="zh-CN"/>
              </w:rPr>
            </w:pPr>
            <w:r w:rsidRPr="00734ABD">
              <w:rPr>
                <w:rFonts w:eastAsia="SimSun"/>
                <w:b/>
                <w:sz w:val="20"/>
                <w:szCs w:val="20"/>
                <w:lang w:eastAsia="zh-CN"/>
              </w:rPr>
              <w:t>7.4</w:t>
            </w:r>
            <w:r w:rsidRPr="00B66E9F">
              <w:rPr>
                <w:rFonts w:eastAsia="SimSun"/>
                <w:sz w:val="20"/>
                <w:szCs w:val="20"/>
                <w:lang w:eastAsia="zh-CN"/>
              </w:rPr>
              <w:t xml:space="preserve"> </w:t>
            </w:r>
          </w:p>
        </w:tc>
        <w:tc>
          <w:tcPr>
            <w:tcW w:w="85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5253EB" w14:textId="4A48E40F" w:rsidR="00BE7BDE" w:rsidRPr="00B66E9F" w:rsidRDefault="00BE7BDE" w:rsidP="006B28B3">
            <w:pPr>
              <w:spacing w:after="0" w:line="240" w:lineRule="auto"/>
              <w:rPr>
                <w:rFonts w:eastAsia="SimSun"/>
                <w:sz w:val="20"/>
                <w:szCs w:val="20"/>
                <w:lang w:eastAsia="zh-CN"/>
              </w:rPr>
            </w:pPr>
            <w:r w:rsidRPr="00B66E9F">
              <w:rPr>
                <w:rFonts w:eastAsia="SimSun"/>
                <w:sz w:val="20"/>
                <w:szCs w:val="20"/>
                <w:lang w:eastAsia="zh-CN"/>
              </w:rPr>
              <w:t xml:space="preserve">Existence of a </w:t>
            </w:r>
            <w:r w:rsidRPr="00B66E9F">
              <w:rPr>
                <w:rFonts w:eastAsia="SimSun"/>
                <w:b/>
                <w:sz w:val="20"/>
                <w:szCs w:val="20"/>
                <w:lang w:eastAsia="zh-CN"/>
              </w:rPr>
              <w:t>global succession plan</w:t>
            </w:r>
            <w:r w:rsidRPr="00B66E9F">
              <w:rPr>
                <w:rFonts w:eastAsia="SimSun"/>
                <w:sz w:val="20"/>
                <w:szCs w:val="20"/>
                <w:lang w:eastAsia="zh-CN"/>
              </w:rPr>
              <w:t xml:space="preserve"> to ensure unfinished MDGs are taken up post 2015</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6A4313" w14:textId="273071D7" w:rsidR="00BE7BDE" w:rsidRPr="00CE4EC8" w:rsidRDefault="00D2415F" w:rsidP="006B28B3">
            <w:pPr>
              <w:rPr>
                <w:rFonts w:eastAsia="SimSun"/>
                <w:sz w:val="20"/>
                <w:szCs w:val="20"/>
                <w:lang w:eastAsia="zh-CN"/>
              </w:rPr>
            </w:pPr>
            <w:r>
              <w:rPr>
                <w:rFonts w:eastAsia="SimSun"/>
                <w:sz w:val="20"/>
                <w:szCs w:val="20"/>
                <w:lang w:eastAsia="zh-CN"/>
              </w:rPr>
              <w:t>Not applicable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5C0BC3" w14:textId="77777777" w:rsidR="00BE7BDE" w:rsidRPr="00CE4EC8" w:rsidRDefault="00BE7BDE" w:rsidP="006B28B3">
            <w:pPr>
              <w:rPr>
                <w:rFonts w:eastAsia="SimSun"/>
                <w:sz w:val="20"/>
                <w:szCs w:val="20"/>
                <w:lang w:eastAsia="zh-CN"/>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9C0E8A" w14:textId="7635B9E1" w:rsidR="00BE7BDE" w:rsidRPr="00CE4EC8" w:rsidRDefault="002F4689" w:rsidP="006B28B3">
            <w:pPr>
              <w:rPr>
                <w:rFonts w:eastAsia="SimSun"/>
                <w:sz w:val="20"/>
                <w:szCs w:val="20"/>
                <w:lang w:eastAsia="zh-CN"/>
              </w:rPr>
            </w:pPr>
            <w:r>
              <w:rPr>
                <w:rFonts w:eastAsia="SimSun"/>
                <w:sz w:val="20"/>
                <w:szCs w:val="20"/>
                <w:lang w:eastAsia="zh-CN"/>
              </w:rPr>
              <w:t>*</w:t>
            </w:r>
            <w:r w:rsidR="00BE7BDE" w:rsidRPr="00CE4EC8">
              <w:rPr>
                <w:rFonts w:eastAsia="SimSun"/>
                <w:sz w:val="20"/>
                <w:szCs w:val="20"/>
                <w:lang w:eastAsia="zh-CN"/>
              </w:rPr>
              <w:t>To be determined</w:t>
            </w:r>
          </w:p>
        </w:tc>
      </w:tr>
      <w:tr w:rsidR="0050518E" w:rsidRPr="00283732" w14:paraId="42998C6E" w14:textId="77777777" w:rsidTr="00836C1D">
        <w:trPr>
          <w:trHeight w:val="341"/>
          <w:jc w:val="center"/>
        </w:trPr>
        <w:tc>
          <w:tcPr>
            <w:tcW w:w="715" w:type="dxa"/>
            <w:vMerge/>
            <w:tcBorders>
              <w:left w:val="single" w:sz="4" w:space="0" w:color="auto"/>
              <w:bottom w:val="single" w:sz="4" w:space="0" w:color="auto"/>
              <w:right w:val="single" w:sz="4" w:space="0" w:color="auto"/>
            </w:tcBorders>
            <w:shd w:val="clear" w:color="auto" w:fill="FFFFFF" w:themeFill="background1"/>
          </w:tcPr>
          <w:p w14:paraId="7BE5F20D" w14:textId="77777777" w:rsidR="0050518E" w:rsidRPr="00734ABD" w:rsidRDefault="0050518E" w:rsidP="002E4667">
            <w:pPr>
              <w:rPr>
                <w:rFonts w:eastAsia="SimSun"/>
                <w:b/>
                <w:sz w:val="20"/>
                <w:szCs w:val="20"/>
                <w:lang w:eastAsia="zh-CN"/>
              </w:rPr>
            </w:pPr>
          </w:p>
        </w:tc>
        <w:tc>
          <w:tcPr>
            <w:tcW w:w="13590" w:type="dxa"/>
            <w:gridSpan w:val="8"/>
            <w:tcBorders>
              <w:left w:val="single" w:sz="4" w:space="0" w:color="auto"/>
              <w:bottom w:val="single" w:sz="4" w:space="0" w:color="auto"/>
              <w:right w:val="single" w:sz="4" w:space="0" w:color="auto"/>
            </w:tcBorders>
            <w:shd w:val="clear" w:color="auto" w:fill="D9D9D9" w:themeFill="background1" w:themeFillShade="D9"/>
          </w:tcPr>
          <w:p w14:paraId="3F83E94A" w14:textId="2D0330D7" w:rsidR="0050518E" w:rsidRPr="00470777" w:rsidRDefault="0050518E" w:rsidP="0050518E">
            <w:pPr>
              <w:tabs>
                <w:tab w:val="left" w:pos="1230"/>
              </w:tabs>
              <w:spacing w:after="0" w:line="240" w:lineRule="auto"/>
              <w:rPr>
                <w:sz w:val="18"/>
                <w:szCs w:val="20"/>
              </w:rPr>
            </w:pPr>
            <w:r w:rsidRPr="00470777">
              <w:rPr>
                <w:b/>
                <w:sz w:val="18"/>
                <w:szCs w:val="20"/>
              </w:rPr>
              <w:t>Source</w:t>
            </w:r>
            <w:r w:rsidRPr="00470777">
              <w:rPr>
                <w:sz w:val="18"/>
                <w:szCs w:val="20"/>
              </w:rPr>
              <w:t xml:space="preserve">: </w:t>
            </w:r>
            <w:r w:rsidR="0035289B" w:rsidRPr="00470777">
              <w:rPr>
                <w:rFonts w:eastAsiaTheme="minorHAnsi"/>
                <w:bCs/>
                <w:sz w:val="18"/>
                <w:szCs w:val="20"/>
              </w:rPr>
              <w:t>UNDP r</w:t>
            </w:r>
            <w:r w:rsidR="0066408A" w:rsidRPr="00470777">
              <w:rPr>
                <w:rFonts w:eastAsiaTheme="minorHAnsi"/>
                <w:bCs/>
                <w:sz w:val="18"/>
                <w:szCs w:val="20"/>
              </w:rPr>
              <w:t>eporting</w:t>
            </w:r>
            <w:r w:rsidR="002F4689">
              <w:rPr>
                <w:rFonts w:eastAsiaTheme="minorHAnsi"/>
                <w:bCs/>
                <w:sz w:val="18"/>
                <w:szCs w:val="20"/>
              </w:rPr>
              <w:t>. *</w:t>
            </w:r>
            <w:r w:rsidR="002F4689" w:rsidRPr="002F4689">
              <w:rPr>
                <w:rFonts w:eastAsiaTheme="minorHAnsi"/>
                <w:bCs/>
                <w:sz w:val="18"/>
                <w:szCs w:val="18"/>
              </w:rPr>
              <w:t xml:space="preserve">2017 target </w:t>
            </w:r>
            <w:r w:rsidR="002F4689" w:rsidRPr="002F4689">
              <w:rPr>
                <w:sz w:val="18"/>
                <w:szCs w:val="18"/>
              </w:rPr>
              <w:t xml:space="preserve">to be determined by the mid-term review </w:t>
            </w:r>
            <w:r w:rsidR="002F4689">
              <w:rPr>
                <w:sz w:val="18"/>
                <w:szCs w:val="18"/>
              </w:rPr>
              <w:t xml:space="preserve">(MTR) </w:t>
            </w:r>
            <w:r w:rsidR="002F4689" w:rsidRPr="002F4689">
              <w:rPr>
                <w:sz w:val="18"/>
                <w:szCs w:val="18"/>
              </w:rPr>
              <w:t>o</w:t>
            </w:r>
            <w:r w:rsidR="002F4689">
              <w:rPr>
                <w:sz w:val="18"/>
                <w:szCs w:val="18"/>
              </w:rPr>
              <w:t>f the SP and its a</w:t>
            </w:r>
            <w:r w:rsidR="002F4689" w:rsidRPr="002F4689">
              <w:rPr>
                <w:sz w:val="18"/>
                <w:szCs w:val="18"/>
              </w:rPr>
              <w:t>nnexes</w:t>
            </w:r>
            <w:r w:rsidR="002F4689">
              <w:rPr>
                <w:sz w:val="18"/>
                <w:szCs w:val="18"/>
              </w:rPr>
              <w:t>,</w:t>
            </w:r>
            <w:r w:rsidR="002F4689" w:rsidRPr="002F4689">
              <w:rPr>
                <w:sz w:val="18"/>
                <w:szCs w:val="18"/>
              </w:rPr>
              <w:t xml:space="preserve"> in 2016.</w:t>
            </w:r>
          </w:p>
        </w:tc>
      </w:tr>
      <w:tr w:rsidR="00BE7BDE" w:rsidRPr="00283732" w14:paraId="34E05A1C" w14:textId="77777777" w:rsidTr="00FA5A5E">
        <w:trPr>
          <w:trHeight w:val="323"/>
          <w:tblHeader/>
          <w:jc w:val="center"/>
        </w:trPr>
        <w:tc>
          <w:tcPr>
            <w:tcW w:w="3325" w:type="dxa"/>
            <w:gridSpan w:val="2"/>
            <w:vMerge w:val="restart"/>
            <w:tcBorders>
              <w:top w:val="single" w:sz="4" w:space="0" w:color="auto"/>
              <w:left w:val="single" w:sz="4" w:space="0" w:color="auto"/>
              <w:right w:val="single" w:sz="4" w:space="0" w:color="auto"/>
            </w:tcBorders>
            <w:shd w:val="clear" w:color="auto" w:fill="DAEEF3"/>
            <w:hideMark/>
          </w:tcPr>
          <w:p w14:paraId="17AD3BEB" w14:textId="77777777" w:rsidR="00BE7BDE" w:rsidRPr="00B66E9F" w:rsidRDefault="00BE7BDE" w:rsidP="00561FD7">
            <w:pPr>
              <w:spacing w:after="0" w:line="240" w:lineRule="auto"/>
              <w:rPr>
                <w:rFonts w:eastAsia="Calibri"/>
                <w:i/>
                <w:sz w:val="20"/>
                <w:szCs w:val="20"/>
              </w:rPr>
            </w:pPr>
            <w:r w:rsidRPr="00B66E9F">
              <w:rPr>
                <w:rFonts w:eastAsia="Calibri"/>
                <w:sz w:val="20"/>
                <w:szCs w:val="20"/>
              </w:rPr>
              <w:br w:type="page"/>
            </w:r>
            <w:r w:rsidRPr="00B66E9F">
              <w:rPr>
                <w:rFonts w:eastAsia="Calibri"/>
                <w:b/>
                <w:sz w:val="20"/>
                <w:szCs w:val="20"/>
              </w:rPr>
              <w:t>Output</w:t>
            </w:r>
            <w:r w:rsidRPr="00B66E9F">
              <w:rPr>
                <w:rFonts w:eastAsia="Calibri"/>
                <w:i/>
                <w:sz w:val="20"/>
                <w:szCs w:val="20"/>
              </w:rPr>
              <w:t xml:space="preserve"> </w:t>
            </w:r>
            <w:r>
              <w:rPr>
                <w:rFonts w:eastAsia="Calibri"/>
                <w:i/>
                <w:sz w:val="20"/>
                <w:szCs w:val="20"/>
              </w:rPr>
              <w:t>(</w:t>
            </w:r>
            <w:r w:rsidRPr="00B2372F">
              <w:rPr>
                <w:rFonts w:ascii="Calibri" w:eastAsia="Calibri" w:hAnsi="Calibri"/>
                <w:i/>
                <w:sz w:val="18"/>
                <w:szCs w:val="18"/>
              </w:rPr>
              <w:t>UNDP provides specific support for the following results, based on national demand</w:t>
            </w:r>
            <w:r>
              <w:rPr>
                <w:rFonts w:ascii="Calibri" w:eastAsia="Calibri" w:hAnsi="Calibri"/>
                <w:i/>
                <w:sz w:val="18"/>
                <w:szCs w:val="18"/>
              </w:rPr>
              <w:t>)</w:t>
            </w:r>
          </w:p>
        </w:tc>
        <w:tc>
          <w:tcPr>
            <w:tcW w:w="5940" w:type="dxa"/>
            <w:gridSpan w:val="2"/>
            <w:vMerge w:val="restart"/>
            <w:tcBorders>
              <w:top w:val="single" w:sz="4" w:space="0" w:color="auto"/>
              <w:left w:val="single" w:sz="4" w:space="0" w:color="auto"/>
              <w:right w:val="single" w:sz="4" w:space="0" w:color="auto"/>
            </w:tcBorders>
            <w:shd w:val="clear" w:color="auto" w:fill="DAEEF3"/>
            <w:hideMark/>
          </w:tcPr>
          <w:p w14:paraId="6BE065AF" w14:textId="77777777" w:rsidR="00BE7BDE" w:rsidRPr="00B66E9F" w:rsidRDefault="00BE7BDE" w:rsidP="002E4667">
            <w:pPr>
              <w:spacing w:after="0" w:line="240" w:lineRule="auto"/>
              <w:rPr>
                <w:rFonts w:eastAsia="Calibri"/>
                <w:i/>
                <w:sz w:val="20"/>
                <w:szCs w:val="20"/>
              </w:rPr>
            </w:pPr>
            <w:r w:rsidRPr="00B66E9F">
              <w:rPr>
                <w:rFonts w:eastAsia="Calibri"/>
                <w:b/>
                <w:sz w:val="20"/>
                <w:szCs w:val="20"/>
              </w:rPr>
              <w:t>Output Indicator</w:t>
            </w:r>
            <w:r>
              <w:rPr>
                <w:rFonts w:eastAsia="Calibri"/>
                <w:b/>
                <w:sz w:val="20"/>
                <w:szCs w:val="20"/>
              </w:rPr>
              <w:t xml:space="preserve"> </w:t>
            </w:r>
            <w:r w:rsidRPr="00B2372F">
              <w:rPr>
                <w:rFonts w:ascii="Calibri" w:eastAsia="Calibri" w:hAnsi="Calibri"/>
                <w:i/>
                <w:sz w:val="18"/>
                <w:szCs w:val="18"/>
              </w:rPr>
              <w:t xml:space="preserve">(output indicators measure only those results which are specifically </w:t>
            </w:r>
            <w:r w:rsidRPr="00B2372F">
              <w:rPr>
                <w:rFonts w:ascii="Calibri" w:eastAsia="Calibri" w:hAnsi="Calibri"/>
                <w:i/>
                <w:sz w:val="18"/>
                <w:szCs w:val="18"/>
                <w:u w:val="single"/>
              </w:rPr>
              <w:t>supported</w:t>
            </w:r>
            <w:r w:rsidRPr="00B2372F">
              <w:rPr>
                <w:rFonts w:ascii="Calibri" w:eastAsia="Calibri" w:hAnsi="Calibri"/>
                <w:i/>
                <w:sz w:val="18"/>
                <w:szCs w:val="18"/>
              </w:rPr>
              <w:t xml:space="preserve"> by UNDP, in response to demand from programme countries)</w:t>
            </w:r>
          </w:p>
        </w:tc>
        <w:tc>
          <w:tcPr>
            <w:tcW w:w="1350" w:type="dxa"/>
            <w:vMerge w:val="restart"/>
            <w:tcBorders>
              <w:top w:val="single" w:sz="4" w:space="0" w:color="auto"/>
              <w:left w:val="single" w:sz="4" w:space="0" w:color="auto"/>
              <w:right w:val="single" w:sz="4" w:space="0" w:color="auto"/>
            </w:tcBorders>
            <w:shd w:val="clear" w:color="auto" w:fill="DAEEF3"/>
          </w:tcPr>
          <w:p w14:paraId="00ACA7FB" w14:textId="2937E023" w:rsidR="00BE7BDE" w:rsidRPr="00B66E9F" w:rsidRDefault="00BE7BDE" w:rsidP="004F5331">
            <w:pPr>
              <w:spacing w:after="0" w:line="240" w:lineRule="auto"/>
              <w:jc w:val="center"/>
              <w:rPr>
                <w:rFonts w:eastAsia="Calibri"/>
                <w:b/>
                <w:sz w:val="20"/>
                <w:szCs w:val="20"/>
              </w:rPr>
            </w:pPr>
            <w:r w:rsidRPr="00B66E9F">
              <w:rPr>
                <w:rFonts w:eastAsia="Calibri"/>
                <w:b/>
                <w:sz w:val="20"/>
                <w:szCs w:val="20"/>
              </w:rPr>
              <w:t>Baseline</w:t>
            </w:r>
          </w:p>
        </w:tc>
        <w:tc>
          <w:tcPr>
            <w:tcW w:w="2520" w:type="dxa"/>
            <w:gridSpan w:val="3"/>
            <w:tcBorders>
              <w:top w:val="single" w:sz="4" w:space="0" w:color="auto"/>
              <w:left w:val="single" w:sz="4" w:space="0" w:color="auto"/>
              <w:bottom w:val="single" w:sz="4" w:space="0" w:color="auto"/>
              <w:right w:val="single" w:sz="4" w:space="0" w:color="auto"/>
            </w:tcBorders>
            <w:shd w:val="clear" w:color="auto" w:fill="DAEEF3"/>
          </w:tcPr>
          <w:p w14:paraId="0D88E42A" w14:textId="62FCE37F" w:rsidR="00BE7BDE" w:rsidRPr="00B66E9F" w:rsidRDefault="00BE7BDE" w:rsidP="004F5331">
            <w:pPr>
              <w:spacing w:after="0" w:line="240" w:lineRule="auto"/>
              <w:jc w:val="center"/>
              <w:rPr>
                <w:rFonts w:eastAsia="Calibri"/>
                <w:b/>
                <w:sz w:val="20"/>
                <w:szCs w:val="20"/>
              </w:rPr>
            </w:pPr>
            <w:r w:rsidRPr="00B66E9F">
              <w:rPr>
                <w:rFonts w:eastAsia="Calibri"/>
                <w:b/>
                <w:sz w:val="20"/>
                <w:szCs w:val="20"/>
              </w:rPr>
              <w:t>Milestones</w:t>
            </w:r>
          </w:p>
        </w:tc>
        <w:tc>
          <w:tcPr>
            <w:tcW w:w="1170" w:type="dxa"/>
            <w:vMerge w:val="restart"/>
            <w:tcBorders>
              <w:top w:val="single" w:sz="4" w:space="0" w:color="auto"/>
              <w:left w:val="single" w:sz="4" w:space="0" w:color="auto"/>
              <w:right w:val="single" w:sz="4" w:space="0" w:color="auto"/>
            </w:tcBorders>
            <w:shd w:val="clear" w:color="auto" w:fill="DAEEF3"/>
          </w:tcPr>
          <w:p w14:paraId="100542CD" w14:textId="7ABC9BB4" w:rsidR="00BE7BDE" w:rsidRPr="00B66E9F" w:rsidRDefault="00BE7BDE" w:rsidP="004F5331">
            <w:pPr>
              <w:spacing w:after="0" w:line="240" w:lineRule="auto"/>
              <w:jc w:val="center"/>
              <w:rPr>
                <w:rFonts w:eastAsia="Calibri"/>
                <w:b/>
                <w:sz w:val="20"/>
                <w:szCs w:val="20"/>
              </w:rPr>
            </w:pPr>
            <w:r w:rsidRPr="00B66E9F">
              <w:rPr>
                <w:rFonts w:eastAsia="Calibri"/>
                <w:b/>
                <w:sz w:val="20"/>
                <w:szCs w:val="20"/>
              </w:rPr>
              <w:t>Target</w:t>
            </w:r>
          </w:p>
        </w:tc>
      </w:tr>
      <w:tr w:rsidR="00BE7BDE" w:rsidRPr="00283732" w14:paraId="53840BA6" w14:textId="77777777" w:rsidTr="00FA5A5E">
        <w:trPr>
          <w:trHeight w:val="260"/>
          <w:tblHeader/>
          <w:jc w:val="center"/>
        </w:trPr>
        <w:tc>
          <w:tcPr>
            <w:tcW w:w="3325" w:type="dxa"/>
            <w:gridSpan w:val="2"/>
            <w:vMerge/>
            <w:tcBorders>
              <w:left w:val="single" w:sz="4" w:space="0" w:color="auto"/>
              <w:right w:val="single" w:sz="4" w:space="0" w:color="auto"/>
            </w:tcBorders>
            <w:shd w:val="clear" w:color="auto" w:fill="DAEEF3"/>
          </w:tcPr>
          <w:p w14:paraId="5C650548" w14:textId="77777777" w:rsidR="00BE7BDE" w:rsidRPr="00B66E9F" w:rsidRDefault="00BE7BDE" w:rsidP="00561FD7">
            <w:pPr>
              <w:spacing w:after="0" w:line="240" w:lineRule="auto"/>
              <w:rPr>
                <w:rFonts w:eastAsia="Calibri"/>
                <w:sz w:val="20"/>
                <w:szCs w:val="20"/>
              </w:rPr>
            </w:pPr>
          </w:p>
        </w:tc>
        <w:tc>
          <w:tcPr>
            <w:tcW w:w="5940" w:type="dxa"/>
            <w:gridSpan w:val="2"/>
            <w:vMerge/>
            <w:tcBorders>
              <w:left w:val="single" w:sz="4" w:space="0" w:color="auto"/>
              <w:right w:val="single" w:sz="4" w:space="0" w:color="auto"/>
            </w:tcBorders>
            <w:shd w:val="clear" w:color="auto" w:fill="DAEEF3"/>
          </w:tcPr>
          <w:p w14:paraId="2A888DB9" w14:textId="77777777" w:rsidR="00BE7BDE" w:rsidRPr="00B66E9F" w:rsidRDefault="00BE7BDE" w:rsidP="002E4667">
            <w:pPr>
              <w:spacing w:after="0" w:line="240" w:lineRule="auto"/>
              <w:rPr>
                <w:rFonts w:eastAsia="Calibri"/>
                <w:b/>
                <w:sz w:val="20"/>
                <w:szCs w:val="20"/>
              </w:rPr>
            </w:pPr>
          </w:p>
        </w:tc>
        <w:tc>
          <w:tcPr>
            <w:tcW w:w="1350" w:type="dxa"/>
            <w:vMerge/>
            <w:tcBorders>
              <w:left w:val="single" w:sz="4" w:space="0" w:color="auto"/>
              <w:bottom w:val="single" w:sz="4" w:space="0" w:color="auto"/>
              <w:right w:val="single" w:sz="4" w:space="0" w:color="auto"/>
            </w:tcBorders>
            <w:shd w:val="clear" w:color="auto" w:fill="DAEEF3"/>
          </w:tcPr>
          <w:p w14:paraId="53B1C1A1" w14:textId="77777777" w:rsidR="00BE7BDE" w:rsidRPr="00B66E9F" w:rsidRDefault="00BE7BDE" w:rsidP="001A6515">
            <w:pPr>
              <w:spacing w:after="0" w:line="240" w:lineRule="auto"/>
              <w:jc w:val="center"/>
              <w:rPr>
                <w:rFonts w:eastAsia="Calibri"/>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DAEEF3"/>
            <w:vAlign w:val="center"/>
          </w:tcPr>
          <w:p w14:paraId="7C9C94C4" w14:textId="0F6888A1" w:rsidR="00BE7BDE" w:rsidRPr="00B66E9F" w:rsidRDefault="00BE7BDE" w:rsidP="00E764BE">
            <w:pPr>
              <w:spacing w:after="0" w:line="240" w:lineRule="auto"/>
              <w:jc w:val="center"/>
              <w:rPr>
                <w:rFonts w:eastAsia="Calibri"/>
                <w:b/>
                <w:sz w:val="20"/>
                <w:szCs w:val="20"/>
              </w:rPr>
            </w:pPr>
            <w:r>
              <w:rPr>
                <w:rFonts w:eastAsia="Calibri"/>
                <w:b/>
                <w:sz w:val="20"/>
                <w:szCs w:val="20"/>
              </w:rPr>
              <w:t>Planned</w:t>
            </w:r>
          </w:p>
        </w:tc>
        <w:tc>
          <w:tcPr>
            <w:tcW w:w="1350"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14:paraId="655E2C01" w14:textId="64C08F57" w:rsidR="00BE7BDE" w:rsidRPr="00B66E9F" w:rsidRDefault="00BE7BDE" w:rsidP="00E764BE">
            <w:pPr>
              <w:spacing w:after="0" w:line="240" w:lineRule="auto"/>
              <w:jc w:val="center"/>
              <w:rPr>
                <w:rFonts w:eastAsia="Calibri"/>
                <w:b/>
                <w:sz w:val="20"/>
                <w:szCs w:val="20"/>
              </w:rPr>
            </w:pPr>
            <w:r>
              <w:rPr>
                <w:rFonts w:eastAsia="Calibri"/>
                <w:b/>
                <w:sz w:val="20"/>
                <w:szCs w:val="20"/>
              </w:rPr>
              <w:t>Actual</w:t>
            </w:r>
          </w:p>
        </w:tc>
        <w:tc>
          <w:tcPr>
            <w:tcW w:w="1170" w:type="dxa"/>
            <w:vMerge/>
            <w:tcBorders>
              <w:left w:val="single" w:sz="4" w:space="0" w:color="auto"/>
              <w:bottom w:val="single" w:sz="4" w:space="0" w:color="auto"/>
              <w:right w:val="single" w:sz="4" w:space="0" w:color="auto"/>
            </w:tcBorders>
            <w:shd w:val="clear" w:color="auto" w:fill="DAEEF3"/>
          </w:tcPr>
          <w:p w14:paraId="68CB1F7E" w14:textId="77777777" w:rsidR="00BE7BDE" w:rsidRPr="00B66E9F" w:rsidRDefault="00BE7BDE" w:rsidP="001A6515">
            <w:pPr>
              <w:spacing w:after="0" w:line="240" w:lineRule="auto"/>
              <w:jc w:val="center"/>
              <w:rPr>
                <w:rFonts w:eastAsia="Calibri"/>
                <w:b/>
                <w:sz w:val="20"/>
                <w:szCs w:val="20"/>
              </w:rPr>
            </w:pPr>
          </w:p>
        </w:tc>
      </w:tr>
      <w:tr w:rsidR="00BE7BDE" w:rsidRPr="00283732" w14:paraId="00A1CD91" w14:textId="77777777" w:rsidTr="00FA5A5E">
        <w:trPr>
          <w:trHeight w:val="260"/>
          <w:tblHeader/>
          <w:jc w:val="center"/>
        </w:trPr>
        <w:tc>
          <w:tcPr>
            <w:tcW w:w="3325" w:type="dxa"/>
            <w:gridSpan w:val="2"/>
            <w:vMerge/>
            <w:tcBorders>
              <w:left w:val="single" w:sz="4" w:space="0" w:color="auto"/>
              <w:bottom w:val="single" w:sz="4" w:space="0" w:color="auto"/>
              <w:right w:val="single" w:sz="4" w:space="0" w:color="auto"/>
            </w:tcBorders>
            <w:shd w:val="clear" w:color="auto" w:fill="DAEEF3"/>
          </w:tcPr>
          <w:p w14:paraId="1DEDC163" w14:textId="77777777" w:rsidR="00BE7BDE" w:rsidRPr="00B66E9F" w:rsidRDefault="00BE7BDE" w:rsidP="002E4667">
            <w:pPr>
              <w:spacing w:after="0" w:line="240" w:lineRule="auto"/>
              <w:rPr>
                <w:rFonts w:eastAsia="Calibri"/>
                <w:sz w:val="20"/>
                <w:szCs w:val="20"/>
              </w:rPr>
            </w:pPr>
          </w:p>
        </w:tc>
        <w:tc>
          <w:tcPr>
            <w:tcW w:w="5940" w:type="dxa"/>
            <w:gridSpan w:val="2"/>
            <w:vMerge/>
            <w:tcBorders>
              <w:left w:val="single" w:sz="4" w:space="0" w:color="auto"/>
              <w:bottom w:val="single" w:sz="4" w:space="0" w:color="auto"/>
              <w:right w:val="single" w:sz="4" w:space="0" w:color="auto"/>
            </w:tcBorders>
            <w:shd w:val="clear" w:color="auto" w:fill="DAEEF3"/>
          </w:tcPr>
          <w:p w14:paraId="4520A4F1" w14:textId="77777777" w:rsidR="00BE7BDE" w:rsidRPr="00B66E9F" w:rsidRDefault="00BE7BDE" w:rsidP="002E4667">
            <w:pPr>
              <w:spacing w:after="0" w:line="240" w:lineRule="auto"/>
              <w:rPr>
                <w:rFonts w:eastAsia="Calibri"/>
                <w:b/>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DAEEF3"/>
          </w:tcPr>
          <w:p w14:paraId="10649150" w14:textId="77777777" w:rsidR="00BE7BDE" w:rsidRPr="00C673E2" w:rsidRDefault="00BE7BDE" w:rsidP="001A6515">
            <w:pPr>
              <w:spacing w:after="0" w:line="240" w:lineRule="auto"/>
              <w:jc w:val="center"/>
              <w:rPr>
                <w:rFonts w:eastAsia="Calibri"/>
                <w:b/>
                <w:sz w:val="20"/>
                <w:szCs w:val="20"/>
              </w:rPr>
            </w:pPr>
            <w:r w:rsidRPr="00C673E2">
              <w:rPr>
                <w:rFonts w:eastAsia="Calibri"/>
                <w:b/>
                <w:sz w:val="20"/>
                <w:szCs w:val="20"/>
              </w:rPr>
              <w:t>2013</w:t>
            </w:r>
          </w:p>
        </w:tc>
        <w:tc>
          <w:tcPr>
            <w:tcW w:w="1170" w:type="dxa"/>
            <w:tcBorders>
              <w:top w:val="single" w:sz="4" w:space="0" w:color="auto"/>
              <w:left w:val="single" w:sz="4" w:space="0" w:color="auto"/>
              <w:bottom w:val="single" w:sz="4" w:space="0" w:color="auto"/>
              <w:right w:val="single" w:sz="4" w:space="0" w:color="auto"/>
            </w:tcBorders>
            <w:shd w:val="clear" w:color="auto" w:fill="DAEEF3"/>
          </w:tcPr>
          <w:p w14:paraId="7D2762C8" w14:textId="77777777" w:rsidR="00BE7BDE" w:rsidRPr="00C673E2" w:rsidRDefault="00BE7BDE" w:rsidP="001A6515">
            <w:pPr>
              <w:spacing w:after="0" w:line="240" w:lineRule="auto"/>
              <w:jc w:val="center"/>
              <w:rPr>
                <w:rFonts w:eastAsia="Calibri"/>
                <w:b/>
                <w:sz w:val="20"/>
                <w:szCs w:val="20"/>
              </w:rPr>
            </w:pPr>
            <w:r w:rsidRPr="00C673E2">
              <w:rPr>
                <w:rFonts w:eastAsia="Calibri"/>
                <w:b/>
                <w:sz w:val="20"/>
                <w:szCs w:val="20"/>
              </w:rPr>
              <w:t>2014</w:t>
            </w:r>
          </w:p>
        </w:tc>
        <w:tc>
          <w:tcPr>
            <w:tcW w:w="1350" w:type="dxa"/>
            <w:gridSpan w:val="2"/>
            <w:tcBorders>
              <w:top w:val="single" w:sz="4" w:space="0" w:color="auto"/>
              <w:left w:val="single" w:sz="4" w:space="0" w:color="auto"/>
              <w:bottom w:val="single" w:sz="4" w:space="0" w:color="auto"/>
              <w:right w:val="single" w:sz="4" w:space="0" w:color="auto"/>
            </w:tcBorders>
            <w:shd w:val="clear" w:color="auto" w:fill="DAEEF3"/>
          </w:tcPr>
          <w:p w14:paraId="6B057FC0" w14:textId="2E9E2A8A" w:rsidR="00BE7BDE" w:rsidRPr="00C673E2" w:rsidRDefault="00BE7BDE" w:rsidP="001A6515">
            <w:pPr>
              <w:spacing w:after="0" w:line="240" w:lineRule="auto"/>
              <w:jc w:val="center"/>
              <w:rPr>
                <w:rFonts w:eastAsia="Calibri"/>
                <w:b/>
                <w:sz w:val="20"/>
                <w:szCs w:val="20"/>
              </w:rPr>
            </w:pPr>
            <w:r>
              <w:rPr>
                <w:rFonts w:eastAsia="Calibri"/>
                <w:b/>
                <w:sz w:val="20"/>
                <w:szCs w:val="20"/>
              </w:rPr>
              <w:t>2014</w:t>
            </w:r>
          </w:p>
        </w:tc>
        <w:tc>
          <w:tcPr>
            <w:tcW w:w="1170" w:type="dxa"/>
            <w:tcBorders>
              <w:top w:val="single" w:sz="4" w:space="0" w:color="auto"/>
              <w:left w:val="single" w:sz="4" w:space="0" w:color="auto"/>
              <w:bottom w:val="single" w:sz="4" w:space="0" w:color="auto"/>
              <w:right w:val="single" w:sz="4" w:space="0" w:color="auto"/>
            </w:tcBorders>
            <w:shd w:val="clear" w:color="auto" w:fill="DAEEF3"/>
          </w:tcPr>
          <w:p w14:paraId="4D02D492" w14:textId="77777777" w:rsidR="00BE7BDE" w:rsidRPr="00C673E2" w:rsidRDefault="00BE7BDE" w:rsidP="001A6515">
            <w:pPr>
              <w:spacing w:after="0" w:line="240" w:lineRule="auto"/>
              <w:jc w:val="center"/>
              <w:rPr>
                <w:rFonts w:eastAsia="Calibri"/>
                <w:b/>
                <w:sz w:val="20"/>
                <w:szCs w:val="20"/>
              </w:rPr>
            </w:pPr>
            <w:r w:rsidRPr="00C673E2">
              <w:rPr>
                <w:rFonts w:eastAsia="Calibri"/>
                <w:b/>
                <w:sz w:val="20"/>
                <w:szCs w:val="20"/>
              </w:rPr>
              <w:t>2017</w:t>
            </w:r>
          </w:p>
        </w:tc>
      </w:tr>
      <w:tr w:rsidR="00BE7BDE" w:rsidRPr="00283732" w14:paraId="60A7F9CB" w14:textId="77777777" w:rsidTr="00F4739A">
        <w:trPr>
          <w:trHeight w:val="530"/>
          <w:jc w:val="center"/>
        </w:trPr>
        <w:tc>
          <w:tcPr>
            <w:tcW w:w="3325" w:type="dxa"/>
            <w:gridSpan w:val="2"/>
            <w:vMerge w:val="restart"/>
            <w:tcBorders>
              <w:top w:val="single" w:sz="4" w:space="0" w:color="auto"/>
              <w:left w:val="single" w:sz="4" w:space="0" w:color="auto"/>
              <w:right w:val="single" w:sz="4" w:space="0" w:color="auto"/>
            </w:tcBorders>
            <w:shd w:val="clear" w:color="auto" w:fill="FFFFFF" w:themeFill="background1"/>
            <w:hideMark/>
          </w:tcPr>
          <w:p w14:paraId="5A57F610" w14:textId="1EB9D7E5" w:rsidR="00BE7BDE" w:rsidRDefault="00BE7BDE" w:rsidP="00A25356">
            <w:pPr>
              <w:spacing w:after="0" w:line="240" w:lineRule="auto"/>
              <w:rPr>
                <w:rFonts w:eastAsia="Calibri"/>
                <w:color w:val="000000"/>
                <w:sz w:val="20"/>
                <w:szCs w:val="20"/>
              </w:rPr>
            </w:pPr>
            <w:r w:rsidRPr="0066408A">
              <w:rPr>
                <w:rFonts w:eastAsia="Calibri"/>
                <w:b/>
                <w:sz w:val="20"/>
                <w:szCs w:val="20"/>
              </w:rPr>
              <w:t>Output 7.1.</w:t>
            </w:r>
            <w:r w:rsidRPr="0066408A">
              <w:rPr>
                <w:rFonts w:eastAsia="Calibri"/>
                <w:sz w:val="20"/>
                <w:szCs w:val="20"/>
              </w:rPr>
              <w:t xml:space="preserve"> </w:t>
            </w:r>
            <w:r w:rsidRPr="0066408A">
              <w:rPr>
                <w:rFonts w:eastAsia="Calibri"/>
                <w:color w:val="000000"/>
                <w:sz w:val="20"/>
                <w:szCs w:val="20"/>
              </w:rPr>
              <w:t>Global consensus on completion of MDGs and the post 2015 agenda info</w:t>
            </w:r>
            <w:r w:rsidR="00573503" w:rsidRPr="0066408A">
              <w:rPr>
                <w:rFonts w:eastAsia="Calibri"/>
                <w:color w:val="000000"/>
                <w:sz w:val="20"/>
                <w:szCs w:val="20"/>
              </w:rPr>
              <w:t>rmed by contributions from UNDP</w:t>
            </w:r>
          </w:p>
          <w:p w14:paraId="7B879B1A" w14:textId="77777777" w:rsidR="00BE7BDE" w:rsidRDefault="00BE7BDE" w:rsidP="00A25356">
            <w:pPr>
              <w:spacing w:after="0" w:line="240" w:lineRule="auto"/>
              <w:rPr>
                <w:rFonts w:eastAsia="Calibri"/>
                <w:sz w:val="20"/>
                <w:szCs w:val="20"/>
              </w:rPr>
            </w:pPr>
          </w:p>
          <w:p w14:paraId="7DCA046C" w14:textId="0ABBFFCC" w:rsidR="00460746" w:rsidRDefault="00775E89" w:rsidP="00460746">
            <w:pPr>
              <w:spacing w:after="0" w:line="240" w:lineRule="auto"/>
              <w:rPr>
                <w:rFonts w:ascii="Calibri" w:eastAsia="Calibri" w:hAnsi="Calibri"/>
                <w:b/>
                <w:color w:val="000000"/>
                <w:sz w:val="18"/>
                <w:szCs w:val="18"/>
              </w:rPr>
            </w:pPr>
            <w:r>
              <w:rPr>
                <w:rFonts w:ascii="Calibri" w:eastAsia="Calibri" w:hAnsi="Calibri"/>
                <w:b/>
                <w:i/>
                <w:color w:val="000000"/>
                <w:sz w:val="18"/>
                <w:szCs w:val="18"/>
              </w:rPr>
              <w:t>Contributing units:</w:t>
            </w:r>
            <w:r w:rsidR="00460746" w:rsidRPr="00B359E7">
              <w:rPr>
                <w:rFonts w:ascii="Calibri" w:eastAsia="Calibri" w:hAnsi="Calibri"/>
                <w:b/>
                <w:i/>
                <w:color w:val="000000"/>
                <w:sz w:val="18"/>
                <w:szCs w:val="18"/>
              </w:rPr>
              <w:t>:</w:t>
            </w:r>
            <w:r w:rsidR="00460746">
              <w:rPr>
                <w:rFonts w:ascii="Calibri" w:eastAsia="Calibri" w:hAnsi="Calibri"/>
                <w:b/>
                <w:color w:val="000000"/>
                <w:sz w:val="18"/>
                <w:szCs w:val="18"/>
              </w:rPr>
              <w:t xml:space="preserve"> BPPS</w:t>
            </w:r>
          </w:p>
          <w:p w14:paraId="31AA5C00" w14:textId="4A188EE8" w:rsidR="00BE7BDE" w:rsidRPr="008C4519" w:rsidRDefault="00460746" w:rsidP="00460746">
            <w:pPr>
              <w:spacing w:after="0" w:line="240" w:lineRule="auto"/>
              <w:rPr>
                <w:rFonts w:eastAsia="Calibri"/>
                <w:color w:val="000000"/>
                <w:sz w:val="20"/>
              </w:rPr>
            </w:pPr>
            <w:r>
              <w:rPr>
                <w:rFonts w:ascii="Calibri" w:eastAsia="Calibri" w:hAnsi="Calibri"/>
                <w:b/>
                <w:color w:val="000000"/>
                <w:sz w:val="18"/>
                <w:szCs w:val="18"/>
              </w:rPr>
              <w:t>(February 2015</w:t>
            </w:r>
            <w:r w:rsidRPr="00B359E7">
              <w:rPr>
                <w:rFonts w:ascii="Calibri" w:eastAsia="Calibri" w:hAnsi="Calibri"/>
                <w:b/>
                <w:color w:val="000000"/>
                <w:sz w:val="18"/>
                <w:szCs w:val="18"/>
              </w:rPr>
              <w:t>)</w:t>
            </w:r>
          </w:p>
        </w:tc>
        <w:tc>
          <w:tcPr>
            <w:tcW w:w="720" w:type="dxa"/>
            <w:vMerge w:val="restart"/>
            <w:tcBorders>
              <w:top w:val="single" w:sz="4" w:space="0" w:color="auto"/>
              <w:left w:val="single" w:sz="4" w:space="0" w:color="auto"/>
              <w:right w:val="single" w:sz="4" w:space="0" w:color="auto"/>
            </w:tcBorders>
            <w:shd w:val="clear" w:color="auto" w:fill="FFFFFF" w:themeFill="background1"/>
            <w:hideMark/>
          </w:tcPr>
          <w:p w14:paraId="6F984A1B" w14:textId="77777777" w:rsidR="00BE7BDE" w:rsidRPr="0032657A" w:rsidRDefault="00BE7BDE" w:rsidP="00A25356">
            <w:pPr>
              <w:spacing w:after="0" w:line="240" w:lineRule="auto"/>
              <w:jc w:val="both"/>
              <w:rPr>
                <w:rFonts w:eastAsia="Calibri"/>
                <w:b/>
                <w:sz w:val="20"/>
                <w:szCs w:val="20"/>
              </w:rPr>
            </w:pPr>
            <w:r w:rsidRPr="0032657A">
              <w:rPr>
                <w:rFonts w:eastAsia="Calibri"/>
                <w:b/>
                <w:sz w:val="20"/>
                <w:szCs w:val="20"/>
              </w:rPr>
              <w:t>7.1.1</w:t>
            </w:r>
          </w:p>
        </w:tc>
        <w:tc>
          <w:tcPr>
            <w:tcW w:w="5220" w:type="dxa"/>
            <w:tcBorders>
              <w:top w:val="single" w:sz="4" w:space="0" w:color="auto"/>
              <w:left w:val="single" w:sz="4" w:space="0" w:color="auto"/>
              <w:right w:val="single" w:sz="4" w:space="0" w:color="auto"/>
            </w:tcBorders>
            <w:shd w:val="clear" w:color="auto" w:fill="FFFFFF" w:themeFill="background1"/>
            <w:hideMark/>
          </w:tcPr>
          <w:p w14:paraId="405FF368" w14:textId="77777777" w:rsidR="00BE7BDE" w:rsidRDefault="00BE7BDE" w:rsidP="00A25356">
            <w:pPr>
              <w:spacing w:after="0" w:line="240" w:lineRule="auto"/>
              <w:rPr>
                <w:rFonts w:eastAsia="Calibri"/>
                <w:sz w:val="20"/>
                <w:szCs w:val="20"/>
              </w:rPr>
            </w:pPr>
            <w:r w:rsidRPr="00B66E9F">
              <w:rPr>
                <w:rFonts w:eastAsia="Calibri"/>
                <w:sz w:val="20"/>
                <w:szCs w:val="20"/>
              </w:rPr>
              <w:t xml:space="preserve">Number of organizations and of people </w:t>
            </w:r>
            <w:r w:rsidRPr="00B66E9F">
              <w:rPr>
                <w:rFonts w:eastAsia="Calibri"/>
                <w:b/>
                <w:sz w:val="20"/>
                <w:szCs w:val="20"/>
              </w:rPr>
              <w:t>participating in dialogues</w:t>
            </w:r>
            <w:r w:rsidRPr="00B66E9F">
              <w:rPr>
                <w:rFonts w:eastAsia="Calibri"/>
                <w:sz w:val="20"/>
                <w:szCs w:val="20"/>
              </w:rPr>
              <w:t xml:space="preserve"> on the </w:t>
            </w:r>
            <w:r w:rsidRPr="00B66E9F">
              <w:rPr>
                <w:rFonts w:eastAsia="Calibri"/>
                <w:b/>
                <w:sz w:val="20"/>
                <w:szCs w:val="20"/>
              </w:rPr>
              <w:t>post 2015 agenda and sustainable development goals</w:t>
            </w:r>
            <w:r w:rsidRPr="00B66E9F">
              <w:rPr>
                <w:rFonts w:eastAsia="Calibri"/>
                <w:sz w:val="20"/>
                <w:szCs w:val="20"/>
              </w:rPr>
              <w:t xml:space="preserve"> (disaggregated by type of organization – e.g. government, civil society and women’s organizations)</w:t>
            </w:r>
          </w:p>
          <w:p w14:paraId="3C09B187" w14:textId="77777777" w:rsidR="00BE7BDE" w:rsidRDefault="00BE7BDE" w:rsidP="006F161D">
            <w:pPr>
              <w:pStyle w:val="ListParagraph"/>
              <w:numPr>
                <w:ilvl w:val="1"/>
                <w:numId w:val="14"/>
              </w:numPr>
              <w:rPr>
                <w:rFonts w:eastAsia="Calibri"/>
                <w:sz w:val="20"/>
                <w:szCs w:val="20"/>
              </w:rPr>
            </w:pPr>
            <w:r>
              <w:rPr>
                <w:rFonts w:eastAsia="Calibri"/>
                <w:sz w:val="20"/>
                <w:szCs w:val="20"/>
              </w:rPr>
              <w:t>Number of government organizations</w:t>
            </w:r>
          </w:p>
          <w:p w14:paraId="5AEC4C3A" w14:textId="77777777" w:rsidR="00BE7BDE" w:rsidRDefault="00BE7BDE" w:rsidP="006F161D">
            <w:pPr>
              <w:pStyle w:val="ListParagraph"/>
              <w:numPr>
                <w:ilvl w:val="1"/>
                <w:numId w:val="14"/>
              </w:numPr>
              <w:rPr>
                <w:rFonts w:eastAsia="Calibri"/>
                <w:sz w:val="20"/>
                <w:szCs w:val="20"/>
              </w:rPr>
            </w:pPr>
            <w:r>
              <w:rPr>
                <w:rFonts w:eastAsia="Calibri"/>
                <w:sz w:val="20"/>
                <w:szCs w:val="20"/>
              </w:rPr>
              <w:t>Number of civil society organizations</w:t>
            </w:r>
          </w:p>
          <w:p w14:paraId="36353226" w14:textId="77777777" w:rsidR="00BE7BDE" w:rsidRDefault="00BE7BDE" w:rsidP="006F161D">
            <w:pPr>
              <w:pStyle w:val="ListParagraph"/>
              <w:numPr>
                <w:ilvl w:val="1"/>
                <w:numId w:val="14"/>
              </w:numPr>
              <w:rPr>
                <w:rFonts w:eastAsia="Calibri"/>
                <w:sz w:val="20"/>
                <w:szCs w:val="20"/>
              </w:rPr>
            </w:pPr>
            <w:r>
              <w:rPr>
                <w:rFonts w:eastAsia="Calibri"/>
                <w:sz w:val="20"/>
                <w:szCs w:val="20"/>
              </w:rPr>
              <w:t>Number of women’s organizations</w:t>
            </w:r>
          </w:p>
          <w:p w14:paraId="31D1B6EB" w14:textId="77777777" w:rsidR="00BE7BDE" w:rsidRPr="00A7224E" w:rsidRDefault="00BE7BDE" w:rsidP="006F161D">
            <w:pPr>
              <w:pStyle w:val="ListParagraph"/>
              <w:numPr>
                <w:ilvl w:val="1"/>
                <w:numId w:val="14"/>
              </w:numPr>
              <w:rPr>
                <w:rFonts w:eastAsia="Calibri"/>
                <w:sz w:val="20"/>
                <w:szCs w:val="20"/>
              </w:rPr>
            </w:pPr>
            <w:r>
              <w:rPr>
                <w:rFonts w:eastAsia="Calibri"/>
                <w:sz w:val="20"/>
                <w:szCs w:val="20"/>
              </w:rPr>
              <w:t>Number of people</w:t>
            </w:r>
          </w:p>
        </w:tc>
        <w:tc>
          <w:tcPr>
            <w:tcW w:w="1350" w:type="dxa"/>
            <w:tcBorders>
              <w:top w:val="single" w:sz="4" w:space="0" w:color="auto"/>
              <w:left w:val="single" w:sz="4" w:space="0" w:color="auto"/>
              <w:right w:val="single" w:sz="4" w:space="0" w:color="auto"/>
            </w:tcBorders>
            <w:shd w:val="clear" w:color="auto" w:fill="FFFFFF" w:themeFill="background1"/>
            <w:vAlign w:val="bottom"/>
          </w:tcPr>
          <w:p w14:paraId="55E962C0" w14:textId="77777777" w:rsidR="00F4739A" w:rsidRDefault="00F4739A" w:rsidP="00A25356">
            <w:pPr>
              <w:spacing w:after="0" w:line="240" w:lineRule="auto"/>
              <w:jc w:val="right"/>
              <w:rPr>
                <w:rFonts w:eastAsia="Calibri"/>
                <w:sz w:val="20"/>
                <w:szCs w:val="20"/>
              </w:rPr>
            </w:pPr>
          </w:p>
          <w:p w14:paraId="757E3F6E" w14:textId="77777777" w:rsidR="00F4739A" w:rsidRDefault="00F4739A" w:rsidP="00A25356">
            <w:pPr>
              <w:spacing w:after="0" w:line="240" w:lineRule="auto"/>
              <w:jc w:val="right"/>
              <w:rPr>
                <w:rFonts w:eastAsia="Calibri"/>
                <w:sz w:val="20"/>
                <w:szCs w:val="20"/>
              </w:rPr>
            </w:pPr>
          </w:p>
          <w:p w14:paraId="07545D72" w14:textId="77777777" w:rsidR="00F4739A" w:rsidRDefault="00F4739A" w:rsidP="00A25356">
            <w:pPr>
              <w:spacing w:after="0" w:line="240" w:lineRule="auto"/>
              <w:jc w:val="right"/>
              <w:rPr>
                <w:rFonts w:eastAsia="Calibri"/>
                <w:sz w:val="20"/>
                <w:szCs w:val="20"/>
              </w:rPr>
            </w:pPr>
          </w:p>
          <w:p w14:paraId="4A9182E7" w14:textId="77777777" w:rsidR="00F4739A" w:rsidRDefault="00F4739A" w:rsidP="00A25356">
            <w:pPr>
              <w:spacing w:after="0" w:line="240" w:lineRule="auto"/>
              <w:jc w:val="right"/>
              <w:rPr>
                <w:rFonts w:eastAsia="Calibri"/>
                <w:sz w:val="20"/>
                <w:szCs w:val="20"/>
              </w:rPr>
            </w:pPr>
          </w:p>
          <w:p w14:paraId="55632A6A" w14:textId="77777777" w:rsidR="00BE7BDE" w:rsidRDefault="00BE7BDE" w:rsidP="00A25356">
            <w:pPr>
              <w:spacing w:after="0" w:line="240" w:lineRule="auto"/>
              <w:jc w:val="right"/>
              <w:rPr>
                <w:rFonts w:eastAsia="Calibri"/>
                <w:sz w:val="20"/>
                <w:szCs w:val="20"/>
              </w:rPr>
            </w:pPr>
            <w:r>
              <w:rPr>
                <w:rFonts w:eastAsia="Calibri"/>
                <w:sz w:val="20"/>
                <w:szCs w:val="20"/>
              </w:rPr>
              <w:t>969</w:t>
            </w:r>
          </w:p>
          <w:p w14:paraId="585F0491" w14:textId="77777777" w:rsidR="00BE7BDE" w:rsidRDefault="00BE7BDE" w:rsidP="00A25356">
            <w:pPr>
              <w:spacing w:after="0" w:line="240" w:lineRule="auto"/>
              <w:jc w:val="right"/>
              <w:rPr>
                <w:rFonts w:eastAsia="Calibri"/>
                <w:sz w:val="20"/>
                <w:szCs w:val="20"/>
              </w:rPr>
            </w:pPr>
            <w:r>
              <w:rPr>
                <w:rFonts w:eastAsia="Calibri"/>
                <w:sz w:val="20"/>
                <w:szCs w:val="20"/>
              </w:rPr>
              <w:t>1,987</w:t>
            </w:r>
          </w:p>
          <w:p w14:paraId="503F0345" w14:textId="77777777" w:rsidR="00BE7BDE" w:rsidRDefault="00BE7BDE" w:rsidP="00A25356">
            <w:pPr>
              <w:spacing w:after="0" w:line="240" w:lineRule="auto"/>
              <w:jc w:val="right"/>
              <w:rPr>
                <w:rFonts w:eastAsia="Calibri"/>
                <w:sz w:val="20"/>
                <w:szCs w:val="20"/>
              </w:rPr>
            </w:pPr>
            <w:r>
              <w:rPr>
                <w:rFonts w:eastAsia="Calibri"/>
                <w:sz w:val="20"/>
                <w:szCs w:val="20"/>
              </w:rPr>
              <w:t>659</w:t>
            </w:r>
          </w:p>
          <w:p w14:paraId="18917554" w14:textId="77777777" w:rsidR="00BE7BDE" w:rsidRDefault="00BE7BDE" w:rsidP="00A25356">
            <w:pPr>
              <w:spacing w:after="0" w:line="240" w:lineRule="auto"/>
              <w:jc w:val="right"/>
              <w:rPr>
                <w:rFonts w:eastAsia="Calibri"/>
                <w:sz w:val="20"/>
                <w:szCs w:val="20"/>
              </w:rPr>
            </w:pPr>
            <w:r>
              <w:rPr>
                <w:rFonts w:eastAsia="Calibri"/>
                <w:sz w:val="20"/>
                <w:szCs w:val="20"/>
              </w:rPr>
              <w:t>1,345,772</w:t>
            </w:r>
          </w:p>
          <w:p w14:paraId="1C6D4AAE" w14:textId="77777777" w:rsidR="007B1C15" w:rsidRPr="00945015" w:rsidRDefault="007B1C15" w:rsidP="00A25356">
            <w:pPr>
              <w:spacing w:after="0" w:line="240" w:lineRule="auto"/>
              <w:jc w:val="right"/>
              <w:rPr>
                <w:rFonts w:eastAsia="Calibri"/>
                <w:sz w:val="20"/>
                <w:szCs w:val="20"/>
              </w:rPr>
            </w:pPr>
          </w:p>
        </w:tc>
        <w:tc>
          <w:tcPr>
            <w:tcW w:w="1170" w:type="dxa"/>
            <w:tcBorders>
              <w:top w:val="single" w:sz="4" w:space="0" w:color="auto"/>
              <w:left w:val="single" w:sz="4" w:space="0" w:color="auto"/>
              <w:right w:val="single" w:sz="4" w:space="0" w:color="auto"/>
            </w:tcBorders>
            <w:shd w:val="clear" w:color="auto" w:fill="FFFFFF" w:themeFill="background1"/>
            <w:vAlign w:val="bottom"/>
          </w:tcPr>
          <w:p w14:paraId="2E0D27B2" w14:textId="77777777" w:rsidR="00F4739A" w:rsidRDefault="00F4739A" w:rsidP="00A25356">
            <w:pPr>
              <w:spacing w:after="0" w:line="240" w:lineRule="auto"/>
              <w:jc w:val="right"/>
              <w:rPr>
                <w:rFonts w:eastAsia="Calibri"/>
                <w:sz w:val="20"/>
                <w:szCs w:val="20"/>
              </w:rPr>
            </w:pPr>
          </w:p>
          <w:p w14:paraId="49B89CAC" w14:textId="77777777" w:rsidR="00F4739A" w:rsidRDefault="00F4739A" w:rsidP="00A25356">
            <w:pPr>
              <w:spacing w:after="0" w:line="240" w:lineRule="auto"/>
              <w:jc w:val="right"/>
              <w:rPr>
                <w:rFonts w:eastAsia="Calibri"/>
                <w:sz w:val="20"/>
                <w:szCs w:val="20"/>
              </w:rPr>
            </w:pPr>
          </w:p>
          <w:p w14:paraId="4A5F577D" w14:textId="77777777" w:rsidR="00F4739A" w:rsidRDefault="00F4739A" w:rsidP="00A25356">
            <w:pPr>
              <w:spacing w:after="0" w:line="240" w:lineRule="auto"/>
              <w:jc w:val="right"/>
              <w:rPr>
                <w:rFonts w:eastAsia="Calibri"/>
                <w:sz w:val="20"/>
                <w:szCs w:val="20"/>
              </w:rPr>
            </w:pPr>
          </w:p>
          <w:p w14:paraId="46AC2A8E" w14:textId="77777777" w:rsidR="00F4739A" w:rsidRDefault="00F4739A" w:rsidP="00A25356">
            <w:pPr>
              <w:spacing w:after="0" w:line="240" w:lineRule="auto"/>
              <w:jc w:val="right"/>
              <w:rPr>
                <w:rFonts w:eastAsia="Calibri"/>
                <w:sz w:val="20"/>
                <w:szCs w:val="20"/>
              </w:rPr>
            </w:pPr>
          </w:p>
          <w:p w14:paraId="27D6BC2B" w14:textId="77777777" w:rsidR="00BE7BDE" w:rsidRDefault="00BE7BDE" w:rsidP="00A25356">
            <w:pPr>
              <w:spacing w:after="0" w:line="240" w:lineRule="auto"/>
              <w:jc w:val="right"/>
              <w:rPr>
                <w:rFonts w:eastAsia="Calibri"/>
                <w:sz w:val="20"/>
                <w:szCs w:val="20"/>
              </w:rPr>
            </w:pPr>
            <w:r>
              <w:rPr>
                <w:rFonts w:eastAsia="Calibri"/>
                <w:sz w:val="20"/>
                <w:szCs w:val="20"/>
              </w:rPr>
              <w:t>969</w:t>
            </w:r>
          </w:p>
          <w:p w14:paraId="73FD97FB" w14:textId="77777777" w:rsidR="00BE7BDE" w:rsidRDefault="00BE7BDE" w:rsidP="00A25356">
            <w:pPr>
              <w:spacing w:after="0" w:line="240" w:lineRule="auto"/>
              <w:jc w:val="right"/>
              <w:rPr>
                <w:rFonts w:eastAsia="Calibri"/>
                <w:sz w:val="20"/>
                <w:szCs w:val="20"/>
              </w:rPr>
            </w:pPr>
            <w:r>
              <w:rPr>
                <w:rFonts w:eastAsia="Calibri"/>
                <w:sz w:val="20"/>
                <w:szCs w:val="20"/>
              </w:rPr>
              <w:t>1,987</w:t>
            </w:r>
          </w:p>
          <w:p w14:paraId="62BC7AA2" w14:textId="77777777" w:rsidR="00BE7BDE" w:rsidRDefault="00BE7BDE" w:rsidP="00A25356">
            <w:pPr>
              <w:spacing w:after="0" w:line="240" w:lineRule="auto"/>
              <w:jc w:val="right"/>
              <w:rPr>
                <w:rFonts w:eastAsia="Calibri"/>
                <w:sz w:val="20"/>
                <w:szCs w:val="20"/>
              </w:rPr>
            </w:pPr>
            <w:r>
              <w:rPr>
                <w:rFonts w:eastAsia="Calibri"/>
                <w:sz w:val="20"/>
                <w:szCs w:val="20"/>
              </w:rPr>
              <w:t>659</w:t>
            </w:r>
          </w:p>
          <w:p w14:paraId="1F4EC3BA" w14:textId="77777777" w:rsidR="00BE7BDE" w:rsidRDefault="00BE7BDE" w:rsidP="00A25356">
            <w:pPr>
              <w:spacing w:after="0" w:line="240" w:lineRule="auto"/>
              <w:jc w:val="right"/>
              <w:rPr>
                <w:rFonts w:eastAsia="Calibri"/>
                <w:sz w:val="20"/>
                <w:szCs w:val="20"/>
              </w:rPr>
            </w:pPr>
            <w:r>
              <w:rPr>
                <w:rFonts w:eastAsia="Calibri"/>
                <w:sz w:val="20"/>
                <w:szCs w:val="20"/>
              </w:rPr>
              <w:t>1,345,772</w:t>
            </w:r>
          </w:p>
          <w:p w14:paraId="73B97BD4" w14:textId="77777777" w:rsidR="007B1C15" w:rsidRPr="00945015" w:rsidRDefault="007B1C15" w:rsidP="00A25356">
            <w:pPr>
              <w:spacing w:after="0" w:line="240" w:lineRule="auto"/>
              <w:jc w:val="right"/>
              <w:rPr>
                <w:rFonts w:eastAsia="Calibri"/>
                <w:sz w:val="20"/>
                <w:szCs w:val="20"/>
              </w:rPr>
            </w:pPr>
          </w:p>
        </w:tc>
        <w:tc>
          <w:tcPr>
            <w:tcW w:w="1350" w:type="dxa"/>
            <w:gridSpan w:val="2"/>
            <w:tcBorders>
              <w:top w:val="single" w:sz="4" w:space="0" w:color="auto"/>
              <w:left w:val="single" w:sz="4" w:space="0" w:color="auto"/>
              <w:right w:val="single" w:sz="4" w:space="0" w:color="auto"/>
            </w:tcBorders>
            <w:shd w:val="clear" w:color="auto" w:fill="FFFFFF" w:themeFill="background1"/>
            <w:vAlign w:val="center"/>
          </w:tcPr>
          <w:p w14:paraId="63982575" w14:textId="77777777" w:rsidR="00BE7BDE" w:rsidRDefault="00BE7BDE" w:rsidP="00A25356">
            <w:pPr>
              <w:spacing w:after="0" w:line="240" w:lineRule="auto"/>
              <w:jc w:val="center"/>
              <w:rPr>
                <w:rFonts w:eastAsia="Calibri"/>
                <w:sz w:val="20"/>
                <w:szCs w:val="20"/>
              </w:rPr>
            </w:pPr>
          </w:p>
          <w:p w14:paraId="5EE1E686" w14:textId="77777777" w:rsidR="00110041" w:rsidRDefault="00110041" w:rsidP="00A25356">
            <w:pPr>
              <w:spacing w:after="0" w:line="240" w:lineRule="auto"/>
              <w:jc w:val="center"/>
              <w:rPr>
                <w:rFonts w:eastAsia="Calibri"/>
                <w:sz w:val="20"/>
                <w:szCs w:val="20"/>
              </w:rPr>
            </w:pPr>
          </w:p>
          <w:p w14:paraId="376354E9" w14:textId="77777777" w:rsidR="007B1C15" w:rsidRDefault="007B1C15" w:rsidP="00110041">
            <w:pPr>
              <w:spacing w:after="0" w:line="240" w:lineRule="auto"/>
              <w:jc w:val="right"/>
              <w:rPr>
                <w:rFonts w:eastAsia="Calibri"/>
                <w:sz w:val="20"/>
                <w:szCs w:val="20"/>
              </w:rPr>
            </w:pPr>
          </w:p>
          <w:p w14:paraId="108ECE41" w14:textId="77777777" w:rsidR="006674FD" w:rsidRDefault="006674FD" w:rsidP="00110041">
            <w:pPr>
              <w:spacing w:after="0" w:line="240" w:lineRule="auto"/>
              <w:jc w:val="right"/>
              <w:rPr>
                <w:rFonts w:eastAsia="Calibri"/>
                <w:sz w:val="20"/>
                <w:szCs w:val="20"/>
              </w:rPr>
            </w:pPr>
          </w:p>
          <w:p w14:paraId="70CBE65A" w14:textId="77777777" w:rsidR="0066408A" w:rsidRDefault="0066408A" w:rsidP="0066408A">
            <w:pPr>
              <w:spacing w:after="0" w:line="240" w:lineRule="auto"/>
              <w:jc w:val="right"/>
              <w:rPr>
                <w:rFonts w:eastAsia="Calibri"/>
                <w:sz w:val="20"/>
                <w:szCs w:val="20"/>
              </w:rPr>
            </w:pPr>
            <w:r>
              <w:rPr>
                <w:rFonts w:eastAsia="Calibri"/>
                <w:sz w:val="20"/>
                <w:szCs w:val="20"/>
              </w:rPr>
              <w:t>969</w:t>
            </w:r>
          </w:p>
          <w:p w14:paraId="5950F1B8" w14:textId="77777777" w:rsidR="0066408A" w:rsidRDefault="0066408A" w:rsidP="0066408A">
            <w:pPr>
              <w:spacing w:after="0" w:line="240" w:lineRule="auto"/>
              <w:jc w:val="right"/>
              <w:rPr>
                <w:rFonts w:eastAsia="Calibri"/>
                <w:sz w:val="20"/>
                <w:szCs w:val="20"/>
              </w:rPr>
            </w:pPr>
            <w:r>
              <w:rPr>
                <w:rFonts w:eastAsia="Calibri"/>
                <w:sz w:val="20"/>
                <w:szCs w:val="20"/>
              </w:rPr>
              <w:t>1,987</w:t>
            </w:r>
          </w:p>
          <w:p w14:paraId="115616C2" w14:textId="77777777" w:rsidR="0066408A" w:rsidRDefault="0066408A" w:rsidP="0066408A">
            <w:pPr>
              <w:spacing w:after="0" w:line="240" w:lineRule="auto"/>
              <w:jc w:val="right"/>
              <w:rPr>
                <w:rFonts w:eastAsia="Calibri"/>
                <w:sz w:val="20"/>
                <w:szCs w:val="20"/>
              </w:rPr>
            </w:pPr>
            <w:r>
              <w:rPr>
                <w:rFonts w:eastAsia="Calibri"/>
                <w:sz w:val="20"/>
                <w:szCs w:val="20"/>
              </w:rPr>
              <w:t>659</w:t>
            </w:r>
          </w:p>
          <w:p w14:paraId="2BB7707E" w14:textId="0C0ABE07" w:rsidR="00110041" w:rsidRDefault="007B19D6" w:rsidP="00902C3A">
            <w:pPr>
              <w:spacing w:after="0" w:line="240" w:lineRule="auto"/>
              <w:jc w:val="right"/>
              <w:rPr>
                <w:rFonts w:eastAsia="Calibri"/>
                <w:sz w:val="20"/>
                <w:szCs w:val="20"/>
              </w:rPr>
            </w:pPr>
            <w:r>
              <w:rPr>
                <w:rFonts w:eastAsia="Calibri"/>
                <w:sz w:val="20"/>
                <w:szCs w:val="20"/>
              </w:rPr>
              <w:t>7</w:t>
            </w:r>
            <w:r w:rsidR="00110041">
              <w:rPr>
                <w:rFonts w:eastAsia="Calibri"/>
                <w:sz w:val="20"/>
                <w:szCs w:val="20"/>
              </w:rPr>
              <w:t>,</w:t>
            </w:r>
            <w:r>
              <w:rPr>
                <w:rFonts w:eastAsia="Calibri"/>
                <w:sz w:val="20"/>
                <w:szCs w:val="20"/>
              </w:rPr>
              <w:t>00</w:t>
            </w:r>
            <w:r w:rsidR="002C5F10">
              <w:rPr>
                <w:rFonts w:eastAsia="Calibri"/>
                <w:sz w:val="20"/>
                <w:szCs w:val="20"/>
              </w:rPr>
              <w:t>0,000</w:t>
            </w:r>
          </w:p>
          <w:p w14:paraId="2DD07232" w14:textId="3F9D2521" w:rsidR="007B1C15" w:rsidRPr="00A7224E" w:rsidRDefault="007B1C15" w:rsidP="007B19D6">
            <w:pPr>
              <w:spacing w:after="0" w:line="240" w:lineRule="auto"/>
              <w:jc w:val="right"/>
              <w:rPr>
                <w:rFonts w:eastAsia="Calibri"/>
                <w:sz w:val="20"/>
                <w:szCs w:val="20"/>
              </w:rPr>
            </w:pPr>
            <w:r>
              <w:rPr>
                <w:rFonts w:eastAsia="Calibri"/>
                <w:sz w:val="20"/>
                <w:szCs w:val="20"/>
              </w:rPr>
              <w:t>(</w:t>
            </w:r>
            <w:r w:rsidR="007B19D6">
              <w:rPr>
                <w:rFonts w:eastAsia="Calibri"/>
                <w:sz w:val="20"/>
                <w:szCs w:val="20"/>
              </w:rPr>
              <w:t>49</w:t>
            </w:r>
            <w:r w:rsidR="00C21D86">
              <w:rPr>
                <w:rFonts w:eastAsia="Calibri"/>
                <w:sz w:val="20"/>
                <w:szCs w:val="20"/>
              </w:rPr>
              <w:t>% female)</w:t>
            </w:r>
          </w:p>
        </w:tc>
        <w:tc>
          <w:tcPr>
            <w:tcW w:w="1170" w:type="dxa"/>
            <w:tcBorders>
              <w:top w:val="single" w:sz="4" w:space="0" w:color="auto"/>
              <w:left w:val="single" w:sz="4" w:space="0" w:color="auto"/>
              <w:right w:val="single" w:sz="4" w:space="0" w:color="auto"/>
            </w:tcBorders>
            <w:shd w:val="clear" w:color="auto" w:fill="FFFFFF" w:themeFill="background1"/>
            <w:vAlign w:val="center"/>
          </w:tcPr>
          <w:p w14:paraId="5154B194" w14:textId="77777777" w:rsidR="006674FD" w:rsidRDefault="006674FD" w:rsidP="006674FD">
            <w:pPr>
              <w:spacing w:after="0" w:line="240" w:lineRule="auto"/>
              <w:jc w:val="center"/>
              <w:rPr>
                <w:rFonts w:eastAsia="Calibri"/>
                <w:sz w:val="20"/>
                <w:szCs w:val="20"/>
              </w:rPr>
            </w:pPr>
          </w:p>
          <w:p w14:paraId="4B57C35D" w14:textId="77777777" w:rsidR="00F4739A" w:rsidRDefault="00F4739A" w:rsidP="006674FD">
            <w:pPr>
              <w:spacing w:after="0" w:line="240" w:lineRule="auto"/>
              <w:jc w:val="center"/>
              <w:rPr>
                <w:rFonts w:eastAsia="Calibri"/>
                <w:sz w:val="20"/>
                <w:szCs w:val="20"/>
              </w:rPr>
            </w:pPr>
          </w:p>
          <w:p w14:paraId="00EEB2C3" w14:textId="77777777" w:rsidR="00F4739A" w:rsidRDefault="00F4739A" w:rsidP="006674FD">
            <w:pPr>
              <w:spacing w:after="0" w:line="240" w:lineRule="auto"/>
              <w:jc w:val="center"/>
              <w:rPr>
                <w:rFonts w:eastAsia="Calibri"/>
                <w:sz w:val="20"/>
                <w:szCs w:val="20"/>
              </w:rPr>
            </w:pPr>
          </w:p>
          <w:p w14:paraId="30B9BD82" w14:textId="0D0FD7BD" w:rsidR="00BE7BDE" w:rsidRPr="00A7224E" w:rsidRDefault="00BE7BDE" w:rsidP="006674FD">
            <w:pPr>
              <w:spacing w:after="0" w:line="240" w:lineRule="auto"/>
              <w:jc w:val="center"/>
              <w:rPr>
                <w:rFonts w:eastAsia="Calibri"/>
                <w:sz w:val="20"/>
                <w:szCs w:val="20"/>
              </w:rPr>
            </w:pPr>
            <w:r>
              <w:rPr>
                <w:rFonts w:eastAsia="Calibri"/>
                <w:sz w:val="20"/>
                <w:szCs w:val="20"/>
              </w:rPr>
              <w:t>Not relevant</w:t>
            </w:r>
          </w:p>
        </w:tc>
      </w:tr>
      <w:tr w:rsidR="006E478E" w:rsidRPr="00283732" w14:paraId="09839D8C" w14:textId="77777777" w:rsidTr="004C3CB2">
        <w:trPr>
          <w:trHeight w:val="719"/>
          <w:jc w:val="center"/>
        </w:trPr>
        <w:tc>
          <w:tcPr>
            <w:tcW w:w="3325" w:type="dxa"/>
            <w:gridSpan w:val="2"/>
            <w:vMerge/>
            <w:tcBorders>
              <w:left w:val="single" w:sz="4" w:space="0" w:color="auto"/>
              <w:right w:val="single" w:sz="4" w:space="0" w:color="auto"/>
            </w:tcBorders>
          </w:tcPr>
          <w:p w14:paraId="2726CB39" w14:textId="5EABB6EA" w:rsidR="006E478E" w:rsidRPr="002444E5" w:rsidRDefault="006E478E" w:rsidP="00A25356">
            <w:pPr>
              <w:spacing w:after="0" w:line="240" w:lineRule="auto"/>
              <w:rPr>
                <w:rFonts w:eastAsia="Calibri"/>
                <w:b/>
                <w:sz w:val="20"/>
                <w:szCs w:val="20"/>
              </w:rPr>
            </w:pPr>
          </w:p>
        </w:tc>
        <w:tc>
          <w:tcPr>
            <w:tcW w:w="720" w:type="dxa"/>
            <w:vMerge/>
            <w:tcBorders>
              <w:left w:val="single" w:sz="4" w:space="0" w:color="auto"/>
              <w:right w:val="single" w:sz="4" w:space="0" w:color="auto"/>
            </w:tcBorders>
          </w:tcPr>
          <w:p w14:paraId="164F0175" w14:textId="77777777" w:rsidR="006E478E" w:rsidRPr="00E12EFD" w:rsidRDefault="006E478E" w:rsidP="00A25356">
            <w:pPr>
              <w:spacing w:after="0" w:line="240" w:lineRule="auto"/>
              <w:jc w:val="both"/>
              <w:rPr>
                <w:rFonts w:eastAsia="Calibri"/>
                <w:b/>
                <w:sz w:val="20"/>
                <w:szCs w:val="20"/>
                <w:highlight w:val="yellow"/>
              </w:rPr>
            </w:pPr>
          </w:p>
        </w:tc>
        <w:tc>
          <w:tcPr>
            <w:tcW w:w="10260" w:type="dxa"/>
            <w:gridSpan w:val="6"/>
            <w:tcBorders>
              <w:left w:val="single" w:sz="4" w:space="0" w:color="auto"/>
              <w:right w:val="single" w:sz="4" w:space="0" w:color="auto"/>
            </w:tcBorders>
            <w:shd w:val="clear" w:color="auto" w:fill="D9D9D9" w:themeFill="background1" w:themeFillShade="D9"/>
          </w:tcPr>
          <w:p w14:paraId="7146DD08" w14:textId="5FBD5B69" w:rsidR="006E478E" w:rsidRPr="0035289B" w:rsidRDefault="006E478E" w:rsidP="00AF7CC4">
            <w:pPr>
              <w:spacing w:after="0" w:line="240" w:lineRule="auto"/>
              <w:rPr>
                <w:sz w:val="18"/>
              </w:rPr>
            </w:pPr>
            <w:r w:rsidRPr="0035289B">
              <w:rPr>
                <w:rFonts w:ascii="Calibri" w:eastAsia="Calibri" w:hAnsi="Calibri" w:cs="Times New Roman"/>
                <w:b/>
                <w:sz w:val="18"/>
                <w:szCs w:val="18"/>
                <w:lang w:eastAsia="en-US"/>
              </w:rPr>
              <w:t xml:space="preserve">Indicator 7.1.1 Note: </w:t>
            </w:r>
            <w:r w:rsidRPr="0035289B">
              <w:rPr>
                <w:rFonts w:ascii="Calibri" w:eastAsia="Calibri" w:hAnsi="Calibri" w:cs="Times New Roman"/>
                <w:sz w:val="18"/>
                <w:szCs w:val="18"/>
                <w:lang w:eastAsia="en-US"/>
              </w:rPr>
              <w:t xml:space="preserve">Data provided by UNDP’s Bureau for Policy and Programme Support (BPPS). Tracks the number of organizations and people that, with UNDP support, participate in dialogues on the post-2015 agenda and sustainable development goals. Data on the number of people participating comes from the </w:t>
            </w:r>
            <w:r w:rsidRPr="0035289B">
              <w:rPr>
                <w:rFonts w:ascii="Calibri" w:eastAsia="Calibri" w:hAnsi="Calibri" w:cs="Times New Roman"/>
                <w:i/>
                <w:sz w:val="18"/>
                <w:szCs w:val="18"/>
                <w:lang w:eastAsia="en-US"/>
              </w:rPr>
              <w:t>M</w:t>
            </w:r>
            <w:r w:rsidR="007B19D6" w:rsidRPr="0035289B">
              <w:rPr>
                <w:rFonts w:ascii="Calibri" w:eastAsia="Calibri" w:hAnsi="Calibri" w:cs="Times New Roman"/>
                <w:i/>
                <w:sz w:val="18"/>
                <w:szCs w:val="18"/>
                <w:lang w:eastAsia="en-US"/>
              </w:rPr>
              <w:t>Y</w:t>
            </w:r>
            <w:r w:rsidRPr="0035289B">
              <w:rPr>
                <w:rFonts w:ascii="Calibri" w:eastAsia="Calibri" w:hAnsi="Calibri" w:cs="Times New Roman"/>
                <w:i/>
                <w:sz w:val="18"/>
                <w:szCs w:val="18"/>
                <w:lang w:eastAsia="en-US"/>
              </w:rPr>
              <w:t xml:space="preserve"> World</w:t>
            </w:r>
            <w:r w:rsidRPr="0035289B">
              <w:rPr>
                <w:rFonts w:ascii="Calibri" w:eastAsia="Calibri" w:hAnsi="Calibri" w:cs="Times New Roman"/>
                <w:sz w:val="18"/>
                <w:szCs w:val="18"/>
                <w:lang w:eastAsia="en-US"/>
              </w:rPr>
              <w:t xml:space="preserve"> platform</w:t>
            </w:r>
            <w:r w:rsidR="00570C69" w:rsidRPr="0035289B">
              <w:rPr>
                <w:rFonts w:ascii="Calibri" w:eastAsia="Calibri" w:hAnsi="Calibri" w:cs="Times New Roman"/>
                <w:sz w:val="18"/>
                <w:szCs w:val="18"/>
                <w:lang w:eastAsia="en-US"/>
              </w:rPr>
              <w:t>, the UN’s global citizen survey,</w:t>
            </w:r>
            <w:r w:rsidRPr="0035289B">
              <w:rPr>
                <w:rFonts w:ascii="Calibri" w:eastAsia="Calibri" w:hAnsi="Calibri" w:cs="Times New Roman"/>
                <w:sz w:val="18"/>
                <w:szCs w:val="18"/>
                <w:lang w:eastAsia="en-US"/>
              </w:rPr>
              <w:t xml:space="preserve"> put </w:t>
            </w:r>
            <w:r w:rsidR="0013161E">
              <w:rPr>
                <w:rFonts w:ascii="Calibri" w:eastAsia="Calibri" w:hAnsi="Calibri" w:cs="Times New Roman"/>
                <w:sz w:val="18"/>
                <w:szCs w:val="18"/>
                <w:lang w:eastAsia="en-US"/>
              </w:rPr>
              <w:t>in place by UNDP. Milestone 2015 and 2016,</w:t>
            </w:r>
            <w:r w:rsidRPr="0035289B">
              <w:rPr>
                <w:rFonts w:ascii="Calibri" w:eastAsia="Calibri" w:hAnsi="Calibri" w:cs="Times New Roman"/>
                <w:sz w:val="18"/>
                <w:szCs w:val="18"/>
                <w:lang w:eastAsia="en-US"/>
              </w:rPr>
              <w:t xml:space="preserve"> and target 2017</w:t>
            </w:r>
            <w:r w:rsidR="0013161E">
              <w:rPr>
                <w:rFonts w:ascii="Calibri" w:eastAsia="Calibri" w:hAnsi="Calibri" w:cs="Times New Roman"/>
                <w:sz w:val="18"/>
                <w:szCs w:val="18"/>
                <w:lang w:eastAsia="en-US"/>
              </w:rPr>
              <w:t>,</w:t>
            </w:r>
            <w:r w:rsidRPr="0035289B">
              <w:rPr>
                <w:rFonts w:ascii="Calibri" w:eastAsia="Calibri" w:hAnsi="Calibri" w:cs="Times New Roman"/>
                <w:sz w:val="18"/>
                <w:szCs w:val="18"/>
                <w:lang w:eastAsia="en-US"/>
              </w:rPr>
              <w:t xml:space="preserve"> are not relevant, since </w:t>
            </w:r>
            <w:r w:rsidRPr="0035289B">
              <w:rPr>
                <w:sz w:val="18"/>
              </w:rPr>
              <w:t xml:space="preserve">UNDG dialogues have ended and the process moved towards intergovernmental negotiations. </w:t>
            </w:r>
          </w:p>
          <w:p w14:paraId="6FF79E5F" w14:textId="25949230" w:rsidR="007B19D6" w:rsidRPr="0035289B" w:rsidRDefault="007B19D6" w:rsidP="00A5114A">
            <w:pPr>
              <w:spacing w:after="0" w:line="240" w:lineRule="auto"/>
              <w:rPr>
                <w:rFonts w:ascii="Calibri" w:eastAsia="Calibri" w:hAnsi="Calibri" w:cs="Times New Roman"/>
                <w:b/>
                <w:sz w:val="18"/>
                <w:szCs w:val="18"/>
                <w:lang w:eastAsia="en-US"/>
              </w:rPr>
            </w:pPr>
            <w:r w:rsidRPr="0035289B">
              <w:rPr>
                <w:rFonts w:eastAsia="Calibri"/>
                <w:b/>
                <w:sz w:val="18"/>
                <w:szCs w:val="18"/>
              </w:rPr>
              <w:t xml:space="preserve">2014 Reporting Note: </w:t>
            </w:r>
            <w:r w:rsidRPr="0035289B">
              <w:rPr>
                <w:rFonts w:eastAsia="Calibri"/>
                <w:sz w:val="18"/>
                <w:szCs w:val="18"/>
              </w:rPr>
              <w:t xml:space="preserve">2014 actual </w:t>
            </w:r>
            <w:r w:rsidR="002C5F10" w:rsidRPr="0035289B">
              <w:rPr>
                <w:rFonts w:eastAsia="Calibri"/>
                <w:sz w:val="18"/>
                <w:szCs w:val="18"/>
              </w:rPr>
              <w:t xml:space="preserve">result </w:t>
            </w:r>
            <w:r w:rsidRPr="0035289B">
              <w:rPr>
                <w:rFonts w:eastAsia="Calibri"/>
                <w:sz w:val="18"/>
                <w:szCs w:val="18"/>
              </w:rPr>
              <w:t xml:space="preserve">reflects people voting through MY World </w:t>
            </w:r>
            <w:r w:rsidR="00DA48EC" w:rsidRPr="0035289B">
              <w:rPr>
                <w:rFonts w:eastAsia="Calibri"/>
                <w:sz w:val="18"/>
                <w:szCs w:val="18"/>
              </w:rPr>
              <w:t>platform by 10 December 2014, when the figure reached 7 million. The total number of people voting has continued to increase over the remainder of 2014, reaching over 7.3 million by April 2015.</w:t>
            </w:r>
          </w:p>
        </w:tc>
      </w:tr>
      <w:tr w:rsidR="00BE7BDE" w:rsidRPr="00283732" w14:paraId="658A7FFE" w14:textId="77777777" w:rsidTr="00C21D86">
        <w:trPr>
          <w:trHeight w:val="566"/>
          <w:jc w:val="center"/>
        </w:trPr>
        <w:tc>
          <w:tcPr>
            <w:tcW w:w="3325" w:type="dxa"/>
            <w:gridSpan w:val="2"/>
            <w:vMerge w:val="restart"/>
            <w:tcBorders>
              <w:top w:val="single" w:sz="4" w:space="0" w:color="auto"/>
              <w:left w:val="single" w:sz="4" w:space="0" w:color="auto"/>
              <w:right w:val="single" w:sz="4" w:space="0" w:color="auto"/>
            </w:tcBorders>
            <w:shd w:val="clear" w:color="auto" w:fill="FFFFFF" w:themeFill="background1"/>
            <w:hideMark/>
          </w:tcPr>
          <w:p w14:paraId="193FC13A" w14:textId="4C517702" w:rsidR="00BE7BDE" w:rsidRDefault="00BE7BDE" w:rsidP="00A25356">
            <w:pPr>
              <w:spacing w:after="0" w:line="240" w:lineRule="auto"/>
              <w:rPr>
                <w:rFonts w:eastAsia="Calibri"/>
                <w:sz w:val="20"/>
                <w:szCs w:val="20"/>
              </w:rPr>
            </w:pPr>
            <w:r w:rsidRPr="00B66E9F">
              <w:rPr>
                <w:rFonts w:eastAsia="Calibri"/>
                <w:b/>
                <w:sz w:val="20"/>
                <w:szCs w:val="20"/>
              </w:rPr>
              <w:t>Output 7.2.</w:t>
            </w:r>
            <w:r w:rsidRPr="00B66E9F">
              <w:rPr>
                <w:rFonts w:eastAsia="Calibri"/>
                <w:sz w:val="20"/>
                <w:szCs w:val="20"/>
              </w:rPr>
              <w:t xml:space="preserve"> Global and national data collection, measurement and analytical systems in place to monitor progress on </w:t>
            </w:r>
            <w:r w:rsidRPr="00B66E9F">
              <w:rPr>
                <w:rFonts w:eastAsia="Calibri"/>
                <w:color w:val="000000"/>
                <w:sz w:val="20"/>
                <w:szCs w:val="20"/>
              </w:rPr>
              <w:t xml:space="preserve">completion of MDGs and </w:t>
            </w:r>
            <w:r w:rsidRPr="00B66E9F">
              <w:rPr>
                <w:rFonts w:eastAsia="Calibri"/>
                <w:sz w:val="20"/>
                <w:szCs w:val="20"/>
              </w:rPr>
              <w:t>the post 2015 agenda and sustainable development goals</w:t>
            </w:r>
          </w:p>
          <w:p w14:paraId="3DE49ED8" w14:textId="77777777" w:rsidR="00BE7BDE" w:rsidRDefault="00BE7BDE" w:rsidP="00A25356">
            <w:pPr>
              <w:spacing w:after="0" w:line="240" w:lineRule="auto"/>
              <w:rPr>
                <w:rFonts w:eastAsia="Calibri"/>
                <w:sz w:val="20"/>
                <w:szCs w:val="20"/>
              </w:rPr>
            </w:pPr>
          </w:p>
          <w:p w14:paraId="1D7EBEB3" w14:textId="6B01C62D" w:rsidR="00460746" w:rsidRDefault="00460746" w:rsidP="00460746">
            <w:pPr>
              <w:spacing w:after="0" w:line="240" w:lineRule="auto"/>
              <w:rPr>
                <w:rFonts w:ascii="Calibri" w:eastAsia="Calibri" w:hAnsi="Calibri"/>
                <w:b/>
                <w:color w:val="000000"/>
                <w:sz w:val="18"/>
                <w:szCs w:val="18"/>
              </w:rPr>
            </w:pPr>
            <w:r w:rsidRPr="00B359E7">
              <w:rPr>
                <w:rFonts w:ascii="Calibri" w:eastAsia="Calibri" w:hAnsi="Calibri"/>
                <w:b/>
                <w:i/>
                <w:color w:val="000000"/>
                <w:sz w:val="18"/>
                <w:szCs w:val="18"/>
              </w:rPr>
              <w:t xml:space="preserve">Number of </w:t>
            </w:r>
            <w:r w:rsidRPr="002713BD">
              <w:rPr>
                <w:rFonts w:ascii="Calibri" w:eastAsia="Calibri" w:hAnsi="Calibri"/>
                <w:b/>
                <w:i/>
                <w:color w:val="000000"/>
                <w:sz w:val="18"/>
                <w:szCs w:val="18"/>
              </w:rPr>
              <w:t>countries linked:</w:t>
            </w:r>
            <w:r w:rsidRPr="002713BD">
              <w:rPr>
                <w:rFonts w:ascii="Calibri" w:eastAsia="Calibri" w:hAnsi="Calibri"/>
                <w:b/>
                <w:color w:val="000000"/>
                <w:sz w:val="18"/>
                <w:szCs w:val="18"/>
              </w:rPr>
              <w:t xml:space="preserve"> 32</w:t>
            </w:r>
            <w:r>
              <w:rPr>
                <w:rFonts w:ascii="Calibri" w:eastAsia="Calibri" w:hAnsi="Calibri"/>
                <w:b/>
                <w:color w:val="000000"/>
                <w:sz w:val="18"/>
                <w:szCs w:val="18"/>
              </w:rPr>
              <w:t xml:space="preserve"> </w:t>
            </w:r>
          </w:p>
          <w:p w14:paraId="06AE96F8" w14:textId="226696C5" w:rsidR="00BE7BDE" w:rsidRPr="008C4519" w:rsidRDefault="00460746" w:rsidP="00460746">
            <w:pPr>
              <w:spacing w:after="0" w:line="240" w:lineRule="auto"/>
              <w:rPr>
                <w:rFonts w:eastAsia="Calibri"/>
                <w:color w:val="000000"/>
                <w:sz w:val="20"/>
              </w:rPr>
            </w:pPr>
            <w:r>
              <w:rPr>
                <w:rFonts w:ascii="Calibri" w:eastAsia="Calibri" w:hAnsi="Calibri"/>
                <w:b/>
                <w:color w:val="000000"/>
                <w:sz w:val="18"/>
                <w:szCs w:val="18"/>
              </w:rPr>
              <w:t>(February 2015</w:t>
            </w:r>
            <w:r w:rsidRPr="00B359E7">
              <w:rPr>
                <w:rFonts w:ascii="Calibri" w:eastAsia="Calibri" w:hAnsi="Calibri"/>
                <w:b/>
                <w:color w:val="000000"/>
                <w:sz w:val="18"/>
                <w:szCs w:val="18"/>
              </w:rPr>
              <w:t>)</w:t>
            </w:r>
          </w:p>
        </w:tc>
        <w:tc>
          <w:tcPr>
            <w:tcW w:w="720" w:type="dxa"/>
            <w:vMerge w:val="restart"/>
            <w:tcBorders>
              <w:top w:val="single" w:sz="4" w:space="0" w:color="auto"/>
              <w:left w:val="single" w:sz="4" w:space="0" w:color="auto"/>
              <w:right w:val="single" w:sz="4" w:space="0" w:color="auto"/>
            </w:tcBorders>
            <w:shd w:val="clear" w:color="auto" w:fill="FFFFFF" w:themeFill="background1"/>
          </w:tcPr>
          <w:p w14:paraId="72E25B0B" w14:textId="77777777" w:rsidR="00BE7BDE" w:rsidRPr="00B66E9F" w:rsidRDefault="00BE7BDE" w:rsidP="00A25356">
            <w:pPr>
              <w:spacing w:after="0" w:line="240" w:lineRule="auto"/>
              <w:jc w:val="both"/>
              <w:rPr>
                <w:rFonts w:eastAsia="Calibri"/>
                <w:b/>
                <w:sz w:val="20"/>
                <w:szCs w:val="20"/>
              </w:rPr>
            </w:pPr>
            <w:r w:rsidRPr="00B66E9F">
              <w:rPr>
                <w:rFonts w:eastAsia="Calibri"/>
                <w:b/>
                <w:sz w:val="20"/>
                <w:szCs w:val="20"/>
              </w:rPr>
              <w:t>7.2.2</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14:paraId="545DB1C3" w14:textId="77777777" w:rsidR="00BE7BDE" w:rsidRDefault="00BE7BDE" w:rsidP="00A25356">
            <w:pPr>
              <w:spacing w:after="0" w:line="240" w:lineRule="auto"/>
              <w:rPr>
                <w:rFonts w:eastAsia="Calibri"/>
                <w:sz w:val="20"/>
                <w:szCs w:val="20"/>
              </w:rPr>
            </w:pPr>
            <w:r w:rsidRPr="00B66E9F">
              <w:rPr>
                <w:rFonts w:eastAsia="Calibri"/>
                <w:sz w:val="20"/>
                <w:szCs w:val="20"/>
              </w:rPr>
              <w:t xml:space="preserve">Number of countries </w:t>
            </w:r>
            <w:r w:rsidRPr="00B66E9F">
              <w:rPr>
                <w:rFonts w:eastAsia="Calibri"/>
                <w:b/>
                <w:sz w:val="20"/>
                <w:szCs w:val="20"/>
              </w:rPr>
              <w:t>using updated and disaggregated data</w:t>
            </w:r>
            <w:r w:rsidRPr="00B66E9F">
              <w:rPr>
                <w:rFonts w:eastAsia="Calibri"/>
                <w:sz w:val="20"/>
                <w:szCs w:val="20"/>
              </w:rPr>
              <w:t xml:space="preserve"> to monitor progress on national development goal</w:t>
            </w:r>
            <w:r w:rsidR="00546E49">
              <w:rPr>
                <w:rFonts w:eastAsia="Calibri"/>
                <w:sz w:val="20"/>
                <w:szCs w:val="20"/>
              </w:rPr>
              <w:t>s aligned with post-2015 agenda</w:t>
            </w:r>
          </w:p>
          <w:p w14:paraId="70CBA29D" w14:textId="5CF44BDD" w:rsidR="00546E49" w:rsidRPr="00B66E9F" w:rsidRDefault="00546E49" w:rsidP="00470777">
            <w:pPr>
              <w:spacing w:before="120" w:after="0" w:line="240" w:lineRule="auto"/>
              <w:rPr>
                <w:rFonts w:eastAsia="Calibri"/>
                <w:sz w:val="20"/>
                <w:szCs w:val="20"/>
              </w:rPr>
            </w:pPr>
            <w:r w:rsidRPr="0013161E">
              <w:rPr>
                <w:rFonts w:eastAsia="Calibri"/>
                <w:b/>
                <w:i/>
                <w:sz w:val="18"/>
                <w:szCs w:val="18"/>
              </w:rPr>
              <w:t xml:space="preserve">Number of </w:t>
            </w:r>
            <w:r w:rsidRPr="002713BD">
              <w:rPr>
                <w:rFonts w:eastAsia="Calibri"/>
                <w:b/>
                <w:i/>
                <w:sz w:val="18"/>
                <w:szCs w:val="18"/>
              </w:rPr>
              <w:t xml:space="preserve">countries </w:t>
            </w:r>
            <w:r w:rsidR="0035289B" w:rsidRPr="002713BD">
              <w:rPr>
                <w:rFonts w:eastAsia="Calibri"/>
                <w:b/>
                <w:i/>
                <w:sz w:val="18"/>
                <w:szCs w:val="18"/>
              </w:rPr>
              <w:t>for which a 2017 target has currently been set under this indicator</w:t>
            </w:r>
            <w:r w:rsidR="006C4853" w:rsidRPr="002713BD">
              <w:rPr>
                <w:rFonts w:eastAsia="Calibri"/>
                <w:b/>
                <w:i/>
                <w:sz w:val="18"/>
                <w:szCs w:val="18"/>
              </w:rPr>
              <w:t>: 33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A5759" w14:textId="042FFE42" w:rsidR="00BE7BDE" w:rsidRPr="0005745A" w:rsidRDefault="004A73D4" w:rsidP="0061246D">
            <w:pPr>
              <w:spacing w:after="0" w:line="240" w:lineRule="auto"/>
              <w:jc w:val="center"/>
              <w:rPr>
                <w:rFonts w:eastAsia="Calibri"/>
                <w:sz w:val="20"/>
                <w:szCs w:val="20"/>
              </w:rPr>
            </w:pPr>
            <w:r>
              <w:rPr>
                <w:rFonts w:eastAsia="Calibri"/>
                <w:sz w:val="20"/>
                <w:szCs w:val="20"/>
              </w:rPr>
              <w:t>7</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5C3FB" w14:textId="77777777" w:rsidR="00BE7BDE" w:rsidRPr="0005745A" w:rsidRDefault="00BE7BDE" w:rsidP="00A25356">
            <w:pPr>
              <w:spacing w:after="0" w:line="240" w:lineRule="auto"/>
              <w:jc w:val="center"/>
              <w:rPr>
                <w:rFonts w:eastAsia="Calibri"/>
                <w:sz w:val="20"/>
                <w:szCs w:val="20"/>
              </w:rPr>
            </w:pPr>
            <w:r>
              <w:rPr>
                <w:rFonts w:eastAsia="Calibri"/>
                <w:sz w:val="20"/>
                <w:szCs w:val="20"/>
              </w:rPr>
              <w:t>13</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C3513" w14:textId="2FB8E26D" w:rsidR="00BE7BDE" w:rsidRPr="0005745A" w:rsidRDefault="002C1ADC" w:rsidP="00A25356">
            <w:pPr>
              <w:spacing w:after="0" w:line="240" w:lineRule="auto"/>
              <w:jc w:val="center"/>
              <w:rPr>
                <w:rFonts w:eastAsia="Calibri"/>
                <w:sz w:val="20"/>
                <w:szCs w:val="20"/>
              </w:rPr>
            </w:pPr>
            <w:r>
              <w:rPr>
                <w:rFonts w:eastAsia="Calibri"/>
                <w:sz w:val="20"/>
                <w:szCs w:val="20"/>
              </w:rPr>
              <w:t>13</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CD8EB" w14:textId="404A18E3" w:rsidR="00BE7BDE" w:rsidRPr="0005745A" w:rsidRDefault="00BE7BDE" w:rsidP="0054643D">
            <w:pPr>
              <w:spacing w:after="0" w:line="240" w:lineRule="auto"/>
              <w:jc w:val="center"/>
              <w:rPr>
                <w:rFonts w:eastAsia="Calibri"/>
                <w:sz w:val="20"/>
                <w:szCs w:val="20"/>
              </w:rPr>
            </w:pPr>
            <w:r>
              <w:rPr>
                <w:rFonts w:eastAsia="Calibri"/>
                <w:sz w:val="20"/>
                <w:szCs w:val="20"/>
              </w:rPr>
              <w:t>2</w:t>
            </w:r>
            <w:r w:rsidR="0054643D">
              <w:rPr>
                <w:rFonts w:eastAsia="Calibri"/>
                <w:sz w:val="20"/>
                <w:szCs w:val="20"/>
              </w:rPr>
              <w:t>4</w:t>
            </w:r>
          </w:p>
        </w:tc>
      </w:tr>
      <w:tr w:rsidR="006E478E" w:rsidRPr="00283732" w14:paraId="661B9365" w14:textId="77777777" w:rsidTr="004C3CB2">
        <w:trPr>
          <w:trHeight w:val="566"/>
          <w:jc w:val="center"/>
        </w:trPr>
        <w:tc>
          <w:tcPr>
            <w:tcW w:w="3325" w:type="dxa"/>
            <w:gridSpan w:val="2"/>
            <w:vMerge/>
            <w:tcBorders>
              <w:left w:val="single" w:sz="4" w:space="0" w:color="auto"/>
              <w:bottom w:val="single" w:sz="4" w:space="0" w:color="auto"/>
              <w:right w:val="single" w:sz="4" w:space="0" w:color="auto"/>
            </w:tcBorders>
            <w:shd w:val="clear" w:color="auto" w:fill="FFFFFF" w:themeFill="background1"/>
          </w:tcPr>
          <w:p w14:paraId="0D5D1E33" w14:textId="297979AE" w:rsidR="006E478E" w:rsidRPr="00B66E9F" w:rsidRDefault="006E478E" w:rsidP="00A25356">
            <w:pPr>
              <w:spacing w:after="0" w:line="240" w:lineRule="auto"/>
              <w:rPr>
                <w:rFonts w:eastAsia="Calibri"/>
                <w:b/>
                <w:sz w:val="20"/>
                <w:szCs w:val="20"/>
              </w:rPr>
            </w:pPr>
          </w:p>
        </w:tc>
        <w:tc>
          <w:tcPr>
            <w:tcW w:w="720" w:type="dxa"/>
            <w:vMerge/>
            <w:tcBorders>
              <w:left w:val="single" w:sz="4" w:space="0" w:color="auto"/>
              <w:bottom w:val="single" w:sz="4" w:space="0" w:color="auto"/>
              <w:right w:val="single" w:sz="4" w:space="0" w:color="auto"/>
            </w:tcBorders>
            <w:shd w:val="clear" w:color="auto" w:fill="FFFFFF" w:themeFill="background1"/>
          </w:tcPr>
          <w:p w14:paraId="485C45B8" w14:textId="77777777" w:rsidR="006E478E" w:rsidRPr="00B66E9F" w:rsidRDefault="006E478E" w:rsidP="00A25356">
            <w:pPr>
              <w:spacing w:after="0" w:line="240" w:lineRule="auto"/>
              <w:jc w:val="both"/>
              <w:rPr>
                <w:rFonts w:eastAsia="Calibri"/>
                <w:b/>
                <w:sz w:val="20"/>
                <w:szCs w:val="20"/>
              </w:rPr>
            </w:pPr>
          </w:p>
        </w:tc>
        <w:tc>
          <w:tcPr>
            <w:tcW w:w="10260" w:type="dxa"/>
            <w:gridSpan w:val="6"/>
            <w:tcBorders>
              <w:left w:val="single" w:sz="4" w:space="0" w:color="auto"/>
              <w:bottom w:val="single" w:sz="4" w:space="0" w:color="auto"/>
              <w:right w:val="single" w:sz="4" w:space="0" w:color="auto"/>
            </w:tcBorders>
            <w:shd w:val="clear" w:color="auto" w:fill="D9D9D9" w:themeFill="background1" w:themeFillShade="D9"/>
          </w:tcPr>
          <w:p w14:paraId="12CDD022" w14:textId="10F6BC06" w:rsidR="006E478E" w:rsidRPr="0035289B" w:rsidRDefault="006E478E" w:rsidP="00405363">
            <w:pPr>
              <w:spacing w:after="0" w:line="240" w:lineRule="auto"/>
              <w:rPr>
                <w:rFonts w:ascii="Calibri" w:eastAsia="Calibri" w:hAnsi="Calibri" w:cs="Times New Roman"/>
                <w:sz w:val="18"/>
                <w:szCs w:val="18"/>
                <w:lang w:eastAsia="en-US"/>
              </w:rPr>
            </w:pPr>
            <w:r w:rsidRPr="0035289B">
              <w:rPr>
                <w:rFonts w:ascii="Calibri" w:eastAsia="Calibri" w:hAnsi="Calibri" w:cs="Times New Roman"/>
                <w:b/>
                <w:sz w:val="18"/>
                <w:szCs w:val="18"/>
                <w:lang w:eastAsia="en-US"/>
              </w:rPr>
              <w:t xml:space="preserve">Indicator 7.2.2 Note: </w:t>
            </w:r>
            <w:r w:rsidRPr="0035289B">
              <w:rPr>
                <w:rFonts w:ascii="Calibri" w:eastAsia="Calibri" w:hAnsi="Calibri" w:cs="Times New Roman"/>
                <w:sz w:val="18"/>
                <w:szCs w:val="18"/>
                <w:lang w:eastAsia="en-US"/>
              </w:rPr>
              <w:t xml:space="preserve">Qualitative indicator through </w:t>
            </w:r>
            <w:r w:rsidRPr="0035289B">
              <w:rPr>
                <w:rFonts w:ascii="Calibri" w:eastAsia="Calibri" w:hAnsi="Calibri"/>
                <w:sz w:val="18"/>
                <w:szCs w:val="18"/>
              </w:rPr>
              <w:t xml:space="preserve">which effectiveness of UNDP’s support (on demand </w:t>
            </w:r>
            <w:r w:rsidRPr="0035289B">
              <w:rPr>
                <w:sz w:val="18"/>
                <w:szCs w:val="18"/>
              </w:rPr>
              <w:t>from programme countries</w:t>
            </w:r>
            <w:r w:rsidRPr="0035289B">
              <w:rPr>
                <w:rFonts w:ascii="Calibri" w:eastAsia="Calibri" w:hAnsi="Calibri"/>
                <w:sz w:val="18"/>
                <w:szCs w:val="18"/>
              </w:rPr>
              <w:t>)</w:t>
            </w:r>
            <w:r w:rsidRPr="0035289B">
              <w:rPr>
                <w:sz w:val="18"/>
                <w:szCs w:val="18"/>
              </w:rPr>
              <w:t xml:space="preserve"> to </w:t>
            </w:r>
            <w:r w:rsidRPr="0035289B">
              <w:rPr>
                <w:rFonts w:ascii="Calibri" w:eastAsia="Calibri" w:hAnsi="Calibri" w:cs="Times New Roman"/>
                <w:sz w:val="18"/>
                <w:szCs w:val="18"/>
                <w:lang w:eastAsia="en-US"/>
              </w:rPr>
              <w:t>use updated and disaggregated data to monitor progress on national development goals aligned with post-2015 agenda</w:t>
            </w:r>
            <w:r w:rsidRPr="0035289B">
              <w:rPr>
                <w:rFonts w:eastAsia="Calibri"/>
                <w:sz w:val="18"/>
                <w:szCs w:val="18"/>
              </w:rPr>
              <w:t xml:space="preserve">, is tracked using a qualitative rating scale </w:t>
            </w:r>
            <w:r w:rsidRPr="0035289B">
              <w:rPr>
                <w:rFonts w:ascii="Calibri" w:eastAsia="Calibri" w:hAnsi="Calibri" w:cs="Times New Roman"/>
                <w:sz w:val="18"/>
                <w:szCs w:val="18"/>
                <w:lang w:eastAsia="en-US"/>
              </w:rPr>
              <w:t xml:space="preserve">(1= not adequately, 2= very partially, 3= partially and 4= largely), </w:t>
            </w:r>
            <w:r w:rsidRPr="0035289B">
              <w:rPr>
                <w:rFonts w:eastAsia="Calibri"/>
                <w:sz w:val="18"/>
                <w:szCs w:val="18"/>
              </w:rPr>
              <w:t xml:space="preserve">counting the number of countries </w:t>
            </w:r>
            <w:r w:rsidR="0035289B">
              <w:rPr>
                <w:rFonts w:eastAsia="Calibri"/>
                <w:sz w:val="18"/>
                <w:szCs w:val="18"/>
              </w:rPr>
              <w:t>where objective evidence exists that</w:t>
            </w:r>
            <w:r w:rsidRPr="0035289B">
              <w:rPr>
                <w:rFonts w:eastAsia="Calibri"/>
                <w:sz w:val="18"/>
                <w:szCs w:val="18"/>
              </w:rPr>
              <w:t xml:space="preserve"> UNDP support </w:t>
            </w:r>
            <w:r w:rsidR="0035289B">
              <w:rPr>
                <w:rFonts w:eastAsia="Calibri"/>
                <w:sz w:val="18"/>
                <w:szCs w:val="18"/>
              </w:rPr>
              <w:t xml:space="preserve">has let do </w:t>
            </w:r>
            <w:r w:rsidRPr="0035289B">
              <w:rPr>
                <w:rFonts w:ascii="Calibri" w:eastAsia="Calibri" w:hAnsi="Calibri" w:cs="Times New Roman"/>
                <w:sz w:val="18"/>
                <w:szCs w:val="18"/>
                <w:lang w:eastAsia="en-US"/>
              </w:rPr>
              <w:t>“us[e</w:t>
            </w:r>
            <w:r w:rsidR="0035289B">
              <w:rPr>
                <w:rFonts w:ascii="Calibri" w:eastAsia="Calibri" w:hAnsi="Calibri" w:cs="Times New Roman"/>
                <w:sz w:val="18"/>
                <w:szCs w:val="18"/>
                <w:lang w:eastAsia="en-US"/>
              </w:rPr>
              <w:t xml:space="preserve"> of</w:t>
            </w:r>
            <w:r w:rsidRPr="0035289B">
              <w:rPr>
                <w:rFonts w:ascii="Calibri" w:eastAsia="Calibri" w:hAnsi="Calibri" w:cs="Times New Roman"/>
                <w:sz w:val="18"/>
                <w:szCs w:val="18"/>
                <w:lang w:eastAsia="en-US"/>
              </w:rPr>
              <w:t xml:space="preserve">] updated and disaggregated data” to a partial or large extent. </w:t>
            </w:r>
            <w:r w:rsidR="002713BD">
              <w:rPr>
                <w:rFonts w:ascii="Calibri" w:eastAsia="Calibri" w:hAnsi="Calibri" w:cs="Times New Roman"/>
                <w:sz w:val="18"/>
                <w:szCs w:val="18"/>
                <w:lang w:eastAsia="en-US"/>
              </w:rPr>
              <w:t xml:space="preserve">One </w:t>
            </w:r>
            <w:r w:rsidRPr="0035289B">
              <w:rPr>
                <w:rFonts w:ascii="Calibri" w:eastAsia="Calibri" w:hAnsi="Calibri" w:cs="Times New Roman"/>
                <w:sz w:val="18"/>
                <w:szCs w:val="18"/>
                <w:lang w:eastAsia="en-US"/>
              </w:rPr>
              <w:t xml:space="preserve">additional </w:t>
            </w:r>
            <w:r w:rsidRPr="002713BD">
              <w:rPr>
                <w:rFonts w:ascii="Calibri" w:eastAsia="Calibri" w:hAnsi="Calibri" w:cs="Times New Roman"/>
                <w:sz w:val="18"/>
                <w:szCs w:val="18"/>
                <w:lang w:eastAsia="en-US"/>
              </w:rPr>
              <w:t>countr</w:t>
            </w:r>
            <w:r w:rsidR="002713BD" w:rsidRPr="002713BD">
              <w:rPr>
                <w:rFonts w:ascii="Calibri" w:eastAsia="Calibri" w:hAnsi="Calibri" w:cs="Times New Roman"/>
                <w:sz w:val="18"/>
                <w:szCs w:val="18"/>
                <w:lang w:eastAsia="en-US"/>
              </w:rPr>
              <w:t>y</w:t>
            </w:r>
            <w:r w:rsidRPr="002713BD">
              <w:rPr>
                <w:rFonts w:ascii="Calibri" w:eastAsia="Calibri" w:hAnsi="Calibri" w:cs="Times New Roman"/>
                <w:sz w:val="18"/>
                <w:szCs w:val="18"/>
                <w:lang w:eastAsia="en-US"/>
              </w:rPr>
              <w:t xml:space="preserve"> beyond the linked ones (for a total of 3</w:t>
            </w:r>
            <w:r w:rsidR="002713BD" w:rsidRPr="002713BD">
              <w:rPr>
                <w:rFonts w:ascii="Calibri" w:eastAsia="Calibri" w:hAnsi="Calibri" w:cs="Times New Roman"/>
                <w:sz w:val="18"/>
                <w:szCs w:val="18"/>
                <w:lang w:eastAsia="en-US"/>
              </w:rPr>
              <w:t>3</w:t>
            </w:r>
            <w:r w:rsidRPr="002713BD">
              <w:rPr>
                <w:rFonts w:ascii="Calibri" w:eastAsia="Calibri" w:hAnsi="Calibri" w:cs="Times New Roman"/>
                <w:sz w:val="18"/>
                <w:szCs w:val="18"/>
                <w:lang w:eastAsia="en-US"/>
              </w:rPr>
              <w:t xml:space="preserve"> countries) entered</w:t>
            </w:r>
            <w:r w:rsidRPr="0035289B">
              <w:rPr>
                <w:rFonts w:ascii="Calibri" w:eastAsia="Calibri" w:hAnsi="Calibri" w:cs="Times New Roman"/>
                <w:sz w:val="18"/>
                <w:szCs w:val="18"/>
                <w:lang w:eastAsia="en-US"/>
              </w:rPr>
              <w:t xml:space="preserve"> baselines, milestones and targets for this indicator.</w:t>
            </w:r>
          </w:p>
          <w:p w14:paraId="16EB90B8" w14:textId="12E11E2E" w:rsidR="004A73D4" w:rsidRPr="0035289B" w:rsidRDefault="004A73D4" w:rsidP="00BA563E">
            <w:pPr>
              <w:spacing w:after="0" w:line="240" w:lineRule="auto"/>
              <w:rPr>
                <w:rFonts w:ascii="Calibri" w:eastAsia="Calibri" w:hAnsi="Calibri" w:cs="Times New Roman"/>
                <w:b/>
                <w:sz w:val="20"/>
                <w:szCs w:val="20"/>
                <w:lang w:eastAsia="en-US"/>
              </w:rPr>
            </w:pPr>
            <w:r w:rsidRPr="0035289B">
              <w:rPr>
                <w:rFonts w:eastAsia="Calibri"/>
                <w:b/>
                <w:sz w:val="18"/>
                <w:szCs w:val="18"/>
              </w:rPr>
              <w:t xml:space="preserve">2014 Reporting Note: </w:t>
            </w:r>
            <w:r w:rsidR="00BA563E" w:rsidRPr="0035289B">
              <w:rPr>
                <w:rFonts w:eastAsia="Calibri"/>
                <w:sz w:val="18"/>
                <w:szCs w:val="18"/>
              </w:rPr>
              <w:t xml:space="preserve">Baseline </w:t>
            </w:r>
            <w:r w:rsidR="0054643D" w:rsidRPr="0035289B">
              <w:rPr>
                <w:rFonts w:eastAsia="Calibri"/>
                <w:sz w:val="18"/>
                <w:szCs w:val="18"/>
              </w:rPr>
              <w:t xml:space="preserve">and 2017 target </w:t>
            </w:r>
            <w:r w:rsidR="00BA563E" w:rsidRPr="0035289B">
              <w:rPr>
                <w:rFonts w:eastAsia="Calibri"/>
                <w:sz w:val="18"/>
                <w:szCs w:val="18"/>
              </w:rPr>
              <w:t>updated to reflect more complete reporting from country offices. For reference, previous baseline was</w:t>
            </w:r>
            <w:r w:rsidR="00DC57D3" w:rsidRPr="0035289B">
              <w:rPr>
                <w:rFonts w:eastAsia="Calibri"/>
                <w:sz w:val="18"/>
                <w:szCs w:val="18"/>
              </w:rPr>
              <w:t xml:space="preserve"> 0</w:t>
            </w:r>
            <w:r w:rsidR="0054643D" w:rsidRPr="0035289B">
              <w:rPr>
                <w:rFonts w:eastAsia="Calibri"/>
                <w:sz w:val="18"/>
                <w:szCs w:val="18"/>
              </w:rPr>
              <w:t>, previous target was 23</w:t>
            </w:r>
            <w:r w:rsidR="00BA563E" w:rsidRPr="0035289B">
              <w:rPr>
                <w:rFonts w:eastAsia="Calibri"/>
                <w:sz w:val="18"/>
                <w:szCs w:val="18"/>
              </w:rPr>
              <w:t xml:space="preserve">. </w:t>
            </w:r>
          </w:p>
        </w:tc>
      </w:tr>
      <w:tr w:rsidR="00BE7BDE" w:rsidRPr="00283732" w14:paraId="5381393B" w14:textId="77777777" w:rsidTr="00C21D86">
        <w:trPr>
          <w:trHeight w:val="314"/>
          <w:jc w:val="center"/>
        </w:trPr>
        <w:tc>
          <w:tcPr>
            <w:tcW w:w="3325" w:type="dxa"/>
            <w:gridSpan w:val="2"/>
            <w:vMerge w:val="restart"/>
            <w:tcBorders>
              <w:top w:val="single" w:sz="4" w:space="0" w:color="auto"/>
              <w:left w:val="single" w:sz="4" w:space="0" w:color="auto"/>
              <w:right w:val="single" w:sz="4" w:space="0" w:color="auto"/>
            </w:tcBorders>
            <w:shd w:val="clear" w:color="auto" w:fill="FFFFFF"/>
            <w:hideMark/>
          </w:tcPr>
          <w:p w14:paraId="4AF27E81" w14:textId="09694860" w:rsidR="00BE7BDE" w:rsidRDefault="00BE7BDE" w:rsidP="00A25356">
            <w:pPr>
              <w:spacing w:after="0" w:line="240" w:lineRule="auto"/>
              <w:rPr>
                <w:rFonts w:eastAsia="Calibri"/>
                <w:color w:val="000000"/>
                <w:sz w:val="20"/>
                <w:szCs w:val="20"/>
              </w:rPr>
            </w:pPr>
            <w:r w:rsidRPr="00B66E9F">
              <w:rPr>
                <w:rFonts w:eastAsia="Calibri"/>
                <w:b/>
                <w:sz w:val="20"/>
                <w:szCs w:val="20"/>
              </w:rPr>
              <w:t xml:space="preserve">Output 7.3. </w:t>
            </w:r>
            <w:r w:rsidRPr="00B66E9F">
              <w:rPr>
                <w:rFonts w:eastAsia="Calibri"/>
                <w:color w:val="000000"/>
                <w:sz w:val="20"/>
                <w:szCs w:val="20"/>
              </w:rPr>
              <w:t>National development plans to address poverty and inequality are</w:t>
            </w:r>
            <w:r w:rsidR="00573503">
              <w:rPr>
                <w:rFonts w:eastAsia="Calibri"/>
                <w:color w:val="000000"/>
                <w:sz w:val="20"/>
                <w:szCs w:val="20"/>
              </w:rPr>
              <w:t xml:space="preserve"> sustainable and risk resilient</w:t>
            </w:r>
          </w:p>
          <w:p w14:paraId="53EBFB85" w14:textId="77777777" w:rsidR="00BE7BDE" w:rsidRDefault="00BE7BDE" w:rsidP="00A25356">
            <w:pPr>
              <w:spacing w:after="0" w:line="240" w:lineRule="auto"/>
              <w:rPr>
                <w:rFonts w:eastAsia="Calibri"/>
                <w:sz w:val="20"/>
                <w:szCs w:val="20"/>
              </w:rPr>
            </w:pPr>
          </w:p>
          <w:p w14:paraId="69E55DA7" w14:textId="45C59486" w:rsidR="00460746" w:rsidRDefault="00460746" w:rsidP="00460746">
            <w:pPr>
              <w:spacing w:after="0" w:line="240" w:lineRule="auto"/>
              <w:rPr>
                <w:rFonts w:ascii="Calibri" w:eastAsia="Calibri" w:hAnsi="Calibri"/>
                <w:b/>
                <w:color w:val="000000"/>
                <w:sz w:val="18"/>
                <w:szCs w:val="18"/>
              </w:rPr>
            </w:pPr>
            <w:r w:rsidRPr="00B359E7">
              <w:rPr>
                <w:rFonts w:ascii="Calibri" w:eastAsia="Calibri" w:hAnsi="Calibri"/>
                <w:b/>
                <w:i/>
                <w:color w:val="000000"/>
                <w:sz w:val="18"/>
                <w:szCs w:val="18"/>
              </w:rPr>
              <w:t>Number of countries linked:</w:t>
            </w:r>
            <w:r>
              <w:rPr>
                <w:rFonts w:ascii="Calibri" w:eastAsia="Calibri" w:hAnsi="Calibri"/>
                <w:b/>
                <w:color w:val="000000"/>
                <w:sz w:val="18"/>
                <w:szCs w:val="18"/>
              </w:rPr>
              <w:t xml:space="preserve"> 43 </w:t>
            </w:r>
          </w:p>
          <w:p w14:paraId="1F1D034C" w14:textId="1F46CB60" w:rsidR="00BE7BDE" w:rsidRPr="008C4519" w:rsidRDefault="00460746" w:rsidP="00460746">
            <w:pPr>
              <w:spacing w:after="0" w:line="240" w:lineRule="auto"/>
              <w:rPr>
                <w:rFonts w:eastAsia="Calibri"/>
                <w:color w:val="000000"/>
                <w:sz w:val="20"/>
              </w:rPr>
            </w:pPr>
            <w:r>
              <w:rPr>
                <w:rFonts w:ascii="Calibri" w:eastAsia="Calibri" w:hAnsi="Calibri"/>
                <w:b/>
                <w:color w:val="000000"/>
                <w:sz w:val="18"/>
                <w:szCs w:val="18"/>
              </w:rPr>
              <w:t>(February 2015</w:t>
            </w:r>
            <w:r w:rsidRPr="00B359E7">
              <w:rPr>
                <w:rFonts w:ascii="Calibri" w:eastAsia="Calibri" w:hAnsi="Calibri"/>
                <w:b/>
                <w:color w:val="000000"/>
                <w:sz w:val="18"/>
                <w:szCs w:val="18"/>
              </w:rPr>
              <w:t>)</w:t>
            </w:r>
          </w:p>
        </w:tc>
        <w:tc>
          <w:tcPr>
            <w:tcW w:w="720" w:type="dxa"/>
            <w:vMerge w:val="restart"/>
            <w:tcBorders>
              <w:top w:val="single" w:sz="4" w:space="0" w:color="auto"/>
              <w:left w:val="single" w:sz="4" w:space="0" w:color="auto"/>
              <w:right w:val="single" w:sz="4" w:space="0" w:color="auto"/>
            </w:tcBorders>
            <w:shd w:val="clear" w:color="auto" w:fill="FFFFFF"/>
            <w:hideMark/>
          </w:tcPr>
          <w:p w14:paraId="37143641" w14:textId="77777777" w:rsidR="00BE7BDE" w:rsidRPr="00405363" w:rsidRDefault="00BE7BDE" w:rsidP="00A25356">
            <w:pPr>
              <w:spacing w:after="0" w:line="240" w:lineRule="auto"/>
              <w:rPr>
                <w:rFonts w:eastAsia="Calibri"/>
                <w:b/>
                <w:sz w:val="20"/>
                <w:szCs w:val="20"/>
              </w:rPr>
            </w:pPr>
            <w:r w:rsidRPr="00405363">
              <w:rPr>
                <w:rFonts w:eastAsia="Calibri"/>
                <w:b/>
                <w:sz w:val="20"/>
                <w:szCs w:val="20"/>
              </w:rPr>
              <w:t>7.3.1</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4407AA8D" w14:textId="3B130CE9" w:rsidR="00BE7BDE" w:rsidRDefault="00BE7BDE" w:rsidP="00A25356">
            <w:pPr>
              <w:spacing w:after="0" w:line="240" w:lineRule="auto"/>
              <w:rPr>
                <w:rFonts w:eastAsia="SimSun"/>
                <w:b/>
                <w:sz w:val="20"/>
                <w:szCs w:val="20"/>
                <w:lang w:eastAsia="zh-CN"/>
              </w:rPr>
            </w:pPr>
            <w:r w:rsidRPr="00B66E9F">
              <w:rPr>
                <w:rFonts w:eastAsia="Calibri"/>
                <w:sz w:val="20"/>
                <w:szCs w:val="20"/>
              </w:rPr>
              <w:t xml:space="preserve">Number of </w:t>
            </w:r>
            <w:r w:rsidR="00DD6825" w:rsidRPr="000B5DED">
              <w:rPr>
                <w:rFonts w:eastAsia="Calibri"/>
                <w:b/>
                <w:sz w:val="20"/>
                <w:szCs w:val="20"/>
              </w:rPr>
              <w:t xml:space="preserve">new </w:t>
            </w:r>
            <w:r w:rsidRPr="000B5DED">
              <w:rPr>
                <w:rFonts w:eastAsia="Calibri"/>
                <w:b/>
                <w:sz w:val="20"/>
                <w:szCs w:val="20"/>
              </w:rPr>
              <w:t>country diagnostics</w:t>
            </w:r>
            <w:r w:rsidRPr="00B66E9F">
              <w:rPr>
                <w:rFonts w:eastAsia="Calibri"/>
                <w:sz w:val="20"/>
                <w:szCs w:val="20"/>
              </w:rPr>
              <w:t xml:space="preserve"> carried out </w:t>
            </w:r>
            <w:r w:rsidRPr="00B66E9F">
              <w:rPr>
                <w:rFonts w:eastAsia="Calibri"/>
                <w:b/>
                <w:sz w:val="20"/>
                <w:szCs w:val="20"/>
              </w:rPr>
              <w:t>to inform policy options</w:t>
            </w:r>
            <w:r w:rsidRPr="00B66E9F">
              <w:rPr>
                <w:rFonts w:eastAsia="Calibri"/>
                <w:sz w:val="20"/>
                <w:szCs w:val="20"/>
              </w:rPr>
              <w:t xml:space="preserve"> on national response to globally agreed development agenda,</w:t>
            </w:r>
            <w:r w:rsidRPr="00B66E9F">
              <w:rPr>
                <w:rFonts w:eastAsia="SimSun"/>
                <w:sz w:val="20"/>
                <w:szCs w:val="20"/>
                <w:lang w:eastAsia="zh-CN"/>
              </w:rPr>
              <w:t xml:space="preserve"> including analysis of sustainability and risk resilience, with </w:t>
            </w:r>
            <w:r w:rsidRPr="00B66E9F">
              <w:rPr>
                <w:rFonts w:eastAsia="SimSun"/>
                <w:b/>
                <w:sz w:val="20"/>
                <w:szCs w:val="20"/>
                <w:lang w:eastAsia="zh-CN"/>
              </w:rPr>
              <w:t>post-2015</w:t>
            </w:r>
            <w:r w:rsidRPr="00B66E9F">
              <w:rPr>
                <w:rFonts w:eastAsia="SimSun"/>
                <w:sz w:val="20"/>
                <w:szCs w:val="20"/>
                <w:lang w:eastAsia="zh-CN"/>
              </w:rPr>
              <w:t xml:space="preserve"> </w:t>
            </w:r>
            <w:r w:rsidRPr="00B66E9F">
              <w:rPr>
                <w:rFonts w:eastAsia="SimSun"/>
                <w:b/>
                <w:sz w:val="20"/>
                <w:szCs w:val="20"/>
                <w:lang w:eastAsia="zh-CN"/>
              </w:rPr>
              <w:t>poverty eradication co</w:t>
            </w:r>
            <w:r w:rsidR="00546E49">
              <w:rPr>
                <w:rFonts w:eastAsia="SimSun"/>
                <w:b/>
                <w:sz w:val="20"/>
                <w:szCs w:val="20"/>
                <w:lang w:eastAsia="zh-CN"/>
              </w:rPr>
              <w:t>mmitments and targets specified</w:t>
            </w:r>
          </w:p>
          <w:p w14:paraId="1D722592" w14:textId="128A54E7" w:rsidR="00546E49" w:rsidRPr="00B66E9F" w:rsidRDefault="00546E49" w:rsidP="00470777">
            <w:pPr>
              <w:spacing w:before="120" w:after="0" w:line="240" w:lineRule="auto"/>
              <w:rPr>
                <w:rFonts w:eastAsia="Calibri"/>
                <w:sz w:val="20"/>
                <w:szCs w:val="20"/>
              </w:rPr>
            </w:pPr>
            <w:r w:rsidRPr="001E5B44">
              <w:rPr>
                <w:rFonts w:eastAsia="Calibri"/>
                <w:b/>
                <w:i/>
                <w:sz w:val="18"/>
                <w:szCs w:val="18"/>
              </w:rPr>
              <w:t xml:space="preserve">Number of </w:t>
            </w:r>
            <w:r w:rsidRPr="0013161E">
              <w:rPr>
                <w:rFonts w:eastAsia="Calibri"/>
                <w:b/>
                <w:i/>
                <w:sz w:val="18"/>
                <w:szCs w:val="18"/>
              </w:rPr>
              <w:t xml:space="preserve">countries </w:t>
            </w:r>
            <w:r w:rsidR="00983FF8" w:rsidRPr="0013161E">
              <w:rPr>
                <w:rFonts w:eastAsia="Calibri"/>
                <w:b/>
                <w:i/>
                <w:sz w:val="18"/>
                <w:szCs w:val="18"/>
              </w:rPr>
              <w:t>for which a 2017 target has currently been set</w:t>
            </w:r>
            <w:r w:rsidR="00983FF8">
              <w:rPr>
                <w:rFonts w:eastAsia="Calibri"/>
                <w:b/>
                <w:i/>
                <w:sz w:val="18"/>
                <w:szCs w:val="18"/>
              </w:rPr>
              <w:t xml:space="preserve"> under this indicator</w:t>
            </w:r>
            <w:r w:rsidR="00814358">
              <w:rPr>
                <w:rFonts w:eastAsia="Calibri"/>
                <w:b/>
                <w:i/>
                <w:sz w:val="18"/>
                <w:szCs w:val="18"/>
              </w:rPr>
              <w:t>: 35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8103B" w14:textId="2C045DAA" w:rsidR="00BE7BDE" w:rsidRPr="00930E1E" w:rsidRDefault="00BE7BDE" w:rsidP="0061246D">
            <w:pPr>
              <w:spacing w:after="0" w:line="240" w:lineRule="auto"/>
              <w:jc w:val="center"/>
              <w:rPr>
                <w:rFonts w:eastAsia="Calibri"/>
                <w:sz w:val="20"/>
                <w:szCs w:val="20"/>
              </w:rPr>
            </w:pPr>
            <w:r w:rsidRPr="00930E1E">
              <w:rPr>
                <w:rFonts w:eastAsia="Calibri"/>
                <w:sz w:val="20"/>
                <w:szCs w:val="20"/>
              </w:rPr>
              <w:t xml:space="preserve">0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37822" w14:textId="1D3371AB" w:rsidR="00BE7BDE" w:rsidRPr="00930E1E" w:rsidRDefault="006E478E" w:rsidP="00A25356">
            <w:pPr>
              <w:spacing w:after="0" w:line="240" w:lineRule="auto"/>
              <w:jc w:val="center"/>
              <w:rPr>
                <w:rFonts w:eastAsia="Calibri"/>
                <w:sz w:val="20"/>
                <w:szCs w:val="20"/>
              </w:rPr>
            </w:pPr>
            <w:r>
              <w:rPr>
                <w:rFonts w:eastAsia="Calibri"/>
                <w:sz w:val="20"/>
                <w:szCs w:val="20"/>
              </w:rPr>
              <w:t>42</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47BE1" w14:textId="599C74FA" w:rsidR="00BE7BDE" w:rsidRPr="00930E1E" w:rsidRDefault="006E478E" w:rsidP="00A25356">
            <w:pPr>
              <w:spacing w:after="0" w:line="240" w:lineRule="auto"/>
              <w:jc w:val="center"/>
              <w:rPr>
                <w:rFonts w:eastAsia="Calibri"/>
                <w:sz w:val="20"/>
                <w:szCs w:val="20"/>
              </w:rPr>
            </w:pPr>
            <w:r>
              <w:rPr>
                <w:rFonts w:eastAsia="Calibri"/>
                <w:sz w:val="20"/>
                <w:szCs w:val="20"/>
              </w:rPr>
              <w:t>61</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1442C" w14:textId="28BF0623" w:rsidR="00BE7BDE" w:rsidRPr="00930E1E" w:rsidRDefault="00BE7BDE" w:rsidP="00814358">
            <w:pPr>
              <w:spacing w:after="0" w:line="240" w:lineRule="auto"/>
              <w:jc w:val="center"/>
              <w:rPr>
                <w:rFonts w:eastAsia="Calibri"/>
                <w:sz w:val="20"/>
                <w:szCs w:val="20"/>
              </w:rPr>
            </w:pPr>
            <w:r w:rsidRPr="00930E1E">
              <w:rPr>
                <w:rFonts w:eastAsia="Calibri"/>
                <w:sz w:val="20"/>
                <w:szCs w:val="20"/>
              </w:rPr>
              <w:t>1</w:t>
            </w:r>
            <w:r w:rsidR="00814358">
              <w:rPr>
                <w:rFonts w:eastAsia="Calibri"/>
                <w:sz w:val="20"/>
                <w:szCs w:val="20"/>
              </w:rPr>
              <w:t>49</w:t>
            </w:r>
          </w:p>
        </w:tc>
      </w:tr>
      <w:tr w:rsidR="006E478E" w:rsidRPr="00283732" w14:paraId="6395F987" w14:textId="77777777" w:rsidTr="004C3CB2">
        <w:trPr>
          <w:trHeight w:val="314"/>
          <w:jc w:val="center"/>
        </w:trPr>
        <w:tc>
          <w:tcPr>
            <w:tcW w:w="3325" w:type="dxa"/>
            <w:gridSpan w:val="2"/>
            <w:vMerge/>
            <w:tcBorders>
              <w:left w:val="single" w:sz="4" w:space="0" w:color="auto"/>
              <w:bottom w:val="single" w:sz="4" w:space="0" w:color="auto"/>
              <w:right w:val="single" w:sz="4" w:space="0" w:color="auto"/>
            </w:tcBorders>
            <w:shd w:val="clear" w:color="auto" w:fill="FFFFFF"/>
          </w:tcPr>
          <w:p w14:paraId="1F7D5FD5" w14:textId="77777777" w:rsidR="006E478E" w:rsidRPr="00B66E9F" w:rsidRDefault="006E478E" w:rsidP="00A25356">
            <w:pPr>
              <w:spacing w:after="0" w:line="240" w:lineRule="auto"/>
              <w:rPr>
                <w:rFonts w:eastAsia="Calibri"/>
                <w:b/>
                <w:sz w:val="20"/>
                <w:szCs w:val="20"/>
              </w:rPr>
            </w:pPr>
          </w:p>
        </w:tc>
        <w:tc>
          <w:tcPr>
            <w:tcW w:w="720" w:type="dxa"/>
            <w:vMerge/>
            <w:tcBorders>
              <w:left w:val="single" w:sz="4" w:space="0" w:color="auto"/>
              <w:bottom w:val="single" w:sz="4" w:space="0" w:color="auto"/>
              <w:right w:val="single" w:sz="4" w:space="0" w:color="auto"/>
            </w:tcBorders>
            <w:shd w:val="clear" w:color="auto" w:fill="FFFFFF"/>
          </w:tcPr>
          <w:p w14:paraId="27D2283A" w14:textId="77777777" w:rsidR="006E478E" w:rsidRPr="00405363" w:rsidRDefault="006E478E" w:rsidP="00A25356">
            <w:pPr>
              <w:spacing w:after="0" w:line="240" w:lineRule="auto"/>
              <w:rPr>
                <w:rFonts w:eastAsia="Calibri"/>
                <w:b/>
                <w:sz w:val="20"/>
                <w:szCs w:val="20"/>
              </w:rPr>
            </w:pPr>
          </w:p>
        </w:tc>
        <w:tc>
          <w:tcPr>
            <w:tcW w:w="10260" w:type="dxa"/>
            <w:gridSpan w:val="6"/>
            <w:tcBorders>
              <w:left w:val="single" w:sz="4" w:space="0" w:color="auto"/>
              <w:bottom w:val="single" w:sz="4" w:space="0" w:color="auto"/>
              <w:right w:val="single" w:sz="4" w:space="0" w:color="auto"/>
            </w:tcBorders>
            <w:shd w:val="clear" w:color="auto" w:fill="D9D9D9" w:themeFill="background1" w:themeFillShade="D9"/>
          </w:tcPr>
          <w:p w14:paraId="3C095F67" w14:textId="77777777" w:rsidR="006E478E" w:rsidRPr="0035289B" w:rsidRDefault="006E478E" w:rsidP="00A25356">
            <w:pPr>
              <w:spacing w:after="0" w:line="240" w:lineRule="auto"/>
              <w:rPr>
                <w:rFonts w:eastAsia="Calibri"/>
                <w:sz w:val="18"/>
                <w:szCs w:val="18"/>
              </w:rPr>
            </w:pPr>
            <w:r w:rsidRPr="0035289B">
              <w:rPr>
                <w:rFonts w:ascii="Calibri" w:eastAsia="Calibri" w:hAnsi="Calibri" w:cs="Times New Roman"/>
                <w:b/>
                <w:sz w:val="18"/>
                <w:szCs w:val="18"/>
                <w:lang w:eastAsia="en-US"/>
              </w:rPr>
              <w:t xml:space="preserve">Indicator 7.3.1 Note: </w:t>
            </w:r>
            <w:r w:rsidRPr="0035289B">
              <w:rPr>
                <w:rFonts w:eastAsia="Calibri"/>
                <w:sz w:val="18"/>
                <w:szCs w:val="18"/>
              </w:rPr>
              <w:t>Tracks the number of new country diagnostics carried out with support from UNDP (on demand from programme countries) to inform policy options on national response to globally agreed development agenda, from January 2014 onwards.</w:t>
            </w:r>
          </w:p>
          <w:p w14:paraId="445DF53D" w14:textId="1EF885EE" w:rsidR="006E478E" w:rsidRPr="0035289B" w:rsidRDefault="006E478E" w:rsidP="00814358">
            <w:pPr>
              <w:spacing w:after="0" w:line="240" w:lineRule="auto"/>
              <w:rPr>
                <w:rFonts w:ascii="Calibri" w:eastAsia="Calibri" w:hAnsi="Calibri" w:cs="Times New Roman"/>
                <w:b/>
                <w:sz w:val="18"/>
                <w:szCs w:val="18"/>
                <w:lang w:eastAsia="en-US"/>
              </w:rPr>
            </w:pPr>
            <w:r w:rsidRPr="0035289B">
              <w:rPr>
                <w:rFonts w:eastAsia="Calibri"/>
                <w:b/>
                <w:sz w:val="18"/>
                <w:szCs w:val="18"/>
              </w:rPr>
              <w:t xml:space="preserve">2014 Reporting Note: </w:t>
            </w:r>
            <w:r w:rsidRPr="0035289B">
              <w:rPr>
                <w:rFonts w:eastAsia="Calibri"/>
                <w:sz w:val="18"/>
                <w:szCs w:val="18"/>
              </w:rPr>
              <w:t xml:space="preserve">2014 </w:t>
            </w:r>
            <w:r w:rsidR="00814358" w:rsidRPr="0035289B">
              <w:rPr>
                <w:rFonts w:eastAsia="Calibri"/>
                <w:sz w:val="18"/>
                <w:szCs w:val="18"/>
              </w:rPr>
              <w:t>m</w:t>
            </w:r>
            <w:r w:rsidRPr="0035289B">
              <w:rPr>
                <w:rFonts w:eastAsia="Calibri"/>
                <w:sz w:val="18"/>
                <w:szCs w:val="18"/>
              </w:rPr>
              <w:t xml:space="preserve">ilestone </w:t>
            </w:r>
            <w:r w:rsidR="00814358" w:rsidRPr="0035289B">
              <w:rPr>
                <w:rFonts w:eastAsia="Calibri"/>
                <w:sz w:val="18"/>
                <w:szCs w:val="18"/>
              </w:rPr>
              <w:t xml:space="preserve">and 2017 target </w:t>
            </w:r>
            <w:r w:rsidRPr="0035289B">
              <w:rPr>
                <w:rFonts w:eastAsia="Calibri"/>
                <w:sz w:val="18"/>
                <w:szCs w:val="18"/>
              </w:rPr>
              <w:t>updated to reflect more complete reporting from country offices. For ref</w:t>
            </w:r>
            <w:r w:rsidR="00DC57D3" w:rsidRPr="0035289B">
              <w:rPr>
                <w:rFonts w:eastAsia="Calibri"/>
                <w:sz w:val="18"/>
                <w:szCs w:val="18"/>
              </w:rPr>
              <w:t>erence, previous 2014 milestone</w:t>
            </w:r>
            <w:r w:rsidRPr="0035289B">
              <w:rPr>
                <w:rFonts w:eastAsia="Calibri"/>
                <w:sz w:val="18"/>
                <w:szCs w:val="18"/>
              </w:rPr>
              <w:t xml:space="preserve"> was 32</w:t>
            </w:r>
            <w:r w:rsidR="00814358" w:rsidRPr="0035289B">
              <w:rPr>
                <w:rFonts w:eastAsia="Calibri"/>
                <w:sz w:val="18"/>
                <w:szCs w:val="18"/>
              </w:rPr>
              <w:t>, previous target was 134</w:t>
            </w:r>
            <w:r w:rsidR="00BA563E" w:rsidRPr="0035289B">
              <w:rPr>
                <w:rFonts w:eastAsia="Calibri"/>
                <w:sz w:val="18"/>
                <w:szCs w:val="18"/>
              </w:rPr>
              <w:t>.</w:t>
            </w:r>
          </w:p>
        </w:tc>
      </w:tr>
    </w:tbl>
    <w:p w14:paraId="2AB85835" w14:textId="77777777" w:rsidR="0035289B" w:rsidRDefault="0035289B">
      <w:r>
        <w:br w:type="page"/>
      </w:r>
    </w:p>
    <w:tbl>
      <w:tblPr>
        <w:tblW w:w="14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720"/>
        <w:gridCol w:w="5220"/>
        <w:gridCol w:w="1350"/>
        <w:gridCol w:w="1170"/>
        <w:gridCol w:w="1350"/>
        <w:gridCol w:w="1170"/>
      </w:tblGrid>
      <w:tr w:rsidR="00BE7BDE" w:rsidRPr="00283732" w14:paraId="50918063" w14:textId="77777777" w:rsidTr="00C21D86">
        <w:trPr>
          <w:trHeight w:val="521"/>
          <w:jc w:val="center"/>
        </w:trPr>
        <w:tc>
          <w:tcPr>
            <w:tcW w:w="3325" w:type="dxa"/>
            <w:vMerge w:val="restart"/>
            <w:tcBorders>
              <w:top w:val="single" w:sz="4" w:space="0" w:color="auto"/>
              <w:left w:val="single" w:sz="4" w:space="0" w:color="auto"/>
              <w:right w:val="single" w:sz="4" w:space="0" w:color="auto"/>
            </w:tcBorders>
            <w:shd w:val="clear" w:color="auto" w:fill="FFFFFF"/>
            <w:hideMark/>
          </w:tcPr>
          <w:p w14:paraId="0B929E1E" w14:textId="04D64241" w:rsidR="00BE7BDE" w:rsidRDefault="00BE7BDE" w:rsidP="00A25356">
            <w:pPr>
              <w:spacing w:after="0" w:line="240" w:lineRule="auto"/>
              <w:rPr>
                <w:rFonts w:eastAsia="Calibri"/>
                <w:sz w:val="20"/>
                <w:szCs w:val="20"/>
              </w:rPr>
            </w:pPr>
            <w:r w:rsidRPr="00B66E9F">
              <w:rPr>
                <w:rFonts w:eastAsia="Calibri"/>
                <w:b/>
                <w:sz w:val="20"/>
                <w:szCs w:val="20"/>
              </w:rPr>
              <w:t xml:space="preserve">Output 7.4. </w:t>
            </w:r>
            <w:r w:rsidRPr="00B66E9F">
              <w:rPr>
                <w:rFonts w:eastAsia="Calibri"/>
                <w:sz w:val="20"/>
                <w:szCs w:val="20"/>
              </w:rPr>
              <w:t xml:space="preserve">Countries enabled to gain equitable access to, and manage, ODA and other sources </w:t>
            </w:r>
            <w:r w:rsidR="00613FB0">
              <w:rPr>
                <w:rFonts w:eastAsia="Calibri"/>
                <w:sz w:val="20"/>
                <w:szCs w:val="20"/>
              </w:rPr>
              <w:t>of global development financing</w:t>
            </w:r>
          </w:p>
          <w:p w14:paraId="12C891DC" w14:textId="77777777" w:rsidR="00BE7BDE" w:rsidRDefault="00BE7BDE" w:rsidP="00A25356">
            <w:pPr>
              <w:spacing w:after="0" w:line="240" w:lineRule="auto"/>
              <w:rPr>
                <w:rFonts w:eastAsia="Calibri"/>
                <w:sz w:val="20"/>
                <w:szCs w:val="20"/>
              </w:rPr>
            </w:pPr>
          </w:p>
          <w:p w14:paraId="6C77227C" w14:textId="06DCE609" w:rsidR="00460746" w:rsidRDefault="00460746" w:rsidP="00460746">
            <w:pPr>
              <w:spacing w:after="0" w:line="240" w:lineRule="auto"/>
              <w:rPr>
                <w:rFonts w:ascii="Calibri" w:eastAsia="Calibri" w:hAnsi="Calibri"/>
                <w:b/>
                <w:color w:val="000000"/>
                <w:sz w:val="18"/>
                <w:szCs w:val="18"/>
              </w:rPr>
            </w:pPr>
            <w:r w:rsidRPr="00B359E7">
              <w:rPr>
                <w:rFonts w:ascii="Calibri" w:eastAsia="Calibri" w:hAnsi="Calibri"/>
                <w:b/>
                <w:i/>
                <w:color w:val="000000"/>
                <w:sz w:val="18"/>
                <w:szCs w:val="18"/>
              </w:rPr>
              <w:t>Number of countries linked:</w:t>
            </w:r>
            <w:r w:rsidR="00470777">
              <w:rPr>
                <w:rFonts w:ascii="Calibri" w:eastAsia="Calibri" w:hAnsi="Calibri"/>
                <w:b/>
                <w:color w:val="000000"/>
                <w:sz w:val="18"/>
                <w:szCs w:val="18"/>
              </w:rPr>
              <w:t xml:space="preserve"> 30</w:t>
            </w:r>
          </w:p>
          <w:p w14:paraId="339057CD" w14:textId="3172E5F6" w:rsidR="00BE7BDE" w:rsidRPr="008C4519" w:rsidRDefault="00460746" w:rsidP="00460746">
            <w:pPr>
              <w:spacing w:after="0" w:line="240" w:lineRule="auto"/>
              <w:rPr>
                <w:rFonts w:eastAsia="Calibri"/>
                <w:color w:val="000000"/>
                <w:sz w:val="20"/>
              </w:rPr>
            </w:pPr>
            <w:r>
              <w:rPr>
                <w:rFonts w:ascii="Calibri" w:eastAsia="Calibri" w:hAnsi="Calibri"/>
                <w:b/>
                <w:color w:val="000000"/>
                <w:sz w:val="18"/>
                <w:szCs w:val="18"/>
              </w:rPr>
              <w:t>(February 2015</w:t>
            </w:r>
            <w:r w:rsidRPr="00B359E7">
              <w:rPr>
                <w:rFonts w:ascii="Calibri" w:eastAsia="Calibri" w:hAnsi="Calibri"/>
                <w:b/>
                <w:color w:val="000000"/>
                <w:sz w:val="18"/>
                <w:szCs w:val="18"/>
              </w:rPr>
              <w:t>)</w:t>
            </w:r>
          </w:p>
        </w:tc>
        <w:tc>
          <w:tcPr>
            <w:tcW w:w="720" w:type="dxa"/>
            <w:vMerge w:val="restart"/>
            <w:tcBorders>
              <w:top w:val="single" w:sz="4" w:space="0" w:color="auto"/>
              <w:left w:val="single" w:sz="4" w:space="0" w:color="auto"/>
              <w:right w:val="single" w:sz="4" w:space="0" w:color="auto"/>
            </w:tcBorders>
            <w:shd w:val="clear" w:color="auto" w:fill="FFFFFF"/>
          </w:tcPr>
          <w:p w14:paraId="438513C3" w14:textId="77777777" w:rsidR="00BE7BDE" w:rsidRPr="00405363" w:rsidRDefault="00BE7BDE" w:rsidP="00A25356">
            <w:pPr>
              <w:spacing w:after="0" w:line="240" w:lineRule="auto"/>
              <w:rPr>
                <w:rFonts w:eastAsia="Calibri"/>
                <w:b/>
                <w:sz w:val="20"/>
                <w:szCs w:val="20"/>
              </w:rPr>
            </w:pPr>
            <w:r w:rsidRPr="00405363">
              <w:rPr>
                <w:rFonts w:eastAsia="Calibri"/>
                <w:b/>
                <w:sz w:val="20"/>
                <w:szCs w:val="20"/>
              </w:rPr>
              <w:t>7.4.2</w:t>
            </w:r>
          </w:p>
        </w:tc>
        <w:tc>
          <w:tcPr>
            <w:tcW w:w="5220" w:type="dxa"/>
            <w:tcBorders>
              <w:top w:val="single" w:sz="4" w:space="0" w:color="auto"/>
              <w:left w:val="single" w:sz="4" w:space="0" w:color="auto"/>
              <w:right w:val="single" w:sz="4" w:space="0" w:color="auto"/>
            </w:tcBorders>
            <w:shd w:val="clear" w:color="auto" w:fill="FFFFFF"/>
          </w:tcPr>
          <w:p w14:paraId="0537F0C8" w14:textId="64E3274D" w:rsidR="00BE7BDE" w:rsidRDefault="00BE7BDE" w:rsidP="00A25356">
            <w:pPr>
              <w:spacing w:after="0" w:line="240" w:lineRule="auto"/>
              <w:rPr>
                <w:rFonts w:eastAsia="Calibri"/>
                <w:b/>
                <w:sz w:val="20"/>
                <w:szCs w:val="20"/>
              </w:rPr>
            </w:pPr>
            <w:r w:rsidRPr="00B66E9F">
              <w:rPr>
                <w:rFonts w:eastAsia="Calibri"/>
                <w:color w:val="000000"/>
                <w:sz w:val="20"/>
                <w:szCs w:val="20"/>
              </w:rPr>
              <w:t xml:space="preserve">Number of countries that </w:t>
            </w:r>
            <w:r w:rsidRPr="00E6246B">
              <w:rPr>
                <w:rFonts w:eastAsia="Calibri"/>
                <w:color w:val="000000"/>
                <w:sz w:val="20"/>
                <w:szCs w:val="20"/>
              </w:rPr>
              <w:t xml:space="preserve">have </w:t>
            </w:r>
            <w:r w:rsidR="00DD6825" w:rsidRPr="000B5DED">
              <w:rPr>
                <w:rFonts w:eastAsia="Calibri"/>
                <w:b/>
                <w:color w:val="000000"/>
                <w:sz w:val="20"/>
                <w:szCs w:val="20"/>
              </w:rPr>
              <w:t xml:space="preserve">more </w:t>
            </w:r>
            <w:r w:rsidRPr="000B5DED">
              <w:rPr>
                <w:rFonts w:eastAsia="Calibri"/>
                <w:b/>
                <w:color w:val="000000"/>
                <w:sz w:val="20"/>
                <w:szCs w:val="20"/>
              </w:rPr>
              <w:t>effective mechanisms</w:t>
            </w:r>
            <w:r w:rsidRPr="00E6246B">
              <w:rPr>
                <w:rFonts w:eastAsia="Calibri"/>
                <w:color w:val="000000"/>
                <w:sz w:val="20"/>
                <w:szCs w:val="20"/>
              </w:rPr>
              <w:t xml:space="preserve"> in place to </w:t>
            </w:r>
            <w:r w:rsidRPr="00E6246B">
              <w:rPr>
                <w:rFonts w:eastAsia="Calibri"/>
                <w:b/>
                <w:color w:val="000000"/>
                <w:sz w:val="20"/>
                <w:szCs w:val="20"/>
              </w:rPr>
              <w:t>access, deliver, monitor, report on and/or verify</w:t>
            </w:r>
            <w:r w:rsidRPr="00B66E9F">
              <w:rPr>
                <w:rFonts w:eastAsia="Calibri"/>
                <w:b/>
                <w:color w:val="000000"/>
                <w:sz w:val="20"/>
                <w:szCs w:val="20"/>
              </w:rPr>
              <w:t xml:space="preserve"> use of ODA and </w:t>
            </w:r>
            <w:r w:rsidRPr="00B66E9F">
              <w:rPr>
                <w:rFonts w:eastAsia="Calibri"/>
                <w:b/>
                <w:sz w:val="20"/>
                <w:szCs w:val="20"/>
              </w:rPr>
              <w:t>other sources of global development financing</w:t>
            </w:r>
          </w:p>
          <w:p w14:paraId="6353F3D5" w14:textId="5C11F3F0" w:rsidR="00546E49" w:rsidRPr="00B66E9F" w:rsidRDefault="00546E49" w:rsidP="00470777">
            <w:pPr>
              <w:spacing w:before="120" w:after="0" w:line="240" w:lineRule="auto"/>
              <w:rPr>
                <w:rFonts w:eastAsia="Calibri"/>
                <w:i/>
                <w:sz w:val="20"/>
                <w:szCs w:val="20"/>
              </w:rPr>
            </w:pPr>
            <w:r w:rsidRPr="001E5B44">
              <w:rPr>
                <w:rFonts w:eastAsia="Calibri"/>
                <w:b/>
                <w:i/>
                <w:sz w:val="18"/>
                <w:szCs w:val="18"/>
              </w:rPr>
              <w:t xml:space="preserve">Number of </w:t>
            </w:r>
            <w:r w:rsidRPr="0013161E">
              <w:rPr>
                <w:rFonts w:eastAsia="Calibri"/>
                <w:b/>
                <w:i/>
                <w:sz w:val="18"/>
                <w:szCs w:val="18"/>
              </w:rPr>
              <w:t xml:space="preserve">countries </w:t>
            </w:r>
            <w:r w:rsidR="00983FF8" w:rsidRPr="0013161E">
              <w:rPr>
                <w:rFonts w:eastAsia="Calibri"/>
                <w:b/>
                <w:i/>
                <w:sz w:val="18"/>
                <w:szCs w:val="18"/>
              </w:rPr>
              <w:t>for which a 2017 target has currently been set</w:t>
            </w:r>
            <w:r w:rsidR="00983FF8">
              <w:rPr>
                <w:rFonts w:eastAsia="Calibri"/>
                <w:b/>
                <w:i/>
                <w:sz w:val="18"/>
                <w:szCs w:val="18"/>
              </w:rPr>
              <w:t xml:space="preserve"> under this indicator</w:t>
            </w:r>
            <w:r w:rsidR="00FD7F18">
              <w:rPr>
                <w:rFonts w:eastAsia="Calibri"/>
                <w:b/>
                <w:i/>
                <w:sz w:val="18"/>
                <w:szCs w:val="18"/>
              </w:rPr>
              <w:t>: 17</w:t>
            </w:r>
          </w:p>
        </w:tc>
        <w:tc>
          <w:tcPr>
            <w:tcW w:w="1350" w:type="dxa"/>
            <w:tcBorders>
              <w:top w:val="single" w:sz="4" w:space="0" w:color="auto"/>
              <w:left w:val="single" w:sz="4" w:space="0" w:color="auto"/>
              <w:right w:val="single" w:sz="4" w:space="0" w:color="auto"/>
            </w:tcBorders>
            <w:shd w:val="clear" w:color="auto" w:fill="FFFFFF" w:themeFill="background1"/>
            <w:vAlign w:val="center"/>
          </w:tcPr>
          <w:p w14:paraId="26BE23F9" w14:textId="0DAFCAD1" w:rsidR="00BE7BDE" w:rsidRPr="00491187" w:rsidRDefault="00BE7BDE" w:rsidP="0061246D">
            <w:pPr>
              <w:spacing w:after="0" w:line="240" w:lineRule="auto"/>
              <w:jc w:val="center"/>
              <w:rPr>
                <w:rFonts w:eastAsia="Calibri"/>
                <w:sz w:val="20"/>
                <w:szCs w:val="20"/>
              </w:rPr>
            </w:pPr>
            <w:r>
              <w:rPr>
                <w:rFonts w:eastAsia="Calibri"/>
                <w:sz w:val="20"/>
                <w:szCs w:val="20"/>
              </w:rPr>
              <w:t xml:space="preserve">0 </w:t>
            </w:r>
          </w:p>
        </w:tc>
        <w:tc>
          <w:tcPr>
            <w:tcW w:w="1170" w:type="dxa"/>
            <w:tcBorders>
              <w:top w:val="single" w:sz="4" w:space="0" w:color="auto"/>
              <w:left w:val="single" w:sz="4" w:space="0" w:color="auto"/>
              <w:right w:val="single" w:sz="4" w:space="0" w:color="auto"/>
            </w:tcBorders>
            <w:shd w:val="clear" w:color="auto" w:fill="FFFFFF" w:themeFill="background1"/>
            <w:vAlign w:val="center"/>
          </w:tcPr>
          <w:p w14:paraId="6776C904" w14:textId="70BD8164" w:rsidR="00BE7BDE" w:rsidRPr="00065508" w:rsidRDefault="00065508" w:rsidP="00A25356">
            <w:pPr>
              <w:spacing w:after="0" w:line="240" w:lineRule="auto"/>
              <w:jc w:val="center"/>
              <w:rPr>
                <w:rFonts w:eastAsia="Calibri"/>
                <w:sz w:val="20"/>
                <w:szCs w:val="20"/>
              </w:rPr>
            </w:pPr>
            <w:r w:rsidRPr="00065508">
              <w:rPr>
                <w:rFonts w:eastAsia="Calibri"/>
                <w:sz w:val="20"/>
                <w:szCs w:val="20"/>
              </w:rPr>
              <w:t>7</w:t>
            </w:r>
          </w:p>
        </w:tc>
        <w:tc>
          <w:tcPr>
            <w:tcW w:w="1350" w:type="dxa"/>
            <w:tcBorders>
              <w:top w:val="single" w:sz="4" w:space="0" w:color="auto"/>
              <w:left w:val="single" w:sz="4" w:space="0" w:color="auto"/>
              <w:right w:val="single" w:sz="4" w:space="0" w:color="auto"/>
            </w:tcBorders>
            <w:shd w:val="clear" w:color="auto" w:fill="FFFFFF" w:themeFill="background1"/>
            <w:vAlign w:val="center"/>
          </w:tcPr>
          <w:p w14:paraId="530A9C2F" w14:textId="3119BF15" w:rsidR="00BE7BDE" w:rsidRPr="00065508" w:rsidRDefault="00065508" w:rsidP="00A25356">
            <w:pPr>
              <w:spacing w:after="0" w:line="240" w:lineRule="auto"/>
              <w:jc w:val="center"/>
              <w:rPr>
                <w:rFonts w:eastAsia="Calibri"/>
                <w:sz w:val="20"/>
                <w:szCs w:val="20"/>
              </w:rPr>
            </w:pPr>
            <w:r w:rsidRPr="00065508">
              <w:rPr>
                <w:rFonts w:eastAsia="Calibri"/>
                <w:sz w:val="20"/>
                <w:szCs w:val="20"/>
              </w:rPr>
              <w:t>6</w:t>
            </w:r>
          </w:p>
        </w:tc>
        <w:tc>
          <w:tcPr>
            <w:tcW w:w="1170" w:type="dxa"/>
            <w:tcBorders>
              <w:top w:val="single" w:sz="4" w:space="0" w:color="auto"/>
              <w:left w:val="single" w:sz="4" w:space="0" w:color="auto"/>
              <w:right w:val="single" w:sz="4" w:space="0" w:color="auto"/>
            </w:tcBorders>
            <w:shd w:val="clear" w:color="auto" w:fill="FFFFFF" w:themeFill="background1"/>
            <w:vAlign w:val="center"/>
          </w:tcPr>
          <w:p w14:paraId="591688F8" w14:textId="2C2A4D75" w:rsidR="00BE7BDE" w:rsidRPr="00491187" w:rsidRDefault="00FD7F18" w:rsidP="00A25356">
            <w:pPr>
              <w:spacing w:after="0" w:line="240" w:lineRule="auto"/>
              <w:jc w:val="center"/>
              <w:rPr>
                <w:rFonts w:eastAsia="Calibri"/>
                <w:sz w:val="20"/>
                <w:szCs w:val="20"/>
              </w:rPr>
            </w:pPr>
            <w:r>
              <w:rPr>
                <w:rFonts w:eastAsia="Calibri"/>
                <w:sz w:val="20"/>
                <w:szCs w:val="20"/>
              </w:rPr>
              <w:t>17</w:t>
            </w:r>
          </w:p>
        </w:tc>
      </w:tr>
      <w:tr w:rsidR="006E478E" w:rsidRPr="00283732" w14:paraId="5866014B" w14:textId="77777777" w:rsidTr="004C3CB2">
        <w:trPr>
          <w:trHeight w:val="521"/>
          <w:jc w:val="center"/>
        </w:trPr>
        <w:tc>
          <w:tcPr>
            <w:tcW w:w="3325" w:type="dxa"/>
            <w:vMerge/>
            <w:tcBorders>
              <w:left w:val="single" w:sz="4" w:space="0" w:color="auto"/>
              <w:right w:val="single" w:sz="4" w:space="0" w:color="auto"/>
            </w:tcBorders>
            <w:shd w:val="clear" w:color="auto" w:fill="FFFFFF"/>
          </w:tcPr>
          <w:p w14:paraId="78F73E30" w14:textId="77777777" w:rsidR="006E478E" w:rsidRPr="00B66E9F" w:rsidRDefault="006E478E" w:rsidP="00A25356">
            <w:pPr>
              <w:spacing w:after="0" w:line="240" w:lineRule="auto"/>
              <w:rPr>
                <w:rFonts w:eastAsia="Calibri"/>
                <w:b/>
                <w:sz w:val="20"/>
                <w:szCs w:val="20"/>
              </w:rPr>
            </w:pPr>
          </w:p>
        </w:tc>
        <w:tc>
          <w:tcPr>
            <w:tcW w:w="720" w:type="dxa"/>
            <w:vMerge/>
            <w:tcBorders>
              <w:left w:val="single" w:sz="4" w:space="0" w:color="auto"/>
              <w:right w:val="single" w:sz="4" w:space="0" w:color="auto"/>
            </w:tcBorders>
            <w:shd w:val="clear" w:color="auto" w:fill="FFFFFF"/>
          </w:tcPr>
          <w:p w14:paraId="4019AAAD" w14:textId="77777777" w:rsidR="006E478E" w:rsidRPr="00B66E9F" w:rsidRDefault="006E478E" w:rsidP="00A25356">
            <w:pPr>
              <w:spacing w:after="0" w:line="240" w:lineRule="auto"/>
              <w:rPr>
                <w:rFonts w:eastAsia="Calibri"/>
                <w:b/>
                <w:sz w:val="20"/>
                <w:szCs w:val="20"/>
              </w:rPr>
            </w:pPr>
          </w:p>
        </w:tc>
        <w:tc>
          <w:tcPr>
            <w:tcW w:w="10260" w:type="dxa"/>
            <w:gridSpan w:val="5"/>
            <w:tcBorders>
              <w:left w:val="single" w:sz="4" w:space="0" w:color="auto"/>
              <w:right w:val="single" w:sz="4" w:space="0" w:color="auto"/>
            </w:tcBorders>
            <w:shd w:val="clear" w:color="auto" w:fill="D9D9D9" w:themeFill="background1" w:themeFillShade="D9"/>
          </w:tcPr>
          <w:p w14:paraId="43C455E1" w14:textId="239650B5" w:rsidR="006E478E" w:rsidRPr="002F4689" w:rsidRDefault="006E478E" w:rsidP="00607A34">
            <w:pPr>
              <w:spacing w:after="0" w:line="240" w:lineRule="auto"/>
              <w:rPr>
                <w:rFonts w:eastAsia="Calibri"/>
                <w:sz w:val="18"/>
                <w:szCs w:val="20"/>
              </w:rPr>
            </w:pPr>
            <w:r w:rsidRPr="002F4689">
              <w:rPr>
                <w:rFonts w:ascii="Calibri" w:eastAsia="Calibri" w:hAnsi="Calibri" w:cs="Times New Roman"/>
                <w:b/>
                <w:sz w:val="18"/>
                <w:szCs w:val="18"/>
                <w:lang w:eastAsia="en-US"/>
              </w:rPr>
              <w:t xml:space="preserve">Indicator 7.4.2 Note: </w:t>
            </w:r>
            <w:r w:rsidRPr="002F4689">
              <w:rPr>
                <w:rFonts w:ascii="Calibri" w:eastAsia="Calibri" w:hAnsi="Calibri" w:cs="Times New Roman"/>
                <w:sz w:val="18"/>
                <w:szCs w:val="18"/>
                <w:lang w:eastAsia="en-US"/>
              </w:rPr>
              <w:t xml:space="preserve">Qualitative indicator through </w:t>
            </w:r>
            <w:r w:rsidRPr="002F4689">
              <w:rPr>
                <w:rFonts w:ascii="Calibri" w:eastAsia="Calibri" w:hAnsi="Calibri"/>
                <w:sz w:val="18"/>
                <w:szCs w:val="18"/>
              </w:rPr>
              <w:t xml:space="preserve">which effectiveness of UNDP’s support (on demand </w:t>
            </w:r>
            <w:r w:rsidRPr="002F4689">
              <w:rPr>
                <w:sz w:val="18"/>
                <w:szCs w:val="18"/>
              </w:rPr>
              <w:t>from programme countries</w:t>
            </w:r>
            <w:r w:rsidRPr="002F4689">
              <w:rPr>
                <w:rFonts w:ascii="Calibri" w:eastAsia="Calibri" w:hAnsi="Calibri"/>
                <w:sz w:val="18"/>
                <w:szCs w:val="18"/>
              </w:rPr>
              <w:t>)</w:t>
            </w:r>
            <w:r w:rsidRPr="002F4689">
              <w:rPr>
                <w:sz w:val="18"/>
                <w:szCs w:val="18"/>
              </w:rPr>
              <w:t xml:space="preserve"> to</w:t>
            </w:r>
            <w:r w:rsidRPr="002F4689">
              <w:rPr>
                <w:rFonts w:eastAsia="Calibri"/>
                <w:sz w:val="18"/>
                <w:szCs w:val="20"/>
              </w:rPr>
              <w:t xml:space="preserve"> </w:t>
            </w:r>
            <w:r w:rsidR="00E170BE">
              <w:rPr>
                <w:rFonts w:eastAsia="Calibri"/>
                <w:sz w:val="18"/>
                <w:szCs w:val="20"/>
              </w:rPr>
              <w:t xml:space="preserve">mechanisms to </w:t>
            </w:r>
            <w:r w:rsidRPr="002F4689">
              <w:rPr>
                <w:rFonts w:eastAsia="Calibri"/>
                <w:sz w:val="18"/>
                <w:szCs w:val="20"/>
              </w:rPr>
              <w:t>access</w:t>
            </w:r>
            <w:r w:rsidR="00E170BE">
              <w:rPr>
                <w:rFonts w:eastAsia="Calibri"/>
                <w:sz w:val="18"/>
                <w:szCs w:val="20"/>
              </w:rPr>
              <w:t>, deliver, monitor, report and/or verify use of</w:t>
            </w:r>
            <w:r w:rsidRPr="002F4689">
              <w:rPr>
                <w:rFonts w:eastAsia="Calibri"/>
                <w:sz w:val="18"/>
                <w:szCs w:val="20"/>
              </w:rPr>
              <w:t xml:space="preserve"> ODA and other sources of global development financing</w:t>
            </w:r>
            <w:r w:rsidR="00E170BE">
              <w:rPr>
                <w:rFonts w:eastAsia="Calibri"/>
                <w:sz w:val="18"/>
                <w:szCs w:val="20"/>
              </w:rPr>
              <w:t>,</w:t>
            </w:r>
            <w:r w:rsidRPr="002F4689">
              <w:rPr>
                <w:rFonts w:eastAsia="Calibri"/>
                <w:sz w:val="18"/>
                <w:szCs w:val="20"/>
              </w:rPr>
              <w:t xml:space="preserve"> </w:t>
            </w:r>
            <w:r w:rsidRPr="002F4689">
              <w:rPr>
                <w:rFonts w:eastAsia="Calibri"/>
                <w:sz w:val="18"/>
                <w:szCs w:val="18"/>
              </w:rPr>
              <w:t xml:space="preserve">is tracked using a qualitative rating scale </w:t>
            </w:r>
            <w:r w:rsidRPr="002F4689">
              <w:rPr>
                <w:rFonts w:ascii="Calibri" w:eastAsia="Calibri" w:hAnsi="Calibri" w:cs="Times New Roman"/>
                <w:sz w:val="18"/>
                <w:szCs w:val="18"/>
                <w:lang w:eastAsia="en-US"/>
              </w:rPr>
              <w:t xml:space="preserve">(1= not adequately, 2= very partially, 3= partially and 4= largely), </w:t>
            </w:r>
            <w:r w:rsidRPr="002F4689">
              <w:rPr>
                <w:rFonts w:eastAsia="Calibri"/>
                <w:sz w:val="18"/>
                <w:szCs w:val="18"/>
              </w:rPr>
              <w:t xml:space="preserve">counting the number of countries </w:t>
            </w:r>
            <w:r w:rsidR="0035289B" w:rsidRPr="002F4689">
              <w:rPr>
                <w:rFonts w:eastAsia="Calibri"/>
                <w:sz w:val="18"/>
                <w:szCs w:val="18"/>
              </w:rPr>
              <w:t>where objective evidence exists of</w:t>
            </w:r>
            <w:r w:rsidRPr="002F4689">
              <w:rPr>
                <w:rFonts w:eastAsia="Calibri"/>
                <w:sz w:val="18"/>
                <w:szCs w:val="18"/>
              </w:rPr>
              <w:t xml:space="preserve"> UNDP support</w:t>
            </w:r>
            <w:r w:rsidRPr="002F4689">
              <w:rPr>
                <w:rFonts w:eastAsia="Calibri"/>
                <w:sz w:val="18"/>
                <w:szCs w:val="20"/>
              </w:rPr>
              <w:t xml:space="preserve"> </w:t>
            </w:r>
            <w:r w:rsidR="0035289B" w:rsidRPr="002F4689">
              <w:rPr>
                <w:rFonts w:eastAsia="Calibri"/>
                <w:sz w:val="18"/>
                <w:szCs w:val="20"/>
              </w:rPr>
              <w:t xml:space="preserve">having </w:t>
            </w:r>
            <w:r w:rsidRPr="002F4689">
              <w:rPr>
                <w:rFonts w:eastAsia="Calibri"/>
                <w:sz w:val="18"/>
                <w:szCs w:val="20"/>
              </w:rPr>
              <w:t>put in place effective mechanisms.</w:t>
            </w:r>
          </w:p>
          <w:p w14:paraId="33B596C6" w14:textId="66C26591" w:rsidR="00065508" w:rsidRPr="002F4689" w:rsidRDefault="00065508" w:rsidP="00FD7F18">
            <w:pPr>
              <w:spacing w:after="0" w:line="240" w:lineRule="auto"/>
              <w:rPr>
                <w:rFonts w:ascii="Calibri" w:eastAsia="Calibri" w:hAnsi="Calibri" w:cs="Times New Roman"/>
                <w:b/>
                <w:sz w:val="18"/>
                <w:szCs w:val="18"/>
                <w:lang w:eastAsia="en-US"/>
              </w:rPr>
            </w:pPr>
            <w:r w:rsidRPr="002F4689">
              <w:rPr>
                <w:rFonts w:eastAsia="Calibri"/>
                <w:b/>
                <w:sz w:val="18"/>
                <w:szCs w:val="18"/>
              </w:rPr>
              <w:t xml:space="preserve">2014 Reporting Note: </w:t>
            </w:r>
            <w:r w:rsidRPr="002F4689">
              <w:rPr>
                <w:rFonts w:eastAsia="Calibri"/>
                <w:sz w:val="18"/>
                <w:szCs w:val="18"/>
              </w:rPr>
              <w:t xml:space="preserve">2014 </w:t>
            </w:r>
            <w:r w:rsidR="00FD7F18" w:rsidRPr="002F4689">
              <w:rPr>
                <w:rFonts w:eastAsia="Calibri"/>
                <w:sz w:val="18"/>
                <w:szCs w:val="18"/>
              </w:rPr>
              <w:t>m</w:t>
            </w:r>
            <w:r w:rsidRPr="002F4689">
              <w:rPr>
                <w:rFonts w:eastAsia="Calibri"/>
                <w:sz w:val="18"/>
                <w:szCs w:val="18"/>
              </w:rPr>
              <w:t xml:space="preserve">ilestone </w:t>
            </w:r>
            <w:r w:rsidR="00FD7F18" w:rsidRPr="002F4689">
              <w:rPr>
                <w:rFonts w:eastAsia="Calibri"/>
                <w:sz w:val="18"/>
                <w:szCs w:val="18"/>
              </w:rPr>
              <w:t xml:space="preserve">and 2017 target </w:t>
            </w:r>
            <w:r w:rsidRPr="002F4689">
              <w:rPr>
                <w:rFonts w:eastAsia="Calibri"/>
                <w:sz w:val="18"/>
                <w:szCs w:val="18"/>
              </w:rPr>
              <w:t>updated to reflect more complete reporting from country offices. For ref</w:t>
            </w:r>
            <w:r w:rsidR="00DC57D3" w:rsidRPr="002F4689">
              <w:rPr>
                <w:rFonts w:eastAsia="Calibri"/>
                <w:sz w:val="18"/>
                <w:szCs w:val="18"/>
              </w:rPr>
              <w:t>erence, previous 2014 milestone</w:t>
            </w:r>
            <w:r w:rsidRPr="002F4689">
              <w:rPr>
                <w:rFonts w:eastAsia="Calibri"/>
                <w:sz w:val="18"/>
                <w:szCs w:val="18"/>
              </w:rPr>
              <w:t xml:space="preserve"> w</w:t>
            </w:r>
            <w:r w:rsidR="00FD7F18" w:rsidRPr="002F4689">
              <w:rPr>
                <w:rFonts w:eastAsia="Calibri"/>
                <w:sz w:val="18"/>
                <w:szCs w:val="18"/>
              </w:rPr>
              <w:t xml:space="preserve">as 4, previous target was 12. </w:t>
            </w:r>
          </w:p>
        </w:tc>
      </w:tr>
      <w:tr w:rsidR="00BE7BDE" w:rsidRPr="0006536D" w14:paraId="630FA5FF" w14:textId="77777777" w:rsidTr="00C21D86">
        <w:trPr>
          <w:trHeight w:val="620"/>
          <w:jc w:val="center"/>
        </w:trPr>
        <w:tc>
          <w:tcPr>
            <w:tcW w:w="3325" w:type="dxa"/>
            <w:vMerge w:val="restart"/>
            <w:tcBorders>
              <w:top w:val="single" w:sz="4" w:space="0" w:color="auto"/>
              <w:left w:val="single" w:sz="4" w:space="0" w:color="auto"/>
              <w:right w:val="single" w:sz="4" w:space="0" w:color="auto"/>
            </w:tcBorders>
            <w:shd w:val="clear" w:color="auto" w:fill="FFFFFF" w:themeFill="background1"/>
            <w:hideMark/>
          </w:tcPr>
          <w:p w14:paraId="5C4C9281" w14:textId="4ACB3D54" w:rsidR="00BE7BDE" w:rsidRDefault="00BE7BDE" w:rsidP="00A25356">
            <w:pPr>
              <w:spacing w:after="0" w:line="240" w:lineRule="auto"/>
              <w:rPr>
                <w:rFonts w:eastAsia="Calibri"/>
                <w:sz w:val="20"/>
                <w:szCs w:val="20"/>
              </w:rPr>
            </w:pPr>
            <w:r w:rsidRPr="00B66E9F">
              <w:rPr>
                <w:rFonts w:eastAsia="Calibri"/>
                <w:b/>
                <w:sz w:val="20"/>
                <w:szCs w:val="20"/>
              </w:rPr>
              <w:t>Output 7.5</w:t>
            </w:r>
            <w:r>
              <w:rPr>
                <w:rFonts w:eastAsia="Calibri"/>
                <w:b/>
                <w:sz w:val="20"/>
                <w:szCs w:val="20"/>
              </w:rPr>
              <w:t>.</w:t>
            </w:r>
            <w:r w:rsidRPr="00B66E9F">
              <w:rPr>
                <w:rFonts w:eastAsia="Calibri"/>
                <w:sz w:val="20"/>
                <w:szCs w:val="20"/>
              </w:rPr>
              <w:t xml:space="preserve"> South-South and </w:t>
            </w:r>
            <w:r w:rsidRPr="00B66E9F">
              <w:rPr>
                <w:rFonts w:eastAsia="Calibri"/>
                <w:color w:val="000000"/>
                <w:sz w:val="20"/>
                <w:szCs w:val="20"/>
              </w:rPr>
              <w:t>Triangular</w:t>
            </w:r>
            <w:r w:rsidRPr="00B66E9F">
              <w:rPr>
                <w:rFonts w:eastAsia="Calibri"/>
                <w:sz w:val="20"/>
                <w:szCs w:val="20"/>
              </w:rPr>
              <w:t xml:space="preserve"> cooperation partnerships established and/or strengthe</w:t>
            </w:r>
            <w:r w:rsidR="00613FB0">
              <w:rPr>
                <w:rFonts w:eastAsia="Calibri"/>
                <w:sz w:val="20"/>
                <w:szCs w:val="20"/>
              </w:rPr>
              <w:t>ned for development solutions</w:t>
            </w:r>
          </w:p>
          <w:p w14:paraId="009D4D29" w14:textId="77777777" w:rsidR="00BE7BDE" w:rsidRDefault="00BE7BDE" w:rsidP="00A25356">
            <w:pPr>
              <w:spacing w:after="0" w:line="240" w:lineRule="auto"/>
              <w:rPr>
                <w:rFonts w:eastAsia="Calibri"/>
                <w:sz w:val="20"/>
                <w:szCs w:val="20"/>
              </w:rPr>
            </w:pPr>
          </w:p>
          <w:p w14:paraId="12D06066" w14:textId="09F1174F" w:rsidR="00460746" w:rsidRDefault="00460746" w:rsidP="00460746">
            <w:pPr>
              <w:spacing w:after="0" w:line="240" w:lineRule="auto"/>
              <w:rPr>
                <w:rFonts w:ascii="Calibri" w:eastAsia="Calibri" w:hAnsi="Calibri"/>
                <w:b/>
                <w:color w:val="000000"/>
                <w:sz w:val="18"/>
                <w:szCs w:val="18"/>
              </w:rPr>
            </w:pPr>
            <w:r w:rsidRPr="00B359E7">
              <w:rPr>
                <w:rFonts w:ascii="Calibri" w:eastAsia="Calibri" w:hAnsi="Calibri"/>
                <w:b/>
                <w:i/>
                <w:color w:val="000000"/>
                <w:sz w:val="18"/>
                <w:szCs w:val="18"/>
              </w:rPr>
              <w:t>Number of countries linked:</w:t>
            </w:r>
            <w:r>
              <w:rPr>
                <w:rFonts w:ascii="Calibri" w:eastAsia="Calibri" w:hAnsi="Calibri"/>
                <w:b/>
                <w:color w:val="000000"/>
                <w:sz w:val="18"/>
                <w:szCs w:val="18"/>
              </w:rPr>
              <w:t xml:space="preserve"> 2</w:t>
            </w:r>
            <w:r w:rsidR="006C2CD4">
              <w:rPr>
                <w:rFonts w:ascii="Calibri" w:eastAsia="Calibri" w:hAnsi="Calibri"/>
                <w:b/>
                <w:color w:val="000000"/>
                <w:sz w:val="18"/>
                <w:szCs w:val="18"/>
              </w:rPr>
              <w:t>1</w:t>
            </w:r>
            <w:r>
              <w:rPr>
                <w:rFonts w:ascii="Calibri" w:eastAsia="Calibri" w:hAnsi="Calibri"/>
                <w:b/>
                <w:color w:val="000000"/>
                <w:sz w:val="18"/>
                <w:szCs w:val="18"/>
              </w:rPr>
              <w:t xml:space="preserve"> </w:t>
            </w:r>
          </w:p>
          <w:p w14:paraId="2DA5DFC2" w14:textId="5F0EE239" w:rsidR="00BE7BDE" w:rsidRPr="008C4519" w:rsidRDefault="00460746" w:rsidP="00460746">
            <w:pPr>
              <w:spacing w:after="0" w:line="240" w:lineRule="auto"/>
              <w:rPr>
                <w:rFonts w:eastAsia="Calibri"/>
                <w:color w:val="000000"/>
                <w:sz w:val="20"/>
              </w:rPr>
            </w:pPr>
            <w:r>
              <w:rPr>
                <w:rFonts w:ascii="Calibri" w:eastAsia="Calibri" w:hAnsi="Calibri"/>
                <w:b/>
                <w:color w:val="000000"/>
                <w:sz w:val="18"/>
                <w:szCs w:val="18"/>
              </w:rPr>
              <w:t>(February 2015</w:t>
            </w:r>
            <w:r w:rsidRPr="00B359E7">
              <w:rPr>
                <w:rFonts w:ascii="Calibri" w:eastAsia="Calibri" w:hAnsi="Calibri"/>
                <w:b/>
                <w:color w:val="000000"/>
                <w:sz w:val="18"/>
                <w:szCs w:val="18"/>
              </w:rPr>
              <w:t>)</w:t>
            </w:r>
          </w:p>
        </w:tc>
        <w:tc>
          <w:tcPr>
            <w:tcW w:w="720" w:type="dxa"/>
            <w:vMerge w:val="restart"/>
            <w:tcBorders>
              <w:top w:val="single" w:sz="4" w:space="0" w:color="auto"/>
              <w:left w:val="single" w:sz="4" w:space="0" w:color="auto"/>
              <w:right w:val="single" w:sz="4" w:space="0" w:color="auto"/>
            </w:tcBorders>
            <w:shd w:val="clear" w:color="auto" w:fill="FFFFFF" w:themeFill="background1"/>
            <w:hideMark/>
          </w:tcPr>
          <w:p w14:paraId="4F85E25B" w14:textId="77777777" w:rsidR="00BE7BDE" w:rsidRPr="0032657A" w:rsidRDefault="00BE7BDE" w:rsidP="00A25356">
            <w:pPr>
              <w:spacing w:after="0" w:line="240" w:lineRule="auto"/>
              <w:rPr>
                <w:rFonts w:eastAsia="Calibri"/>
                <w:b/>
                <w:sz w:val="20"/>
                <w:szCs w:val="20"/>
              </w:rPr>
            </w:pPr>
            <w:r w:rsidRPr="0032657A">
              <w:rPr>
                <w:rFonts w:eastAsia="Calibri"/>
                <w:b/>
                <w:sz w:val="20"/>
                <w:szCs w:val="20"/>
              </w:rPr>
              <w:t>7.5.1</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F3DE25" w14:textId="28804683" w:rsidR="00BE7BDE" w:rsidRPr="0013161E" w:rsidRDefault="00BE7BDE" w:rsidP="00A25356">
            <w:pPr>
              <w:spacing w:after="0" w:line="240" w:lineRule="auto"/>
              <w:rPr>
                <w:rFonts w:eastAsia="Calibri"/>
                <w:sz w:val="20"/>
                <w:szCs w:val="20"/>
              </w:rPr>
            </w:pPr>
            <w:r w:rsidRPr="0013161E">
              <w:rPr>
                <w:rFonts w:eastAsia="Calibri"/>
                <w:sz w:val="20"/>
                <w:szCs w:val="20"/>
              </w:rPr>
              <w:t>Number of</w:t>
            </w:r>
            <w:r w:rsidR="00DD6825" w:rsidRPr="0013161E">
              <w:rPr>
                <w:rFonts w:eastAsia="Calibri"/>
                <w:sz w:val="20"/>
                <w:szCs w:val="20"/>
              </w:rPr>
              <w:t xml:space="preserve"> </w:t>
            </w:r>
            <w:r w:rsidR="00DD6825" w:rsidRPr="000B5DED">
              <w:rPr>
                <w:rFonts w:eastAsia="Calibri"/>
                <w:b/>
                <w:sz w:val="20"/>
                <w:szCs w:val="20"/>
              </w:rPr>
              <w:t>new</w:t>
            </w:r>
            <w:r w:rsidRPr="000B5DED">
              <w:rPr>
                <w:rFonts w:eastAsia="Calibri"/>
                <w:b/>
                <w:sz w:val="20"/>
                <w:szCs w:val="20"/>
              </w:rPr>
              <w:t xml:space="preserve"> </w:t>
            </w:r>
            <w:r w:rsidRPr="0013161E">
              <w:rPr>
                <w:rFonts w:eastAsia="Calibri"/>
                <w:b/>
                <w:sz w:val="20"/>
                <w:szCs w:val="20"/>
              </w:rPr>
              <w:t>South-South and Triangular cooperation</w:t>
            </w:r>
            <w:r w:rsidRPr="0013161E">
              <w:rPr>
                <w:rFonts w:eastAsia="Calibri"/>
                <w:sz w:val="20"/>
                <w:szCs w:val="20"/>
              </w:rPr>
              <w:t xml:space="preserve"> </w:t>
            </w:r>
            <w:r w:rsidRPr="0013161E">
              <w:rPr>
                <w:rFonts w:eastAsia="Calibri"/>
                <w:b/>
                <w:sz w:val="20"/>
                <w:szCs w:val="20"/>
              </w:rPr>
              <w:t xml:space="preserve">partnerships </w:t>
            </w:r>
            <w:r w:rsidRPr="0013161E">
              <w:rPr>
                <w:rFonts w:eastAsia="Calibri"/>
                <w:sz w:val="20"/>
                <w:szCs w:val="20"/>
              </w:rPr>
              <w:t>that deliver measurable and sustainable development benefits for participants (national, regional, sub-regional, inter-regional entities)</w:t>
            </w:r>
          </w:p>
          <w:p w14:paraId="5E4989F9" w14:textId="16F1C0CE" w:rsidR="00546E49" w:rsidRPr="0013161E" w:rsidRDefault="00546E49" w:rsidP="00470777">
            <w:pPr>
              <w:spacing w:before="120" w:after="0" w:line="240" w:lineRule="auto"/>
              <w:rPr>
                <w:rFonts w:eastAsia="Calibri"/>
                <w:sz w:val="20"/>
                <w:szCs w:val="20"/>
              </w:rPr>
            </w:pPr>
            <w:r w:rsidRPr="0013161E">
              <w:rPr>
                <w:rFonts w:eastAsia="Calibri"/>
                <w:b/>
                <w:i/>
                <w:sz w:val="18"/>
                <w:szCs w:val="18"/>
              </w:rPr>
              <w:t xml:space="preserve">Number of countries </w:t>
            </w:r>
            <w:r w:rsidR="00983FF8" w:rsidRPr="0013161E">
              <w:rPr>
                <w:rFonts w:eastAsia="Calibri"/>
                <w:b/>
                <w:i/>
                <w:sz w:val="18"/>
                <w:szCs w:val="18"/>
              </w:rPr>
              <w:t>for which a 2017 target has currently been set under this indicator</w:t>
            </w:r>
            <w:r w:rsidR="00FA6622" w:rsidRPr="0013161E">
              <w:rPr>
                <w:rFonts w:eastAsia="Calibri"/>
                <w:b/>
                <w:i/>
                <w:sz w:val="18"/>
                <w:szCs w:val="18"/>
              </w:rPr>
              <w:t>: 15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EED93" w14:textId="3E89FCE7" w:rsidR="00BE7BDE" w:rsidRPr="00B66E9F" w:rsidRDefault="00BE7BDE" w:rsidP="0061246D">
            <w:pPr>
              <w:spacing w:after="0" w:line="240" w:lineRule="auto"/>
              <w:jc w:val="center"/>
              <w:rPr>
                <w:sz w:val="20"/>
                <w:szCs w:val="20"/>
              </w:rPr>
            </w:pPr>
            <w:r>
              <w:rPr>
                <w:sz w:val="20"/>
                <w:szCs w:val="20"/>
              </w:rPr>
              <w:t xml:space="preserve">0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CEB41" w14:textId="1014DFE4" w:rsidR="00BE7BDE" w:rsidRPr="00B66E9F" w:rsidRDefault="006E478E" w:rsidP="00A25356">
            <w:pPr>
              <w:spacing w:after="0" w:line="240" w:lineRule="auto"/>
              <w:jc w:val="center"/>
              <w:rPr>
                <w:sz w:val="20"/>
                <w:szCs w:val="20"/>
              </w:rPr>
            </w:pPr>
            <w:r>
              <w:rPr>
                <w:sz w:val="20"/>
                <w:szCs w:val="20"/>
              </w:rPr>
              <w:t>28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A0810" w14:textId="0BDDDD30" w:rsidR="00BE7BDE" w:rsidRPr="00B66E9F" w:rsidRDefault="006E478E" w:rsidP="00A25356">
            <w:pPr>
              <w:spacing w:after="0" w:line="240" w:lineRule="auto"/>
              <w:jc w:val="center"/>
              <w:rPr>
                <w:sz w:val="20"/>
                <w:szCs w:val="20"/>
              </w:rPr>
            </w:pPr>
            <w:r>
              <w:rPr>
                <w:sz w:val="20"/>
                <w:szCs w:val="20"/>
              </w:rPr>
              <w:t>25</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41392" w14:textId="0054D191" w:rsidR="00BE7BDE" w:rsidRPr="00B66E9F" w:rsidRDefault="00BE7BDE" w:rsidP="00FA6622">
            <w:pPr>
              <w:spacing w:after="0" w:line="240" w:lineRule="auto"/>
              <w:jc w:val="center"/>
              <w:rPr>
                <w:sz w:val="20"/>
                <w:szCs w:val="20"/>
              </w:rPr>
            </w:pPr>
            <w:r>
              <w:rPr>
                <w:sz w:val="20"/>
                <w:szCs w:val="20"/>
              </w:rPr>
              <w:t>1</w:t>
            </w:r>
            <w:r w:rsidR="00FA6622">
              <w:rPr>
                <w:sz w:val="20"/>
                <w:szCs w:val="20"/>
              </w:rPr>
              <w:t>42</w:t>
            </w:r>
          </w:p>
        </w:tc>
      </w:tr>
      <w:tr w:rsidR="006E478E" w:rsidRPr="0006536D" w14:paraId="7B6743AE" w14:textId="77777777" w:rsidTr="004C3CB2">
        <w:trPr>
          <w:trHeight w:val="215"/>
          <w:jc w:val="center"/>
        </w:trPr>
        <w:tc>
          <w:tcPr>
            <w:tcW w:w="3325" w:type="dxa"/>
            <w:vMerge/>
            <w:tcBorders>
              <w:left w:val="single" w:sz="4" w:space="0" w:color="auto"/>
              <w:right w:val="single" w:sz="4" w:space="0" w:color="auto"/>
            </w:tcBorders>
            <w:shd w:val="clear" w:color="auto" w:fill="FFFFFF" w:themeFill="background1"/>
          </w:tcPr>
          <w:p w14:paraId="6A601F4C" w14:textId="77777777" w:rsidR="006E478E" w:rsidRPr="00B66E9F" w:rsidRDefault="006E478E" w:rsidP="00A25356">
            <w:pPr>
              <w:spacing w:after="0" w:line="240" w:lineRule="auto"/>
              <w:rPr>
                <w:rFonts w:eastAsia="Calibri"/>
                <w:b/>
                <w:sz w:val="20"/>
                <w:szCs w:val="20"/>
              </w:rPr>
            </w:pPr>
          </w:p>
        </w:tc>
        <w:tc>
          <w:tcPr>
            <w:tcW w:w="720" w:type="dxa"/>
            <w:vMerge/>
            <w:tcBorders>
              <w:left w:val="single" w:sz="4" w:space="0" w:color="auto"/>
              <w:bottom w:val="single" w:sz="4" w:space="0" w:color="auto"/>
              <w:right w:val="single" w:sz="4" w:space="0" w:color="auto"/>
            </w:tcBorders>
            <w:shd w:val="clear" w:color="auto" w:fill="FFFFFF" w:themeFill="background1"/>
          </w:tcPr>
          <w:p w14:paraId="049D8386" w14:textId="77777777" w:rsidR="006E478E" w:rsidRPr="00894DA6" w:rsidRDefault="006E478E" w:rsidP="00A25356">
            <w:pPr>
              <w:spacing w:after="0" w:line="240" w:lineRule="auto"/>
              <w:rPr>
                <w:rFonts w:eastAsia="Calibri"/>
                <w:b/>
                <w:sz w:val="20"/>
                <w:szCs w:val="20"/>
                <w:highlight w:val="yellow"/>
              </w:rPr>
            </w:pPr>
          </w:p>
        </w:tc>
        <w:tc>
          <w:tcPr>
            <w:tcW w:w="10260" w:type="dxa"/>
            <w:gridSpan w:val="5"/>
            <w:tcBorders>
              <w:left w:val="single" w:sz="4" w:space="0" w:color="auto"/>
              <w:bottom w:val="single" w:sz="4" w:space="0" w:color="auto"/>
              <w:right w:val="single" w:sz="4" w:space="0" w:color="auto"/>
            </w:tcBorders>
            <w:shd w:val="clear" w:color="auto" w:fill="D9D9D9" w:themeFill="background1" w:themeFillShade="D9"/>
          </w:tcPr>
          <w:p w14:paraId="2E46725D" w14:textId="77777777" w:rsidR="006E478E" w:rsidRPr="0013161E" w:rsidRDefault="006E478E" w:rsidP="00A25356">
            <w:pPr>
              <w:spacing w:after="0" w:line="240" w:lineRule="auto"/>
              <w:rPr>
                <w:sz w:val="18"/>
                <w:szCs w:val="18"/>
              </w:rPr>
            </w:pPr>
            <w:r w:rsidRPr="0013161E">
              <w:rPr>
                <w:rFonts w:ascii="Calibri" w:eastAsia="Calibri" w:hAnsi="Calibri" w:cs="Times New Roman"/>
                <w:b/>
                <w:sz w:val="18"/>
                <w:szCs w:val="18"/>
                <w:lang w:eastAsia="en-US"/>
              </w:rPr>
              <w:t xml:space="preserve">Indicator 7.5.1 Note: </w:t>
            </w:r>
            <w:r w:rsidRPr="0013161E">
              <w:rPr>
                <w:rFonts w:ascii="Calibri" w:eastAsia="Calibri" w:hAnsi="Calibri" w:cs="Times New Roman"/>
                <w:sz w:val="18"/>
                <w:szCs w:val="18"/>
                <w:lang w:eastAsia="en-US"/>
              </w:rPr>
              <w:t xml:space="preserve">Tracks the number of new SS&amp;TC partnerships supported by UNDP (on demand from programme countries) that are delivering measurable and sustainable development benefits for participants (defined as national, regional, sub-regional and/or inter-regional entities), created from January 2014 onwards. </w:t>
            </w:r>
            <w:r w:rsidRPr="0013161E">
              <w:rPr>
                <w:sz w:val="18"/>
                <w:szCs w:val="18"/>
              </w:rPr>
              <w:t>Data collected refers to country outputs which have as primary objective promoting SS&amp;TC. Additional results achieved by utilizing SS&amp;TC modalities are embedded in other outcomes.</w:t>
            </w:r>
          </w:p>
          <w:p w14:paraId="29CB6826" w14:textId="4601DD18" w:rsidR="006E478E" w:rsidRPr="0013161E" w:rsidRDefault="006E478E" w:rsidP="00FA6622">
            <w:pPr>
              <w:spacing w:after="0" w:line="240" w:lineRule="auto"/>
              <w:rPr>
                <w:rFonts w:ascii="Calibri" w:eastAsia="Calibri" w:hAnsi="Calibri" w:cs="Times New Roman"/>
                <w:b/>
                <w:sz w:val="18"/>
                <w:szCs w:val="18"/>
                <w:lang w:eastAsia="en-US"/>
              </w:rPr>
            </w:pPr>
            <w:r w:rsidRPr="0013161E">
              <w:rPr>
                <w:rFonts w:eastAsia="Calibri"/>
                <w:b/>
                <w:sz w:val="18"/>
                <w:szCs w:val="18"/>
              </w:rPr>
              <w:t xml:space="preserve">2014 Reporting Note: </w:t>
            </w:r>
            <w:r w:rsidR="00BA563E" w:rsidRPr="0013161E">
              <w:rPr>
                <w:rFonts w:eastAsia="Calibri"/>
                <w:sz w:val="18"/>
                <w:szCs w:val="18"/>
              </w:rPr>
              <w:t xml:space="preserve">2014 </w:t>
            </w:r>
            <w:r w:rsidR="00FA6622" w:rsidRPr="0013161E">
              <w:rPr>
                <w:rFonts w:eastAsia="Calibri"/>
                <w:sz w:val="18"/>
                <w:szCs w:val="18"/>
              </w:rPr>
              <w:t>mi</w:t>
            </w:r>
            <w:r w:rsidR="00BA563E" w:rsidRPr="0013161E">
              <w:rPr>
                <w:rFonts w:eastAsia="Calibri"/>
                <w:sz w:val="18"/>
                <w:szCs w:val="18"/>
              </w:rPr>
              <w:t>lestone</w:t>
            </w:r>
            <w:r w:rsidRPr="0013161E">
              <w:rPr>
                <w:rFonts w:eastAsia="Calibri"/>
                <w:sz w:val="18"/>
                <w:szCs w:val="18"/>
              </w:rPr>
              <w:t xml:space="preserve"> </w:t>
            </w:r>
            <w:r w:rsidR="00FA6622" w:rsidRPr="0013161E">
              <w:rPr>
                <w:rFonts w:eastAsia="Calibri"/>
                <w:sz w:val="18"/>
                <w:szCs w:val="18"/>
              </w:rPr>
              <w:t xml:space="preserve">and </w:t>
            </w:r>
            <w:r w:rsidR="005A48E4" w:rsidRPr="0013161E">
              <w:rPr>
                <w:rFonts w:eastAsia="Calibri"/>
                <w:sz w:val="18"/>
                <w:szCs w:val="18"/>
              </w:rPr>
              <w:t xml:space="preserve">2017 </w:t>
            </w:r>
            <w:r w:rsidR="00FA6622" w:rsidRPr="0013161E">
              <w:rPr>
                <w:rFonts w:eastAsia="Calibri"/>
                <w:sz w:val="18"/>
                <w:szCs w:val="18"/>
              </w:rPr>
              <w:t xml:space="preserve">target </w:t>
            </w:r>
            <w:r w:rsidRPr="0013161E">
              <w:rPr>
                <w:rFonts w:eastAsia="Calibri"/>
                <w:sz w:val="18"/>
                <w:szCs w:val="18"/>
              </w:rPr>
              <w:t xml:space="preserve">updated to reflect more complete reporting from country offices. For reference, previous 2014 </w:t>
            </w:r>
            <w:r w:rsidR="00DC57D3" w:rsidRPr="0013161E">
              <w:rPr>
                <w:rFonts w:eastAsia="Calibri"/>
                <w:sz w:val="18"/>
                <w:szCs w:val="18"/>
              </w:rPr>
              <w:t>milestone</w:t>
            </w:r>
            <w:r w:rsidRPr="0013161E">
              <w:rPr>
                <w:rFonts w:eastAsia="Calibri"/>
                <w:sz w:val="18"/>
                <w:szCs w:val="18"/>
              </w:rPr>
              <w:t xml:space="preserve"> was 22</w:t>
            </w:r>
            <w:r w:rsidR="00FA6622" w:rsidRPr="0013161E">
              <w:rPr>
                <w:rFonts w:eastAsia="Calibri"/>
                <w:sz w:val="18"/>
                <w:szCs w:val="18"/>
              </w:rPr>
              <w:t>, previous target was 136</w:t>
            </w:r>
            <w:r w:rsidR="00BA563E" w:rsidRPr="0013161E">
              <w:rPr>
                <w:rFonts w:eastAsia="Calibri"/>
                <w:sz w:val="18"/>
                <w:szCs w:val="18"/>
              </w:rPr>
              <w:t>.</w:t>
            </w:r>
          </w:p>
        </w:tc>
      </w:tr>
      <w:tr w:rsidR="00BE7BDE" w:rsidRPr="0006536D" w14:paraId="7DC03B69" w14:textId="77777777" w:rsidTr="00C21D86">
        <w:trPr>
          <w:trHeight w:val="737"/>
          <w:jc w:val="center"/>
        </w:trPr>
        <w:tc>
          <w:tcPr>
            <w:tcW w:w="3325" w:type="dxa"/>
            <w:vMerge/>
            <w:tcBorders>
              <w:left w:val="single" w:sz="4" w:space="0" w:color="auto"/>
              <w:right w:val="single" w:sz="4" w:space="0" w:color="auto"/>
            </w:tcBorders>
            <w:shd w:val="clear" w:color="auto" w:fill="FFFFFF" w:themeFill="background1"/>
            <w:vAlign w:val="center"/>
            <w:hideMark/>
          </w:tcPr>
          <w:p w14:paraId="439C6E29" w14:textId="77777777" w:rsidR="00BE7BDE" w:rsidRPr="00B66E9F" w:rsidRDefault="00BE7BDE" w:rsidP="00A25356">
            <w:pPr>
              <w:spacing w:after="0" w:line="240" w:lineRule="auto"/>
              <w:rPr>
                <w:rFonts w:eastAsia="Calibri"/>
                <w:sz w:val="20"/>
                <w:szCs w:val="20"/>
              </w:rPr>
            </w:pPr>
          </w:p>
        </w:tc>
        <w:tc>
          <w:tcPr>
            <w:tcW w:w="720" w:type="dxa"/>
            <w:vMerge w:val="restart"/>
            <w:tcBorders>
              <w:top w:val="single" w:sz="4" w:space="0" w:color="auto"/>
              <w:left w:val="single" w:sz="4" w:space="0" w:color="auto"/>
              <w:right w:val="single" w:sz="4" w:space="0" w:color="auto"/>
            </w:tcBorders>
            <w:shd w:val="clear" w:color="auto" w:fill="FFFFFF" w:themeFill="background1"/>
          </w:tcPr>
          <w:p w14:paraId="633AEFC9" w14:textId="77777777" w:rsidR="00BE7BDE" w:rsidRPr="00B66E9F" w:rsidRDefault="00BE7BDE" w:rsidP="00A25356">
            <w:pPr>
              <w:spacing w:after="0" w:line="240" w:lineRule="auto"/>
              <w:rPr>
                <w:rFonts w:eastAsia="Calibri"/>
                <w:b/>
                <w:sz w:val="20"/>
                <w:szCs w:val="20"/>
              </w:rPr>
            </w:pPr>
            <w:r w:rsidRPr="00B66E9F">
              <w:rPr>
                <w:rFonts w:eastAsia="Calibri"/>
                <w:b/>
                <w:sz w:val="20"/>
                <w:szCs w:val="20"/>
              </w:rPr>
              <w:t>7.5.3</w:t>
            </w:r>
          </w:p>
        </w:tc>
        <w:tc>
          <w:tcPr>
            <w:tcW w:w="5220" w:type="dxa"/>
            <w:tcBorders>
              <w:top w:val="single" w:sz="4" w:space="0" w:color="auto"/>
              <w:left w:val="single" w:sz="4" w:space="0" w:color="auto"/>
              <w:right w:val="single" w:sz="4" w:space="0" w:color="auto"/>
            </w:tcBorders>
            <w:shd w:val="clear" w:color="auto" w:fill="FFFFFF" w:themeFill="background1"/>
          </w:tcPr>
          <w:p w14:paraId="4E0CFE23" w14:textId="77777777" w:rsidR="00BE7BDE" w:rsidRPr="0013161E" w:rsidRDefault="00BE7BDE" w:rsidP="00A25356">
            <w:pPr>
              <w:spacing w:after="0" w:line="240" w:lineRule="auto"/>
              <w:rPr>
                <w:rFonts w:eastAsia="Calibri"/>
                <w:sz w:val="20"/>
                <w:szCs w:val="20"/>
              </w:rPr>
            </w:pPr>
            <w:r w:rsidRPr="0013161E">
              <w:rPr>
                <w:rFonts w:eastAsia="Calibri"/>
                <w:sz w:val="20"/>
                <w:szCs w:val="20"/>
              </w:rPr>
              <w:t xml:space="preserve">Evidence of </w:t>
            </w:r>
            <w:r w:rsidRPr="0013161E">
              <w:rPr>
                <w:rFonts w:eastAsia="Calibri"/>
                <w:b/>
                <w:sz w:val="20"/>
                <w:szCs w:val="20"/>
              </w:rPr>
              <w:t xml:space="preserve">harmonization of policies, legal frameworks and regulations </w:t>
            </w:r>
            <w:r w:rsidRPr="0013161E">
              <w:rPr>
                <w:rFonts w:eastAsia="Calibri"/>
                <w:sz w:val="20"/>
                <w:szCs w:val="20"/>
              </w:rPr>
              <w:t>across countries for sustaining and expanding South-South and triangular cooperation that maximizes mutual benefits</w:t>
            </w:r>
          </w:p>
          <w:p w14:paraId="670DEA81" w14:textId="33BD8F7B" w:rsidR="00546E49" w:rsidRPr="0013161E" w:rsidRDefault="00546E49" w:rsidP="00470777">
            <w:pPr>
              <w:spacing w:before="120" w:after="0" w:line="240" w:lineRule="auto"/>
              <w:rPr>
                <w:rFonts w:eastAsia="Calibri"/>
                <w:sz w:val="20"/>
                <w:szCs w:val="20"/>
              </w:rPr>
            </w:pPr>
            <w:r w:rsidRPr="0013161E">
              <w:rPr>
                <w:rFonts w:eastAsia="Calibri"/>
                <w:b/>
                <w:i/>
                <w:sz w:val="18"/>
                <w:szCs w:val="18"/>
              </w:rPr>
              <w:t xml:space="preserve">Number of countries </w:t>
            </w:r>
            <w:r w:rsidR="00983FF8" w:rsidRPr="0013161E">
              <w:rPr>
                <w:rFonts w:eastAsia="Calibri"/>
                <w:b/>
                <w:i/>
                <w:sz w:val="18"/>
                <w:szCs w:val="18"/>
              </w:rPr>
              <w:t>for which a 2017 target has currently been set under this indicator</w:t>
            </w:r>
            <w:r w:rsidR="005A48E4" w:rsidRPr="0013161E">
              <w:rPr>
                <w:rFonts w:eastAsia="Calibri"/>
                <w:b/>
                <w:i/>
                <w:sz w:val="18"/>
                <w:szCs w:val="18"/>
              </w:rPr>
              <w:t>: 13</w:t>
            </w:r>
          </w:p>
        </w:tc>
        <w:tc>
          <w:tcPr>
            <w:tcW w:w="1350" w:type="dxa"/>
            <w:tcBorders>
              <w:top w:val="single" w:sz="4" w:space="0" w:color="auto"/>
              <w:left w:val="single" w:sz="4" w:space="0" w:color="auto"/>
              <w:right w:val="single" w:sz="4" w:space="0" w:color="auto"/>
            </w:tcBorders>
            <w:shd w:val="clear" w:color="auto" w:fill="FFFFFF" w:themeFill="background1"/>
            <w:vAlign w:val="center"/>
          </w:tcPr>
          <w:p w14:paraId="1BEA33B4" w14:textId="4039CCD2" w:rsidR="00BE7BDE" w:rsidRPr="003E5706" w:rsidRDefault="00DC57D3" w:rsidP="0061246D">
            <w:pPr>
              <w:spacing w:after="0"/>
              <w:jc w:val="center"/>
              <w:rPr>
                <w:sz w:val="20"/>
                <w:szCs w:val="20"/>
              </w:rPr>
            </w:pPr>
            <w:r>
              <w:rPr>
                <w:sz w:val="20"/>
                <w:szCs w:val="20"/>
              </w:rPr>
              <w:t>8</w:t>
            </w:r>
            <w:r w:rsidR="00BE7BDE">
              <w:rPr>
                <w:sz w:val="20"/>
                <w:szCs w:val="20"/>
              </w:rPr>
              <w:t xml:space="preserve"> </w:t>
            </w:r>
          </w:p>
        </w:tc>
        <w:tc>
          <w:tcPr>
            <w:tcW w:w="1170" w:type="dxa"/>
            <w:tcBorders>
              <w:top w:val="single" w:sz="4" w:space="0" w:color="auto"/>
              <w:left w:val="single" w:sz="4" w:space="0" w:color="auto"/>
              <w:right w:val="single" w:sz="4" w:space="0" w:color="auto"/>
            </w:tcBorders>
            <w:shd w:val="clear" w:color="auto" w:fill="FFFFFF" w:themeFill="background1"/>
            <w:vAlign w:val="center"/>
          </w:tcPr>
          <w:p w14:paraId="02CE35E5" w14:textId="77777777" w:rsidR="00BE7BDE" w:rsidRPr="00B66E9F" w:rsidRDefault="00BE7BDE" w:rsidP="00A25356">
            <w:pPr>
              <w:spacing w:after="0" w:line="240" w:lineRule="auto"/>
              <w:jc w:val="center"/>
              <w:rPr>
                <w:sz w:val="20"/>
                <w:szCs w:val="20"/>
              </w:rPr>
            </w:pPr>
            <w:r>
              <w:rPr>
                <w:sz w:val="20"/>
                <w:szCs w:val="20"/>
              </w:rPr>
              <w:t>9</w:t>
            </w:r>
          </w:p>
        </w:tc>
        <w:tc>
          <w:tcPr>
            <w:tcW w:w="1350" w:type="dxa"/>
            <w:tcBorders>
              <w:top w:val="single" w:sz="4" w:space="0" w:color="auto"/>
              <w:left w:val="single" w:sz="4" w:space="0" w:color="auto"/>
              <w:right w:val="single" w:sz="4" w:space="0" w:color="auto"/>
            </w:tcBorders>
            <w:shd w:val="clear" w:color="auto" w:fill="FFFFFF" w:themeFill="background1"/>
            <w:vAlign w:val="center"/>
          </w:tcPr>
          <w:p w14:paraId="3BF639D4" w14:textId="7B645C7B" w:rsidR="00BE7BDE" w:rsidRPr="00B66E9F" w:rsidRDefault="002E5A41" w:rsidP="00A25356">
            <w:pPr>
              <w:spacing w:after="0" w:line="240" w:lineRule="auto"/>
              <w:jc w:val="center"/>
              <w:rPr>
                <w:sz w:val="20"/>
                <w:szCs w:val="20"/>
              </w:rPr>
            </w:pPr>
            <w:r>
              <w:rPr>
                <w:sz w:val="20"/>
                <w:szCs w:val="20"/>
              </w:rPr>
              <w:t>7</w:t>
            </w:r>
            <w:r w:rsidR="00DD2337">
              <w:rPr>
                <w:sz w:val="20"/>
                <w:szCs w:val="20"/>
              </w:rPr>
              <w:t>*</w:t>
            </w:r>
          </w:p>
        </w:tc>
        <w:tc>
          <w:tcPr>
            <w:tcW w:w="1170" w:type="dxa"/>
            <w:tcBorders>
              <w:top w:val="single" w:sz="4" w:space="0" w:color="auto"/>
              <w:left w:val="single" w:sz="4" w:space="0" w:color="auto"/>
              <w:right w:val="single" w:sz="4" w:space="0" w:color="auto"/>
            </w:tcBorders>
            <w:shd w:val="clear" w:color="auto" w:fill="FFFFFF" w:themeFill="background1"/>
            <w:vAlign w:val="center"/>
          </w:tcPr>
          <w:p w14:paraId="7015573A" w14:textId="77777777" w:rsidR="00BE7BDE" w:rsidRPr="00B66E9F" w:rsidRDefault="00BE7BDE" w:rsidP="00A25356">
            <w:pPr>
              <w:spacing w:after="0" w:line="240" w:lineRule="auto"/>
              <w:jc w:val="center"/>
              <w:rPr>
                <w:sz w:val="20"/>
                <w:szCs w:val="20"/>
              </w:rPr>
            </w:pPr>
            <w:r>
              <w:rPr>
                <w:sz w:val="20"/>
                <w:szCs w:val="20"/>
              </w:rPr>
              <w:t>13</w:t>
            </w:r>
          </w:p>
        </w:tc>
      </w:tr>
      <w:tr w:rsidR="00880073" w:rsidRPr="0006536D" w14:paraId="06447E1F" w14:textId="77777777" w:rsidTr="004C3CB2">
        <w:trPr>
          <w:trHeight w:val="422"/>
          <w:jc w:val="center"/>
        </w:trPr>
        <w:tc>
          <w:tcPr>
            <w:tcW w:w="3325" w:type="dxa"/>
            <w:vMerge/>
            <w:tcBorders>
              <w:left w:val="single" w:sz="4" w:space="0" w:color="auto"/>
              <w:right w:val="single" w:sz="4" w:space="0" w:color="auto"/>
            </w:tcBorders>
            <w:vAlign w:val="center"/>
          </w:tcPr>
          <w:p w14:paraId="52B42859" w14:textId="77777777" w:rsidR="00880073" w:rsidRPr="00B66E9F" w:rsidRDefault="00880073" w:rsidP="00A25356">
            <w:pPr>
              <w:spacing w:after="0" w:line="240" w:lineRule="auto"/>
              <w:rPr>
                <w:rFonts w:eastAsia="Calibri"/>
                <w:sz w:val="20"/>
                <w:szCs w:val="20"/>
              </w:rPr>
            </w:pPr>
          </w:p>
        </w:tc>
        <w:tc>
          <w:tcPr>
            <w:tcW w:w="720" w:type="dxa"/>
            <w:vMerge/>
            <w:tcBorders>
              <w:left w:val="single" w:sz="4" w:space="0" w:color="auto"/>
              <w:right w:val="single" w:sz="4" w:space="0" w:color="auto"/>
            </w:tcBorders>
          </w:tcPr>
          <w:p w14:paraId="647CCC40" w14:textId="77777777" w:rsidR="00880073" w:rsidRPr="00B66E9F" w:rsidRDefault="00880073" w:rsidP="00A25356">
            <w:pPr>
              <w:spacing w:after="0" w:line="240" w:lineRule="auto"/>
              <w:rPr>
                <w:rFonts w:eastAsia="Calibri"/>
                <w:b/>
                <w:sz w:val="20"/>
                <w:szCs w:val="20"/>
              </w:rPr>
            </w:pPr>
          </w:p>
        </w:tc>
        <w:tc>
          <w:tcPr>
            <w:tcW w:w="10260" w:type="dxa"/>
            <w:gridSpan w:val="5"/>
            <w:tcBorders>
              <w:left w:val="single" w:sz="4" w:space="0" w:color="auto"/>
              <w:right w:val="single" w:sz="4" w:space="0" w:color="auto"/>
            </w:tcBorders>
            <w:shd w:val="clear" w:color="auto" w:fill="D9D9D9" w:themeFill="background1" w:themeFillShade="D9"/>
          </w:tcPr>
          <w:p w14:paraId="4DC08652" w14:textId="77777777" w:rsidR="00880073" w:rsidRPr="00470777" w:rsidRDefault="00880073" w:rsidP="00A25356">
            <w:pPr>
              <w:spacing w:after="0" w:line="240" w:lineRule="auto"/>
              <w:rPr>
                <w:rFonts w:ascii="Calibri" w:eastAsia="Calibri" w:hAnsi="Calibri" w:cs="Times New Roman"/>
                <w:sz w:val="18"/>
                <w:szCs w:val="18"/>
                <w:lang w:eastAsia="en-US"/>
              </w:rPr>
            </w:pPr>
            <w:r w:rsidRPr="00470777">
              <w:rPr>
                <w:rFonts w:ascii="Calibri" w:eastAsia="Calibri" w:hAnsi="Calibri" w:cs="Times New Roman"/>
                <w:b/>
                <w:sz w:val="18"/>
                <w:szCs w:val="18"/>
                <w:lang w:eastAsia="en-US"/>
              </w:rPr>
              <w:t xml:space="preserve">Indicator 7.5.3 Note: </w:t>
            </w:r>
            <w:r w:rsidRPr="00470777">
              <w:rPr>
                <w:rFonts w:ascii="Calibri" w:eastAsia="Calibri" w:hAnsi="Calibri" w:cs="Times New Roman"/>
                <w:sz w:val="18"/>
                <w:szCs w:val="18"/>
                <w:lang w:eastAsia="en-US"/>
              </w:rPr>
              <w:t>Tracks the number of countries which, with support from UNDP (on demand from programme countries), establish legal, regulatory or policy frameworks for SS&amp;TC; and/or an institutional focal point within government for SS&amp;TC.</w:t>
            </w:r>
          </w:p>
          <w:p w14:paraId="22B49F00" w14:textId="2F4B5184" w:rsidR="00DC57D3" w:rsidRPr="00470777" w:rsidRDefault="00224F78" w:rsidP="002E5A41">
            <w:pPr>
              <w:spacing w:after="0" w:line="240" w:lineRule="auto"/>
              <w:rPr>
                <w:rFonts w:ascii="Calibri" w:eastAsia="Calibri" w:hAnsi="Calibri" w:cs="Times New Roman"/>
                <w:b/>
                <w:sz w:val="18"/>
                <w:szCs w:val="18"/>
                <w:lang w:eastAsia="en-US"/>
              </w:rPr>
            </w:pPr>
            <w:r w:rsidRPr="00470777">
              <w:rPr>
                <w:rFonts w:eastAsia="Calibri"/>
                <w:b/>
                <w:sz w:val="18"/>
                <w:szCs w:val="18"/>
              </w:rPr>
              <w:t xml:space="preserve">2014 Reporting Note: </w:t>
            </w:r>
            <w:r w:rsidRPr="00470777">
              <w:rPr>
                <w:rFonts w:eastAsia="Calibri"/>
                <w:sz w:val="18"/>
                <w:szCs w:val="18"/>
              </w:rPr>
              <w:t xml:space="preserve">Baseline </w:t>
            </w:r>
            <w:r w:rsidR="00BA563E" w:rsidRPr="00470777">
              <w:rPr>
                <w:rFonts w:eastAsia="Calibri"/>
                <w:sz w:val="18"/>
                <w:szCs w:val="18"/>
              </w:rPr>
              <w:t xml:space="preserve">updated to reflect more complete reporting from country offices. For reference, previous </w:t>
            </w:r>
            <w:r w:rsidR="0035752D" w:rsidRPr="00470777">
              <w:rPr>
                <w:rFonts w:eastAsia="Calibri"/>
                <w:sz w:val="18"/>
                <w:szCs w:val="18"/>
              </w:rPr>
              <w:t>baseline was</w:t>
            </w:r>
            <w:r w:rsidRPr="00470777">
              <w:rPr>
                <w:rFonts w:eastAsia="Calibri"/>
                <w:sz w:val="18"/>
                <w:szCs w:val="18"/>
              </w:rPr>
              <w:t xml:space="preserve"> </w:t>
            </w:r>
            <w:r w:rsidR="0035752D" w:rsidRPr="00470777">
              <w:rPr>
                <w:rFonts w:eastAsia="Calibri"/>
                <w:sz w:val="18"/>
                <w:szCs w:val="18"/>
              </w:rPr>
              <w:t xml:space="preserve">7. </w:t>
            </w:r>
            <w:r w:rsidR="00DD2337" w:rsidRPr="00470777">
              <w:rPr>
                <w:rFonts w:eastAsia="Calibri"/>
                <w:sz w:val="18"/>
                <w:szCs w:val="18"/>
              </w:rPr>
              <w:t xml:space="preserve">* 2014 actual results data is missing for </w:t>
            </w:r>
            <w:r w:rsidR="002E5A41" w:rsidRPr="00470777">
              <w:rPr>
                <w:rFonts w:eastAsia="Calibri"/>
                <w:sz w:val="18"/>
                <w:szCs w:val="18"/>
              </w:rPr>
              <w:t>two</w:t>
            </w:r>
            <w:r w:rsidR="00DD2337" w:rsidRPr="00470777">
              <w:rPr>
                <w:rFonts w:eastAsia="Calibri"/>
                <w:sz w:val="18"/>
                <w:szCs w:val="18"/>
              </w:rPr>
              <w:t xml:space="preserve"> countries expected to contribute to results, final results will be reported at a l</w:t>
            </w:r>
            <w:r w:rsidR="00FF3C75" w:rsidRPr="00470777">
              <w:rPr>
                <w:rFonts w:eastAsia="Calibri"/>
                <w:sz w:val="18"/>
                <w:szCs w:val="18"/>
              </w:rPr>
              <w:t>ater date</w:t>
            </w:r>
            <w:r w:rsidR="00DD2337" w:rsidRPr="00470777">
              <w:rPr>
                <w:rFonts w:eastAsia="Calibri"/>
                <w:sz w:val="18"/>
                <w:szCs w:val="18"/>
              </w:rPr>
              <w:t xml:space="preserve">. </w:t>
            </w:r>
          </w:p>
        </w:tc>
      </w:tr>
    </w:tbl>
    <w:p w14:paraId="75111A9A" w14:textId="77777777" w:rsidR="00470777" w:rsidRDefault="00470777">
      <w:r>
        <w:br w:type="page"/>
      </w:r>
    </w:p>
    <w:tbl>
      <w:tblPr>
        <w:tblW w:w="14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720"/>
        <w:gridCol w:w="5220"/>
        <w:gridCol w:w="1350"/>
        <w:gridCol w:w="1170"/>
        <w:gridCol w:w="1350"/>
        <w:gridCol w:w="1170"/>
      </w:tblGrid>
      <w:tr w:rsidR="00BE7BDE" w:rsidRPr="0006536D" w14:paraId="18132781" w14:textId="77777777" w:rsidTr="00C21D86">
        <w:trPr>
          <w:trHeight w:val="314"/>
          <w:jc w:val="center"/>
        </w:trPr>
        <w:tc>
          <w:tcPr>
            <w:tcW w:w="3325" w:type="dxa"/>
            <w:vMerge w:val="restart"/>
            <w:tcBorders>
              <w:top w:val="single" w:sz="4" w:space="0" w:color="auto"/>
              <w:left w:val="single" w:sz="4" w:space="0" w:color="auto"/>
              <w:right w:val="single" w:sz="4" w:space="0" w:color="auto"/>
            </w:tcBorders>
            <w:shd w:val="clear" w:color="auto" w:fill="FFFFFF" w:themeFill="background1"/>
            <w:hideMark/>
          </w:tcPr>
          <w:p w14:paraId="0CA72ACE" w14:textId="08425DB2" w:rsidR="00BE7BDE" w:rsidRDefault="00BE7BDE" w:rsidP="00A25356">
            <w:pPr>
              <w:spacing w:after="0" w:line="240" w:lineRule="auto"/>
              <w:rPr>
                <w:rFonts w:eastAsia="Calibri"/>
                <w:color w:val="000000"/>
                <w:sz w:val="20"/>
              </w:rPr>
            </w:pPr>
            <w:r>
              <w:rPr>
                <w:rFonts w:eastAsia="Calibri"/>
                <w:b/>
                <w:sz w:val="20"/>
              </w:rPr>
              <w:t>Output 7.6.</w:t>
            </w:r>
            <w:r w:rsidRPr="00B66E9F">
              <w:rPr>
                <w:rFonts w:eastAsia="Calibri"/>
                <w:b/>
                <w:sz w:val="20"/>
              </w:rPr>
              <w:t xml:space="preserve"> </w:t>
            </w:r>
            <w:r w:rsidRPr="00B66E9F">
              <w:rPr>
                <w:rFonts w:eastAsia="Calibri"/>
                <w:color w:val="000000"/>
                <w:sz w:val="20"/>
              </w:rPr>
              <w:t>Innovations enab</w:t>
            </w:r>
            <w:r>
              <w:rPr>
                <w:rFonts w:eastAsia="Calibri"/>
                <w:color w:val="000000"/>
                <w:sz w:val="20"/>
              </w:rPr>
              <w:t xml:space="preserve">led for development solutions, </w:t>
            </w:r>
            <w:r w:rsidRPr="00B66E9F">
              <w:rPr>
                <w:rFonts w:eastAsia="Calibri"/>
                <w:color w:val="000000"/>
                <w:sz w:val="20"/>
              </w:rPr>
              <w:t>partnerships and other collaborative arran</w:t>
            </w:r>
            <w:r>
              <w:rPr>
                <w:rFonts w:eastAsia="Calibri"/>
                <w:color w:val="000000"/>
                <w:sz w:val="20"/>
              </w:rPr>
              <w:t>ge</w:t>
            </w:r>
            <w:r w:rsidR="00613FB0">
              <w:rPr>
                <w:rFonts w:eastAsia="Calibri"/>
                <w:color w:val="000000"/>
                <w:sz w:val="20"/>
              </w:rPr>
              <w:t>ments</w:t>
            </w:r>
          </w:p>
          <w:p w14:paraId="0421D584" w14:textId="77777777" w:rsidR="00BE7BDE" w:rsidRDefault="00BE7BDE" w:rsidP="00A25356">
            <w:pPr>
              <w:spacing w:after="0" w:line="240" w:lineRule="auto"/>
              <w:rPr>
                <w:rFonts w:eastAsia="Calibri"/>
                <w:sz w:val="20"/>
                <w:szCs w:val="20"/>
              </w:rPr>
            </w:pPr>
          </w:p>
          <w:p w14:paraId="0AD9F6E1" w14:textId="7215EEA0" w:rsidR="006C2CD4" w:rsidRDefault="006C2CD4" w:rsidP="006C2CD4">
            <w:pPr>
              <w:spacing w:after="0" w:line="240" w:lineRule="auto"/>
              <w:rPr>
                <w:rFonts w:ascii="Calibri" w:eastAsia="Calibri" w:hAnsi="Calibri"/>
                <w:b/>
                <w:color w:val="000000"/>
                <w:sz w:val="18"/>
                <w:szCs w:val="18"/>
              </w:rPr>
            </w:pPr>
            <w:r w:rsidRPr="00B359E7">
              <w:rPr>
                <w:rFonts w:ascii="Calibri" w:eastAsia="Calibri" w:hAnsi="Calibri"/>
                <w:b/>
                <w:i/>
                <w:color w:val="000000"/>
                <w:sz w:val="18"/>
                <w:szCs w:val="18"/>
              </w:rPr>
              <w:t>Number of countries linked:</w:t>
            </w:r>
            <w:r>
              <w:rPr>
                <w:rFonts w:ascii="Calibri" w:eastAsia="Calibri" w:hAnsi="Calibri"/>
                <w:b/>
                <w:color w:val="000000"/>
                <w:sz w:val="18"/>
                <w:szCs w:val="18"/>
              </w:rPr>
              <w:t xml:space="preserve"> 24 </w:t>
            </w:r>
          </w:p>
          <w:p w14:paraId="2108D0AB" w14:textId="66E0CEAF" w:rsidR="00BE7BDE" w:rsidRPr="00B66E9F" w:rsidRDefault="006C2CD4" w:rsidP="006C2CD4">
            <w:pPr>
              <w:spacing w:after="0" w:line="240" w:lineRule="auto"/>
              <w:rPr>
                <w:rFonts w:eastAsia="Calibri"/>
                <w:color w:val="000000"/>
                <w:sz w:val="20"/>
              </w:rPr>
            </w:pPr>
            <w:r>
              <w:rPr>
                <w:rFonts w:ascii="Calibri" w:eastAsia="Calibri" w:hAnsi="Calibri"/>
                <w:b/>
                <w:color w:val="000000"/>
                <w:sz w:val="18"/>
                <w:szCs w:val="18"/>
              </w:rPr>
              <w:t>(February 2015</w:t>
            </w:r>
            <w:r w:rsidRPr="00B359E7">
              <w:rPr>
                <w:rFonts w:ascii="Calibri" w:eastAsia="Calibri" w:hAnsi="Calibri"/>
                <w:b/>
                <w:color w:val="000000"/>
                <w:sz w:val="18"/>
                <w:szCs w:val="18"/>
              </w:rPr>
              <w:t>)</w:t>
            </w:r>
          </w:p>
        </w:tc>
        <w:tc>
          <w:tcPr>
            <w:tcW w:w="720" w:type="dxa"/>
            <w:vMerge w:val="restart"/>
            <w:tcBorders>
              <w:top w:val="single" w:sz="4" w:space="0" w:color="auto"/>
              <w:left w:val="single" w:sz="4" w:space="0" w:color="auto"/>
              <w:right w:val="single" w:sz="4" w:space="0" w:color="auto"/>
            </w:tcBorders>
            <w:shd w:val="clear" w:color="auto" w:fill="FFFFFF" w:themeFill="background1"/>
          </w:tcPr>
          <w:p w14:paraId="6A39EDEF" w14:textId="77777777" w:rsidR="00BE7BDE" w:rsidRPr="00B66E9F" w:rsidRDefault="00BE7BDE" w:rsidP="00A25356">
            <w:pPr>
              <w:spacing w:after="0" w:line="240" w:lineRule="auto"/>
              <w:rPr>
                <w:rFonts w:eastAsia="Calibri"/>
                <w:b/>
                <w:sz w:val="20"/>
              </w:rPr>
            </w:pPr>
            <w:r w:rsidRPr="00B66E9F">
              <w:rPr>
                <w:rFonts w:eastAsia="Calibri"/>
                <w:b/>
                <w:sz w:val="20"/>
              </w:rPr>
              <w:t>7.6.1</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14:paraId="5118688C" w14:textId="77777777" w:rsidR="00BE7BDE" w:rsidRPr="0013161E" w:rsidRDefault="00BE7BDE" w:rsidP="00A25356">
            <w:pPr>
              <w:spacing w:after="0" w:line="240" w:lineRule="auto"/>
              <w:rPr>
                <w:rFonts w:eastAsia="Calibri"/>
                <w:sz w:val="20"/>
              </w:rPr>
            </w:pPr>
            <w:r w:rsidRPr="0013161E">
              <w:rPr>
                <w:rFonts w:eastAsia="Calibri"/>
                <w:sz w:val="20"/>
              </w:rPr>
              <w:t xml:space="preserve">Number of </w:t>
            </w:r>
            <w:r w:rsidRPr="000B5DED">
              <w:rPr>
                <w:rFonts w:eastAsia="Calibri"/>
                <w:b/>
                <w:sz w:val="20"/>
              </w:rPr>
              <w:t xml:space="preserve">new </w:t>
            </w:r>
            <w:r w:rsidRPr="0013161E">
              <w:rPr>
                <w:rFonts w:eastAsia="Calibri"/>
                <w:b/>
                <w:sz w:val="20"/>
              </w:rPr>
              <w:t>public-private partnership</w:t>
            </w:r>
            <w:r w:rsidRPr="0013161E">
              <w:rPr>
                <w:rFonts w:eastAsia="Calibri"/>
                <w:sz w:val="20"/>
              </w:rPr>
              <w:t xml:space="preserve"> mechanisms that provide innovative solutions for development</w:t>
            </w:r>
          </w:p>
          <w:p w14:paraId="4B69E468" w14:textId="5BFB47D8" w:rsidR="00546E49" w:rsidRPr="0013161E" w:rsidRDefault="00546E49" w:rsidP="00E731AE">
            <w:pPr>
              <w:spacing w:before="120" w:after="0"/>
              <w:rPr>
                <w:rFonts w:eastAsia="Calibri"/>
                <w:sz w:val="20"/>
              </w:rPr>
            </w:pPr>
            <w:r w:rsidRPr="0013161E">
              <w:rPr>
                <w:rFonts w:eastAsia="Calibri"/>
                <w:b/>
                <w:i/>
                <w:sz w:val="18"/>
                <w:szCs w:val="18"/>
              </w:rPr>
              <w:t xml:space="preserve">Number of countries </w:t>
            </w:r>
            <w:r w:rsidR="00983FF8" w:rsidRPr="0013161E">
              <w:rPr>
                <w:rFonts w:eastAsia="Calibri"/>
                <w:b/>
                <w:i/>
                <w:sz w:val="18"/>
                <w:szCs w:val="18"/>
              </w:rPr>
              <w:t>for which a 2017 target has currently been set under this indicator</w:t>
            </w:r>
            <w:r w:rsidR="000F6355" w:rsidRPr="0013161E">
              <w:rPr>
                <w:rFonts w:eastAsia="Calibri"/>
                <w:b/>
                <w:i/>
                <w:sz w:val="18"/>
                <w:szCs w:val="18"/>
              </w:rPr>
              <w:t>: 19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C49EA" w14:textId="04735987" w:rsidR="00BE7BDE" w:rsidRPr="00B66E9F" w:rsidRDefault="00BE7BDE" w:rsidP="0061246D">
            <w:pPr>
              <w:spacing w:after="0" w:line="240" w:lineRule="auto"/>
              <w:jc w:val="center"/>
              <w:rPr>
                <w:sz w:val="20"/>
              </w:rPr>
            </w:pPr>
            <w:r>
              <w:rPr>
                <w:sz w:val="20"/>
              </w:rPr>
              <w:t xml:space="preserve">0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C7192" w14:textId="77777777" w:rsidR="00BE7BDE" w:rsidRPr="00B66E9F" w:rsidRDefault="00BE7BDE" w:rsidP="00A25356">
            <w:pPr>
              <w:spacing w:after="0" w:line="240" w:lineRule="auto"/>
              <w:jc w:val="center"/>
              <w:rPr>
                <w:sz w:val="20"/>
              </w:rPr>
            </w:pPr>
            <w:r>
              <w:rPr>
                <w:sz w:val="20"/>
              </w:rPr>
              <w:t>39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DC687" w14:textId="086319C5" w:rsidR="00BE7BDE" w:rsidRPr="00B66E9F" w:rsidRDefault="00331858" w:rsidP="00331858">
            <w:pPr>
              <w:spacing w:after="0" w:line="240" w:lineRule="auto"/>
              <w:jc w:val="center"/>
              <w:rPr>
                <w:sz w:val="20"/>
              </w:rPr>
            </w:pPr>
            <w:r>
              <w:rPr>
                <w:sz w:val="20"/>
              </w:rPr>
              <w:t>52</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616BD" w14:textId="410F8F48" w:rsidR="00BE7BDE" w:rsidRPr="00B66E9F" w:rsidRDefault="000F6355" w:rsidP="00A25356">
            <w:pPr>
              <w:spacing w:after="0" w:line="240" w:lineRule="auto"/>
              <w:jc w:val="center"/>
              <w:rPr>
                <w:sz w:val="20"/>
              </w:rPr>
            </w:pPr>
            <w:r>
              <w:rPr>
                <w:sz w:val="20"/>
              </w:rPr>
              <w:t>145</w:t>
            </w:r>
          </w:p>
        </w:tc>
      </w:tr>
      <w:tr w:rsidR="00880073" w:rsidRPr="0006536D" w14:paraId="04F1DA71" w14:textId="77777777" w:rsidTr="004C3CB2">
        <w:trPr>
          <w:trHeight w:val="314"/>
          <w:jc w:val="center"/>
        </w:trPr>
        <w:tc>
          <w:tcPr>
            <w:tcW w:w="3325" w:type="dxa"/>
            <w:vMerge/>
            <w:tcBorders>
              <w:left w:val="single" w:sz="4" w:space="0" w:color="auto"/>
              <w:right w:val="single" w:sz="4" w:space="0" w:color="auto"/>
            </w:tcBorders>
            <w:shd w:val="clear" w:color="auto" w:fill="FFFFFF" w:themeFill="background1"/>
          </w:tcPr>
          <w:p w14:paraId="31DF4759" w14:textId="77777777" w:rsidR="00880073" w:rsidRDefault="00880073" w:rsidP="00A25356">
            <w:pPr>
              <w:spacing w:after="0" w:line="240" w:lineRule="auto"/>
              <w:rPr>
                <w:rFonts w:eastAsia="Calibri"/>
                <w:b/>
                <w:sz w:val="20"/>
              </w:rPr>
            </w:pPr>
          </w:p>
        </w:tc>
        <w:tc>
          <w:tcPr>
            <w:tcW w:w="720" w:type="dxa"/>
            <w:vMerge/>
            <w:tcBorders>
              <w:left w:val="single" w:sz="4" w:space="0" w:color="auto"/>
              <w:bottom w:val="single" w:sz="4" w:space="0" w:color="auto"/>
              <w:right w:val="single" w:sz="4" w:space="0" w:color="auto"/>
            </w:tcBorders>
            <w:shd w:val="clear" w:color="auto" w:fill="FFFFFF" w:themeFill="background1"/>
          </w:tcPr>
          <w:p w14:paraId="5DC0DFBF" w14:textId="77777777" w:rsidR="00880073" w:rsidRPr="00B66E9F" w:rsidRDefault="00880073" w:rsidP="00A25356">
            <w:pPr>
              <w:spacing w:after="0" w:line="240" w:lineRule="auto"/>
              <w:rPr>
                <w:rFonts w:eastAsia="Calibri"/>
                <w:b/>
                <w:sz w:val="20"/>
              </w:rPr>
            </w:pPr>
          </w:p>
        </w:tc>
        <w:tc>
          <w:tcPr>
            <w:tcW w:w="10260" w:type="dxa"/>
            <w:gridSpan w:val="5"/>
            <w:tcBorders>
              <w:left w:val="single" w:sz="4" w:space="0" w:color="auto"/>
              <w:bottom w:val="single" w:sz="4" w:space="0" w:color="auto"/>
              <w:right w:val="single" w:sz="4" w:space="0" w:color="auto"/>
            </w:tcBorders>
            <w:shd w:val="clear" w:color="auto" w:fill="D9D9D9" w:themeFill="background1" w:themeFillShade="D9"/>
          </w:tcPr>
          <w:p w14:paraId="19290B56" w14:textId="77777777" w:rsidR="00880073" w:rsidRPr="0013161E" w:rsidRDefault="00880073" w:rsidP="00A25356">
            <w:pPr>
              <w:spacing w:after="0" w:line="240" w:lineRule="auto"/>
              <w:rPr>
                <w:rFonts w:ascii="Calibri" w:eastAsia="Calibri" w:hAnsi="Calibri"/>
                <w:sz w:val="18"/>
                <w:szCs w:val="18"/>
              </w:rPr>
            </w:pPr>
            <w:r w:rsidRPr="0013161E">
              <w:rPr>
                <w:rFonts w:ascii="Calibri" w:eastAsia="Calibri" w:hAnsi="Calibri" w:cs="Times New Roman"/>
                <w:b/>
                <w:sz w:val="18"/>
                <w:szCs w:val="18"/>
                <w:lang w:eastAsia="en-US"/>
              </w:rPr>
              <w:t xml:space="preserve">Indicator 7.6.1 Note: </w:t>
            </w:r>
            <w:r w:rsidRPr="0013161E">
              <w:rPr>
                <w:rFonts w:ascii="Calibri" w:eastAsia="Calibri" w:hAnsi="Calibri"/>
                <w:sz w:val="18"/>
                <w:szCs w:val="18"/>
              </w:rPr>
              <w:t>Tracks the number of new PPP mechanisms supported by UNDP (on demand from programme countries) with evidence of providing innovative solutions for development, from January 2014 onwards.</w:t>
            </w:r>
            <w:r w:rsidR="005A48E4" w:rsidRPr="0013161E">
              <w:rPr>
                <w:rFonts w:ascii="Calibri" w:eastAsia="Calibri" w:hAnsi="Calibri"/>
                <w:sz w:val="18"/>
                <w:szCs w:val="18"/>
              </w:rPr>
              <w:t xml:space="preserve"> </w:t>
            </w:r>
          </w:p>
          <w:p w14:paraId="4B5487FD" w14:textId="239F8948" w:rsidR="005A48E4" w:rsidRPr="0013161E" w:rsidRDefault="005A48E4" w:rsidP="005A48E4">
            <w:pPr>
              <w:spacing w:after="0" w:line="240" w:lineRule="auto"/>
              <w:rPr>
                <w:rFonts w:ascii="Calibri" w:eastAsia="Calibri" w:hAnsi="Calibri" w:cs="Times New Roman"/>
                <w:b/>
                <w:sz w:val="18"/>
                <w:szCs w:val="18"/>
                <w:lang w:eastAsia="en-US"/>
              </w:rPr>
            </w:pPr>
            <w:r w:rsidRPr="0013161E">
              <w:rPr>
                <w:rFonts w:eastAsia="Calibri"/>
                <w:b/>
                <w:sz w:val="18"/>
                <w:szCs w:val="18"/>
              </w:rPr>
              <w:t xml:space="preserve">2014 Reporting Note: </w:t>
            </w:r>
            <w:r w:rsidRPr="0013161E">
              <w:rPr>
                <w:rFonts w:eastAsia="Calibri"/>
                <w:sz w:val="18"/>
                <w:szCs w:val="18"/>
              </w:rPr>
              <w:t>2017 target updated to reflect more complete reporting from country offices. Previous target was 139.</w:t>
            </w:r>
          </w:p>
        </w:tc>
      </w:tr>
      <w:tr w:rsidR="00BE7BDE" w:rsidRPr="0006536D" w14:paraId="602BE1A6" w14:textId="77777777" w:rsidTr="00C21D86">
        <w:trPr>
          <w:trHeight w:val="440"/>
          <w:jc w:val="center"/>
        </w:trPr>
        <w:tc>
          <w:tcPr>
            <w:tcW w:w="3325" w:type="dxa"/>
            <w:vMerge/>
            <w:tcBorders>
              <w:left w:val="single" w:sz="4" w:space="0" w:color="auto"/>
              <w:right w:val="single" w:sz="4" w:space="0" w:color="auto"/>
            </w:tcBorders>
            <w:shd w:val="clear" w:color="auto" w:fill="FFFFFF" w:themeFill="background1"/>
          </w:tcPr>
          <w:p w14:paraId="4D55D93F" w14:textId="56A48F6C" w:rsidR="00BE7BDE" w:rsidRPr="00B66E9F" w:rsidRDefault="00BE7BDE" w:rsidP="00A25356">
            <w:pPr>
              <w:spacing w:after="0" w:line="240" w:lineRule="auto"/>
              <w:rPr>
                <w:rFonts w:eastAsia="Calibri"/>
                <w:b/>
                <w:sz w:val="20"/>
              </w:rPr>
            </w:pPr>
          </w:p>
        </w:tc>
        <w:tc>
          <w:tcPr>
            <w:tcW w:w="720" w:type="dxa"/>
            <w:vMerge w:val="restart"/>
            <w:tcBorders>
              <w:top w:val="single" w:sz="4" w:space="0" w:color="auto"/>
              <w:left w:val="single" w:sz="4" w:space="0" w:color="auto"/>
              <w:right w:val="single" w:sz="4" w:space="0" w:color="auto"/>
            </w:tcBorders>
            <w:shd w:val="clear" w:color="auto" w:fill="FFFFFF" w:themeFill="background1"/>
          </w:tcPr>
          <w:p w14:paraId="717C2891" w14:textId="77777777" w:rsidR="00BE7BDE" w:rsidRPr="0032657A" w:rsidRDefault="00BE7BDE" w:rsidP="00A25356">
            <w:pPr>
              <w:spacing w:after="0" w:line="240" w:lineRule="auto"/>
              <w:rPr>
                <w:rFonts w:eastAsia="Calibri"/>
                <w:b/>
                <w:sz w:val="20"/>
              </w:rPr>
            </w:pPr>
            <w:r w:rsidRPr="0032657A">
              <w:rPr>
                <w:rFonts w:eastAsia="Calibri"/>
                <w:b/>
                <w:sz w:val="20"/>
              </w:rPr>
              <w:t>7.6.2</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14:paraId="432D24FB" w14:textId="5C1DE04A" w:rsidR="00BE7BDE" w:rsidRPr="0013161E" w:rsidRDefault="00BE7BDE" w:rsidP="00A25356">
            <w:pPr>
              <w:spacing w:after="0" w:line="240" w:lineRule="auto"/>
              <w:rPr>
                <w:rFonts w:eastAsia="Calibri"/>
                <w:sz w:val="20"/>
                <w:szCs w:val="20"/>
              </w:rPr>
            </w:pPr>
            <w:r w:rsidRPr="0013161E">
              <w:rPr>
                <w:rFonts w:eastAsia="Calibri"/>
                <w:sz w:val="20"/>
                <w:szCs w:val="20"/>
              </w:rPr>
              <w:t xml:space="preserve">Number of </w:t>
            </w:r>
            <w:r w:rsidR="00DD6825" w:rsidRPr="000B5DED">
              <w:rPr>
                <w:rFonts w:eastAsia="Calibri"/>
                <w:b/>
                <w:sz w:val="20"/>
                <w:szCs w:val="20"/>
              </w:rPr>
              <w:t xml:space="preserve">additional </w:t>
            </w:r>
            <w:r w:rsidRPr="0013161E">
              <w:rPr>
                <w:rFonts w:eastAsia="Calibri"/>
                <w:b/>
                <w:sz w:val="20"/>
                <w:szCs w:val="20"/>
              </w:rPr>
              <w:t>pilot and demonstration projects</w:t>
            </w:r>
            <w:r w:rsidRPr="0013161E">
              <w:rPr>
                <w:rFonts w:eastAsia="Calibri"/>
                <w:sz w:val="20"/>
                <w:szCs w:val="20"/>
              </w:rPr>
              <w:t xml:space="preserve"> initiated or </w:t>
            </w:r>
            <w:r w:rsidRPr="0013161E">
              <w:rPr>
                <w:rFonts w:eastAsia="Calibri"/>
                <w:b/>
                <w:sz w:val="20"/>
                <w:szCs w:val="20"/>
              </w:rPr>
              <w:t>scaled up by national partners</w:t>
            </w:r>
            <w:r w:rsidRPr="0013161E">
              <w:rPr>
                <w:rFonts w:eastAsia="Calibri"/>
                <w:sz w:val="20"/>
                <w:szCs w:val="20"/>
              </w:rPr>
              <w:t xml:space="preserve"> (e.g. expanded, replicated, adapted or sustained) </w:t>
            </w:r>
          </w:p>
          <w:p w14:paraId="3FAF7D13" w14:textId="77777777" w:rsidR="0061246D" w:rsidRPr="0013161E" w:rsidRDefault="00BE7BDE" w:rsidP="0061246D">
            <w:pPr>
              <w:spacing w:after="0"/>
              <w:rPr>
                <w:rFonts w:eastAsia="Calibri"/>
                <w:sz w:val="20"/>
                <w:szCs w:val="20"/>
              </w:rPr>
            </w:pPr>
            <w:r w:rsidRPr="0013161E">
              <w:rPr>
                <w:rFonts w:eastAsia="Calibri"/>
                <w:sz w:val="20"/>
                <w:szCs w:val="20"/>
              </w:rPr>
              <w:t xml:space="preserve">(a) Number of </w:t>
            </w:r>
            <w:r w:rsidRPr="0013161E">
              <w:rPr>
                <w:rFonts w:eastAsia="Calibri"/>
                <w:b/>
                <w:sz w:val="20"/>
                <w:szCs w:val="20"/>
              </w:rPr>
              <w:t>additional</w:t>
            </w:r>
            <w:r w:rsidRPr="0013161E">
              <w:rPr>
                <w:rFonts w:eastAsia="Calibri"/>
                <w:sz w:val="20"/>
                <w:szCs w:val="20"/>
              </w:rPr>
              <w:t xml:space="preserve"> pilots and demonstration projects </w:t>
            </w:r>
            <w:r w:rsidRPr="0013161E">
              <w:rPr>
                <w:rFonts w:eastAsia="Calibri"/>
                <w:b/>
                <w:sz w:val="20"/>
                <w:szCs w:val="20"/>
              </w:rPr>
              <w:t>scaled up</w:t>
            </w:r>
            <w:r w:rsidRPr="0013161E">
              <w:rPr>
                <w:rFonts w:eastAsia="Calibri"/>
                <w:sz w:val="20"/>
                <w:szCs w:val="20"/>
              </w:rPr>
              <w:t xml:space="preserve"> by national partners</w:t>
            </w:r>
          </w:p>
          <w:p w14:paraId="464E2E67" w14:textId="77777777" w:rsidR="00BE7BDE" w:rsidRPr="0013161E" w:rsidRDefault="00BE7BDE" w:rsidP="0061246D">
            <w:pPr>
              <w:spacing w:after="0"/>
              <w:rPr>
                <w:rFonts w:eastAsia="Calibri"/>
                <w:sz w:val="20"/>
                <w:szCs w:val="20"/>
              </w:rPr>
            </w:pPr>
            <w:r w:rsidRPr="0013161E">
              <w:rPr>
                <w:rFonts w:eastAsia="Calibri"/>
                <w:sz w:val="20"/>
                <w:szCs w:val="20"/>
              </w:rPr>
              <w:t xml:space="preserve">(b) Number of </w:t>
            </w:r>
            <w:r w:rsidRPr="0013161E">
              <w:rPr>
                <w:rFonts w:eastAsia="Calibri"/>
                <w:b/>
                <w:sz w:val="20"/>
                <w:szCs w:val="20"/>
              </w:rPr>
              <w:t>additional</w:t>
            </w:r>
            <w:r w:rsidRPr="0013161E">
              <w:rPr>
                <w:rFonts w:eastAsia="Calibri"/>
                <w:sz w:val="20"/>
                <w:szCs w:val="20"/>
              </w:rPr>
              <w:t xml:space="preserve"> pilots and demonstration projects </w:t>
            </w:r>
            <w:r w:rsidRPr="0013161E">
              <w:rPr>
                <w:rFonts w:eastAsia="Calibri"/>
                <w:b/>
                <w:sz w:val="20"/>
                <w:szCs w:val="20"/>
              </w:rPr>
              <w:t>initiated</w:t>
            </w:r>
            <w:r w:rsidRPr="0013161E">
              <w:rPr>
                <w:rFonts w:eastAsia="Calibri"/>
                <w:sz w:val="20"/>
                <w:szCs w:val="20"/>
              </w:rPr>
              <w:t xml:space="preserve"> by national partners</w:t>
            </w:r>
          </w:p>
          <w:p w14:paraId="69DE2228" w14:textId="678E4838" w:rsidR="00546E49" w:rsidRPr="0013161E" w:rsidRDefault="00546E49" w:rsidP="00470777">
            <w:pPr>
              <w:spacing w:before="120" w:after="0"/>
              <w:rPr>
                <w:rFonts w:eastAsia="Calibri"/>
                <w:sz w:val="20"/>
                <w:szCs w:val="20"/>
              </w:rPr>
            </w:pPr>
            <w:r w:rsidRPr="0013161E">
              <w:rPr>
                <w:rFonts w:eastAsia="Calibri"/>
                <w:b/>
                <w:i/>
                <w:sz w:val="18"/>
                <w:szCs w:val="20"/>
              </w:rPr>
              <w:t xml:space="preserve">Number of countries </w:t>
            </w:r>
            <w:r w:rsidR="00983FF8" w:rsidRPr="0013161E">
              <w:rPr>
                <w:rFonts w:eastAsia="Calibri"/>
                <w:b/>
                <w:i/>
                <w:sz w:val="18"/>
                <w:szCs w:val="20"/>
              </w:rPr>
              <w:t>for which a 2017 target has currently been set under this indicator</w:t>
            </w:r>
            <w:r w:rsidR="000F6355" w:rsidRPr="0013161E">
              <w:rPr>
                <w:rFonts w:eastAsia="Calibri"/>
                <w:b/>
                <w:i/>
                <w:sz w:val="18"/>
                <w:szCs w:val="20"/>
              </w:rPr>
              <w:t>: 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09D15118" w14:textId="77777777" w:rsidR="00BE7BDE" w:rsidRDefault="00BE7BDE" w:rsidP="00A25356">
            <w:pPr>
              <w:spacing w:after="0" w:line="240" w:lineRule="auto"/>
              <w:jc w:val="center"/>
              <w:rPr>
                <w:sz w:val="20"/>
              </w:rPr>
            </w:pPr>
          </w:p>
          <w:p w14:paraId="09EBD3A4" w14:textId="77777777" w:rsidR="00BE7BDE" w:rsidRDefault="00BE7BDE" w:rsidP="00A25356">
            <w:pPr>
              <w:spacing w:after="0" w:line="240" w:lineRule="auto"/>
              <w:jc w:val="center"/>
              <w:rPr>
                <w:sz w:val="20"/>
              </w:rPr>
            </w:pPr>
          </w:p>
          <w:p w14:paraId="3722E297" w14:textId="77777777" w:rsidR="00BE7BDE" w:rsidRDefault="00BE7BDE" w:rsidP="00A25356">
            <w:pPr>
              <w:spacing w:after="0" w:line="240" w:lineRule="auto"/>
              <w:jc w:val="center"/>
              <w:rPr>
                <w:sz w:val="20"/>
              </w:rPr>
            </w:pPr>
          </w:p>
          <w:p w14:paraId="505B948B" w14:textId="55E7AECC" w:rsidR="00BE7BDE" w:rsidRDefault="00470777" w:rsidP="00A25356">
            <w:pPr>
              <w:spacing w:after="0" w:line="240" w:lineRule="auto"/>
              <w:jc w:val="center"/>
              <w:rPr>
                <w:sz w:val="20"/>
              </w:rPr>
            </w:pPr>
            <w:r>
              <w:rPr>
                <w:sz w:val="20"/>
              </w:rPr>
              <w:t>0</w:t>
            </w:r>
          </w:p>
          <w:p w14:paraId="645E8298" w14:textId="77777777" w:rsidR="00BE7BDE" w:rsidRDefault="00BE7BDE" w:rsidP="00A25356">
            <w:pPr>
              <w:spacing w:after="0" w:line="240" w:lineRule="auto"/>
              <w:jc w:val="center"/>
              <w:rPr>
                <w:sz w:val="20"/>
              </w:rPr>
            </w:pPr>
          </w:p>
          <w:p w14:paraId="18C4E2DA" w14:textId="77777777" w:rsidR="00BE7BDE" w:rsidRPr="00B66E9F" w:rsidRDefault="00BE7BDE" w:rsidP="00A25356">
            <w:pPr>
              <w:spacing w:after="0" w:line="240" w:lineRule="auto"/>
              <w:jc w:val="center"/>
              <w:rPr>
                <w:sz w:val="20"/>
              </w:rPr>
            </w:pPr>
            <w:r>
              <w:rPr>
                <w:sz w:val="20"/>
              </w:rPr>
              <w:t xml:space="preserve">0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43F92AC" w14:textId="77777777" w:rsidR="00BE7BDE" w:rsidRDefault="00BE7BDE" w:rsidP="00A25356">
            <w:pPr>
              <w:spacing w:after="0" w:line="240" w:lineRule="auto"/>
              <w:jc w:val="center"/>
              <w:rPr>
                <w:sz w:val="20"/>
              </w:rPr>
            </w:pPr>
          </w:p>
          <w:p w14:paraId="3586CFFB" w14:textId="77777777" w:rsidR="00BE7BDE" w:rsidRDefault="00BE7BDE" w:rsidP="00A25356">
            <w:pPr>
              <w:spacing w:after="0" w:line="240" w:lineRule="auto"/>
              <w:jc w:val="center"/>
              <w:rPr>
                <w:sz w:val="20"/>
              </w:rPr>
            </w:pPr>
          </w:p>
          <w:p w14:paraId="0FE5AD53" w14:textId="77777777" w:rsidR="00BE7BDE" w:rsidRDefault="00BE7BDE" w:rsidP="00A25356">
            <w:pPr>
              <w:spacing w:after="0" w:line="240" w:lineRule="auto"/>
              <w:jc w:val="center"/>
              <w:rPr>
                <w:sz w:val="20"/>
              </w:rPr>
            </w:pPr>
          </w:p>
          <w:p w14:paraId="7936F428" w14:textId="2FA64804" w:rsidR="00BE7BDE" w:rsidRDefault="00880073" w:rsidP="00A25356">
            <w:pPr>
              <w:spacing w:after="0" w:line="240" w:lineRule="auto"/>
              <w:jc w:val="center"/>
              <w:rPr>
                <w:sz w:val="20"/>
              </w:rPr>
            </w:pPr>
            <w:r>
              <w:rPr>
                <w:sz w:val="20"/>
              </w:rPr>
              <w:t>40</w:t>
            </w:r>
          </w:p>
          <w:p w14:paraId="4C41ACC6" w14:textId="77777777" w:rsidR="00BE7BDE" w:rsidRDefault="00BE7BDE" w:rsidP="00A25356">
            <w:pPr>
              <w:spacing w:after="0" w:line="240" w:lineRule="auto"/>
              <w:jc w:val="center"/>
              <w:rPr>
                <w:sz w:val="20"/>
              </w:rPr>
            </w:pPr>
          </w:p>
          <w:p w14:paraId="0E8E06B8" w14:textId="503F7AE3" w:rsidR="00BE7BDE" w:rsidRPr="00B66E9F" w:rsidRDefault="00880073" w:rsidP="00A25356">
            <w:pPr>
              <w:spacing w:after="0" w:line="240" w:lineRule="auto"/>
              <w:jc w:val="center"/>
              <w:rPr>
                <w:sz w:val="20"/>
              </w:rPr>
            </w:pPr>
            <w:r>
              <w:rPr>
                <w:sz w:val="20"/>
              </w:rPr>
              <w:t>22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A46BB3" w14:textId="6AB3F9A9" w:rsidR="00BE7BDE" w:rsidRDefault="00BE7BDE" w:rsidP="00A25356">
            <w:pPr>
              <w:spacing w:after="0" w:line="240" w:lineRule="auto"/>
              <w:jc w:val="center"/>
              <w:rPr>
                <w:sz w:val="20"/>
              </w:rPr>
            </w:pPr>
          </w:p>
          <w:p w14:paraId="1B60D9E8" w14:textId="77777777" w:rsidR="00BE7BDE" w:rsidRDefault="00BE7BDE" w:rsidP="00A25356">
            <w:pPr>
              <w:spacing w:after="0" w:line="240" w:lineRule="auto"/>
              <w:jc w:val="center"/>
              <w:rPr>
                <w:sz w:val="20"/>
              </w:rPr>
            </w:pPr>
          </w:p>
          <w:p w14:paraId="6D9469C0" w14:textId="77777777" w:rsidR="00BE7BDE" w:rsidRDefault="00BE7BDE" w:rsidP="00A25356">
            <w:pPr>
              <w:spacing w:after="0" w:line="240" w:lineRule="auto"/>
              <w:jc w:val="center"/>
              <w:rPr>
                <w:sz w:val="20"/>
              </w:rPr>
            </w:pPr>
          </w:p>
          <w:p w14:paraId="2E5A3241" w14:textId="4C679B30" w:rsidR="00880073" w:rsidRDefault="00331858" w:rsidP="00A25356">
            <w:pPr>
              <w:spacing w:after="0" w:line="240" w:lineRule="auto"/>
              <w:jc w:val="center"/>
              <w:rPr>
                <w:sz w:val="20"/>
              </w:rPr>
            </w:pPr>
            <w:r>
              <w:rPr>
                <w:sz w:val="20"/>
              </w:rPr>
              <w:t>59</w:t>
            </w:r>
          </w:p>
          <w:p w14:paraId="5546AEA5" w14:textId="77777777" w:rsidR="00880073" w:rsidRDefault="00880073" w:rsidP="00A25356">
            <w:pPr>
              <w:spacing w:after="0" w:line="240" w:lineRule="auto"/>
              <w:jc w:val="center"/>
              <w:rPr>
                <w:sz w:val="20"/>
              </w:rPr>
            </w:pPr>
          </w:p>
          <w:p w14:paraId="01B74266" w14:textId="6E7AFFF8" w:rsidR="00880073" w:rsidRDefault="00880073" w:rsidP="00A25356">
            <w:pPr>
              <w:spacing w:after="0" w:line="240" w:lineRule="auto"/>
              <w:jc w:val="center"/>
              <w:rPr>
                <w:sz w:val="20"/>
              </w:rPr>
            </w:pPr>
            <w:r>
              <w:rPr>
                <w:sz w:val="20"/>
              </w:rPr>
              <w:t>27</w:t>
            </w:r>
          </w:p>
          <w:p w14:paraId="2E5069CF" w14:textId="030557F6" w:rsidR="00BE7BDE" w:rsidRPr="00B66E9F" w:rsidRDefault="00BE7BDE" w:rsidP="00A25356">
            <w:pPr>
              <w:spacing w:after="0" w:line="240" w:lineRule="auto"/>
              <w:jc w:val="center"/>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DF7E4A4" w14:textId="77777777" w:rsidR="00BE7BDE" w:rsidRDefault="00BE7BDE" w:rsidP="00A25356">
            <w:pPr>
              <w:spacing w:after="0" w:line="240" w:lineRule="auto"/>
              <w:jc w:val="center"/>
              <w:rPr>
                <w:sz w:val="20"/>
              </w:rPr>
            </w:pPr>
          </w:p>
          <w:p w14:paraId="70C1CA89" w14:textId="77777777" w:rsidR="00BE7BDE" w:rsidRDefault="00BE7BDE" w:rsidP="00A25356">
            <w:pPr>
              <w:spacing w:after="0" w:line="240" w:lineRule="auto"/>
              <w:jc w:val="center"/>
              <w:rPr>
                <w:sz w:val="20"/>
              </w:rPr>
            </w:pPr>
          </w:p>
          <w:p w14:paraId="5583DAD6" w14:textId="77777777" w:rsidR="00BE7BDE" w:rsidRDefault="00BE7BDE" w:rsidP="00A25356">
            <w:pPr>
              <w:spacing w:after="0" w:line="240" w:lineRule="auto"/>
              <w:jc w:val="center"/>
              <w:rPr>
                <w:sz w:val="20"/>
              </w:rPr>
            </w:pPr>
          </w:p>
          <w:p w14:paraId="3E6F2154" w14:textId="2A344F83" w:rsidR="00BE7BDE" w:rsidRDefault="00BE7BDE" w:rsidP="00A25356">
            <w:pPr>
              <w:spacing w:after="0" w:line="240" w:lineRule="auto"/>
              <w:jc w:val="center"/>
              <w:rPr>
                <w:sz w:val="20"/>
              </w:rPr>
            </w:pPr>
            <w:r>
              <w:rPr>
                <w:sz w:val="20"/>
              </w:rPr>
              <w:t>1</w:t>
            </w:r>
            <w:r w:rsidR="000F6355">
              <w:rPr>
                <w:sz w:val="20"/>
              </w:rPr>
              <w:t>12</w:t>
            </w:r>
          </w:p>
          <w:p w14:paraId="485E6856" w14:textId="77777777" w:rsidR="00BE7BDE" w:rsidRDefault="00BE7BDE" w:rsidP="00A25356">
            <w:pPr>
              <w:spacing w:after="0" w:line="240" w:lineRule="auto"/>
              <w:jc w:val="center"/>
              <w:rPr>
                <w:sz w:val="20"/>
              </w:rPr>
            </w:pPr>
          </w:p>
          <w:p w14:paraId="68D57665" w14:textId="78B998D7" w:rsidR="00BE7BDE" w:rsidRPr="00B66E9F" w:rsidRDefault="000F6355" w:rsidP="00A25356">
            <w:pPr>
              <w:spacing w:after="0" w:line="240" w:lineRule="auto"/>
              <w:jc w:val="center"/>
              <w:rPr>
                <w:sz w:val="20"/>
              </w:rPr>
            </w:pPr>
            <w:r>
              <w:rPr>
                <w:sz w:val="20"/>
              </w:rPr>
              <w:t>106</w:t>
            </w:r>
          </w:p>
        </w:tc>
      </w:tr>
      <w:tr w:rsidR="00880073" w:rsidRPr="0006536D" w14:paraId="13BE5BC9" w14:textId="77777777" w:rsidTr="004C3CB2">
        <w:trPr>
          <w:trHeight w:val="440"/>
          <w:jc w:val="center"/>
        </w:trPr>
        <w:tc>
          <w:tcPr>
            <w:tcW w:w="3325" w:type="dxa"/>
            <w:vMerge/>
            <w:tcBorders>
              <w:left w:val="single" w:sz="4" w:space="0" w:color="auto"/>
              <w:bottom w:val="single" w:sz="4" w:space="0" w:color="auto"/>
              <w:right w:val="single" w:sz="4" w:space="0" w:color="auto"/>
            </w:tcBorders>
            <w:shd w:val="clear" w:color="auto" w:fill="FFFFFF" w:themeFill="background1"/>
          </w:tcPr>
          <w:p w14:paraId="0E7C78CC" w14:textId="13A6D147" w:rsidR="00880073" w:rsidRPr="00B66E9F" w:rsidRDefault="00880073" w:rsidP="00A25356">
            <w:pPr>
              <w:spacing w:after="0" w:line="240" w:lineRule="auto"/>
              <w:rPr>
                <w:rFonts w:eastAsia="Calibri"/>
                <w:b/>
                <w:sz w:val="20"/>
              </w:rPr>
            </w:pPr>
          </w:p>
        </w:tc>
        <w:tc>
          <w:tcPr>
            <w:tcW w:w="720" w:type="dxa"/>
            <w:vMerge/>
            <w:tcBorders>
              <w:left w:val="single" w:sz="4" w:space="0" w:color="auto"/>
              <w:bottom w:val="single" w:sz="4" w:space="0" w:color="auto"/>
              <w:right w:val="single" w:sz="4" w:space="0" w:color="auto"/>
            </w:tcBorders>
            <w:shd w:val="clear" w:color="auto" w:fill="FFFFFF" w:themeFill="background1"/>
          </w:tcPr>
          <w:p w14:paraId="5832D544" w14:textId="77777777" w:rsidR="00880073" w:rsidRPr="003D5BD8" w:rsidRDefault="00880073" w:rsidP="00A25356">
            <w:pPr>
              <w:spacing w:after="0" w:line="240" w:lineRule="auto"/>
              <w:rPr>
                <w:rFonts w:eastAsia="Calibri"/>
                <w:b/>
                <w:sz w:val="20"/>
                <w:highlight w:val="yellow"/>
              </w:rPr>
            </w:pPr>
          </w:p>
        </w:tc>
        <w:tc>
          <w:tcPr>
            <w:tcW w:w="10260" w:type="dxa"/>
            <w:gridSpan w:val="5"/>
            <w:tcBorders>
              <w:left w:val="single" w:sz="4" w:space="0" w:color="auto"/>
              <w:bottom w:val="single" w:sz="4" w:space="0" w:color="auto"/>
              <w:right w:val="single" w:sz="4" w:space="0" w:color="auto"/>
            </w:tcBorders>
            <w:shd w:val="clear" w:color="auto" w:fill="D9D9D9" w:themeFill="background1" w:themeFillShade="D9"/>
          </w:tcPr>
          <w:p w14:paraId="0A330BC7" w14:textId="77777777" w:rsidR="00880073" w:rsidRPr="00470777" w:rsidRDefault="00880073" w:rsidP="00A25356">
            <w:pPr>
              <w:spacing w:after="0" w:line="240" w:lineRule="auto"/>
              <w:rPr>
                <w:rFonts w:ascii="Calibri" w:eastAsia="Calibri" w:hAnsi="Calibri" w:cs="Times New Roman"/>
                <w:sz w:val="18"/>
                <w:szCs w:val="18"/>
                <w:lang w:eastAsia="en-US"/>
              </w:rPr>
            </w:pPr>
            <w:r w:rsidRPr="00470777">
              <w:rPr>
                <w:rFonts w:ascii="Calibri" w:eastAsia="Calibri" w:hAnsi="Calibri" w:cs="Times New Roman"/>
                <w:b/>
                <w:sz w:val="18"/>
                <w:szCs w:val="18"/>
                <w:lang w:eastAsia="en-US"/>
              </w:rPr>
              <w:t xml:space="preserve">Indicator 7.6.2 Note: </w:t>
            </w:r>
            <w:r w:rsidRPr="00470777">
              <w:rPr>
                <w:rFonts w:ascii="Calibri" w:eastAsia="Calibri" w:hAnsi="Calibri" w:cs="Times New Roman"/>
                <w:sz w:val="18"/>
                <w:szCs w:val="18"/>
                <w:lang w:eastAsia="en-US"/>
              </w:rPr>
              <w:t>Tracks the number of additional pilot / demonstration projects initiated or scaled up by national partners with support from UNDP (on demand from programme countries), from January 2014 onwards.</w:t>
            </w:r>
          </w:p>
          <w:p w14:paraId="312C8385" w14:textId="51892909" w:rsidR="00880073" w:rsidRPr="00470777" w:rsidRDefault="00880073" w:rsidP="000F6355">
            <w:pPr>
              <w:spacing w:after="0" w:line="240" w:lineRule="auto"/>
              <w:rPr>
                <w:rFonts w:ascii="Calibri" w:eastAsia="Calibri" w:hAnsi="Calibri" w:cs="Times New Roman"/>
                <w:sz w:val="18"/>
                <w:szCs w:val="18"/>
                <w:lang w:eastAsia="en-US"/>
              </w:rPr>
            </w:pPr>
            <w:r w:rsidRPr="00470777">
              <w:rPr>
                <w:rFonts w:eastAsia="Calibri"/>
                <w:b/>
                <w:sz w:val="18"/>
                <w:szCs w:val="18"/>
              </w:rPr>
              <w:t xml:space="preserve">2014 Reporting Note: </w:t>
            </w:r>
            <w:r w:rsidRPr="00470777">
              <w:rPr>
                <w:rFonts w:eastAsia="Calibri"/>
                <w:sz w:val="18"/>
                <w:szCs w:val="18"/>
              </w:rPr>
              <w:t xml:space="preserve">2014 </w:t>
            </w:r>
            <w:r w:rsidR="000F6355" w:rsidRPr="00470777">
              <w:rPr>
                <w:rFonts w:eastAsia="Calibri"/>
                <w:sz w:val="18"/>
                <w:szCs w:val="18"/>
              </w:rPr>
              <w:t>m</w:t>
            </w:r>
            <w:r w:rsidRPr="00470777">
              <w:rPr>
                <w:rFonts w:eastAsia="Calibri"/>
                <w:sz w:val="18"/>
                <w:szCs w:val="18"/>
              </w:rPr>
              <w:t xml:space="preserve">ilestones </w:t>
            </w:r>
            <w:r w:rsidR="000F6355" w:rsidRPr="00470777">
              <w:rPr>
                <w:rFonts w:eastAsia="Calibri"/>
                <w:sz w:val="18"/>
                <w:szCs w:val="18"/>
              </w:rPr>
              <w:t xml:space="preserve">and 2017 targets </w:t>
            </w:r>
            <w:r w:rsidRPr="00470777">
              <w:rPr>
                <w:rFonts w:eastAsia="Calibri"/>
                <w:sz w:val="18"/>
                <w:szCs w:val="18"/>
              </w:rPr>
              <w:t>updated to reflect more complete reporting from country offices. For reference, previous 2014 milestones were: a) 35, b) 9</w:t>
            </w:r>
            <w:r w:rsidR="000F6355" w:rsidRPr="00470777">
              <w:rPr>
                <w:rFonts w:eastAsia="Calibri"/>
                <w:sz w:val="18"/>
                <w:szCs w:val="18"/>
              </w:rPr>
              <w:t>; previous targets were: a) 100, b) 93</w:t>
            </w:r>
            <w:r w:rsidR="0035752D" w:rsidRPr="00470777">
              <w:rPr>
                <w:rFonts w:eastAsia="Calibri"/>
                <w:sz w:val="18"/>
                <w:szCs w:val="18"/>
              </w:rPr>
              <w:t xml:space="preserve">. </w:t>
            </w:r>
          </w:p>
        </w:tc>
      </w:tr>
      <w:tr w:rsidR="00BE7BDE" w:rsidRPr="0006536D" w14:paraId="62A4414C" w14:textId="77777777" w:rsidTr="00C21D86">
        <w:trPr>
          <w:trHeight w:val="287"/>
          <w:jc w:val="center"/>
        </w:trPr>
        <w:tc>
          <w:tcPr>
            <w:tcW w:w="3325" w:type="dxa"/>
            <w:vMerge w:val="restart"/>
            <w:tcBorders>
              <w:top w:val="single" w:sz="4" w:space="0" w:color="auto"/>
              <w:left w:val="single" w:sz="4" w:space="0" w:color="auto"/>
              <w:right w:val="single" w:sz="4" w:space="0" w:color="auto"/>
            </w:tcBorders>
            <w:shd w:val="clear" w:color="auto" w:fill="FFFFFF" w:themeFill="background1"/>
            <w:hideMark/>
          </w:tcPr>
          <w:p w14:paraId="47052E33" w14:textId="7231051B" w:rsidR="00BE7BDE" w:rsidRPr="007B4BCC" w:rsidRDefault="00BE7BDE" w:rsidP="00A25356">
            <w:pPr>
              <w:spacing w:after="0" w:line="240" w:lineRule="auto"/>
              <w:rPr>
                <w:rFonts w:eastAsia="Calibri"/>
                <w:sz w:val="20"/>
              </w:rPr>
            </w:pPr>
            <w:r w:rsidRPr="002156E0">
              <w:rPr>
                <w:rFonts w:eastAsia="Calibri"/>
                <w:b/>
                <w:sz w:val="20"/>
              </w:rPr>
              <w:t xml:space="preserve">Output 7.7. </w:t>
            </w:r>
            <w:r w:rsidRPr="002156E0">
              <w:rPr>
                <w:rFonts w:eastAsia="Calibri"/>
                <w:sz w:val="20"/>
              </w:rPr>
              <w:t>Mechanisms in place to generate and share knowle</w:t>
            </w:r>
            <w:r w:rsidR="00613FB0" w:rsidRPr="002156E0">
              <w:rPr>
                <w:rFonts w:eastAsia="Calibri"/>
                <w:sz w:val="20"/>
              </w:rPr>
              <w:t>dge about development solutions</w:t>
            </w:r>
          </w:p>
          <w:p w14:paraId="319AF6B8" w14:textId="77777777" w:rsidR="006C2CD4" w:rsidRDefault="006C2CD4" w:rsidP="00A25356">
            <w:pPr>
              <w:spacing w:after="0" w:line="240" w:lineRule="auto"/>
              <w:rPr>
                <w:rFonts w:ascii="Calibri" w:eastAsia="Calibri" w:hAnsi="Calibri"/>
                <w:b/>
                <w:color w:val="000000"/>
                <w:sz w:val="18"/>
                <w:szCs w:val="18"/>
              </w:rPr>
            </w:pPr>
          </w:p>
          <w:p w14:paraId="2CCA3E42" w14:textId="781EEF57" w:rsidR="006C2CD4" w:rsidRPr="008C4519" w:rsidRDefault="00D1260F" w:rsidP="00D1260F">
            <w:pPr>
              <w:spacing w:after="0" w:line="240" w:lineRule="auto"/>
              <w:rPr>
                <w:rFonts w:eastAsia="Calibri"/>
                <w:color w:val="000000"/>
                <w:sz w:val="20"/>
              </w:rPr>
            </w:pPr>
            <w:r>
              <w:rPr>
                <w:rFonts w:ascii="Calibri" w:eastAsia="Calibri" w:hAnsi="Calibri"/>
                <w:b/>
                <w:i/>
                <w:color w:val="000000"/>
                <w:sz w:val="18"/>
                <w:szCs w:val="18"/>
              </w:rPr>
              <w:t>Contributing units:</w:t>
            </w:r>
            <w:r w:rsidR="007B4BCC">
              <w:rPr>
                <w:rFonts w:ascii="Calibri" w:eastAsia="Calibri" w:hAnsi="Calibri"/>
                <w:b/>
                <w:color w:val="000000"/>
                <w:sz w:val="18"/>
                <w:szCs w:val="18"/>
              </w:rPr>
              <w:t xml:space="preserve"> </w:t>
            </w:r>
            <w:r>
              <w:rPr>
                <w:rFonts w:ascii="Calibri" w:eastAsia="Calibri" w:hAnsi="Calibri"/>
                <w:b/>
                <w:color w:val="000000"/>
                <w:sz w:val="18"/>
                <w:szCs w:val="18"/>
              </w:rPr>
              <w:t xml:space="preserve">BPPS and HDRO </w:t>
            </w:r>
            <w:r w:rsidR="006C2CD4">
              <w:rPr>
                <w:rFonts w:ascii="Calibri" w:eastAsia="Calibri" w:hAnsi="Calibri"/>
                <w:b/>
                <w:color w:val="000000"/>
                <w:sz w:val="18"/>
                <w:szCs w:val="18"/>
              </w:rPr>
              <w:t>(February 2015</w:t>
            </w:r>
            <w:r w:rsidR="006C2CD4" w:rsidRPr="00B359E7">
              <w:rPr>
                <w:rFonts w:ascii="Calibri" w:eastAsia="Calibri" w:hAnsi="Calibri"/>
                <w:b/>
                <w:color w:val="000000"/>
                <w:sz w:val="18"/>
                <w:szCs w:val="18"/>
              </w:rPr>
              <w:t>)</w:t>
            </w:r>
          </w:p>
        </w:tc>
        <w:tc>
          <w:tcPr>
            <w:tcW w:w="720" w:type="dxa"/>
            <w:vMerge w:val="restart"/>
            <w:tcBorders>
              <w:top w:val="single" w:sz="4" w:space="0" w:color="auto"/>
              <w:left w:val="single" w:sz="4" w:space="0" w:color="auto"/>
              <w:right w:val="single" w:sz="4" w:space="0" w:color="auto"/>
            </w:tcBorders>
            <w:shd w:val="clear" w:color="auto" w:fill="FFFFFF" w:themeFill="background1"/>
          </w:tcPr>
          <w:p w14:paraId="65C33ABF" w14:textId="77777777" w:rsidR="00BE7BDE" w:rsidRPr="00B66E9F" w:rsidRDefault="00BE7BDE" w:rsidP="00A25356">
            <w:pPr>
              <w:spacing w:after="0" w:line="240" w:lineRule="auto"/>
              <w:rPr>
                <w:rFonts w:eastAsia="Calibri"/>
                <w:b/>
                <w:sz w:val="20"/>
              </w:rPr>
            </w:pPr>
            <w:r w:rsidRPr="00A75B35">
              <w:rPr>
                <w:rFonts w:eastAsia="Calibri"/>
                <w:b/>
                <w:sz w:val="20"/>
              </w:rPr>
              <w:t>7.7.1</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14:paraId="0DB1AA40" w14:textId="212BBCE0" w:rsidR="00BE7BDE" w:rsidRDefault="00E602CA" w:rsidP="00A25356">
            <w:pPr>
              <w:spacing w:after="0" w:line="240" w:lineRule="auto"/>
              <w:rPr>
                <w:rFonts w:eastAsia="Calibri"/>
                <w:b/>
                <w:sz w:val="20"/>
              </w:rPr>
            </w:pPr>
            <w:r>
              <w:rPr>
                <w:rFonts w:eastAsia="Calibri"/>
                <w:sz w:val="20"/>
              </w:rPr>
              <w:t>Access to</w:t>
            </w:r>
            <w:r w:rsidR="00BE7BDE" w:rsidRPr="00B66E9F">
              <w:rPr>
                <w:rFonts w:eastAsia="Calibri"/>
                <w:sz w:val="20"/>
              </w:rPr>
              <w:t xml:space="preserve"> </w:t>
            </w:r>
            <w:r w:rsidR="00BE7BDE" w:rsidRPr="00B66E9F">
              <w:rPr>
                <w:rFonts w:eastAsia="Calibri"/>
                <w:b/>
                <w:sz w:val="20"/>
              </w:rPr>
              <w:t>Human Development Reports</w:t>
            </w:r>
            <w:r>
              <w:rPr>
                <w:rFonts w:eastAsia="Calibri"/>
                <w:b/>
                <w:sz w:val="20"/>
              </w:rPr>
              <w:t>, to</w:t>
            </w:r>
            <w:r w:rsidR="002C1ABF">
              <w:rPr>
                <w:rFonts w:eastAsia="Calibri"/>
                <w:b/>
                <w:sz w:val="20"/>
              </w:rPr>
              <w:t xml:space="preserve"> </w:t>
            </w:r>
            <w:r w:rsidR="00BE7BDE" w:rsidRPr="00B66E9F">
              <w:rPr>
                <w:rFonts w:eastAsia="Calibri"/>
                <w:b/>
                <w:sz w:val="20"/>
              </w:rPr>
              <w:t>contribut</w:t>
            </w:r>
            <w:r>
              <w:rPr>
                <w:rFonts w:eastAsia="Calibri"/>
                <w:b/>
                <w:sz w:val="20"/>
              </w:rPr>
              <w:t>e</w:t>
            </w:r>
            <w:r w:rsidR="00BE7BDE" w:rsidRPr="00B66E9F">
              <w:rPr>
                <w:rFonts w:eastAsia="Calibri"/>
                <w:b/>
                <w:sz w:val="20"/>
              </w:rPr>
              <w:t xml:space="preserve"> to development debate and action</w:t>
            </w:r>
          </w:p>
          <w:p w14:paraId="73DD0C33" w14:textId="529772FD" w:rsidR="00BE7BDE" w:rsidRPr="00B23DD9" w:rsidRDefault="00BE7BDE" w:rsidP="006F161D">
            <w:pPr>
              <w:pStyle w:val="ListParagraph"/>
              <w:numPr>
                <w:ilvl w:val="0"/>
                <w:numId w:val="50"/>
              </w:numPr>
              <w:rPr>
                <w:rFonts w:eastAsia="Calibri"/>
                <w:sz w:val="20"/>
              </w:rPr>
            </w:pPr>
            <w:r>
              <w:rPr>
                <w:rFonts w:eastAsia="Calibri"/>
                <w:sz w:val="20"/>
              </w:rPr>
              <w:t xml:space="preserve">Number of </w:t>
            </w:r>
            <w:r w:rsidRPr="00B23DD9">
              <w:rPr>
                <w:rFonts w:eastAsia="Calibri"/>
                <w:sz w:val="20"/>
              </w:rPr>
              <w:t xml:space="preserve">overall website page </w:t>
            </w:r>
            <w:r w:rsidRPr="00803DD1">
              <w:rPr>
                <w:rFonts w:eastAsia="Calibri"/>
                <w:sz w:val="20"/>
              </w:rPr>
              <w:t>vi</w:t>
            </w:r>
            <w:r w:rsidR="00CB5F4C" w:rsidRPr="00803DD1">
              <w:rPr>
                <w:rFonts w:eastAsia="Calibri"/>
                <w:sz w:val="20"/>
              </w:rPr>
              <w:t>sits</w:t>
            </w:r>
          </w:p>
          <w:p w14:paraId="4D9B46EF" w14:textId="12378B22" w:rsidR="002156E0" w:rsidRPr="008D082C" w:rsidRDefault="00BE7BDE" w:rsidP="006F161D">
            <w:pPr>
              <w:pStyle w:val="ListParagraph"/>
              <w:numPr>
                <w:ilvl w:val="0"/>
                <w:numId w:val="50"/>
              </w:numPr>
              <w:rPr>
                <w:rFonts w:eastAsia="Calibri"/>
                <w:sz w:val="20"/>
              </w:rPr>
            </w:pPr>
            <w:r w:rsidRPr="00B23DD9">
              <w:rPr>
                <w:rFonts w:eastAsia="Calibri"/>
                <w:sz w:val="20"/>
              </w:rPr>
              <w:t xml:space="preserve">Number of HDR </w:t>
            </w:r>
            <w:r w:rsidRPr="005300BF">
              <w:rPr>
                <w:rFonts w:eastAsia="Calibri"/>
                <w:sz w:val="20"/>
              </w:rPr>
              <w:t xml:space="preserve">report landing page </w:t>
            </w:r>
            <w:r w:rsidRPr="00B23DD9">
              <w:rPr>
                <w:rFonts w:eastAsia="Calibri"/>
                <w:sz w:val="20"/>
              </w:rPr>
              <w:t>views</w:t>
            </w:r>
          </w:p>
          <w:p w14:paraId="1DA1F7C1" w14:textId="77777777" w:rsidR="00BE7BDE" w:rsidRPr="00B23DD9" w:rsidRDefault="00BE7BDE" w:rsidP="006F161D">
            <w:pPr>
              <w:pStyle w:val="ListParagraph"/>
              <w:numPr>
                <w:ilvl w:val="0"/>
                <w:numId w:val="50"/>
              </w:numPr>
              <w:rPr>
                <w:rFonts w:eastAsia="Calibri"/>
                <w:sz w:val="20"/>
              </w:rPr>
            </w:pPr>
            <w:r w:rsidRPr="00B23DD9">
              <w:rPr>
                <w:rFonts w:eastAsia="Calibri"/>
                <w:sz w:val="20"/>
              </w:rPr>
              <w:t>Number of Facebook followers</w:t>
            </w:r>
          </w:p>
          <w:p w14:paraId="69AA79AF" w14:textId="77777777" w:rsidR="00BE7BDE" w:rsidRPr="00291BC2" w:rsidRDefault="00BE7BDE" w:rsidP="006F161D">
            <w:pPr>
              <w:pStyle w:val="ListParagraph"/>
              <w:numPr>
                <w:ilvl w:val="0"/>
                <w:numId w:val="50"/>
              </w:numPr>
              <w:rPr>
                <w:rFonts w:eastAsia="Calibri"/>
                <w:sz w:val="20"/>
              </w:rPr>
            </w:pPr>
            <w:r w:rsidRPr="00B23DD9">
              <w:rPr>
                <w:rFonts w:eastAsia="Calibri"/>
                <w:sz w:val="20"/>
              </w:rPr>
              <w:t xml:space="preserve">Number of Twitter </w:t>
            </w:r>
            <w:r>
              <w:rPr>
                <w:rFonts w:eastAsia="Calibri"/>
                <w:sz w:val="20"/>
              </w:rPr>
              <w:t>followers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C8BED7" w14:textId="77777777" w:rsidR="00BB1BC0" w:rsidRDefault="00BB1BC0" w:rsidP="00A25356">
            <w:pPr>
              <w:spacing w:after="0" w:line="240" w:lineRule="auto"/>
              <w:jc w:val="right"/>
              <w:rPr>
                <w:sz w:val="20"/>
              </w:rPr>
            </w:pPr>
          </w:p>
          <w:p w14:paraId="404E1F70" w14:textId="77777777" w:rsidR="00BB1BC0" w:rsidRDefault="00BB1BC0" w:rsidP="00A25356">
            <w:pPr>
              <w:spacing w:after="0" w:line="240" w:lineRule="auto"/>
              <w:jc w:val="right"/>
              <w:rPr>
                <w:sz w:val="20"/>
              </w:rPr>
            </w:pPr>
          </w:p>
          <w:p w14:paraId="4C0B25DC" w14:textId="77777777" w:rsidR="00BE7BDE" w:rsidRPr="00C42A08" w:rsidRDefault="00BE7BDE" w:rsidP="00A25356">
            <w:pPr>
              <w:spacing w:after="0" w:line="240" w:lineRule="auto"/>
              <w:jc w:val="right"/>
              <w:rPr>
                <w:sz w:val="20"/>
              </w:rPr>
            </w:pPr>
            <w:r w:rsidRPr="00C42A08">
              <w:rPr>
                <w:sz w:val="20"/>
              </w:rPr>
              <w:t>4,604,821</w:t>
            </w:r>
          </w:p>
          <w:p w14:paraId="6FCC7C04" w14:textId="2A14E2BE" w:rsidR="005300BF" w:rsidRPr="008D082C" w:rsidRDefault="0062766A" w:rsidP="008D082C">
            <w:pPr>
              <w:spacing w:after="0" w:line="240" w:lineRule="auto"/>
              <w:jc w:val="right"/>
              <w:rPr>
                <w:sz w:val="18"/>
              </w:rPr>
            </w:pPr>
            <w:r w:rsidRPr="0062766A">
              <w:rPr>
                <w:sz w:val="20"/>
              </w:rPr>
              <w:t>924,067</w:t>
            </w:r>
          </w:p>
          <w:p w14:paraId="52E2F921" w14:textId="77777777" w:rsidR="00BE7BDE" w:rsidRPr="00C42A08" w:rsidRDefault="00BE7BDE" w:rsidP="00A25356">
            <w:pPr>
              <w:spacing w:after="0" w:line="240" w:lineRule="auto"/>
              <w:jc w:val="right"/>
              <w:rPr>
                <w:sz w:val="20"/>
              </w:rPr>
            </w:pPr>
            <w:r w:rsidRPr="00C42A08">
              <w:rPr>
                <w:sz w:val="20"/>
              </w:rPr>
              <w:t>44,080</w:t>
            </w:r>
          </w:p>
          <w:p w14:paraId="687C555B" w14:textId="77777777" w:rsidR="00BE7BDE" w:rsidRPr="00B66E9F" w:rsidRDefault="00BE7BDE" w:rsidP="00A25356">
            <w:pPr>
              <w:spacing w:after="0" w:line="240" w:lineRule="auto"/>
              <w:jc w:val="right"/>
              <w:rPr>
                <w:sz w:val="20"/>
              </w:rPr>
            </w:pPr>
            <w:r w:rsidRPr="00C42A08">
              <w:rPr>
                <w:sz w:val="20"/>
              </w:rPr>
              <w:t>729</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18E3A8" w14:textId="77777777" w:rsidR="00BB1BC0" w:rsidRDefault="00BB1BC0" w:rsidP="00A25356">
            <w:pPr>
              <w:spacing w:after="0" w:line="240" w:lineRule="auto"/>
              <w:jc w:val="right"/>
              <w:rPr>
                <w:sz w:val="20"/>
              </w:rPr>
            </w:pPr>
          </w:p>
          <w:p w14:paraId="04E37342" w14:textId="77777777" w:rsidR="00BE7BDE" w:rsidRDefault="00BE7BDE" w:rsidP="00A25356">
            <w:pPr>
              <w:spacing w:after="0" w:line="240" w:lineRule="auto"/>
              <w:jc w:val="right"/>
              <w:rPr>
                <w:sz w:val="20"/>
              </w:rPr>
            </w:pPr>
            <w:r>
              <w:rPr>
                <w:sz w:val="20"/>
              </w:rPr>
              <w:t>4,000,000</w:t>
            </w:r>
          </w:p>
          <w:p w14:paraId="5A685688" w14:textId="5F03A66F" w:rsidR="005300BF" w:rsidRPr="00803DD1" w:rsidRDefault="008D082C" w:rsidP="005300BF">
            <w:pPr>
              <w:spacing w:after="0" w:line="240" w:lineRule="auto"/>
              <w:jc w:val="right"/>
              <w:rPr>
                <w:sz w:val="18"/>
              </w:rPr>
            </w:pPr>
            <w:r w:rsidRPr="00803DD1">
              <w:rPr>
                <w:sz w:val="20"/>
              </w:rPr>
              <w:t>940,000</w:t>
            </w:r>
          </w:p>
          <w:p w14:paraId="59A9F74C" w14:textId="77777777" w:rsidR="00BE7BDE" w:rsidRDefault="00BE7BDE" w:rsidP="00A25356">
            <w:pPr>
              <w:spacing w:after="0" w:line="240" w:lineRule="auto"/>
              <w:jc w:val="right"/>
              <w:rPr>
                <w:sz w:val="20"/>
              </w:rPr>
            </w:pPr>
            <w:r>
              <w:rPr>
                <w:sz w:val="20"/>
              </w:rPr>
              <w:t>200,000</w:t>
            </w:r>
          </w:p>
          <w:p w14:paraId="68810AE1" w14:textId="77777777" w:rsidR="00BE7BDE" w:rsidRPr="00B66E9F" w:rsidRDefault="00BE7BDE" w:rsidP="00A25356">
            <w:pPr>
              <w:spacing w:after="0" w:line="240" w:lineRule="auto"/>
              <w:jc w:val="right"/>
              <w:rPr>
                <w:sz w:val="20"/>
              </w:rPr>
            </w:pPr>
            <w:r>
              <w:rPr>
                <w:sz w:val="20"/>
              </w:rPr>
              <w:t>1,600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AE179A" w14:textId="77777777" w:rsidR="00BB1BC0" w:rsidRDefault="00BB1BC0" w:rsidP="00E764BE">
            <w:pPr>
              <w:spacing w:after="0" w:line="240" w:lineRule="auto"/>
              <w:jc w:val="right"/>
              <w:rPr>
                <w:sz w:val="20"/>
              </w:rPr>
            </w:pPr>
          </w:p>
          <w:p w14:paraId="49CC5A2B" w14:textId="77777777" w:rsidR="00BB1BC0" w:rsidRDefault="00BB1BC0" w:rsidP="00E764BE">
            <w:pPr>
              <w:spacing w:after="0" w:line="240" w:lineRule="auto"/>
              <w:jc w:val="right"/>
              <w:rPr>
                <w:sz w:val="20"/>
              </w:rPr>
            </w:pPr>
          </w:p>
          <w:p w14:paraId="398B45A3" w14:textId="1490B840" w:rsidR="00BE7BDE" w:rsidRDefault="00CB5F4C" w:rsidP="00E764BE">
            <w:pPr>
              <w:spacing w:after="0" w:line="240" w:lineRule="auto"/>
              <w:jc w:val="right"/>
              <w:rPr>
                <w:sz w:val="20"/>
              </w:rPr>
            </w:pPr>
            <w:r>
              <w:rPr>
                <w:sz w:val="20"/>
              </w:rPr>
              <w:t>3,824,209</w:t>
            </w:r>
          </w:p>
          <w:p w14:paraId="22669D87" w14:textId="7E4B5482" w:rsidR="002156E0" w:rsidRDefault="0062766A" w:rsidP="008D082C">
            <w:pPr>
              <w:spacing w:after="0" w:line="240" w:lineRule="auto"/>
              <w:jc w:val="right"/>
              <w:rPr>
                <w:sz w:val="20"/>
              </w:rPr>
            </w:pPr>
            <w:r w:rsidRPr="0062766A">
              <w:rPr>
                <w:sz w:val="20"/>
              </w:rPr>
              <w:t>910,833</w:t>
            </w:r>
          </w:p>
          <w:p w14:paraId="18F4ADB3" w14:textId="26C157B1" w:rsidR="002156E0" w:rsidRPr="00B66E9F" w:rsidRDefault="002156E0" w:rsidP="002156E0">
            <w:pPr>
              <w:spacing w:after="0" w:line="240" w:lineRule="auto"/>
              <w:jc w:val="right"/>
              <w:rPr>
                <w:sz w:val="20"/>
              </w:rPr>
            </w:pPr>
            <w:r>
              <w:rPr>
                <w:sz w:val="20"/>
              </w:rPr>
              <w:t>187,350</w:t>
            </w:r>
          </w:p>
          <w:p w14:paraId="44045E5C" w14:textId="624DDB12" w:rsidR="00BE7BDE" w:rsidRPr="00B66E9F" w:rsidRDefault="002156E0" w:rsidP="00A25356">
            <w:pPr>
              <w:spacing w:after="0" w:line="240" w:lineRule="auto"/>
              <w:jc w:val="right"/>
              <w:rPr>
                <w:sz w:val="20"/>
              </w:rPr>
            </w:pPr>
            <w:r>
              <w:rPr>
                <w:sz w:val="20"/>
              </w:rPr>
              <w:t>1,570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ABFAC3" w14:textId="77777777" w:rsidR="00BB1BC0" w:rsidRDefault="00BB1BC0" w:rsidP="00A25356">
            <w:pPr>
              <w:spacing w:after="0" w:line="240" w:lineRule="auto"/>
              <w:jc w:val="right"/>
              <w:rPr>
                <w:sz w:val="20"/>
              </w:rPr>
            </w:pPr>
          </w:p>
          <w:p w14:paraId="43BFEE32" w14:textId="77777777" w:rsidR="00BB1BC0" w:rsidRDefault="00BB1BC0" w:rsidP="00A25356">
            <w:pPr>
              <w:spacing w:after="0" w:line="240" w:lineRule="auto"/>
              <w:jc w:val="right"/>
              <w:rPr>
                <w:sz w:val="20"/>
              </w:rPr>
            </w:pPr>
          </w:p>
          <w:p w14:paraId="76A4B687" w14:textId="77777777" w:rsidR="00BE7BDE" w:rsidRDefault="00BE7BDE" w:rsidP="00A25356">
            <w:pPr>
              <w:spacing w:after="0" w:line="240" w:lineRule="auto"/>
              <w:jc w:val="right"/>
              <w:rPr>
                <w:sz w:val="20"/>
              </w:rPr>
            </w:pPr>
            <w:r>
              <w:rPr>
                <w:sz w:val="20"/>
              </w:rPr>
              <w:t>5,000,000</w:t>
            </w:r>
          </w:p>
          <w:p w14:paraId="5FDA1D1A" w14:textId="38EAC101" w:rsidR="002156E0" w:rsidRDefault="0062766A" w:rsidP="008D082C">
            <w:pPr>
              <w:spacing w:after="0" w:line="240" w:lineRule="auto"/>
              <w:jc w:val="right"/>
              <w:rPr>
                <w:sz w:val="20"/>
              </w:rPr>
            </w:pPr>
            <w:r>
              <w:rPr>
                <w:sz w:val="20"/>
              </w:rPr>
              <w:t>1,0</w:t>
            </w:r>
            <w:r w:rsidR="008D082C">
              <w:rPr>
                <w:sz w:val="20"/>
              </w:rPr>
              <w:t>00,000</w:t>
            </w:r>
          </w:p>
          <w:p w14:paraId="6D06A0D0" w14:textId="77777777" w:rsidR="00BE7BDE" w:rsidRDefault="00BE7BDE" w:rsidP="00A25356">
            <w:pPr>
              <w:spacing w:after="0" w:line="240" w:lineRule="auto"/>
              <w:jc w:val="right"/>
              <w:rPr>
                <w:sz w:val="20"/>
              </w:rPr>
            </w:pPr>
            <w:r>
              <w:rPr>
                <w:sz w:val="20"/>
              </w:rPr>
              <w:t>300,000</w:t>
            </w:r>
          </w:p>
          <w:p w14:paraId="32542F38" w14:textId="77777777" w:rsidR="00BE7BDE" w:rsidRPr="00B66E9F" w:rsidRDefault="00BE7BDE" w:rsidP="00A25356">
            <w:pPr>
              <w:spacing w:after="0" w:line="240" w:lineRule="auto"/>
              <w:jc w:val="right"/>
              <w:rPr>
                <w:sz w:val="20"/>
              </w:rPr>
            </w:pPr>
            <w:r>
              <w:rPr>
                <w:sz w:val="20"/>
              </w:rPr>
              <w:t>3,200</w:t>
            </w:r>
          </w:p>
        </w:tc>
      </w:tr>
      <w:tr w:rsidR="00CB5F4C" w:rsidRPr="0006536D" w14:paraId="6D5224D7" w14:textId="77777777" w:rsidTr="00CB5F4C">
        <w:trPr>
          <w:trHeight w:val="287"/>
          <w:jc w:val="center"/>
        </w:trPr>
        <w:tc>
          <w:tcPr>
            <w:tcW w:w="3325" w:type="dxa"/>
            <w:vMerge/>
            <w:tcBorders>
              <w:left w:val="single" w:sz="4" w:space="0" w:color="auto"/>
              <w:right w:val="single" w:sz="4" w:space="0" w:color="auto"/>
            </w:tcBorders>
            <w:shd w:val="clear" w:color="auto" w:fill="FFFFFF" w:themeFill="background1"/>
          </w:tcPr>
          <w:p w14:paraId="5269E52A" w14:textId="7DB869D7" w:rsidR="00CB5F4C" w:rsidRPr="00B66E9F" w:rsidRDefault="00CB5F4C" w:rsidP="00A25356">
            <w:pPr>
              <w:spacing w:after="0" w:line="240" w:lineRule="auto"/>
              <w:rPr>
                <w:rFonts w:eastAsia="Calibri"/>
                <w:b/>
                <w:sz w:val="20"/>
              </w:rPr>
            </w:pPr>
          </w:p>
        </w:tc>
        <w:tc>
          <w:tcPr>
            <w:tcW w:w="720" w:type="dxa"/>
            <w:vMerge/>
            <w:tcBorders>
              <w:left w:val="single" w:sz="4" w:space="0" w:color="auto"/>
              <w:bottom w:val="single" w:sz="4" w:space="0" w:color="auto"/>
              <w:right w:val="single" w:sz="4" w:space="0" w:color="auto"/>
            </w:tcBorders>
            <w:shd w:val="clear" w:color="auto" w:fill="FFFFFF" w:themeFill="background1"/>
          </w:tcPr>
          <w:p w14:paraId="43894CF5" w14:textId="77777777" w:rsidR="00CB5F4C" w:rsidRPr="00B66E9F" w:rsidRDefault="00CB5F4C" w:rsidP="00A25356">
            <w:pPr>
              <w:spacing w:after="0" w:line="240" w:lineRule="auto"/>
              <w:rPr>
                <w:rFonts w:eastAsia="Calibri"/>
                <w:b/>
                <w:sz w:val="20"/>
              </w:rPr>
            </w:pPr>
          </w:p>
        </w:tc>
        <w:tc>
          <w:tcPr>
            <w:tcW w:w="10260" w:type="dxa"/>
            <w:gridSpan w:val="5"/>
            <w:tcBorders>
              <w:left w:val="single" w:sz="4" w:space="0" w:color="auto"/>
              <w:bottom w:val="single" w:sz="4" w:space="0" w:color="auto"/>
              <w:right w:val="single" w:sz="4" w:space="0" w:color="auto"/>
            </w:tcBorders>
            <w:shd w:val="clear" w:color="auto" w:fill="D9D9D9" w:themeFill="background1" w:themeFillShade="D9"/>
          </w:tcPr>
          <w:p w14:paraId="08F48315" w14:textId="2BB6D533" w:rsidR="00CB5F4C" w:rsidRPr="00470777" w:rsidRDefault="00CB5F4C" w:rsidP="00A25356">
            <w:pPr>
              <w:spacing w:after="0" w:line="240" w:lineRule="auto"/>
              <w:rPr>
                <w:sz w:val="18"/>
              </w:rPr>
            </w:pPr>
            <w:r w:rsidRPr="00470777">
              <w:rPr>
                <w:rFonts w:ascii="Calibri" w:eastAsia="Calibri" w:hAnsi="Calibri" w:cs="Times New Roman"/>
                <w:b/>
                <w:sz w:val="18"/>
                <w:szCs w:val="18"/>
                <w:lang w:eastAsia="en-US"/>
              </w:rPr>
              <w:t>Indicator 7.7.1 Note:</w:t>
            </w:r>
            <w:r w:rsidRPr="00470777">
              <w:rPr>
                <w:rFonts w:ascii="Calibri" w:eastAsia="Calibri" w:hAnsi="Calibri" w:cs="Times New Roman"/>
                <w:sz w:val="18"/>
                <w:szCs w:val="18"/>
                <w:lang w:eastAsia="en-US"/>
              </w:rPr>
              <w:t xml:space="preserve"> Data provided by UNDP’s Human Development Report Office (HDRO). Tracks the number of website page vi</w:t>
            </w:r>
            <w:r w:rsidR="00EF3A8A" w:rsidRPr="00470777">
              <w:rPr>
                <w:rFonts w:ascii="Calibri" w:eastAsia="Calibri" w:hAnsi="Calibri" w:cs="Times New Roman"/>
                <w:sz w:val="18"/>
                <w:szCs w:val="18"/>
                <w:lang w:eastAsia="en-US"/>
              </w:rPr>
              <w:t>sits</w:t>
            </w:r>
            <w:r w:rsidRPr="00470777">
              <w:rPr>
                <w:rFonts w:ascii="Calibri" w:eastAsia="Calibri" w:hAnsi="Calibri" w:cs="Times New Roman"/>
                <w:sz w:val="18"/>
                <w:szCs w:val="18"/>
                <w:lang w:eastAsia="en-US"/>
              </w:rPr>
              <w:t xml:space="preserve"> </w:t>
            </w:r>
            <w:r w:rsidRPr="00470777">
              <w:rPr>
                <w:rFonts w:eastAsia="Calibri"/>
                <w:sz w:val="18"/>
                <w:szCs w:val="18"/>
                <w:lang w:eastAsia="en-US"/>
              </w:rPr>
              <w:t xml:space="preserve">(in English, French and Spanish) </w:t>
            </w:r>
            <w:r w:rsidRPr="00470777">
              <w:rPr>
                <w:rFonts w:ascii="Calibri" w:eastAsia="Calibri" w:hAnsi="Calibri" w:cs="Times New Roman"/>
                <w:sz w:val="18"/>
                <w:szCs w:val="18"/>
                <w:lang w:eastAsia="en-US"/>
              </w:rPr>
              <w:t>of the HDRO website (</w:t>
            </w:r>
            <w:hyperlink r:id="rId10" w:history="1">
              <w:r w:rsidRPr="00470777">
                <w:rPr>
                  <w:rStyle w:val="Hyperlink"/>
                  <w:rFonts w:eastAsia="Calibri"/>
                  <w:color w:val="auto"/>
                  <w:sz w:val="18"/>
                  <w:szCs w:val="18"/>
                  <w:lang w:eastAsia="en-US"/>
                </w:rPr>
                <w:t>http://hdr.undp.org/en</w:t>
              </w:r>
            </w:hyperlink>
            <w:r w:rsidRPr="00470777">
              <w:rPr>
                <w:rFonts w:ascii="Calibri" w:eastAsia="Calibri" w:hAnsi="Calibri" w:cs="Times New Roman"/>
                <w:sz w:val="18"/>
                <w:szCs w:val="18"/>
                <w:lang w:eastAsia="en-US"/>
              </w:rPr>
              <w:t>)</w:t>
            </w:r>
            <w:r w:rsidRPr="00470777">
              <w:rPr>
                <w:rFonts w:eastAsia="Calibri"/>
                <w:sz w:val="18"/>
                <w:szCs w:val="18"/>
                <w:lang w:eastAsia="en-US"/>
              </w:rPr>
              <w:t xml:space="preserve"> and of HDR reports thereby available</w:t>
            </w:r>
            <w:r w:rsidRPr="00470777">
              <w:rPr>
                <w:rFonts w:ascii="Calibri" w:eastAsia="Calibri" w:hAnsi="Calibri" w:cs="Times New Roman"/>
                <w:sz w:val="18"/>
                <w:szCs w:val="18"/>
                <w:lang w:eastAsia="en-US"/>
              </w:rPr>
              <w:t xml:space="preserve">; and the number of </w:t>
            </w:r>
            <w:r w:rsidRPr="00470777">
              <w:rPr>
                <w:rFonts w:eastAsia="Calibri"/>
                <w:sz w:val="18"/>
                <w:szCs w:val="18"/>
                <w:lang w:eastAsia="en-US"/>
              </w:rPr>
              <w:t xml:space="preserve">HDRO </w:t>
            </w:r>
            <w:r w:rsidRPr="00470777">
              <w:rPr>
                <w:rFonts w:ascii="Calibri" w:eastAsia="Calibri" w:hAnsi="Calibri" w:cs="Times New Roman"/>
                <w:sz w:val="18"/>
                <w:szCs w:val="18"/>
                <w:lang w:eastAsia="en-US"/>
              </w:rPr>
              <w:t xml:space="preserve">social media </w:t>
            </w:r>
            <w:r w:rsidRPr="00470777">
              <w:rPr>
                <w:rFonts w:eastAsia="Calibri"/>
                <w:sz w:val="18"/>
                <w:szCs w:val="18"/>
                <w:lang w:eastAsia="en-US"/>
              </w:rPr>
              <w:t xml:space="preserve">platform </w:t>
            </w:r>
            <w:r w:rsidRPr="00470777">
              <w:rPr>
                <w:rFonts w:ascii="Calibri" w:eastAsia="Calibri" w:hAnsi="Calibri" w:cs="Times New Roman"/>
                <w:sz w:val="18"/>
                <w:szCs w:val="18"/>
                <w:lang w:eastAsia="en-US"/>
              </w:rPr>
              <w:t>followers (Facebook and Tw</w:t>
            </w:r>
            <w:r w:rsidRPr="00470777">
              <w:rPr>
                <w:rFonts w:eastAsia="Calibri"/>
                <w:sz w:val="18"/>
                <w:szCs w:val="18"/>
                <w:lang w:eastAsia="en-US"/>
              </w:rPr>
              <w:t>itter)</w:t>
            </w:r>
            <w:r w:rsidRPr="00470777">
              <w:rPr>
                <w:rFonts w:ascii="Calibri" w:eastAsia="Calibri" w:hAnsi="Calibri" w:cs="Times New Roman"/>
                <w:sz w:val="18"/>
                <w:szCs w:val="18"/>
                <w:lang w:eastAsia="en-US"/>
              </w:rPr>
              <w:t>.</w:t>
            </w:r>
            <w:r w:rsidRPr="00470777">
              <w:rPr>
                <w:rFonts w:eastAsia="Calibri"/>
                <w:sz w:val="18"/>
                <w:szCs w:val="18"/>
                <w:lang w:eastAsia="en-US"/>
              </w:rPr>
              <w:t xml:space="preserve"> </w:t>
            </w:r>
            <w:r w:rsidRPr="00470777">
              <w:rPr>
                <w:sz w:val="18"/>
              </w:rPr>
              <w:t xml:space="preserve">Visits to the website in 2013 were exceptionally high due to an early and high-visibility report launch and are projected to dip in 2014 due to an overhaul of the corporate data system as well as a report launch during a lower traffic period (summer). As such, milestones for the website will hold and are expected to exceed 2013 numbers by 2017. HDR report landing page views </w:t>
            </w:r>
            <w:r w:rsidR="00EF3A8A" w:rsidRPr="00470777">
              <w:rPr>
                <w:sz w:val="18"/>
              </w:rPr>
              <w:t xml:space="preserve">are </w:t>
            </w:r>
            <w:r w:rsidRPr="00470777">
              <w:rPr>
                <w:sz w:val="18"/>
              </w:rPr>
              <w:t xml:space="preserve">computed for the global report search page. In addition, from January 1, 2014 to December 31, 2014, </w:t>
            </w:r>
            <w:r w:rsidRPr="00470777">
              <w:rPr>
                <w:b/>
                <w:sz w:val="18"/>
              </w:rPr>
              <w:t>9,932</w:t>
            </w:r>
            <w:r w:rsidRPr="00470777">
              <w:rPr>
                <w:sz w:val="18"/>
              </w:rPr>
              <w:t xml:space="preserve"> users accessed the Regional Reports search page, while </w:t>
            </w:r>
            <w:r w:rsidRPr="00470777">
              <w:rPr>
                <w:b/>
                <w:sz w:val="18"/>
              </w:rPr>
              <w:t>36,913</w:t>
            </w:r>
            <w:r w:rsidRPr="00470777">
              <w:rPr>
                <w:sz w:val="18"/>
              </w:rPr>
              <w:t xml:space="preserve"> users accessed the National Reports search page. Users also browsed through and downloaded the reports through the HDRO Library home page, which received </w:t>
            </w:r>
            <w:r w:rsidRPr="00470777">
              <w:rPr>
                <w:b/>
                <w:sz w:val="18"/>
              </w:rPr>
              <w:t>133,899</w:t>
            </w:r>
            <w:r w:rsidRPr="00470777">
              <w:rPr>
                <w:sz w:val="18"/>
              </w:rPr>
              <w:t xml:space="preserve"> visits in that period.</w:t>
            </w:r>
          </w:p>
          <w:p w14:paraId="055A1E89" w14:textId="7AF150EF" w:rsidR="00BB1BC0" w:rsidRPr="00470777" w:rsidRDefault="00BB1BC0" w:rsidP="002F3092">
            <w:pPr>
              <w:spacing w:after="0" w:line="240" w:lineRule="auto"/>
            </w:pPr>
            <w:r w:rsidRPr="00470777">
              <w:rPr>
                <w:rFonts w:eastAsia="Calibri"/>
                <w:b/>
                <w:sz w:val="18"/>
                <w:szCs w:val="18"/>
              </w:rPr>
              <w:t xml:space="preserve">2014 Reporting Note: </w:t>
            </w:r>
            <w:r w:rsidR="00B44849">
              <w:rPr>
                <w:rFonts w:eastAsia="Calibri"/>
                <w:sz w:val="18"/>
                <w:szCs w:val="18"/>
              </w:rPr>
              <w:t xml:space="preserve">The indicator definition for component (b) was slightly </w:t>
            </w:r>
            <w:r w:rsidR="00B44849">
              <w:rPr>
                <w:rFonts w:eastAsia="Calibri"/>
                <w:sz w:val="18"/>
                <w:szCs w:val="18"/>
                <w:u w:val="single"/>
              </w:rPr>
              <w:t>revised</w:t>
            </w:r>
            <w:r w:rsidR="00B44849">
              <w:rPr>
                <w:rFonts w:eastAsia="Calibri"/>
                <w:sz w:val="18"/>
                <w:szCs w:val="18"/>
              </w:rPr>
              <w:t>, along with b</w:t>
            </w:r>
            <w:r w:rsidR="0062766A" w:rsidRPr="00470777">
              <w:rPr>
                <w:rFonts w:eastAsia="Calibri"/>
                <w:sz w:val="18"/>
                <w:szCs w:val="18"/>
              </w:rPr>
              <w:t>aseline, 2014 milestone and 2017 target</w:t>
            </w:r>
            <w:r w:rsidR="00B44849">
              <w:rPr>
                <w:rFonts w:eastAsia="Calibri"/>
                <w:sz w:val="18"/>
                <w:szCs w:val="18"/>
              </w:rPr>
              <w:t>,</w:t>
            </w:r>
            <w:r w:rsidRPr="00470777">
              <w:rPr>
                <w:rFonts w:eastAsia="Calibri"/>
                <w:sz w:val="18"/>
                <w:szCs w:val="18"/>
              </w:rPr>
              <w:t xml:space="preserve"> to reflect the number of views of landing pages for </w:t>
            </w:r>
            <w:r w:rsidR="005300BF" w:rsidRPr="002F3092">
              <w:rPr>
                <w:rFonts w:eastAsia="Calibri"/>
                <w:sz w:val="18"/>
                <w:szCs w:val="18"/>
                <w:u w:val="single"/>
              </w:rPr>
              <w:t xml:space="preserve">all </w:t>
            </w:r>
            <w:r w:rsidRPr="002F3092">
              <w:rPr>
                <w:rFonts w:eastAsia="Calibri"/>
                <w:sz w:val="18"/>
                <w:szCs w:val="18"/>
                <w:u w:val="single"/>
              </w:rPr>
              <w:t>HDR reports</w:t>
            </w:r>
            <w:r w:rsidR="005300BF" w:rsidRPr="00470777">
              <w:rPr>
                <w:rFonts w:eastAsia="Calibri"/>
                <w:sz w:val="18"/>
                <w:szCs w:val="18"/>
              </w:rPr>
              <w:t>, not only the most recent HDR. For reference, previous baseline was 336,376</w:t>
            </w:r>
            <w:r w:rsidR="0062766A" w:rsidRPr="00470777">
              <w:rPr>
                <w:rFonts w:eastAsia="Calibri"/>
                <w:sz w:val="18"/>
                <w:szCs w:val="18"/>
              </w:rPr>
              <w:t xml:space="preserve">, previous 2014 milestone was 400,000, </w:t>
            </w:r>
            <w:r w:rsidR="00470777">
              <w:rPr>
                <w:rFonts w:eastAsia="Calibri"/>
                <w:sz w:val="18"/>
                <w:szCs w:val="18"/>
              </w:rPr>
              <w:t xml:space="preserve">and </w:t>
            </w:r>
            <w:r w:rsidR="0062766A" w:rsidRPr="00470777">
              <w:rPr>
                <w:rFonts w:eastAsia="Calibri"/>
                <w:sz w:val="18"/>
                <w:szCs w:val="18"/>
              </w:rPr>
              <w:t xml:space="preserve">previous target was 500,000. </w:t>
            </w:r>
          </w:p>
        </w:tc>
      </w:tr>
      <w:tr w:rsidR="00BE7BDE" w:rsidRPr="0006536D" w14:paraId="323A6BA7" w14:textId="77777777" w:rsidTr="00C21D86">
        <w:trPr>
          <w:trHeight w:val="404"/>
          <w:jc w:val="center"/>
        </w:trPr>
        <w:tc>
          <w:tcPr>
            <w:tcW w:w="3325" w:type="dxa"/>
            <w:vMerge/>
            <w:tcBorders>
              <w:left w:val="single" w:sz="4" w:space="0" w:color="auto"/>
              <w:right w:val="single" w:sz="4" w:space="0" w:color="auto"/>
            </w:tcBorders>
            <w:shd w:val="clear" w:color="auto" w:fill="FFFFFF" w:themeFill="background1"/>
            <w:vAlign w:val="center"/>
            <w:hideMark/>
          </w:tcPr>
          <w:p w14:paraId="035C395B" w14:textId="77777777" w:rsidR="00BE7BDE" w:rsidRPr="00B66E9F" w:rsidRDefault="00BE7BDE" w:rsidP="00A25356">
            <w:pPr>
              <w:spacing w:after="0" w:line="240" w:lineRule="auto"/>
              <w:rPr>
                <w:rFonts w:eastAsia="Calibri"/>
                <w:sz w:val="20"/>
                <w:u w:val="single"/>
              </w:rPr>
            </w:pPr>
          </w:p>
        </w:tc>
        <w:tc>
          <w:tcPr>
            <w:tcW w:w="720" w:type="dxa"/>
            <w:vMerge w:val="restart"/>
            <w:tcBorders>
              <w:top w:val="single" w:sz="4" w:space="0" w:color="auto"/>
              <w:left w:val="single" w:sz="4" w:space="0" w:color="auto"/>
              <w:right w:val="single" w:sz="4" w:space="0" w:color="auto"/>
            </w:tcBorders>
            <w:shd w:val="clear" w:color="auto" w:fill="FFFFFF" w:themeFill="background1"/>
          </w:tcPr>
          <w:p w14:paraId="0411053F" w14:textId="77777777" w:rsidR="00BE7BDE" w:rsidRPr="00B66E9F" w:rsidRDefault="00BE7BDE" w:rsidP="00A25356">
            <w:pPr>
              <w:spacing w:after="0" w:line="240" w:lineRule="auto"/>
              <w:rPr>
                <w:rFonts w:eastAsia="Calibri"/>
                <w:b/>
                <w:sz w:val="20"/>
              </w:rPr>
            </w:pPr>
            <w:r w:rsidRPr="00B66E9F">
              <w:rPr>
                <w:rFonts w:eastAsia="Calibri"/>
                <w:b/>
                <w:sz w:val="20"/>
              </w:rPr>
              <w:t>7.7.2</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14:paraId="1C02E34F" w14:textId="6B6985D3" w:rsidR="00546E49" w:rsidRPr="00B66E9F" w:rsidRDefault="00BE7BDE" w:rsidP="00546E49">
            <w:pPr>
              <w:spacing w:after="0" w:line="240" w:lineRule="auto"/>
              <w:rPr>
                <w:rFonts w:eastAsia="Calibri"/>
                <w:sz w:val="20"/>
              </w:rPr>
            </w:pPr>
            <w:r w:rsidRPr="00B66E9F">
              <w:rPr>
                <w:rFonts w:eastAsia="Calibri"/>
                <w:sz w:val="20"/>
              </w:rPr>
              <w:t xml:space="preserve">Evidence of the </w:t>
            </w:r>
            <w:r w:rsidRPr="00B66E9F">
              <w:rPr>
                <w:rFonts w:eastAsia="Calibri"/>
                <w:b/>
                <w:sz w:val="20"/>
              </w:rPr>
              <w:t>relevance, to national partners,</w:t>
            </w:r>
            <w:r w:rsidRPr="00B66E9F">
              <w:rPr>
                <w:rFonts w:eastAsia="Calibri"/>
                <w:sz w:val="20"/>
              </w:rPr>
              <w:t xml:space="preserve"> </w:t>
            </w:r>
            <w:r w:rsidRPr="00B66E9F">
              <w:rPr>
                <w:rFonts w:eastAsia="Calibri"/>
                <w:b/>
                <w:sz w:val="20"/>
              </w:rPr>
              <w:t xml:space="preserve">of development solutions </w:t>
            </w:r>
            <w:r w:rsidRPr="00B66E9F">
              <w:rPr>
                <w:rFonts w:eastAsia="Calibri"/>
                <w:sz w:val="20"/>
              </w:rPr>
              <w:t>shared over the knowledge platforms (including of South-South and T</w:t>
            </w:r>
            <w:r w:rsidR="00546E49">
              <w:rPr>
                <w:rFonts w:eastAsia="Calibri"/>
                <w:sz w:val="20"/>
              </w:rPr>
              <w:t>riangular Cooperation platform)</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701A0" w14:textId="77777777" w:rsidR="00BE7BDE" w:rsidRPr="00B66E9F" w:rsidRDefault="00BE7BDE" w:rsidP="00A25356">
            <w:pPr>
              <w:spacing w:after="0" w:line="240" w:lineRule="auto"/>
              <w:jc w:val="center"/>
              <w:rPr>
                <w:color w:val="000000" w:themeColor="text1"/>
                <w:sz w:val="20"/>
                <w:lang w:eastAsia="zh-CN"/>
              </w:rPr>
            </w:pPr>
            <w:r>
              <w:rPr>
                <w:color w:val="000000" w:themeColor="text1"/>
                <w:sz w:val="20"/>
                <w:lang w:eastAsia="zh-CN"/>
              </w:rPr>
              <w:t>Not available</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62C3F" w14:textId="77777777" w:rsidR="00BE7BDE" w:rsidRPr="00B66E9F" w:rsidRDefault="00BE7BDE" w:rsidP="00A25356">
            <w:pPr>
              <w:spacing w:after="0" w:line="240" w:lineRule="auto"/>
              <w:jc w:val="center"/>
              <w:rPr>
                <w:color w:val="000000" w:themeColor="text1"/>
                <w:sz w:val="20"/>
                <w:lang w:eastAsia="zh-CN"/>
              </w:rPr>
            </w:pPr>
            <w:r>
              <w:rPr>
                <w:color w:val="000000" w:themeColor="text1"/>
                <w:sz w:val="20"/>
                <w:lang w:eastAsia="zh-CN"/>
              </w:rPr>
              <w:t>70%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C2D8D" w14:textId="23F41592" w:rsidR="00BE7BDE" w:rsidRPr="00B66E9F" w:rsidRDefault="00D054E8" w:rsidP="00A25356">
            <w:pPr>
              <w:spacing w:after="0" w:line="240" w:lineRule="auto"/>
              <w:jc w:val="center"/>
              <w:rPr>
                <w:color w:val="000000" w:themeColor="text1"/>
                <w:sz w:val="20"/>
                <w:lang w:eastAsia="zh-CN"/>
              </w:rPr>
            </w:pPr>
            <w:r>
              <w:rPr>
                <w:color w:val="000000" w:themeColor="text1"/>
                <w:sz w:val="20"/>
                <w:lang w:eastAsia="zh-CN"/>
              </w:rPr>
              <w:t>82.9%</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C4AB3" w14:textId="77777777" w:rsidR="00BE7BDE" w:rsidRPr="00B66E9F" w:rsidRDefault="00BE7BDE" w:rsidP="00A25356">
            <w:pPr>
              <w:spacing w:after="0" w:line="240" w:lineRule="auto"/>
              <w:jc w:val="center"/>
              <w:rPr>
                <w:color w:val="000000" w:themeColor="text1"/>
                <w:sz w:val="20"/>
                <w:lang w:eastAsia="zh-CN"/>
              </w:rPr>
            </w:pPr>
            <w:r>
              <w:rPr>
                <w:color w:val="000000" w:themeColor="text1"/>
                <w:sz w:val="20"/>
                <w:lang w:eastAsia="zh-CN"/>
              </w:rPr>
              <w:t>80%</w:t>
            </w:r>
          </w:p>
        </w:tc>
      </w:tr>
      <w:tr w:rsidR="00470777" w:rsidRPr="0006536D" w14:paraId="2112DCAA" w14:textId="77777777" w:rsidTr="002F4689">
        <w:trPr>
          <w:trHeight w:val="404"/>
          <w:jc w:val="center"/>
        </w:trPr>
        <w:tc>
          <w:tcPr>
            <w:tcW w:w="3325" w:type="dxa"/>
            <w:vMerge/>
            <w:tcBorders>
              <w:left w:val="single" w:sz="4" w:space="0" w:color="auto"/>
              <w:right w:val="single" w:sz="4" w:space="0" w:color="auto"/>
            </w:tcBorders>
            <w:shd w:val="clear" w:color="auto" w:fill="FFFFFF" w:themeFill="background1"/>
            <w:vAlign w:val="center"/>
          </w:tcPr>
          <w:p w14:paraId="0640A91B" w14:textId="1496B880" w:rsidR="00470777" w:rsidRPr="00B66E9F" w:rsidRDefault="00470777" w:rsidP="00A25356">
            <w:pPr>
              <w:spacing w:after="0" w:line="240" w:lineRule="auto"/>
              <w:rPr>
                <w:rFonts w:eastAsia="Calibri"/>
                <w:sz w:val="20"/>
                <w:u w:val="single"/>
              </w:rPr>
            </w:pPr>
          </w:p>
        </w:tc>
        <w:tc>
          <w:tcPr>
            <w:tcW w:w="720" w:type="dxa"/>
            <w:vMerge/>
            <w:tcBorders>
              <w:left w:val="single" w:sz="4" w:space="0" w:color="auto"/>
              <w:bottom w:val="single" w:sz="4" w:space="0" w:color="auto"/>
              <w:right w:val="single" w:sz="4" w:space="0" w:color="auto"/>
            </w:tcBorders>
            <w:shd w:val="clear" w:color="auto" w:fill="FFFFFF" w:themeFill="background1"/>
          </w:tcPr>
          <w:p w14:paraId="79A43690" w14:textId="77777777" w:rsidR="00470777" w:rsidRPr="00B66E9F" w:rsidRDefault="00470777" w:rsidP="00A25356">
            <w:pPr>
              <w:spacing w:after="0" w:line="240" w:lineRule="auto"/>
              <w:rPr>
                <w:rFonts w:eastAsia="Calibri"/>
                <w:b/>
                <w:sz w:val="20"/>
              </w:rPr>
            </w:pPr>
          </w:p>
        </w:tc>
        <w:tc>
          <w:tcPr>
            <w:tcW w:w="10260" w:type="dxa"/>
            <w:gridSpan w:val="5"/>
            <w:tcBorders>
              <w:left w:val="single" w:sz="4" w:space="0" w:color="auto"/>
              <w:bottom w:val="single" w:sz="4" w:space="0" w:color="auto"/>
              <w:right w:val="single" w:sz="4" w:space="0" w:color="auto"/>
            </w:tcBorders>
            <w:shd w:val="clear" w:color="auto" w:fill="D9D9D9" w:themeFill="background1" w:themeFillShade="D9"/>
          </w:tcPr>
          <w:p w14:paraId="2BCE36A3" w14:textId="6AC81F38" w:rsidR="00470777" w:rsidRPr="00014CEA" w:rsidRDefault="00470777" w:rsidP="003C4BC0">
            <w:pPr>
              <w:spacing w:after="0" w:line="240" w:lineRule="auto"/>
              <w:rPr>
                <w:rFonts w:ascii="Calibri" w:eastAsia="Calibri" w:hAnsi="Calibri" w:cs="Times New Roman"/>
                <w:sz w:val="18"/>
                <w:szCs w:val="18"/>
                <w:lang w:eastAsia="en-US"/>
              </w:rPr>
            </w:pPr>
            <w:r>
              <w:rPr>
                <w:rFonts w:ascii="Calibri" w:eastAsia="Calibri" w:hAnsi="Calibri" w:cs="Times New Roman"/>
                <w:b/>
                <w:sz w:val="18"/>
                <w:szCs w:val="18"/>
                <w:lang w:eastAsia="en-US"/>
              </w:rPr>
              <w:t xml:space="preserve">Indicator 7.7.2 </w:t>
            </w:r>
            <w:r w:rsidRPr="00D64FD3">
              <w:rPr>
                <w:rFonts w:ascii="Calibri" w:eastAsia="Calibri" w:hAnsi="Calibri" w:cs="Times New Roman"/>
                <w:b/>
                <w:sz w:val="18"/>
                <w:szCs w:val="18"/>
                <w:lang w:eastAsia="en-US"/>
              </w:rPr>
              <w:t>Note:</w:t>
            </w:r>
            <w:r>
              <w:rPr>
                <w:rFonts w:ascii="Calibri" w:eastAsia="Calibri" w:hAnsi="Calibri" w:cs="Times New Roman"/>
                <w:b/>
                <w:sz w:val="18"/>
                <w:szCs w:val="18"/>
                <w:lang w:eastAsia="en-US"/>
              </w:rPr>
              <w:t xml:space="preserve"> </w:t>
            </w:r>
            <w:r w:rsidRPr="00CE426F">
              <w:rPr>
                <w:rFonts w:ascii="Calibri" w:eastAsia="Calibri" w:hAnsi="Calibri" w:cs="Times New Roman"/>
                <w:sz w:val="18"/>
                <w:szCs w:val="18"/>
                <w:lang w:eastAsia="en-US"/>
              </w:rPr>
              <w:t xml:space="preserve">Data provided by </w:t>
            </w:r>
            <w:r>
              <w:rPr>
                <w:rFonts w:ascii="Calibri" w:eastAsia="Calibri" w:hAnsi="Calibri" w:cs="Times New Roman"/>
                <w:sz w:val="18"/>
                <w:szCs w:val="18"/>
                <w:lang w:eastAsia="en-US"/>
              </w:rPr>
              <w:t>UNDP’s Bureau for Policy and Programme Support (BPPS)</w:t>
            </w:r>
            <w:r w:rsidRPr="00CE426F">
              <w:rPr>
                <w:rFonts w:ascii="Calibri" w:eastAsia="Calibri" w:hAnsi="Calibri" w:cs="Times New Roman"/>
                <w:sz w:val="18"/>
                <w:szCs w:val="18"/>
                <w:lang w:eastAsia="en-US"/>
              </w:rPr>
              <w:t>.</w:t>
            </w:r>
            <w:r>
              <w:rPr>
                <w:rFonts w:ascii="Calibri" w:eastAsia="Calibri" w:hAnsi="Calibri" w:cs="Times New Roman"/>
                <w:b/>
                <w:sz w:val="18"/>
                <w:szCs w:val="18"/>
                <w:lang w:eastAsia="en-US"/>
              </w:rPr>
              <w:t xml:space="preserve"> </w:t>
            </w:r>
            <w:r>
              <w:rPr>
                <w:rFonts w:ascii="Calibri" w:eastAsia="Calibri" w:hAnsi="Calibri" w:cs="Times New Roman"/>
                <w:sz w:val="18"/>
                <w:szCs w:val="18"/>
                <w:lang w:eastAsia="en-US"/>
              </w:rPr>
              <w:t xml:space="preserve">Tracks user feedback as a proxy indicator of the </w:t>
            </w:r>
            <w:r w:rsidRPr="00014CEA">
              <w:rPr>
                <w:rFonts w:ascii="Calibri" w:eastAsia="Calibri" w:hAnsi="Calibri" w:cs="Times New Roman"/>
                <w:sz w:val="18"/>
                <w:szCs w:val="18"/>
                <w:lang w:eastAsia="en-US"/>
              </w:rPr>
              <w:t xml:space="preserve">relevance </w:t>
            </w:r>
            <w:r>
              <w:rPr>
                <w:rFonts w:ascii="Calibri" w:eastAsia="Calibri" w:hAnsi="Calibri" w:cs="Times New Roman"/>
                <w:sz w:val="18"/>
                <w:szCs w:val="18"/>
                <w:lang w:eastAsia="en-US"/>
              </w:rPr>
              <w:t xml:space="preserve">to partners </w:t>
            </w:r>
            <w:r w:rsidRPr="00014CEA">
              <w:rPr>
                <w:rFonts w:ascii="Calibri" w:eastAsia="Calibri" w:hAnsi="Calibri" w:cs="Times New Roman"/>
                <w:sz w:val="18"/>
                <w:szCs w:val="18"/>
                <w:lang w:eastAsia="en-US"/>
              </w:rPr>
              <w:t xml:space="preserve">of development solutions shared over the knowledge platforms supported by UNDP. </w:t>
            </w:r>
            <w:r>
              <w:rPr>
                <w:rFonts w:ascii="Calibri" w:eastAsia="Calibri" w:hAnsi="Calibri" w:cs="Times New Roman"/>
                <w:sz w:val="18"/>
                <w:szCs w:val="18"/>
                <w:lang w:eastAsia="en-US"/>
              </w:rPr>
              <w:t xml:space="preserve">A HQ-administered </w:t>
            </w:r>
            <w:r w:rsidRPr="00637D66">
              <w:rPr>
                <w:rFonts w:ascii="Calibri" w:eastAsia="Calibri" w:hAnsi="Calibri" w:cs="Times New Roman"/>
                <w:sz w:val="18"/>
                <w:szCs w:val="18"/>
                <w:lang w:eastAsia="en-US"/>
              </w:rPr>
              <w:t xml:space="preserve">survey </w:t>
            </w:r>
            <w:r>
              <w:rPr>
                <w:rFonts w:ascii="Calibri" w:eastAsia="Calibri" w:hAnsi="Calibri" w:cs="Times New Roman"/>
                <w:sz w:val="18"/>
                <w:szCs w:val="18"/>
                <w:lang w:eastAsia="en-US"/>
              </w:rPr>
              <w:t>target</w:t>
            </w:r>
            <w:r w:rsidR="00A83920">
              <w:rPr>
                <w:rFonts w:ascii="Calibri" w:eastAsia="Calibri" w:hAnsi="Calibri" w:cs="Times New Roman"/>
                <w:sz w:val="18"/>
                <w:szCs w:val="18"/>
                <w:lang w:eastAsia="en-US"/>
              </w:rPr>
              <w:t xml:space="preserve">ing </w:t>
            </w:r>
            <w:r>
              <w:rPr>
                <w:rFonts w:ascii="Calibri" w:eastAsia="Calibri" w:hAnsi="Calibri" w:cs="Times New Roman"/>
                <w:sz w:val="18"/>
                <w:szCs w:val="18"/>
                <w:lang w:eastAsia="en-US"/>
              </w:rPr>
              <w:t>all registered platform users</w:t>
            </w:r>
            <w:r w:rsidR="00F70EDD">
              <w:rPr>
                <w:rFonts w:ascii="Calibri" w:eastAsia="Calibri" w:hAnsi="Calibri" w:cs="Times New Roman"/>
                <w:sz w:val="18"/>
                <w:szCs w:val="18"/>
                <w:lang w:eastAsia="en-US"/>
              </w:rPr>
              <w:t>, undertaken in March 2015,</w:t>
            </w:r>
            <w:r>
              <w:rPr>
                <w:rFonts w:ascii="Calibri" w:eastAsia="Calibri" w:hAnsi="Calibri" w:cs="Times New Roman"/>
                <w:sz w:val="18"/>
                <w:szCs w:val="18"/>
                <w:lang w:eastAsia="en-US"/>
              </w:rPr>
              <w:t xml:space="preserve"> </w:t>
            </w:r>
            <w:r w:rsidRPr="00014CEA">
              <w:rPr>
                <w:rFonts w:ascii="Calibri" w:eastAsia="Calibri" w:hAnsi="Calibri" w:cs="Times New Roman"/>
                <w:sz w:val="18"/>
                <w:szCs w:val="18"/>
                <w:lang w:eastAsia="en-US"/>
              </w:rPr>
              <w:t>measure</w:t>
            </w:r>
            <w:r w:rsidR="00A83920">
              <w:rPr>
                <w:rFonts w:ascii="Calibri" w:eastAsia="Calibri" w:hAnsi="Calibri" w:cs="Times New Roman"/>
                <w:sz w:val="18"/>
                <w:szCs w:val="18"/>
                <w:lang w:eastAsia="en-US"/>
              </w:rPr>
              <w:t>d</w:t>
            </w:r>
            <w:r w:rsidRPr="00014CEA">
              <w:rPr>
                <w:rFonts w:ascii="Calibri" w:eastAsia="Calibri" w:hAnsi="Calibri" w:cs="Times New Roman"/>
                <w:sz w:val="18"/>
                <w:szCs w:val="18"/>
                <w:lang w:eastAsia="en-US"/>
              </w:rPr>
              <w:t xml:space="preserve"> the percentage of respond</w:t>
            </w:r>
            <w:r w:rsidR="003C4BC0">
              <w:rPr>
                <w:rFonts w:ascii="Calibri" w:eastAsia="Calibri" w:hAnsi="Calibri" w:cs="Times New Roman"/>
                <w:sz w:val="18"/>
                <w:szCs w:val="18"/>
                <w:lang w:eastAsia="en-US"/>
              </w:rPr>
              <w:t>ing users</w:t>
            </w:r>
            <w:r w:rsidRPr="00014CEA">
              <w:rPr>
                <w:rFonts w:ascii="Calibri" w:eastAsia="Calibri" w:hAnsi="Calibri" w:cs="Times New Roman"/>
                <w:sz w:val="18"/>
                <w:szCs w:val="18"/>
                <w:lang w:eastAsia="en-US"/>
              </w:rPr>
              <w:t xml:space="preserve"> who </w:t>
            </w:r>
            <w:r>
              <w:rPr>
                <w:rFonts w:ascii="Calibri" w:eastAsia="Calibri" w:hAnsi="Calibri" w:cs="Times New Roman"/>
                <w:sz w:val="18"/>
                <w:szCs w:val="18"/>
                <w:lang w:eastAsia="en-US"/>
              </w:rPr>
              <w:t xml:space="preserve">indicate </w:t>
            </w:r>
            <w:r w:rsidRPr="00014CEA">
              <w:rPr>
                <w:rFonts w:ascii="Calibri" w:eastAsia="Calibri" w:hAnsi="Calibri" w:cs="Times New Roman"/>
                <w:sz w:val="18"/>
                <w:szCs w:val="18"/>
                <w:lang w:eastAsia="en-US"/>
              </w:rPr>
              <w:t xml:space="preserve">that </w:t>
            </w:r>
            <w:r w:rsidR="003C4BC0">
              <w:rPr>
                <w:rFonts w:ascii="Calibri" w:eastAsia="Calibri" w:hAnsi="Calibri" w:cs="Times New Roman"/>
                <w:sz w:val="18"/>
                <w:szCs w:val="18"/>
                <w:lang w:eastAsia="en-US"/>
              </w:rPr>
              <w:t xml:space="preserve">the </w:t>
            </w:r>
            <w:r w:rsidRPr="00014CEA">
              <w:rPr>
                <w:rFonts w:ascii="Calibri" w:eastAsia="Calibri" w:hAnsi="Calibri" w:cs="Times New Roman"/>
                <w:sz w:val="18"/>
                <w:szCs w:val="18"/>
                <w:lang w:eastAsia="en-US"/>
              </w:rPr>
              <w:t xml:space="preserve">development solutions shared over </w:t>
            </w:r>
            <w:r>
              <w:rPr>
                <w:rFonts w:ascii="Calibri" w:eastAsia="Calibri" w:hAnsi="Calibri" w:cs="Times New Roman"/>
                <w:sz w:val="18"/>
                <w:szCs w:val="18"/>
                <w:lang w:eastAsia="en-US"/>
              </w:rPr>
              <w:t xml:space="preserve">UNDP </w:t>
            </w:r>
            <w:r w:rsidRPr="00014CEA">
              <w:rPr>
                <w:rFonts w:ascii="Calibri" w:eastAsia="Calibri" w:hAnsi="Calibri" w:cs="Times New Roman"/>
                <w:sz w:val="18"/>
                <w:szCs w:val="18"/>
                <w:lang w:eastAsia="en-US"/>
              </w:rPr>
              <w:t xml:space="preserve">knowledge platforms are </w:t>
            </w:r>
            <w:r w:rsidR="00A83920">
              <w:rPr>
                <w:rFonts w:ascii="Calibri" w:eastAsia="Calibri" w:hAnsi="Calibri" w:cs="Times New Roman"/>
                <w:sz w:val="18"/>
                <w:szCs w:val="18"/>
                <w:lang w:eastAsia="en-US"/>
              </w:rPr>
              <w:t>useful</w:t>
            </w:r>
            <w:r w:rsidRPr="00637D66">
              <w:rPr>
                <w:rFonts w:ascii="Calibri" w:eastAsia="Calibri" w:hAnsi="Calibri" w:cs="Times New Roman"/>
                <w:sz w:val="18"/>
                <w:szCs w:val="18"/>
                <w:lang w:eastAsia="en-US"/>
              </w:rPr>
              <w:t>.</w:t>
            </w:r>
            <w:r>
              <w:rPr>
                <w:rFonts w:ascii="Calibri" w:eastAsia="Calibri" w:hAnsi="Calibri" w:cs="Times New Roman"/>
                <w:sz w:val="18"/>
                <w:szCs w:val="18"/>
                <w:lang w:eastAsia="en-US"/>
              </w:rPr>
              <w:t xml:space="preserve"> ‘K</w:t>
            </w:r>
            <w:r w:rsidRPr="00014CEA">
              <w:rPr>
                <w:rFonts w:ascii="Calibri" w:eastAsia="Calibri" w:hAnsi="Calibri" w:cs="Times New Roman"/>
                <w:sz w:val="18"/>
                <w:szCs w:val="18"/>
                <w:lang w:eastAsia="en-US"/>
              </w:rPr>
              <w:t>nowledge platforms</w:t>
            </w:r>
            <w:r w:rsidR="00A83920">
              <w:rPr>
                <w:rFonts w:ascii="Calibri" w:eastAsia="Calibri" w:hAnsi="Calibri" w:cs="Times New Roman"/>
                <w:sz w:val="18"/>
                <w:szCs w:val="18"/>
                <w:lang w:eastAsia="en-US"/>
              </w:rPr>
              <w:t>’</w:t>
            </w:r>
            <w:r>
              <w:rPr>
                <w:rFonts w:ascii="Calibri" w:eastAsia="Calibri" w:hAnsi="Calibri" w:cs="Times New Roman"/>
                <w:sz w:val="18"/>
                <w:szCs w:val="18"/>
                <w:lang w:eastAsia="en-US"/>
              </w:rPr>
              <w:t xml:space="preserve"> </w:t>
            </w:r>
            <w:r w:rsidRPr="00014CEA">
              <w:rPr>
                <w:rFonts w:ascii="Calibri" w:eastAsia="Calibri" w:hAnsi="Calibri" w:cs="Times New Roman"/>
                <w:sz w:val="18"/>
                <w:szCs w:val="18"/>
                <w:lang w:eastAsia="en-US"/>
              </w:rPr>
              <w:t xml:space="preserve">include </w:t>
            </w:r>
            <w:r w:rsidR="00A83920">
              <w:rPr>
                <w:rFonts w:ascii="Calibri" w:eastAsia="Calibri" w:hAnsi="Calibri" w:cs="Times New Roman"/>
                <w:sz w:val="18"/>
                <w:szCs w:val="18"/>
                <w:lang w:eastAsia="en-US"/>
              </w:rPr>
              <w:t xml:space="preserve">the UNDP website and </w:t>
            </w:r>
            <w:r>
              <w:rPr>
                <w:rFonts w:ascii="Calibri" w:eastAsia="Calibri" w:hAnsi="Calibri" w:cs="Times New Roman"/>
                <w:sz w:val="18"/>
                <w:szCs w:val="18"/>
                <w:lang w:eastAsia="en-US"/>
              </w:rPr>
              <w:t xml:space="preserve">all Teamworks-based </w:t>
            </w:r>
            <w:r w:rsidRPr="00014CEA">
              <w:rPr>
                <w:rFonts w:ascii="Calibri" w:eastAsia="Calibri" w:hAnsi="Calibri" w:cs="Times New Roman"/>
                <w:sz w:val="18"/>
                <w:szCs w:val="18"/>
                <w:lang w:eastAsia="en-US"/>
              </w:rPr>
              <w:t xml:space="preserve">interactive online </w:t>
            </w:r>
            <w:r>
              <w:rPr>
                <w:rFonts w:ascii="Calibri" w:eastAsia="Calibri" w:hAnsi="Calibri" w:cs="Times New Roman"/>
                <w:sz w:val="18"/>
                <w:szCs w:val="18"/>
                <w:lang w:eastAsia="en-US"/>
              </w:rPr>
              <w:t>platforms that allow</w:t>
            </w:r>
            <w:r w:rsidRPr="00014CEA">
              <w:rPr>
                <w:rFonts w:ascii="Calibri" w:eastAsia="Calibri" w:hAnsi="Calibri" w:cs="Times New Roman"/>
                <w:sz w:val="18"/>
                <w:szCs w:val="18"/>
                <w:lang w:eastAsia="en-US"/>
              </w:rPr>
              <w:t xml:space="preserve"> external </w:t>
            </w:r>
            <w:r>
              <w:rPr>
                <w:rFonts w:ascii="Calibri" w:eastAsia="Calibri" w:hAnsi="Calibri" w:cs="Times New Roman"/>
                <w:sz w:val="18"/>
                <w:szCs w:val="18"/>
                <w:lang w:eastAsia="en-US"/>
              </w:rPr>
              <w:t xml:space="preserve">(non-UNDP) </w:t>
            </w:r>
            <w:r w:rsidRPr="00014CEA">
              <w:rPr>
                <w:rFonts w:ascii="Calibri" w:eastAsia="Calibri" w:hAnsi="Calibri" w:cs="Times New Roman"/>
                <w:sz w:val="18"/>
                <w:szCs w:val="18"/>
                <w:lang w:eastAsia="en-US"/>
              </w:rPr>
              <w:t xml:space="preserve">users, including national government partners, counterparts international organizations and NGOs, as well as the global public, to search and retrieve knowledge resources of any kind, including articles, files, videos, images, and etc. </w:t>
            </w:r>
            <w:r>
              <w:rPr>
                <w:rFonts w:ascii="Calibri" w:eastAsia="Calibri" w:hAnsi="Calibri" w:cs="Times New Roman"/>
                <w:sz w:val="18"/>
                <w:szCs w:val="18"/>
                <w:lang w:eastAsia="en-US"/>
              </w:rPr>
              <w:t xml:space="preserve">Once developed, the South-South exchange platform and a public online library of knowledge products will be included as well. </w:t>
            </w:r>
          </w:p>
        </w:tc>
      </w:tr>
      <w:tr w:rsidR="00BE7BDE" w:rsidRPr="0006536D" w14:paraId="4F0E6AA3" w14:textId="77777777" w:rsidTr="006E4877">
        <w:trPr>
          <w:trHeight w:val="404"/>
          <w:jc w:val="center"/>
        </w:trPr>
        <w:tc>
          <w:tcPr>
            <w:tcW w:w="3325" w:type="dxa"/>
            <w:vMerge w:val="restart"/>
            <w:tcBorders>
              <w:left w:val="single" w:sz="4" w:space="0" w:color="auto"/>
              <w:right w:val="single" w:sz="4" w:space="0" w:color="auto"/>
            </w:tcBorders>
            <w:shd w:val="clear" w:color="auto" w:fill="FFFFFF" w:themeFill="background1"/>
          </w:tcPr>
          <w:p w14:paraId="6BA82A3D" w14:textId="4FF803C6" w:rsidR="00BE7BDE" w:rsidRPr="002156E0" w:rsidRDefault="00BE7BDE" w:rsidP="00A25356">
            <w:pPr>
              <w:spacing w:after="0" w:line="240" w:lineRule="auto"/>
              <w:rPr>
                <w:rFonts w:eastAsia="Calibri"/>
                <w:color w:val="000000"/>
                <w:sz w:val="20"/>
              </w:rPr>
            </w:pPr>
            <w:r w:rsidRPr="002156E0">
              <w:rPr>
                <w:rFonts w:eastAsia="Calibri"/>
                <w:b/>
                <w:sz w:val="20"/>
              </w:rPr>
              <w:t xml:space="preserve">Output 7.8. </w:t>
            </w:r>
            <w:r w:rsidRPr="002156E0">
              <w:rPr>
                <w:rFonts w:eastAsia="Calibri"/>
                <w:color w:val="000000"/>
                <w:sz w:val="20"/>
              </w:rPr>
              <w:t>Governance institutional, and other critical bottlenecks addressed to support achievement of the MDGs and other internationa</w:t>
            </w:r>
            <w:r w:rsidR="00613FB0" w:rsidRPr="002156E0">
              <w:rPr>
                <w:rFonts w:eastAsia="Calibri"/>
                <w:color w:val="000000"/>
                <w:sz w:val="20"/>
              </w:rPr>
              <w:t>lly agreed development goals</w:t>
            </w:r>
          </w:p>
          <w:p w14:paraId="2D69671D" w14:textId="77777777" w:rsidR="00BE7BDE" w:rsidRPr="002454D6" w:rsidRDefault="00BE7BDE" w:rsidP="00A25356">
            <w:pPr>
              <w:spacing w:after="0" w:line="240" w:lineRule="auto"/>
              <w:rPr>
                <w:rFonts w:eastAsia="Calibri"/>
                <w:sz w:val="20"/>
                <w:szCs w:val="20"/>
                <w:highlight w:val="yellow"/>
              </w:rPr>
            </w:pPr>
          </w:p>
          <w:p w14:paraId="49DD0056" w14:textId="41678763" w:rsidR="006C2CD4" w:rsidRDefault="00D1260F" w:rsidP="006C2CD4">
            <w:pPr>
              <w:spacing w:after="0" w:line="240" w:lineRule="auto"/>
              <w:rPr>
                <w:rFonts w:ascii="Calibri" w:eastAsia="Calibri" w:hAnsi="Calibri"/>
                <w:b/>
                <w:color w:val="000000"/>
                <w:sz w:val="18"/>
                <w:szCs w:val="18"/>
              </w:rPr>
            </w:pPr>
            <w:r>
              <w:rPr>
                <w:rFonts w:ascii="Calibri" w:eastAsia="Calibri" w:hAnsi="Calibri"/>
                <w:b/>
                <w:i/>
                <w:color w:val="000000"/>
                <w:sz w:val="18"/>
                <w:szCs w:val="18"/>
              </w:rPr>
              <w:t>Contributing units</w:t>
            </w:r>
            <w:r w:rsidR="006C2CD4" w:rsidRPr="00B359E7">
              <w:rPr>
                <w:rFonts w:ascii="Calibri" w:eastAsia="Calibri" w:hAnsi="Calibri"/>
                <w:b/>
                <w:i/>
                <w:color w:val="000000"/>
                <w:sz w:val="18"/>
                <w:szCs w:val="18"/>
              </w:rPr>
              <w:t>:</w:t>
            </w:r>
            <w:r w:rsidR="006C2CD4">
              <w:rPr>
                <w:rFonts w:ascii="Calibri" w:eastAsia="Calibri" w:hAnsi="Calibri"/>
                <w:b/>
                <w:color w:val="000000"/>
                <w:sz w:val="18"/>
                <w:szCs w:val="18"/>
              </w:rPr>
              <w:t xml:space="preserve"> BPPS </w:t>
            </w:r>
          </w:p>
          <w:p w14:paraId="4D4E97AC" w14:textId="3E62B3B7" w:rsidR="00BE7BDE" w:rsidRPr="002454D6" w:rsidRDefault="006C2CD4" w:rsidP="006C2CD4">
            <w:pPr>
              <w:spacing w:after="0" w:line="240" w:lineRule="auto"/>
              <w:rPr>
                <w:rFonts w:eastAsia="Calibri"/>
                <w:color w:val="000000"/>
                <w:sz w:val="20"/>
                <w:highlight w:val="yellow"/>
              </w:rPr>
            </w:pPr>
            <w:r>
              <w:rPr>
                <w:rFonts w:ascii="Calibri" w:eastAsia="Calibri" w:hAnsi="Calibri"/>
                <w:b/>
                <w:color w:val="000000"/>
                <w:sz w:val="18"/>
                <w:szCs w:val="18"/>
              </w:rPr>
              <w:t>(February 2015</w:t>
            </w:r>
            <w:r w:rsidRPr="00B359E7">
              <w:rPr>
                <w:rFonts w:ascii="Calibri" w:eastAsia="Calibri" w:hAnsi="Calibri"/>
                <w:b/>
                <w:color w:val="000000"/>
                <w:sz w:val="18"/>
                <w:szCs w:val="18"/>
              </w:rPr>
              <w:t>)</w:t>
            </w:r>
          </w:p>
        </w:tc>
        <w:tc>
          <w:tcPr>
            <w:tcW w:w="720" w:type="dxa"/>
            <w:vMerge w:val="restart"/>
            <w:tcBorders>
              <w:top w:val="single" w:sz="4" w:space="0" w:color="auto"/>
              <w:left w:val="single" w:sz="4" w:space="0" w:color="auto"/>
              <w:right w:val="single" w:sz="4" w:space="0" w:color="auto"/>
            </w:tcBorders>
            <w:shd w:val="clear" w:color="auto" w:fill="FFFFFF" w:themeFill="background1"/>
          </w:tcPr>
          <w:p w14:paraId="5B1D6F55" w14:textId="77777777" w:rsidR="00BE7BDE" w:rsidRPr="0032657A" w:rsidRDefault="00BE7BDE" w:rsidP="00A25356">
            <w:pPr>
              <w:spacing w:after="0" w:line="240" w:lineRule="auto"/>
              <w:rPr>
                <w:rFonts w:eastAsia="Calibri"/>
                <w:b/>
                <w:sz w:val="20"/>
              </w:rPr>
            </w:pPr>
            <w:r w:rsidRPr="0032657A">
              <w:rPr>
                <w:rFonts w:eastAsia="Calibri"/>
                <w:b/>
                <w:sz w:val="20"/>
              </w:rPr>
              <w:t>7.8.1</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14:paraId="13450585" w14:textId="29B81C6A" w:rsidR="00BE7BDE" w:rsidRPr="00B66E9F" w:rsidRDefault="00BE7BDE" w:rsidP="00A25356">
            <w:pPr>
              <w:spacing w:after="0" w:line="240" w:lineRule="auto"/>
              <w:rPr>
                <w:rFonts w:eastAsia="Calibri"/>
                <w:sz w:val="20"/>
              </w:rPr>
            </w:pPr>
            <w:r w:rsidRPr="0015540B">
              <w:rPr>
                <w:sz w:val="20"/>
                <w:szCs w:val="20"/>
              </w:rPr>
              <w:t xml:space="preserve">Number of countries </w:t>
            </w:r>
            <w:r w:rsidRPr="00144F71">
              <w:rPr>
                <w:b/>
                <w:sz w:val="20"/>
                <w:szCs w:val="20"/>
              </w:rPr>
              <w:t xml:space="preserve">implementing </w:t>
            </w:r>
            <w:r w:rsidR="00470777">
              <w:rPr>
                <w:b/>
                <w:sz w:val="20"/>
                <w:szCs w:val="20"/>
              </w:rPr>
              <w:t>MDG Acceleration Framework (</w:t>
            </w:r>
            <w:r w:rsidRPr="00144F71">
              <w:rPr>
                <w:b/>
                <w:sz w:val="20"/>
                <w:szCs w:val="20"/>
              </w:rPr>
              <w:t>MAF</w:t>
            </w:r>
            <w:r w:rsidR="00470777">
              <w:rPr>
                <w:b/>
                <w:sz w:val="20"/>
                <w:szCs w:val="20"/>
              </w:rPr>
              <w:t>)</w:t>
            </w:r>
            <w:r w:rsidRPr="00144F71">
              <w:rPr>
                <w:b/>
                <w:sz w:val="20"/>
                <w:szCs w:val="20"/>
              </w:rPr>
              <w:t xml:space="preserve"> action plans</w:t>
            </w:r>
            <w:r w:rsidRPr="0015540B">
              <w:rPr>
                <w:sz w:val="20"/>
                <w:szCs w:val="20"/>
              </w:rPr>
              <w:t xml:space="preserve"> to drive progress on lagging MDGs through national and/or sub-national budgets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17989" w14:textId="66CF8A53" w:rsidR="00BE7BDE" w:rsidRPr="005117CD" w:rsidRDefault="00BE7BDE" w:rsidP="00C42314">
            <w:pPr>
              <w:spacing w:after="0" w:line="240" w:lineRule="auto"/>
              <w:jc w:val="center"/>
              <w:rPr>
                <w:color w:val="000000" w:themeColor="text1"/>
                <w:sz w:val="20"/>
                <w:lang w:eastAsia="zh-CN"/>
              </w:rPr>
            </w:pPr>
            <w:r>
              <w:rPr>
                <w:color w:val="000000" w:themeColor="text1"/>
                <w:sz w:val="20"/>
                <w:lang w:eastAsia="zh-CN"/>
              </w:rPr>
              <w:t>33</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05BC8" w14:textId="30D95898" w:rsidR="00BE7BDE" w:rsidRPr="005117CD" w:rsidRDefault="00BE7BDE" w:rsidP="00C42314">
            <w:pPr>
              <w:spacing w:after="0" w:line="240" w:lineRule="auto"/>
              <w:jc w:val="center"/>
              <w:rPr>
                <w:color w:val="000000" w:themeColor="text1"/>
                <w:sz w:val="20"/>
                <w:lang w:eastAsia="zh-CN"/>
              </w:rPr>
            </w:pPr>
            <w:r>
              <w:rPr>
                <w:color w:val="000000" w:themeColor="text1"/>
                <w:sz w:val="20"/>
                <w:lang w:eastAsia="zh-CN"/>
              </w:rPr>
              <w:t>53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DC76C" w14:textId="3845AB9B" w:rsidR="00BE7BDE" w:rsidRPr="00C366FA" w:rsidRDefault="00BB5FF5" w:rsidP="00A25356">
            <w:pPr>
              <w:spacing w:after="0" w:line="240" w:lineRule="auto"/>
              <w:jc w:val="center"/>
              <w:rPr>
                <w:sz w:val="20"/>
                <w:lang w:eastAsia="zh-CN"/>
              </w:rPr>
            </w:pPr>
            <w:r>
              <w:rPr>
                <w:sz w:val="20"/>
                <w:lang w:eastAsia="zh-CN"/>
              </w:rPr>
              <w:t>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3B843D1" w14:textId="1DDE460F" w:rsidR="00BE7BDE" w:rsidRPr="00C366FA" w:rsidRDefault="00BE7BDE" w:rsidP="00ED7DC0">
            <w:pPr>
              <w:spacing w:after="0" w:line="240" w:lineRule="auto"/>
              <w:jc w:val="center"/>
              <w:rPr>
                <w:sz w:val="20"/>
                <w:lang w:eastAsia="zh-CN"/>
              </w:rPr>
            </w:pPr>
            <w:r w:rsidRPr="006E4877">
              <w:rPr>
                <w:sz w:val="20"/>
                <w:lang w:eastAsia="zh-CN"/>
              </w:rPr>
              <w:t>5</w:t>
            </w:r>
            <w:r w:rsidR="00ED7DC0" w:rsidRPr="006E4877">
              <w:rPr>
                <w:sz w:val="20"/>
                <w:lang w:eastAsia="zh-CN"/>
              </w:rPr>
              <w:t>7</w:t>
            </w:r>
          </w:p>
        </w:tc>
      </w:tr>
      <w:tr w:rsidR="00470777" w:rsidRPr="0006536D" w14:paraId="45FDE7C4" w14:textId="77777777" w:rsidTr="002F4689">
        <w:trPr>
          <w:trHeight w:val="404"/>
          <w:jc w:val="center"/>
        </w:trPr>
        <w:tc>
          <w:tcPr>
            <w:tcW w:w="3325" w:type="dxa"/>
            <w:vMerge/>
            <w:tcBorders>
              <w:left w:val="single" w:sz="4" w:space="0" w:color="auto"/>
              <w:right w:val="single" w:sz="4" w:space="0" w:color="auto"/>
            </w:tcBorders>
            <w:shd w:val="clear" w:color="auto" w:fill="FFFFFF" w:themeFill="background1"/>
          </w:tcPr>
          <w:p w14:paraId="771DD484" w14:textId="77777777" w:rsidR="00470777" w:rsidRDefault="00470777" w:rsidP="00A25356">
            <w:pPr>
              <w:spacing w:after="0" w:line="240" w:lineRule="auto"/>
              <w:rPr>
                <w:rFonts w:eastAsia="Calibri"/>
                <w:b/>
                <w:sz w:val="20"/>
              </w:rPr>
            </w:pPr>
          </w:p>
        </w:tc>
        <w:tc>
          <w:tcPr>
            <w:tcW w:w="720" w:type="dxa"/>
            <w:vMerge/>
            <w:tcBorders>
              <w:left w:val="single" w:sz="4" w:space="0" w:color="auto"/>
              <w:bottom w:val="single" w:sz="4" w:space="0" w:color="auto"/>
              <w:right w:val="single" w:sz="4" w:space="0" w:color="auto"/>
            </w:tcBorders>
            <w:shd w:val="clear" w:color="auto" w:fill="FFFFFF" w:themeFill="background1"/>
          </w:tcPr>
          <w:p w14:paraId="4E6EBBF8" w14:textId="77777777" w:rsidR="00470777" w:rsidRPr="003D5BD8" w:rsidRDefault="00470777" w:rsidP="00A25356">
            <w:pPr>
              <w:spacing w:after="0" w:line="240" w:lineRule="auto"/>
              <w:rPr>
                <w:rFonts w:eastAsia="Calibri"/>
                <w:b/>
                <w:sz w:val="20"/>
                <w:highlight w:val="yellow"/>
              </w:rPr>
            </w:pPr>
          </w:p>
        </w:tc>
        <w:tc>
          <w:tcPr>
            <w:tcW w:w="10260" w:type="dxa"/>
            <w:gridSpan w:val="5"/>
            <w:tcBorders>
              <w:left w:val="single" w:sz="4" w:space="0" w:color="auto"/>
              <w:bottom w:val="single" w:sz="4" w:space="0" w:color="auto"/>
              <w:right w:val="single" w:sz="4" w:space="0" w:color="auto"/>
            </w:tcBorders>
            <w:shd w:val="clear" w:color="auto" w:fill="D9D9D9" w:themeFill="background1" w:themeFillShade="D9"/>
          </w:tcPr>
          <w:p w14:paraId="092E0837" w14:textId="7E8A8ED0" w:rsidR="00470777" w:rsidRPr="00470777" w:rsidRDefault="00470777" w:rsidP="00964C22">
            <w:pPr>
              <w:spacing w:after="0" w:line="240" w:lineRule="auto"/>
              <w:rPr>
                <w:rFonts w:ascii="Calibri" w:eastAsia="Calibri" w:hAnsi="Calibri" w:cs="Times New Roman"/>
                <w:sz w:val="18"/>
                <w:szCs w:val="18"/>
                <w:lang w:eastAsia="en-US"/>
              </w:rPr>
            </w:pPr>
            <w:r w:rsidRPr="00C42314">
              <w:rPr>
                <w:rFonts w:ascii="Calibri" w:eastAsia="Calibri" w:hAnsi="Calibri" w:cs="Times New Roman"/>
                <w:b/>
                <w:sz w:val="18"/>
                <w:szCs w:val="18"/>
                <w:lang w:eastAsia="en-US"/>
              </w:rPr>
              <w:t xml:space="preserve">Indicator 7.8.1 Note: </w:t>
            </w:r>
            <w:r w:rsidRPr="00C42314">
              <w:rPr>
                <w:rFonts w:ascii="Calibri" w:eastAsia="Calibri" w:hAnsi="Calibri" w:cs="Times New Roman"/>
                <w:sz w:val="18"/>
                <w:szCs w:val="18"/>
                <w:lang w:eastAsia="en-US"/>
              </w:rPr>
              <w:t xml:space="preserve">Data provided by </w:t>
            </w:r>
            <w:r>
              <w:rPr>
                <w:rFonts w:ascii="Calibri" w:eastAsia="Calibri" w:hAnsi="Calibri" w:cs="Times New Roman"/>
                <w:sz w:val="18"/>
                <w:szCs w:val="18"/>
                <w:lang w:eastAsia="en-US"/>
              </w:rPr>
              <w:t>UNDP’s Bureau for Policy and Programme Support (BPPS)</w:t>
            </w:r>
            <w:r w:rsidRPr="00C42314">
              <w:rPr>
                <w:rFonts w:ascii="Calibri" w:eastAsia="Calibri" w:hAnsi="Calibri" w:cs="Times New Roman"/>
                <w:sz w:val="18"/>
                <w:szCs w:val="18"/>
                <w:lang w:eastAsia="en-US"/>
              </w:rPr>
              <w:t xml:space="preserve">. Tracks the number of countries implementing MDGs acceleration action plans with support from UNDP (on demand from programme countries) to accelerate MDGs results. Implementation is defined as having a MAF Action Plan completed and endorsed by relevant country authorities. Number of countries </w:t>
            </w:r>
            <w:r>
              <w:rPr>
                <w:rFonts w:ascii="Calibri" w:eastAsia="Calibri" w:hAnsi="Calibri" w:cs="Times New Roman"/>
                <w:sz w:val="18"/>
                <w:szCs w:val="18"/>
                <w:lang w:eastAsia="en-US"/>
              </w:rPr>
              <w:t>is</w:t>
            </w:r>
            <w:r w:rsidRPr="00C42314">
              <w:rPr>
                <w:rFonts w:ascii="Calibri" w:eastAsia="Calibri" w:hAnsi="Calibri" w:cs="Times New Roman"/>
                <w:sz w:val="18"/>
                <w:szCs w:val="18"/>
                <w:lang w:eastAsia="en-US"/>
              </w:rPr>
              <w:t xml:space="preserve"> cumulative, and each country is only counted once even if multiple plans exist</w:t>
            </w:r>
            <w:r>
              <w:rPr>
                <w:rFonts w:ascii="Calibri" w:eastAsia="Calibri" w:hAnsi="Calibri" w:cs="Times New Roman"/>
                <w:sz w:val="18"/>
                <w:szCs w:val="18"/>
                <w:lang w:eastAsia="en-US"/>
              </w:rPr>
              <w:t xml:space="preserve"> at national and sub-national </w:t>
            </w:r>
            <w:r w:rsidRPr="004E5B99">
              <w:rPr>
                <w:rFonts w:ascii="Calibri" w:eastAsia="Calibri" w:hAnsi="Calibri" w:cs="Times New Roman"/>
                <w:sz w:val="18"/>
                <w:szCs w:val="18"/>
                <w:lang w:eastAsia="en-US"/>
              </w:rPr>
              <w:t xml:space="preserve">levels. See indicator </w:t>
            </w:r>
            <w:r w:rsidRPr="004E5B99">
              <w:rPr>
                <w:rFonts w:ascii="Calibri" w:eastAsia="Calibri" w:hAnsi="Calibri" w:cs="Times New Roman"/>
                <w:b/>
                <w:sz w:val="18"/>
                <w:szCs w:val="18"/>
                <w:lang w:eastAsia="en-US"/>
              </w:rPr>
              <w:t>7.8.2</w:t>
            </w:r>
            <w:r w:rsidRPr="004E5B99">
              <w:rPr>
                <w:rFonts w:ascii="Calibri" w:eastAsia="Calibri" w:hAnsi="Calibri" w:cs="Times New Roman"/>
                <w:sz w:val="18"/>
                <w:szCs w:val="18"/>
                <w:lang w:eastAsia="en-US"/>
              </w:rPr>
              <w:t xml:space="preserve"> for related data: new plans from 2015 onwards</w:t>
            </w:r>
            <w:r>
              <w:rPr>
                <w:rFonts w:ascii="Calibri" w:eastAsia="Calibri" w:hAnsi="Calibri" w:cs="Times New Roman"/>
                <w:sz w:val="18"/>
                <w:szCs w:val="18"/>
                <w:lang w:eastAsia="en-US"/>
              </w:rPr>
              <w:t xml:space="preserve"> are captured via the related indicator, as those put in place to “close the unfinished business” of the MDGs and/or for transition to SDGs.</w:t>
            </w:r>
          </w:p>
        </w:tc>
      </w:tr>
      <w:tr w:rsidR="00BE7BDE" w:rsidRPr="0006536D" w14:paraId="058CFE77" w14:textId="77777777" w:rsidTr="00C21D86">
        <w:trPr>
          <w:trHeight w:val="404"/>
          <w:jc w:val="center"/>
        </w:trPr>
        <w:tc>
          <w:tcPr>
            <w:tcW w:w="3325" w:type="dxa"/>
            <w:vMerge/>
            <w:tcBorders>
              <w:left w:val="single" w:sz="4" w:space="0" w:color="auto"/>
              <w:right w:val="single" w:sz="4" w:space="0" w:color="auto"/>
            </w:tcBorders>
            <w:shd w:val="clear" w:color="auto" w:fill="FFFFFF" w:themeFill="background1"/>
            <w:vAlign w:val="center"/>
          </w:tcPr>
          <w:p w14:paraId="38B1367A" w14:textId="77777777" w:rsidR="00BE7BDE" w:rsidRDefault="00BE7BDE" w:rsidP="00A25356">
            <w:pPr>
              <w:spacing w:after="0" w:line="240" w:lineRule="auto"/>
              <w:rPr>
                <w:rFonts w:eastAsia="Calibri"/>
                <w:b/>
                <w:sz w:val="20"/>
              </w:rPr>
            </w:pPr>
          </w:p>
        </w:tc>
        <w:tc>
          <w:tcPr>
            <w:tcW w:w="720" w:type="dxa"/>
            <w:vMerge w:val="restart"/>
            <w:tcBorders>
              <w:top w:val="single" w:sz="4" w:space="0" w:color="auto"/>
              <w:left w:val="single" w:sz="4" w:space="0" w:color="auto"/>
              <w:right w:val="single" w:sz="4" w:space="0" w:color="auto"/>
            </w:tcBorders>
            <w:shd w:val="clear" w:color="auto" w:fill="FFFFFF" w:themeFill="background1"/>
          </w:tcPr>
          <w:p w14:paraId="0183ABDC" w14:textId="77777777" w:rsidR="00BE7BDE" w:rsidRDefault="00BE7BDE" w:rsidP="00A25356">
            <w:pPr>
              <w:spacing w:after="0" w:line="240" w:lineRule="auto"/>
              <w:rPr>
                <w:rFonts w:eastAsia="Calibri"/>
                <w:b/>
                <w:sz w:val="20"/>
              </w:rPr>
            </w:pPr>
            <w:r>
              <w:rPr>
                <w:rFonts w:eastAsia="Calibri"/>
                <w:b/>
                <w:sz w:val="20"/>
              </w:rPr>
              <w:t>7.8.2</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14:paraId="3364B99D" w14:textId="0E0A628A" w:rsidR="00BE7BDE" w:rsidRPr="00B66E9F" w:rsidRDefault="00BE7BDE" w:rsidP="00A25356">
            <w:pPr>
              <w:spacing w:after="0" w:line="240" w:lineRule="auto"/>
              <w:rPr>
                <w:rFonts w:eastAsia="Calibri"/>
                <w:sz w:val="20"/>
              </w:rPr>
            </w:pPr>
            <w:r w:rsidRPr="0015540B">
              <w:rPr>
                <w:sz w:val="20"/>
                <w:szCs w:val="20"/>
              </w:rPr>
              <w:t>Number of countries developing action plans to “</w:t>
            </w:r>
            <w:r w:rsidRPr="00D842B6">
              <w:rPr>
                <w:b/>
                <w:sz w:val="20"/>
                <w:szCs w:val="20"/>
              </w:rPr>
              <w:t>close the unfinished business” of the MDGs and transition to the</w:t>
            </w:r>
            <w:r w:rsidRPr="0015540B">
              <w:rPr>
                <w:sz w:val="20"/>
                <w:szCs w:val="20"/>
              </w:rPr>
              <w:t xml:space="preserve"> </w:t>
            </w:r>
            <w:r w:rsidRPr="00D842B6">
              <w:rPr>
                <w:b/>
                <w:sz w:val="20"/>
                <w:szCs w:val="20"/>
              </w:rPr>
              <w:t>SDGs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199B3" w14:textId="77777777" w:rsidR="00BE7BDE" w:rsidRPr="005117CD" w:rsidRDefault="00BE7BDE" w:rsidP="00A25356">
            <w:pPr>
              <w:spacing w:after="0" w:line="240" w:lineRule="auto"/>
              <w:jc w:val="center"/>
              <w:rPr>
                <w:color w:val="000000" w:themeColor="text1"/>
                <w:sz w:val="20"/>
                <w:lang w:eastAsia="zh-CN"/>
              </w:rPr>
            </w:pPr>
            <w:r w:rsidRPr="005117CD">
              <w:rPr>
                <w:color w:val="000000" w:themeColor="text1"/>
                <w:sz w:val="20"/>
                <w:lang w:eastAsia="zh-CN"/>
              </w:rPr>
              <w:t>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28F5" w14:textId="4F2518B0" w:rsidR="00BE7BDE" w:rsidRPr="005117CD" w:rsidRDefault="00BE7BDE" w:rsidP="00C366FA">
            <w:pPr>
              <w:spacing w:after="0" w:line="240" w:lineRule="auto"/>
              <w:jc w:val="center"/>
              <w:rPr>
                <w:color w:val="000000" w:themeColor="text1"/>
                <w:sz w:val="20"/>
                <w:lang w:eastAsia="zh-CN"/>
              </w:rPr>
            </w:pPr>
            <w:r>
              <w:rPr>
                <w:color w:val="000000" w:themeColor="text1"/>
                <w:sz w:val="20"/>
                <w:lang w:eastAsia="zh-CN"/>
              </w:rPr>
              <w:t>4</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9EE5C" w14:textId="5742138C" w:rsidR="00BE7BDE" w:rsidRPr="005117CD" w:rsidRDefault="00E73D18" w:rsidP="00C366FA">
            <w:pPr>
              <w:spacing w:after="0" w:line="240" w:lineRule="auto"/>
              <w:jc w:val="center"/>
              <w:rPr>
                <w:color w:val="000000" w:themeColor="text1"/>
                <w:sz w:val="20"/>
                <w:lang w:eastAsia="zh-CN"/>
              </w:rPr>
            </w:pPr>
            <w:r>
              <w:rPr>
                <w:color w:val="000000" w:themeColor="text1"/>
                <w:sz w:val="20"/>
                <w:lang w:eastAsia="zh-CN"/>
              </w:rPr>
              <w:t>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A1179" w14:textId="7E444B3D" w:rsidR="00BE7BDE" w:rsidRPr="005117CD" w:rsidRDefault="00BE7BDE" w:rsidP="00C366FA">
            <w:pPr>
              <w:spacing w:after="0" w:line="240" w:lineRule="auto"/>
              <w:jc w:val="center"/>
              <w:rPr>
                <w:color w:val="000000" w:themeColor="text1"/>
                <w:sz w:val="20"/>
                <w:lang w:eastAsia="zh-CN"/>
              </w:rPr>
            </w:pPr>
            <w:r>
              <w:rPr>
                <w:color w:val="000000" w:themeColor="text1"/>
                <w:sz w:val="20"/>
                <w:lang w:eastAsia="zh-CN"/>
              </w:rPr>
              <w:t>24</w:t>
            </w:r>
          </w:p>
        </w:tc>
      </w:tr>
      <w:tr w:rsidR="00470777" w:rsidRPr="0006536D" w14:paraId="72815DD6" w14:textId="77777777" w:rsidTr="002F4689">
        <w:trPr>
          <w:trHeight w:val="404"/>
          <w:jc w:val="center"/>
        </w:trPr>
        <w:tc>
          <w:tcPr>
            <w:tcW w:w="3325" w:type="dxa"/>
            <w:vMerge/>
            <w:tcBorders>
              <w:left w:val="single" w:sz="4" w:space="0" w:color="auto"/>
              <w:right w:val="single" w:sz="4" w:space="0" w:color="auto"/>
            </w:tcBorders>
            <w:shd w:val="clear" w:color="auto" w:fill="FFFFFF" w:themeFill="background1"/>
            <w:vAlign w:val="center"/>
          </w:tcPr>
          <w:p w14:paraId="0D0AD4DB" w14:textId="77777777" w:rsidR="00470777" w:rsidRDefault="00470777" w:rsidP="00A25356">
            <w:pPr>
              <w:spacing w:after="0" w:line="240" w:lineRule="auto"/>
              <w:rPr>
                <w:rFonts w:eastAsia="Calibri"/>
                <w:b/>
                <w:sz w:val="20"/>
              </w:rPr>
            </w:pPr>
          </w:p>
        </w:tc>
        <w:tc>
          <w:tcPr>
            <w:tcW w:w="720" w:type="dxa"/>
            <w:vMerge/>
            <w:tcBorders>
              <w:left w:val="single" w:sz="4" w:space="0" w:color="auto"/>
              <w:bottom w:val="single" w:sz="4" w:space="0" w:color="auto"/>
              <w:right w:val="single" w:sz="4" w:space="0" w:color="auto"/>
            </w:tcBorders>
            <w:shd w:val="clear" w:color="auto" w:fill="FFFFFF" w:themeFill="background1"/>
          </w:tcPr>
          <w:p w14:paraId="73947CD1" w14:textId="77777777" w:rsidR="00470777" w:rsidRDefault="00470777" w:rsidP="00A25356">
            <w:pPr>
              <w:spacing w:after="0" w:line="240" w:lineRule="auto"/>
              <w:rPr>
                <w:rFonts w:eastAsia="Calibri"/>
                <w:b/>
                <w:sz w:val="20"/>
              </w:rPr>
            </w:pPr>
          </w:p>
        </w:tc>
        <w:tc>
          <w:tcPr>
            <w:tcW w:w="10260" w:type="dxa"/>
            <w:gridSpan w:val="5"/>
            <w:tcBorders>
              <w:left w:val="single" w:sz="4" w:space="0" w:color="auto"/>
              <w:bottom w:val="single" w:sz="4" w:space="0" w:color="auto"/>
              <w:right w:val="single" w:sz="4" w:space="0" w:color="auto"/>
            </w:tcBorders>
            <w:shd w:val="clear" w:color="auto" w:fill="D9D9D9" w:themeFill="background1" w:themeFillShade="D9"/>
          </w:tcPr>
          <w:p w14:paraId="22856506" w14:textId="4933E0F2" w:rsidR="00470777" w:rsidRPr="00E65265" w:rsidRDefault="00470777" w:rsidP="00AF7CC4">
            <w:pPr>
              <w:spacing w:after="0" w:line="240" w:lineRule="auto"/>
              <w:rPr>
                <w:rFonts w:ascii="Calibri" w:eastAsia="Calibri" w:hAnsi="Calibri" w:cs="Times New Roman"/>
                <w:b/>
                <w:sz w:val="18"/>
                <w:szCs w:val="18"/>
                <w:lang w:eastAsia="en-US"/>
              </w:rPr>
            </w:pPr>
            <w:r w:rsidRPr="00E65265">
              <w:rPr>
                <w:rFonts w:ascii="Calibri" w:eastAsia="Calibri" w:hAnsi="Calibri" w:cs="Times New Roman"/>
                <w:b/>
                <w:sz w:val="18"/>
                <w:szCs w:val="18"/>
                <w:lang w:eastAsia="en-US"/>
              </w:rPr>
              <w:t xml:space="preserve">Indicator 7.8.2 Note: </w:t>
            </w:r>
            <w:r w:rsidRPr="00E65265">
              <w:rPr>
                <w:rFonts w:ascii="Calibri" w:eastAsia="Calibri" w:hAnsi="Calibri" w:cs="Times New Roman"/>
                <w:sz w:val="18"/>
                <w:szCs w:val="18"/>
                <w:lang w:eastAsia="en-US"/>
              </w:rPr>
              <w:t xml:space="preserve">Data provided by </w:t>
            </w:r>
            <w:r>
              <w:rPr>
                <w:rFonts w:ascii="Calibri" w:eastAsia="Calibri" w:hAnsi="Calibri" w:cs="Times New Roman"/>
                <w:sz w:val="18"/>
                <w:szCs w:val="18"/>
                <w:lang w:eastAsia="en-US"/>
              </w:rPr>
              <w:t>UNDP’s Bureau for Policy and Programme Support (BPPS)</w:t>
            </w:r>
            <w:r w:rsidRPr="00E65265">
              <w:rPr>
                <w:rFonts w:ascii="Calibri" w:eastAsia="Calibri" w:hAnsi="Calibri" w:cs="Times New Roman"/>
                <w:sz w:val="18"/>
                <w:szCs w:val="18"/>
                <w:lang w:eastAsia="en-US"/>
              </w:rPr>
              <w:t>.</w:t>
            </w:r>
            <w:r w:rsidRPr="00E65265">
              <w:rPr>
                <w:rFonts w:ascii="Calibri" w:eastAsia="Calibri" w:hAnsi="Calibri" w:cs="Times New Roman"/>
                <w:b/>
                <w:sz w:val="18"/>
                <w:szCs w:val="18"/>
                <w:lang w:eastAsia="en-US"/>
              </w:rPr>
              <w:t xml:space="preserve"> </w:t>
            </w:r>
            <w:r w:rsidRPr="00E65265">
              <w:rPr>
                <w:rFonts w:ascii="Calibri" w:eastAsia="Calibri" w:hAnsi="Calibri" w:cs="Times New Roman"/>
                <w:sz w:val="18"/>
                <w:szCs w:val="18"/>
                <w:lang w:eastAsia="en-US"/>
              </w:rPr>
              <w:t xml:space="preserve">Tracks the number of countries developing actions plans with support from UNDP (on demand from programme countries) to “close the unfinished business” of the MDGs and transition to the SDGs. An Action Plan “being developed” is defined as </w:t>
            </w:r>
            <w:r w:rsidRPr="00470777">
              <w:rPr>
                <w:i/>
                <w:sz w:val="18"/>
                <w:szCs w:val="18"/>
              </w:rPr>
              <w:t xml:space="preserve">the MAF and/or transition planning process having already been launched and the plan being in its development phase </w:t>
            </w:r>
            <w:r w:rsidRPr="00E65265">
              <w:rPr>
                <w:sz w:val="18"/>
                <w:szCs w:val="18"/>
              </w:rPr>
              <w:t xml:space="preserve">(i.e., the plan is yet to be completed and endorsed by relevant country authorities). </w:t>
            </w:r>
            <w:r w:rsidRPr="00C42314">
              <w:rPr>
                <w:rFonts w:ascii="Calibri" w:eastAsia="Calibri" w:hAnsi="Calibri" w:cs="Times New Roman"/>
                <w:sz w:val="18"/>
                <w:szCs w:val="18"/>
                <w:lang w:eastAsia="en-US"/>
              </w:rPr>
              <w:t xml:space="preserve">Number of countries </w:t>
            </w:r>
            <w:r>
              <w:rPr>
                <w:rFonts w:ascii="Calibri" w:eastAsia="Calibri" w:hAnsi="Calibri" w:cs="Times New Roman"/>
                <w:sz w:val="18"/>
                <w:szCs w:val="18"/>
                <w:lang w:eastAsia="en-US"/>
              </w:rPr>
              <w:t>is</w:t>
            </w:r>
            <w:r w:rsidRPr="00C42314">
              <w:rPr>
                <w:rFonts w:ascii="Calibri" w:eastAsia="Calibri" w:hAnsi="Calibri" w:cs="Times New Roman"/>
                <w:sz w:val="18"/>
                <w:szCs w:val="18"/>
                <w:lang w:eastAsia="en-US"/>
              </w:rPr>
              <w:t xml:space="preserve"> cumulative, and each country is only counted once even if multiple plans </w:t>
            </w:r>
            <w:r>
              <w:rPr>
                <w:rFonts w:ascii="Calibri" w:eastAsia="Calibri" w:hAnsi="Calibri" w:cs="Times New Roman"/>
                <w:sz w:val="18"/>
                <w:szCs w:val="18"/>
                <w:lang w:eastAsia="en-US"/>
              </w:rPr>
              <w:t xml:space="preserve">are being developed at national and sub-national levels. See indicator </w:t>
            </w:r>
            <w:r w:rsidRPr="00741326">
              <w:rPr>
                <w:rFonts w:ascii="Calibri" w:eastAsia="Calibri" w:hAnsi="Calibri" w:cs="Times New Roman"/>
                <w:b/>
                <w:sz w:val="18"/>
                <w:szCs w:val="18"/>
                <w:lang w:eastAsia="en-US"/>
              </w:rPr>
              <w:t>7.8.</w:t>
            </w:r>
            <w:r>
              <w:rPr>
                <w:rFonts w:ascii="Calibri" w:eastAsia="Calibri" w:hAnsi="Calibri" w:cs="Times New Roman"/>
                <w:b/>
                <w:sz w:val="18"/>
                <w:szCs w:val="18"/>
                <w:lang w:eastAsia="en-US"/>
              </w:rPr>
              <w:t>1</w:t>
            </w:r>
            <w:r>
              <w:rPr>
                <w:rFonts w:ascii="Calibri" w:eastAsia="Calibri" w:hAnsi="Calibri" w:cs="Times New Roman"/>
                <w:sz w:val="18"/>
                <w:szCs w:val="18"/>
                <w:lang w:eastAsia="en-US"/>
              </w:rPr>
              <w:t xml:space="preserve"> for related data.</w:t>
            </w:r>
          </w:p>
        </w:tc>
      </w:tr>
    </w:tbl>
    <w:p w14:paraId="67F9BF98" w14:textId="77777777" w:rsidR="00724F77" w:rsidRDefault="00724F77" w:rsidP="00724F77">
      <w:pPr>
        <w:tabs>
          <w:tab w:val="left" w:pos="720"/>
        </w:tabs>
        <w:jc w:val="both"/>
        <w:rPr>
          <w:rFonts w:ascii="Calibri" w:eastAsia="Calibri" w:hAnsi="Calibri"/>
        </w:rPr>
      </w:pPr>
    </w:p>
    <w:p w14:paraId="1A83F060" w14:textId="77777777" w:rsidR="00BE6836" w:rsidRDefault="00BE6836">
      <w:pPr>
        <w:rPr>
          <w:rFonts w:eastAsia="Calibri"/>
        </w:rPr>
        <w:sectPr w:rsidR="00BE6836" w:rsidSect="00FF579E">
          <w:footerReference w:type="default" r:id="rId11"/>
          <w:pgSz w:w="15840" w:h="12240" w:orient="landscape"/>
          <w:pgMar w:top="1440" w:right="1440" w:bottom="1440" w:left="1440" w:header="720" w:footer="720" w:gutter="0"/>
          <w:cols w:space="720"/>
          <w:docGrid w:linePitch="360"/>
        </w:sectPr>
      </w:pPr>
    </w:p>
    <w:p w14:paraId="2B86D4E8" w14:textId="77777777" w:rsidR="00EB1316" w:rsidRDefault="00EB1316" w:rsidP="00EB1316">
      <w:pPr>
        <w:keepNext/>
        <w:tabs>
          <w:tab w:val="left" w:pos="1080"/>
        </w:tabs>
        <w:spacing w:after="0" w:line="240" w:lineRule="auto"/>
        <w:ind w:left="720" w:hanging="360"/>
        <w:outlineLvl w:val="1"/>
        <w:rPr>
          <w:rFonts w:eastAsia="SimSun" w:cs="Times New Roman"/>
          <w:b/>
          <w:sz w:val="24"/>
          <w:szCs w:val="20"/>
          <w:lang w:val="x-none" w:eastAsia="x-none"/>
        </w:rPr>
      </w:pPr>
      <w:bookmarkStart w:id="3" w:name="_Toc388634195"/>
      <w:r w:rsidRPr="00C7021E">
        <w:rPr>
          <w:rFonts w:eastAsia="Calibri" w:cs="Times New Roman"/>
          <w:b/>
          <w:sz w:val="24"/>
          <w:szCs w:val="24"/>
          <w:lang w:eastAsia="x-none"/>
        </w:rPr>
        <w:t xml:space="preserve">Tier Three: </w:t>
      </w:r>
      <w:r w:rsidRPr="00C7021E">
        <w:rPr>
          <w:rFonts w:eastAsia="SimSun" w:cs="Times New Roman"/>
          <w:b/>
          <w:sz w:val="24"/>
          <w:szCs w:val="24"/>
          <w:lang w:val="x-none" w:eastAsia="x-none"/>
        </w:rPr>
        <w:t>Organizational</w:t>
      </w:r>
      <w:r w:rsidRPr="00C7021E">
        <w:rPr>
          <w:rFonts w:eastAsia="SimSun" w:cs="Times New Roman"/>
          <w:b/>
          <w:sz w:val="24"/>
          <w:szCs w:val="20"/>
          <w:lang w:val="x-none" w:eastAsia="x-none"/>
        </w:rPr>
        <w:t xml:space="preserve"> Effectiveness and Efficiency</w:t>
      </w:r>
      <w:bookmarkEnd w:id="3"/>
    </w:p>
    <w:p w14:paraId="6EA29E39" w14:textId="77777777" w:rsidR="00EB1316" w:rsidRPr="00C7021E" w:rsidRDefault="00EB1316" w:rsidP="00EB1316">
      <w:pPr>
        <w:keepNext/>
        <w:tabs>
          <w:tab w:val="left" w:pos="1080"/>
        </w:tabs>
        <w:spacing w:after="0" w:line="240" w:lineRule="auto"/>
        <w:ind w:left="720" w:hanging="360"/>
        <w:outlineLvl w:val="1"/>
        <w:rPr>
          <w:rFonts w:eastAsia="SimSun" w:cs="Times New Roman"/>
          <w:b/>
          <w:sz w:val="24"/>
          <w:szCs w:val="20"/>
          <w:lang w:val="x-none" w:eastAsia="x-none"/>
        </w:rPr>
      </w:pPr>
    </w:p>
    <w:tbl>
      <w:tblPr>
        <w:tblW w:w="14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540"/>
        <w:gridCol w:w="5130"/>
        <w:gridCol w:w="1800"/>
        <w:gridCol w:w="1530"/>
        <w:gridCol w:w="1710"/>
        <w:gridCol w:w="1530"/>
      </w:tblGrid>
      <w:tr w:rsidR="00EB1316" w:rsidRPr="00C7021E" w14:paraId="6F0A380C" w14:textId="77777777" w:rsidTr="009C5083">
        <w:trPr>
          <w:trHeight w:val="323"/>
          <w:tblHeader/>
          <w:jc w:val="center"/>
        </w:trPr>
        <w:tc>
          <w:tcPr>
            <w:tcW w:w="14305" w:type="dxa"/>
            <w:gridSpan w:val="7"/>
            <w:shd w:val="clear" w:color="auto" w:fill="F2F2F2"/>
            <w:vAlign w:val="center"/>
          </w:tcPr>
          <w:p w14:paraId="6F9CD7A8"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Higher quality programmes through results-based management</w:t>
            </w:r>
          </w:p>
        </w:tc>
      </w:tr>
      <w:tr w:rsidR="00EB1316" w:rsidRPr="00C7021E" w14:paraId="2199178C" w14:textId="77777777" w:rsidTr="009C5083">
        <w:trPr>
          <w:trHeight w:val="287"/>
          <w:tblHeader/>
          <w:jc w:val="center"/>
        </w:trPr>
        <w:tc>
          <w:tcPr>
            <w:tcW w:w="14305" w:type="dxa"/>
            <w:gridSpan w:val="7"/>
            <w:shd w:val="clear" w:color="auto" w:fill="0070C0"/>
            <w:vAlign w:val="center"/>
          </w:tcPr>
          <w:p w14:paraId="7615137A" w14:textId="77777777" w:rsidR="00EB1316" w:rsidRPr="00D050E9" w:rsidRDefault="00EB1316" w:rsidP="009C5083">
            <w:pPr>
              <w:keepNext/>
              <w:spacing w:after="0"/>
              <w:outlineLvl w:val="2"/>
              <w:rPr>
                <w:rFonts w:eastAsia="Times New Roman"/>
                <w:color w:val="FFFFFF"/>
                <w:szCs w:val="20"/>
                <w:lang w:val="x-none" w:eastAsia="x-none"/>
              </w:rPr>
            </w:pPr>
            <w:r w:rsidRPr="00D050E9">
              <w:rPr>
                <w:rFonts w:eastAsia="Times New Roman"/>
                <w:color w:val="FFFFFF"/>
                <w:szCs w:val="20"/>
                <w:lang w:val="x-none" w:eastAsia="x-none"/>
              </w:rPr>
              <w:t xml:space="preserve">[Cost Classification: </w:t>
            </w:r>
            <w:r w:rsidRPr="00D050E9">
              <w:rPr>
                <w:rFonts w:eastAsia="Times New Roman"/>
                <w:color w:val="FFFFFF" w:themeColor="background1"/>
                <w:szCs w:val="20"/>
                <w:lang w:val="x-none" w:eastAsia="x-none"/>
              </w:rPr>
              <w:t xml:space="preserve">Development Effectiveness]  </w:t>
            </w:r>
            <w:r w:rsidRPr="00D050E9">
              <w:rPr>
                <w:rFonts w:eastAsia="Calibri"/>
                <w:b/>
                <w:color w:val="FFFFFF" w:themeColor="background1"/>
                <w:szCs w:val="20"/>
                <w:lang w:val="x-none" w:eastAsia="x-none"/>
              </w:rPr>
              <w:t xml:space="preserve"> </w:t>
            </w:r>
            <w:r w:rsidRPr="00D050E9">
              <w:rPr>
                <w:rFonts w:eastAsia="Calibri"/>
                <w:b/>
                <w:color w:val="FFFFFF" w:themeColor="background1"/>
                <w:szCs w:val="20"/>
                <w:lang w:eastAsia="x-none"/>
              </w:rPr>
              <w:t xml:space="preserve">1. </w:t>
            </w:r>
            <w:r w:rsidRPr="00D050E9">
              <w:rPr>
                <w:rFonts w:eastAsia="Calibri"/>
                <w:b/>
                <w:color w:val="FFFFFF" w:themeColor="background1"/>
                <w:szCs w:val="20"/>
                <w:lang w:val="x-none" w:eastAsia="x-none"/>
              </w:rPr>
              <w:t xml:space="preserve">IMPROVED ACCOUNTABILITY OF RESULTS </w:t>
            </w:r>
          </w:p>
        </w:tc>
      </w:tr>
      <w:tr w:rsidR="00EB1316" w:rsidRPr="00C7021E" w14:paraId="66012550" w14:textId="77777777" w:rsidTr="009C5083">
        <w:trPr>
          <w:trHeight w:val="287"/>
          <w:tblHeader/>
          <w:jc w:val="center"/>
        </w:trPr>
        <w:tc>
          <w:tcPr>
            <w:tcW w:w="2065" w:type="dxa"/>
            <w:shd w:val="clear" w:color="auto" w:fill="DBE5F1" w:themeFill="accent1" w:themeFillTint="33"/>
            <w:vAlign w:val="center"/>
          </w:tcPr>
          <w:p w14:paraId="092922D0"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 xml:space="preserve">Results statement: </w:t>
            </w:r>
          </w:p>
        </w:tc>
        <w:tc>
          <w:tcPr>
            <w:tcW w:w="540" w:type="dxa"/>
            <w:shd w:val="clear" w:color="auto" w:fill="DBE5F1" w:themeFill="accent1" w:themeFillTint="33"/>
            <w:vAlign w:val="center"/>
          </w:tcPr>
          <w:p w14:paraId="0A294DF2"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No.</w:t>
            </w:r>
          </w:p>
        </w:tc>
        <w:tc>
          <w:tcPr>
            <w:tcW w:w="5130" w:type="dxa"/>
            <w:shd w:val="clear" w:color="auto" w:fill="DBE5F1" w:themeFill="accent1" w:themeFillTint="33"/>
            <w:vAlign w:val="center"/>
          </w:tcPr>
          <w:p w14:paraId="6DA00238"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Indicator</w:t>
            </w:r>
          </w:p>
        </w:tc>
        <w:tc>
          <w:tcPr>
            <w:tcW w:w="1800" w:type="dxa"/>
            <w:shd w:val="clear" w:color="auto" w:fill="DBE5F1" w:themeFill="accent1" w:themeFillTint="33"/>
            <w:vAlign w:val="center"/>
          </w:tcPr>
          <w:p w14:paraId="2E821F39" w14:textId="77777777" w:rsidR="00EB1316" w:rsidRPr="00C7021E" w:rsidRDefault="00EB1316" w:rsidP="009C5083">
            <w:pPr>
              <w:spacing w:after="0" w:line="240" w:lineRule="auto"/>
              <w:jc w:val="center"/>
              <w:rPr>
                <w:rFonts w:eastAsia="Calibri" w:cs="Times New Roman"/>
                <w:b/>
                <w:sz w:val="20"/>
                <w:szCs w:val="20"/>
                <w:lang w:val="en-GB" w:eastAsia="en-US"/>
              </w:rPr>
            </w:pPr>
            <w:r>
              <w:rPr>
                <w:rFonts w:eastAsia="Calibri" w:cs="Times New Roman"/>
                <w:b/>
                <w:sz w:val="20"/>
                <w:szCs w:val="20"/>
                <w:lang w:val="en-GB" w:eastAsia="en-US"/>
              </w:rPr>
              <w:t xml:space="preserve">Baseline </w:t>
            </w:r>
            <w:r w:rsidRPr="002C7D6D">
              <w:rPr>
                <w:rFonts w:eastAsia="Calibri" w:cs="Times New Roman"/>
                <w:b/>
                <w:sz w:val="20"/>
                <w:szCs w:val="20"/>
                <w:lang w:val="en-GB" w:eastAsia="en-US"/>
              </w:rPr>
              <w:t>2013</w:t>
            </w:r>
          </w:p>
        </w:tc>
        <w:tc>
          <w:tcPr>
            <w:tcW w:w="1530" w:type="dxa"/>
            <w:shd w:val="clear" w:color="auto" w:fill="DBE5F1" w:themeFill="accent1" w:themeFillTint="33"/>
            <w:vAlign w:val="center"/>
          </w:tcPr>
          <w:p w14:paraId="50F4915E" w14:textId="77777777" w:rsidR="00EB1316" w:rsidRDefault="00EB1316" w:rsidP="009C5083">
            <w:pPr>
              <w:spacing w:after="0" w:line="240" w:lineRule="auto"/>
              <w:jc w:val="center"/>
              <w:rPr>
                <w:rFonts w:eastAsia="Calibri" w:cs="Times New Roman"/>
                <w:b/>
                <w:sz w:val="20"/>
                <w:szCs w:val="20"/>
                <w:lang w:val="en-GB" w:eastAsia="en-US"/>
              </w:rPr>
            </w:pPr>
            <w:r>
              <w:rPr>
                <w:rFonts w:eastAsia="Calibri" w:cs="Times New Roman"/>
                <w:b/>
                <w:sz w:val="20"/>
                <w:szCs w:val="20"/>
                <w:lang w:val="en-GB" w:eastAsia="en-US"/>
              </w:rPr>
              <w:t>Milestone 2014</w:t>
            </w:r>
          </w:p>
        </w:tc>
        <w:tc>
          <w:tcPr>
            <w:tcW w:w="1710" w:type="dxa"/>
            <w:shd w:val="clear" w:color="auto" w:fill="DBE5F1" w:themeFill="accent1" w:themeFillTint="33"/>
            <w:vAlign w:val="center"/>
          </w:tcPr>
          <w:p w14:paraId="51799DD0" w14:textId="77777777" w:rsidR="00EB1316" w:rsidRPr="00C7021E" w:rsidRDefault="00EB1316" w:rsidP="009C5083">
            <w:pPr>
              <w:spacing w:after="0" w:line="240" w:lineRule="auto"/>
              <w:jc w:val="center"/>
              <w:rPr>
                <w:rFonts w:eastAsia="Calibri" w:cs="Times New Roman"/>
                <w:b/>
                <w:sz w:val="20"/>
                <w:szCs w:val="20"/>
                <w:lang w:val="en-GB" w:eastAsia="en-US"/>
              </w:rPr>
            </w:pPr>
            <w:r>
              <w:rPr>
                <w:rFonts w:eastAsia="Calibri" w:cs="Times New Roman"/>
                <w:b/>
                <w:sz w:val="20"/>
                <w:szCs w:val="20"/>
                <w:lang w:val="en-GB" w:eastAsia="en-US"/>
              </w:rPr>
              <w:t>Actual 2014</w:t>
            </w:r>
          </w:p>
        </w:tc>
        <w:tc>
          <w:tcPr>
            <w:tcW w:w="1530" w:type="dxa"/>
            <w:shd w:val="clear" w:color="auto" w:fill="DBE5F1" w:themeFill="accent1" w:themeFillTint="33"/>
            <w:vAlign w:val="center"/>
          </w:tcPr>
          <w:p w14:paraId="41A80629" w14:textId="77777777" w:rsidR="00EB1316" w:rsidRDefault="00EB1316" w:rsidP="009C5083">
            <w:pPr>
              <w:spacing w:after="0" w:line="240" w:lineRule="auto"/>
              <w:jc w:val="center"/>
              <w:rPr>
                <w:rFonts w:eastAsia="Calibri" w:cs="Times New Roman"/>
                <w:b/>
                <w:sz w:val="20"/>
                <w:szCs w:val="20"/>
                <w:lang w:val="en-GB" w:eastAsia="en-US"/>
              </w:rPr>
            </w:pPr>
            <w:r>
              <w:rPr>
                <w:rFonts w:eastAsia="Calibri" w:cs="Times New Roman"/>
                <w:b/>
                <w:sz w:val="20"/>
                <w:szCs w:val="20"/>
                <w:lang w:val="en-GB" w:eastAsia="en-US"/>
              </w:rPr>
              <w:t>Target 2017</w:t>
            </w:r>
          </w:p>
        </w:tc>
      </w:tr>
      <w:tr w:rsidR="00EB1316" w:rsidRPr="00C7021E" w14:paraId="37FC3558" w14:textId="77777777" w:rsidTr="009C5083">
        <w:trPr>
          <w:trHeight w:val="755"/>
          <w:jc w:val="center"/>
        </w:trPr>
        <w:tc>
          <w:tcPr>
            <w:tcW w:w="2065" w:type="dxa"/>
            <w:vMerge w:val="restart"/>
            <w:shd w:val="clear" w:color="auto" w:fill="auto"/>
            <w:vAlign w:val="center"/>
          </w:tcPr>
          <w:p w14:paraId="550166C5" w14:textId="77777777" w:rsidR="00EB1316" w:rsidRPr="00C7021E" w:rsidRDefault="00EB1316" w:rsidP="009C5083">
            <w:pPr>
              <w:spacing w:after="0" w:line="240" w:lineRule="auto"/>
              <w:rPr>
                <w:rFonts w:eastAsia="Calibri" w:cs="Times New Roman"/>
                <w:sz w:val="20"/>
                <w:szCs w:val="20"/>
                <w:lang w:val="en-GB" w:eastAsia="en-US"/>
              </w:rPr>
            </w:pPr>
            <w:r w:rsidRPr="00245A7E">
              <w:rPr>
                <w:rFonts w:eastAsia="Calibri" w:cs="Times New Roman"/>
                <w:b/>
                <w:sz w:val="20"/>
                <w:szCs w:val="20"/>
                <w:lang w:val="en-GB" w:eastAsia="en-US"/>
              </w:rPr>
              <w:t>1.1</w:t>
            </w:r>
            <w:r w:rsidRPr="00C7021E">
              <w:rPr>
                <w:rFonts w:eastAsia="Calibri" w:cs="Times New Roman"/>
                <w:sz w:val="20"/>
                <w:szCs w:val="20"/>
                <w:lang w:val="en-GB" w:eastAsia="en-US"/>
              </w:rPr>
              <w:t xml:space="preserve"> Programme</w:t>
            </w:r>
            <w:r w:rsidRPr="00C7021E" w:rsidDel="002347DE">
              <w:rPr>
                <w:rFonts w:eastAsia="Calibri" w:cs="Times New Roman"/>
                <w:sz w:val="20"/>
                <w:szCs w:val="20"/>
                <w:lang w:val="en-GB" w:eastAsia="en-US"/>
              </w:rPr>
              <w:t xml:space="preserve"> </w:t>
            </w:r>
            <w:r w:rsidRPr="00C7021E">
              <w:rPr>
                <w:rFonts w:eastAsia="Calibri" w:cs="Times New Roman"/>
                <w:sz w:val="20"/>
                <w:szCs w:val="20"/>
                <w:lang w:val="en-GB" w:eastAsia="en-US"/>
              </w:rPr>
              <w:t xml:space="preserve">effectiveness enhanced for achieving results at all levels through quality criteria and quality assurance processes </w:t>
            </w:r>
          </w:p>
        </w:tc>
        <w:tc>
          <w:tcPr>
            <w:tcW w:w="540" w:type="dxa"/>
            <w:vMerge w:val="restart"/>
            <w:shd w:val="clear" w:color="auto" w:fill="auto"/>
            <w:vAlign w:val="center"/>
          </w:tcPr>
          <w:p w14:paraId="31D0854F"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1.</w:t>
            </w:r>
          </w:p>
        </w:tc>
        <w:tc>
          <w:tcPr>
            <w:tcW w:w="5130" w:type="dxa"/>
            <w:shd w:val="clear" w:color="auto" w:fill="auto"/>
            <w:vAlign w:val="center"/>
          </w:tcPr>
          <w:p w14:paraId="2796F733" w14:textId="77777777" w:rsidR="00EB1316" w:rsidRPr="00385656" w:rsidRDefault="00EB1316" w:rsidP="009C5083">
            <w:pPr>
              <w:spacing w:after="0" w:line="240" w:lineRule="auto"/>
              <w:rPr>
                <w:rFonts w:eastAsia="Calibri" w:cs="Times New Roman"/>
                <w:sz w:val="20"/>
                <w:szCs w:val="20"/>
                <w:lang w:val="en-GB" w:eastAsia="en-US"/>
              </w:rPr>
            </w:pPr>
            <w:r w:rsidRPr="00385656">
              <w:rPr>
                <w:rFonts w:eastAsia="Calibri" w:cs="Times New Roman"/>
                <w:sz w:val="20"/>
                <w:szCs w:val="20"/>
                <w:lang w:val="en-GB" w:eastAsia="en-US"/>
              </w:rPr>
              <w:t>Percentage of country programme outcomes that are reported as either on-track or achieved (cross checked with evaluation findings)</w:t>
            </w:r>
            <w:r w:rsidRPr="00385656">
              <w:rPr>
                <w:rFonts w:eastAsia="Calibri" w:cs="Times New Roman"/>
                <w:sz w:val="20"/>
                <w:szCs w:val="20"/>
                <w:vertAlign w:val="superscript"/>
                <w:lang w:val="en-GB" w:eastAsia="en-US"/>
              </w:rPr>
              <w:t xml:space="preserve"> </w:t>
            </w:r>
          </w:p>
        </w:tc>
        <w:tc>
          <w:tcPr>
            <w:tcW w:w="1800" w:type="dxa"/>
            <w:shd w:val="clear" w:color="auto" w:fill="auto"/>
            <w:vAlign w:val="center"/>
          </w:tcPr>
          <w:p w14:paraId="65962EA6" w14:textId="77777777" w:rsidR="00EB1316" w:rsidRDefault="00EB1316" w:rsidP="009C5083">
            <w:pPr>
              <w:spacing w:after="0" w:line="240" w:lineRule="auto"/>
              <w:jc w:val="center"/>
              <w:rPr>
                <w:rFonts w:ascii="Calibri" w:eastAsia="Calibri" w:hAnsi="Calibri"/>
                <w:sz w:val="20"/>
              </w:rPr>
            </w:pPr>
            <w:r>
              <w:rPr>
                <w:rFonts w:ascii="Calibri" w:eastAsia="Calibri" w:hAnsi="Calibri"/>
                <w:sz w:val="20"/>
              </w:rPr>
              <w:t>70.6 (ROAR)</w:t>
            </w:r>
          </w:p>
          <w:p w14:paraId="4D888F50" w14:textId="77777777" w:rsidR="00EB1316" w:rsidRPr="00BB2E7A" w:rsidRDefault="00EB1316" w:rsidP="009C5083">
            <w:pPr>
              <w:spacing w:after="0" w:line="240" w:lineRule="auto"/>
              <w:jc w:val="center"/>
              <w:rPr>
                <w:rFonts w:ascii="Calibri" w:eastAsia="Calibri" w:hAnsi="Calibri"/>
                <w:sz w:val="20"/>
              </w:rPr>
            </w:pPr>
            <w:r w:rsidRPr="00BB2E7A">
              <w:rPr>
                <w:rFonts w:ascii="Calibri" w:eastAsia="Calibri" w:hAnsi="Calibri"/>
                <w:sz w:val="20"/>
              </w:rPr>
              <w:t>50</w:t>
            </w:r>
            <w:r>
              <w:rPr>
                <w:rFonts w:ascii="Calibri" w:eastAsia="Calibri" w:hAnsi="Calibri"/>
                <w:sz w:val="20"/>
              </w:rPr>
              <w:t>% (EVAL)</w:t>
            </w:r>
          </w:p>
        </w:tc>
        <w:tc>
          <w:tcPr>
            <w:tcW w:w="1530" w:type="dxa"/>
            <w:shd w:val="clear" w:color="auto" w:fill="auto"/>
            <w:vAlign w:val="center"/>
          </w:tcPr>
          <w:p w14:paraId="0AEED751" w14:textId="77777777" w:rsidR="00EB1316" w:rsidRDefault="00EB1316" w:rsidP="009C5083">
            <w:pPr>
              <w:spacing w:after="0" w:line="240" w:lineRule="auto"/>
              <w:jc w:val="center"/>
              <w:rPr>
                <w:rFonts w:ascii="Calibri" w:eastAsia="Calibri" w:hAnsi="Calibri"/>
                <w:sz w:val="20"/>
              </w:rPr>
            </w:pPr>
            <w:r>
              <w:rPr>
                <w:rFonts w:ascii="Calibri" w:eastAsia="Calibri" w:hAnsi="Calibri"/>
                <w:sz w:val="20"/>
              </w:rPr>
              <w:t>75.6 (ROAR)</w:t>
            </w:r>
          </w:p>
          <w:p w14:paraId="07C6FD72" w14:textId="77777777" w:rsidR="00EB1316" w:rsidRPr="00C7021E" w:rsidRDefault="00EB1316" w:rsidP="009C5083">
            <w:pPr>
              <w:spacing w:after="0" w:line="240" w:lineRule="auto"/>
              <w:jc w:val="center"/>
              <w:rPr>
                <w:rFonts w:eastAsia="Calibri" w:cs="Times New Roman"/>
                <w:sz w:val="20"/>
                <w:szCs w:val="20"/>
                <w:lang w:val="en-GB" w:eastAsia="en-US"/>
              </w:rPr>
            </w:pPr>
            <w:r w:rsidRPr="00BB2E7A">
              <w:rPr>
                <w:rFonts w:ascii="Calibri" w:eastAsia="Calibri" w:hAnsi="Calibri"/>
                <w:sz w:val="20"/>
              </w:rPr>
              <w:t>55%</w:t>
            </w:r>
            <w:r>
              <w:rPr>
                <w:rFonts w:ascii="Calibri" w:eastAsia="Calibri" w:hAnsi="Calibri"/>
                <w:sz w:val="20"/>
              </w:rPr>
              <w:t xml:space="preserve"> (EVAL)</w:t>
            </w:r>
          </w:p>
        </w:tc>
        <w:tc>
          <w:tcPr>
            <w:tcW w:w="1710" w:type="dxa"/>
            <w:shd w:val="clear" w:color="auto" w:fill="auto"/>
            <w:vAlign w:val="center"/>
          </w:tcPr>
          <w:p w14:paraId="77F5A8AC" w14:textId="77777777" w:rsidR="00EB1316" w:rsidRDefault="00EB1316" w:rsidP="009C5083">
            <w:pPr>
              <w:spacing w:after="0" w:line="240" w:lineRule="auto"/>
              <w:jc w:val="center"/>
              <w:rPr>
                <w:rFonts w:ascii="Calibri" w:eastAsia="Calibri" w:hAnsi="Calibri"/>
                <w:sz w:val="20"/>
                <w:szCs w:val="20"/>
              </w:rPr>
            </w:pPr>
            <w:r w:rsidRPr="00936A54">
              <w:rPr>
                <w:rFonts w:ascii="Calibri" w:eastAsia="Calibri" w:hAnsi="Calibri"/>
                <w:sz w:val="20"/>
                <w:szCs w:val="20"/>
              </w:rPr>
              <w:t>76.1%</w:t>
            </w:r>
            <w:r>
              <w:rPr>
                <w:rFonts w:ascii="Calibri" w:eastAsia="Calibri" w:hAnsi="Calibri"/>
                <w:sz w:val="20"/>
                <w:szCs w:val="20"/>
              </w:rPr>
              <w:t xml:space="preserve"> (ROAR)</w:t>
            </w:r>
          </w:p>
          <w:p w14:paraId="2654B969" w14:textId="77777777" w:rsidR="00EB1316" w:rsidRPr="00082566" w:rsidRDefault="00EB1316" w:rsidP="009C5083">
            <w:pPr>
              <w:spacing w:after="0" w:line="240" w:lineRule="auto"/>
              <w:jc w:val="center"/>
              <w:rPr>
                <w:rFonts w:ascii="Calibri" w:eastAsia="Calibri" w:hAnsi="Calibri"/>
                <w:sz w:val="20"/>
                <w:szCs w:val="20"/>
              </w:rPr>
            </w:pPr>
            <w:r>
              <w:rPr>
                <w:rFonts w:ascii="Calibri" w:eastAsia="Calibri" w:hAnsi="Calibri"/>
                <w:sz w:val="20"/>
                <w:szCs w:val="20"/>
              </w:rPr>
              <w:t>Not Available (EVAL)</w:t>
            </w:r>
          </w:p>
        </w:tc>
        <w:tc>
          <w:tcPr>
            <w:tcW w:w="1530" w:type="dxa"/>
            <w:shd w:val="clear" w:color="auto" w:fill="auto"/>
            <w:vAlign w:val="center"/>
          </w:tcPr>
          <w:p w14:paraId="1B59AC6A" w14:textId="77777777" w:rsidR="00EB1316" w:rsidRDefault="00EB1316" w:rsidP="009C5083">
            <w:pPr>
              <w:spacing w:after="0" w:line="240" w:lineRule="auto"/>
              <w:jc w:val="center"/>
              <w:rPr>
                <w:rFonts w:ascii="Calibri" w:eastAsia="Calibri" w:hAnsi="Calibri"/>
                <w:sz w:val="20"/>
                <w:szCs w:val="20"/>
              </w:rPr>
            </w:pPr>
            <w:r>
              <w:rPr>
                <w:rFonts w:ascii="Calibri" w:eastAsia="Calibri" w:hAnsi="Calibri"/>
                <w:sz w:val="20"/>
                <w:szCs w:val="20"/>
              </w:rPr>
              <w:t>TBD (ROAR)</w:t>
            </w:r>
          </w:p>
          <w:p w14:paraId="5A382BFB" w14:textId="77777777" w:rsidR="00EB1316" w:rsidRPr="00936A54" w:rsidRDefault="00EB1316" w:rsidP="009C5083">
            <w:pPr>
              <w:spacing w:after="0" w:line="240" w:lineRule="auto"/>
              <w:jc w:val="center"/>
              <w:rPr>
                <w:rFonts w:ascii="Calibri" w:eastAsia="Calibri" w:hAnsi="Calibri"/>
                <w:sz w:val="20"/>
                <w:szCs w:val="20"/>
              </w:rPr>
            </w:pPr>
            <w:r w:rsidRPr="006A65AD">
              <w:rPr>
                <w:rFonts w:ascii="Calibri" w:eastAsia="Calibri" w:hAnsi="Calibri"/>
                <w:sz w:val="20"/>
                <w:szCs w:val="20"/>
              </w:rPr>
              <w:t>60%</w:t>
            </w:r>
            <w:r>
              <w:rPr>
                <w:rFonts w:ascii="Calibri" w:eastAsia="Calibri" w:hAnsi="Calibri"/>
                <w:sz w:val="20"/>
                <w:szCs w:val="20"/>
              </w:rPr>
              <w:t xml:space="preserve"> (EVAL)</w:t>
            </w:r>
          </w:p>
        </w:tc>
      </w:tr>
      <w:tr w:rsidR="00EB1316" w:rsidRPr="00C7021E" w14:paraId="685E5BD6" w14:textId="77777777" w:rsidTr="009C5083">
        <w:trPr>
          <w:trHeight w:val="593"/>
          <w:jc w:val="center"/>
        </w:trPr>
        <w:tc>
          <w:tcPr>
            <w:tcW w:w="2065" w:type="dxa"/>
            <w:vMerge/>
            <w:shd w:val="clear" w:color="auto" w:fill="auto"/>
            <w:vAlign w:val="center"/>
          </w:tcPr>
          <w:p w14:paraId="61973FCB" w14:textId="77777777" w:rsidR="00EB1316" w:rsidRPr="00245A7E" w:rsidRDefault="00EB1316" w:rsidP="009C5083">
            <w:pPr>
              <w:spacing w:after="0" w:line="240" w:lineRule="auto"/>
              <w:rPr>
                <w:rFonts w:eastAsia="Calibri" w:cs="Times New Roman"/>
                <w:b/>
                <w:sz w:val="20"/>
                <w:szCs w:val="20"/>
                <w:lang w:val="en-GB" w:eastAsia="en-US"/>
              </w:rPr>
            </w:pPr>
          </w:p>
        </w:tc>
        <w:tc>
          <w:tcPr>
            <w:tcW w:w="540" w:type="dxa"/>
            <w:vMerge/>
            <w:shd w:val="clear" w:color="auto" w:fill="EAF1DD" w:themeFill="accent3" w:themeFillTint="33"/>
            <w:vAlign w:val="center"/>
          </w:tcPr>
          <w:p w14:paraId="02772BE3" w14:textId="77777777" w:rsidR="00EB1316" w:rsidRPr="00C7021E" w:rsidRDefault="00EB1316" w:rsidP="009C5083">
            <w:pPr>
              <w:spacing w:after="0" w:line="240" w:lineRule="auto"/>
              <w:rPr>
                <w:rFonts w:eastAsia="Calibri" w:cs="Times New Roman"/>
                <w:b/>
                <w:sz w:val="20"/>
                <w:szCs w:val="20"/>
                <w:lang w:val="en-GB" w:eastAsia="en-US"/>
              </w:rPr>
            </w:pPr>
          </w:p>
        </w:tc>
        <w:tc>
          <w:tcPr>
            <w:tcW w:w="11700" w:type="dxa"/>
            <w:gridSpan w:val="5"/>
            <w:shd w:val="clear" w:color="auto" w:fill="D9D9D9" w:themeFill="background1" w:themeFillShade="D9"/>
            <w:vAlign w:val="center"/>
          </w:tcPr>
          <w:p w14:paraId="30DB4E7A" w14:textId="77777777" w:rsidR="00EB1316" w:rsidRPr="009256B9" w:rsidRDefault="00EB1316" w:rsidP="009C5083">
            <w:pPr>
              <w:spacing w:after="0" w:line="240" w:lineRule="auto"/>
              <w:rPr>
                <w:rFonts w:ascii="Calibri" w:eastAsia="Calibri" w:hAnsi="Calibri"/>
                <w:b/>
                <w:sz w:val="18"/>
                <w:szCs w:val="18"/>
              </w:rPr>
            </w:pPr>
            <w:r w:rsidRPr="009256B9">
              <w:rPr>
                <w:rFonts w:ascii="Calibri" w:eastAsia="Calibri" w:hAnsi="Calibri"/>
                <w:b/>
                <w:sz w:val="18"/>
                <w:szCs w:val="18"/>
              </w:rPr>
              <w:t>Note</w:t>
            </w:r>
            <w:r w:rsidRPr="009256B9">
              <w:rPr>
                <w:rFonts w:ascii="Calibri" w:eastAsia="Calibri" w:hAnsi="Calibri"/>
                <w:sz w:val="18"/>
                <w:szCs w:val="18"/>
              </w:rPr>
              <w:t xml:space="preserve">: </w:t>
            </w:r>
            <w:r w:rsidRPr="00F908B8">
              <w:rPr>
                <w:rFonts w:ascii="Calibri" w:eastAsia="Calibri" w:hAnsi="Calibri"/>
                <w:sz w:val="18"/>
                <w:szCs w:val="18"/>
              </w:rPr>
              <w:t xml:space="preserve">This indicator measures the percentage of country programme outcomes that are either “achieved” or “made positive changes” </w:t>
            </w:r>
            <w:r>
              <w:rPr>
                <w:rFonts w:ascii="Calibri" w:eastAsia="Calibri" w:hAnsi="Calibri"/>
                <w:sz w:val="18"/>
                <w:szCs w:val="18"/>
              </w:rPr>
              <w:t xml:space="preserve">reported by Country Offices </w:t>
            </w:r>
            <w:r w:rsidRPr="00F908B8">
              <w:rPr>
                <w:rFonts w:ascii="Calibri" w:eastAsia="Calibri" w:hAnsi="Calibri"/>
                <w:sz w:val="18"/>
                <w:szCs w:val="18"/>
              </w:rPr>
              <w:t>in the results oriented annual reports (ROARs).</w:t>
            </w:r>
            <w:r>
              <w:rPr>
                <w:rFonts w:ascii="Calibri" w:eastAsia="Calibri" w:hAnsi="Calibri"/>
                <w:sz w:val="18"/>
                <w:szCs w:val="18"/>
              </w:rPr>
              <w:t xml:space="preserve"> Cross checks with evaluation findings will be reported when they become available.</w:t>
            </w:r>
          </w:p>
        </w:tc>
      </w:tr>
      <w:tr w:rsidR="00EB1316" w:rsidRPr="00C7021E" w14:paraId="5A91BE48" w14:textId="77777777" w:rsidTr="009C5083">
        <w:trPr>
          <w:trHeight w:val="3968"/>
          <w:jc w:val="center"/>
        </w:trPr>
        <w:tc>
          <w:tcPr>
            <w:tcW w:w="2065" w:type="dxa"/>
            <w:vMerge/>
            <w:shd w:val="clear" w:color="auto" w:fill="auto"/>
            <w:vAlign w:val="center"/>
          </w:tcPr>
          <w:p w14:paraId="06F61675"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vMerge w:val="restart"/>
            <w:shd w:val="clear" w:color="auto" w:fill="auto"/>
            <w:vAlign w:val="center"/>
          </w:tcPr>
          <w:p w14:paraId="29C847B1"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2.</w:t>
            </w:r>
          </w:p>
        </w:tc>
        <w:tc>
          <w:tcPr>
            <w:tcW w:w="5130" w:type="dxa"/>
            <w:shd w:val="clear" w:color="auto" w:fill="auto"/>
            <w:vAlign w:val="center"/>
          </w:tcPr>
          <w:p w14:paraId="03732C31" w14:textId="77777777" w:rsidR="00EB1316" w:rsidRDefault="00EB1316" w:rsidP="009C5083">
            <w:pPr>
              <w:spacing w:after="0" w:line="240" w:lineRule="auto"/>
              <w:rPr>
                <w:rFonts w:eastAsia="Calibri" w:cs="Times New Roman"/>
                <w:sz w:val="20"/>
                <w:szCs w:val="20"/>
                <w:lang w:val="en-GB" w:eastAsia="en-US"/>
              </w:rPr>
            </w:pPr>
            <w:r w:rsidRPr="00385656">
              <w:rPr>
                <w:rFonts w:eastAsia="Calibri" w:cs="Times New Roman"/>
                <w:sz w:val="20"/>
                <w:szCs w:val="20"/>
                <w:lang w:val="en-GB" w:eastAsia="en-US"/>
              </w:rPr>
              <w:t>Percentage of partners perceiving UNDP as an effective contributor in identified areas</w:t>
            </w:r>
          </w:p>
          <w:p w14:paraId="747313F0" w14:textId="77777777" w:rsidR="00EB1316" w:rsidRPr="009E7795" w:rsidRDefault="00EB1316" w:rsidP="006F161D">
            <w:pPr>
              <w:pStyle w:val="ListParagraph"/>
              <w:numPr>
                <w:ilvl w:val="0"/>
                <w:numId w:val="76"/>
              </w:numPr>
              <w:rPr>
                <w:rFonts w:eastAsia="Calibri"/>
                <w:sz w:val="20"/>
                <w:szCs w:val="20"/>
                <w:lang w:eastAsia="en-US"/>
              </w:rPr>
            </w:pPr>
            <w:r w:rsidRPr="009E7795">
              <w:rPr>
                <w:rFonts w:eastAsia="Calibri"/>
                <w:sz w:val="20"/>
                <w:szCs w:val="20"/>
                <w:lang w:eastAsia="en-US"/>
              </w:rPr>
              <w:t>Poverty eradication through inclusiv</w:t>
            </w:r>
            <w:r>
              <w:rPr>
                <w:rFonts w:eastAsia="Calibri"/>
                <w:sz w:val="20"/>
                <w:szCs w:val="20"/>
                <w:lang w:eastAsia="en-US"/>
              </w:rPr>
              <w:t>e and sustainable development</w:t>
            </w:r>
          </w:p>
          <w:p w14:paraId="7DD0CA9B" w14:textId="77777777" w:rsidR="00EB1316" w:rsidRPr="009E7795" w:rsidRDefault="00EB1316" w:rsidP="006F161D">
            <w:pPr>
              <w:pStyle w:val="ListParagraph"/>
              <w:numPr>
                <w:ilvl w:val="0"/>
                <w:numId w:val="76"/>
              </w:numPr>
              <w:rPr>
                <w:rFonts w:eastAsia="Calibri"/>
                <w:sz w:val="20"/>
                <w:szCs w:val="20"/>
                <w:lang w:eastAsia="en-US"/>
              </w:rPr>
            </w:pPr>
            <w:r>
              <w:rPr>
                <w:rFonts w:eastAsia="Calibri"/>
                <w:sz w:val="20"/>
                <w:szCs w:val="20"/>
                <w:lang w:eastAsia="en-US"/>
              </w:rPr>
              <w:t>Democratic governance</w:t>
            </w:r>
          </w:p>
          <w:p w14:paraId="4DF99637" w14:textId="77777777" w:rsidR="00EB1316" w:rsidRPr="009E7795" w:rsidRDefault="00EB1316" w:rsidP="006F161D">
            <w:pPr>
              <w:pStyle w:val="ListParagraph"/>
              <w:numPr>
                <w:ilvl w:val="0"/>
                <w:numId w:val="76"/>
              </w:numPr>
              <w:rPr>
                <w:rFonts w:eastAsia="Calibri"/>
                <w:sz w:val="20"/>
                <w:szCs w:val="20"/>
                <w:lang w:eastAsia="en-US"/>
              </w:rPr>
            </w:pPr>
            <w:r w:rsidRPr="009E7795">
              <w:rPr>
                <w:rFonts w:eastAsia="Calibri"/>
                <w:sz w:val="20"/>
                <w:szCs w:val="20"/>
                <w:lang w:eastAsia="en-US"/>
              </w:rPr>
              <w:t xml:space="preserve">Institutional capacity building </w:t>
            </w:r>
            <w:r>
              <w:rPr>
                <w:rFonts w:eastAsia="Calibri"/>
                <w:sz w:val="20"/>
                <w:szCs w:val="20"/>
                <w:lang w:eastAsia="en-US"/>
              </w:rPr>
              <w:t>for delivery of basic services</w:t>
            </w:r>
          </w:p>
          <w:p w14:paraId="7B04AA32" w14:textId="77777777" w:rsidR="00EB1316" w:rsidRPr="009E7795" w:rsidRDefault="00EB1316" w:rsidP="006F161D">
            <w:pPr>
              <w:pStyle w:val="ListParagraph"/>
              <w:numPr>
                <w:ilvl w:val="0"/>
                <w:numId w:val="76"/>
              </w:numPr>
              <w:rPr>
                <w:rFonts w:eastAsia="Calibri"/>
                <w:sz w:val="20"/>
                <w:szCs w:val="20"/>
                <w:lang w:eastAsia="en-US"/>
              </w:rPr>
            </w:pPr>
            <w:r w:rsidRPr="009E7795">
              <w:rPr>
                <w:rFonts w:eastAsia="Calibri"/>
                <w:sz w:val="20"/>
                <w:szCs w:val="20"/>
                <w:lang w:eastAsia="en-US"/>
              </w:rPr>
              <w:t>Gender eq</w:t>
            </w:r>
            <w:r>
              <w:rPr>
                <w:rFonts w:eastAsia="Calibri"/>
                <w:sz w:val="20"/>
                <w:szCs w:val="20"/>
                <w:lang w:eastAsia="en-US"/>
              </w:rPr>
              <w:t>uality and women’s empowerment</w:t>
            </w:r>
          </w:p>
          <w:p w14:paraId="7D0247C8" w14:textId="77777777" w:rsidR="00EB1316" w:rsidRPr="009E7795" w:rsidRDefault="00EB1316" w:rsidP="006F161D">
            <w:pPr>
              <w:pStyle w:val="ListParagraph"/>
              <w:numPr>
                <w:ilvl w:val="0"/>
                <w:numId w:val="76"/>
              </w:numPr>
              <w:rPr>
                <w:rFonts w:eastAsia="Calibri"/>
                <w:sz w:val="20"/>
                <w:szCs w:val="20"/>
                <w:lang w:eastAsia="en-US"/>
              </w:rPr>
            </w:pPr>
            <w:r w:rsidRPr="009E7795">
              <w:rPr>
                <w:rFonts w:eastAsia="Calibri"/>
                <w:sz w:val="20"/>
                <w:szCs w:val="20"/>
                <w:lang w:eastAsia="en-US"/>
              </w:rPr>
              <w:t>Reducing likelihood of conflict and the risk of natural disasters,</w:t>
            </w:r>
            <w:r>
              <w:rPr>
                <w:rFonts w:eastAsia="Calibri"/>
                <w:sz w:val="20"/>
                <w:szCs w:val="20"/>
                <w:lang w:eastAsia="en-US"/>
              </w:rPr>
              <w:t xml:space="preserve"> including from climate change</w:t>
            </w:r>
          </w:p>
          <w:p w14:paraId="5B88BB2A" w14:textId="77777777" w:rsidR="00EB1316" w:rsidRPr="009E7795" w:rsidRDefault="00EB1316" w:rsidP="006F161D">
            <w:pPr>
              <w:pStyle w:val="ListParagraph"/>
              <w:numPr>
                <w:ilvl w:val="0"/>
                <w:numId w:val="76"/>
              </w:numPr>
              <w:rPr>
                <w:rFonts w:eastAsia="Calibri"/>
                <w:sz w:val="20"/>
                <w:szCs w:val="20"/>
                <w:lang w:eastAsia="en-US"/>
              </w:rPr>
            </w:pPr>
            <w:r w:rsidRPr="009E7795">
              <w:rPr>
                <w:rFonts w:eastAsia="Calibri"/>
                <w:sz w:val="20"/>
                <w:szCs w:val="20"/>
                <w:lang w:eastAsia="en-US"/>
              </w:rPr>
              <w:t>Early recovery and rapid return to sustainable development in p</w:t>
            </w:r>
            <w:r>
              <w:rPr>
                <w:rFonts w:eastAsia="Calibri"/>
                <w:sz w:val="20"/>
                <w:szCs w:val="20"/>
                <w:lang w:eastAsia="en-US"/>
              </w:rPr>
              <w:t>ost-conflict/disaster settings</w:t>
            </w:r>
          </w:p>
          <w:p w14:paraId="27812FAC" w14:textId="77777777" w:rsidR="00EB1316" w:rsidRPr="007D3556" w:rsidRDefault="00EB1316" w:rsidP="006F161D">
            <w:pPr>
              <w:pStyle w:val="ListParagraph"/>
              <w:numPr>
                <w:ilvl w:val="0"/>
                <w:numId w:val="76"/>
              </w:numPr>
              <w:rPr>
                <w:rFonts w:eastAsia="Calibri"/>
                <w:sz w:val="20"/>
                <w:szCs w:val="20"/>
                <w:lang w:eastAsia="en-US"/>
              </w:rPr>
            </w:pPr>
            <w:r w:rsidRPr="009E7795">
              <w:rPr>
                <w:rFonts w:eastAsia="Calibri"/>
                <w:sz w:val="20"/>
                <w:szCs w:val="20"/>
                <w:lang w:eastAsia="en-US"/>
              </w:rPr>
              <w:t>Contribution to development debates and i</w:t>
            </w:r>
            <w:r>
              <w:rPr>
                <w:rFonts w:eastAsia="Calibri"/>
                <w:sz w:val="20"/>
                <w:szCs w:val="20"/>
                <w:lang w:eastAsia="en-US"/>
              </w:rPr>
              <w:t>nternational development goals</w:t>
            </w:r>
          </w:p>
        </w:tc>
        <w:tc>
          <w:tcPr>
            <w:tcW w:w="1800" w:type="dxa"/>
            <w:shd w:val="clear" w:color="auto" w:fill="auto"/>
            <w:vAlign w:val="center"/>
          </w:tcPr>
          <w:p w14:paraId="220EA52A" w14:textId="77777777" w:rsidR="00EB1316" w:rsidRPr="0049498A" w:rsidRDefault="00EB1316" w:rsidP="006F161D">
            <w:pPr>
              <w:pStyle w:val="ListParagraph"/>
              <w:numPr>
                <w:ilvl w:val="0"/>
                <w:numId w:val="43"/>
              </w:numPr>
              <w:ind w:left="252" w:hanging="252"/>
              <w:rPr>
                <w:sz w:val="20"/>
                <w:szCs w:val="20"/>
              </w:rPr>
            </w:pPr>
            <w:r w:rsidRPr="0049498A">
              <w:rPr>
                <w:sz w:val="20"/>
                <w:szCs w:val="20"/>
              </w:rPr>
              <w:t>Poverty eradication: 44%</w:t>
            </w:r>
          </w:p>
          <w:p w14:paraId="26E30145" w14:textId="77777777" w:rsidR="00EB1316" w:rsidRPr="0049498A" w:rsidRDefault="00EB1316" w:rsidP="006F161D">
            <w:pPr>
              <w:pStyle w:val="ListParagraph"/>
              <w:numPr>
                <w:ilvl w:val="0"/>
                <w:numId w:val="43"/>
              </w:numPr>
              <w:ind w:left="252" w:hanging="252"/>
              <w:rPr>
                <w:sz w:val="20"/>
                <w:szCs w:val="20"/>
              </w:rPr>
            </w:pPr>
            <w:r>
              <w:rPr>
                <w:sz w:val="20"/>
                <w:szCs w:val="20"/>
              </w:rPr>
              <w:t>Democratic G</w:t>
            </w:r>
            <w:r w:rsidRPr="0049498A">
              <w:rPr>
                <w:sz w:val="20"/>
                <w:szCs w:val="20"/>
              </w:rPr>
              <w:t>overnance: 56%</w:t>
            </w:r>
          </w:p>
          <w:p w14:paraId="6DB472B4" w14:textId="77777777" w:rsidR="00EB1316" w:rsidRPr="0049498A" w:rsidRDefault="00EB1316" w:rsidP="006F161D">
            <w:pPr>
              <w:pStyle w:val="ListParagraph"/>
              <w:numPr>
                <w:ilvl w:val="0"/>
                <w:numId w:val="43"/>
              </w:numPr>
              <w:ind w:left="252" w:hanging="252"/>
              <w:rPr>
                <w:sz w:val="20"/>
                <w:szCs w:val="20"/>
              </w:rPr>
            </w:pPr>
            <w:r w:rsidRPr="0049498A">
              <w:rPr>
                <w:sz w:val="20"/>
                <w:szCs w:val="20"/>
              </w:rPr>
              <w:t>Crisis Prevention and Recovery: 45%</w:t>
            </w:r>
          </w:p>
          <w:p w14:paraId="3EA15DE6" w14:textId="77777777" w:rsidR="00EB1316" w:rsidRDefault="00EB1316" w:rsidP="006F161D">
            <w:pPr>
              <w:pStyle w:val="ListParagraph"/>
              <w:numPr>
                <w:ilvl w:val="0"/>
                <w:numId w:val="43"/>
              </w:numPr>
              <w:ind w:left="252" w:hanging="252"/>
              <w:rPr>
                <w:sz w:val="20"/>
                <w:szCs w:val="20"/>
              </w:rPr>
            </w:pPr>
            <w:r w:rsidRPr="0049498A">
              <w:rPr>
                <w:sz w:val="20"/>
                <w:szCs w:val="20"/>
              </w:rPr>
              <w:t xml:space="preserve">Environment and </w:t>
            </w:r>
            <w:r>
              <w:rPr>
                <w:sz w:val="20"/>
                <w:szCs w:val="20"/>
              </w:rPr>
              <w:t>Energy</w:t>
            </w:r>
            <w:r w:rsidRPr="0049498A">
              <w:rPr>
                <w:sz w:val="20"/>
                <w:szCs w:val="20"/>
              </w:rPr>
              <w:t>: 56%</w:t>
            </w:r>
          </w:p>
          <w:p w14:paraId="4F9C19CB" w14:textId="77777777" w:rsidR="00EB1316" w:rsidRDefault="00EB1316" w:rsidP="006F161D">
            <w:pPr>
              <w:pStyle w:val="ListParagraph"/>
              <w:numPr>
                <w:ilvl w:val="0"/>
                <w:numId w:val="43"/>
              </w:numPr>
              <w:ind w:left="252" w:hanging="252"/>
              <w:rPr>
                <w:sz w:val="20"/>
                <w:szCs w:val="20"/>
              </w:rPr>
            </w:pPr>
            <w:r w:rsidRPr="0049498A">
              <w:rPr>
                <w:sz w:val="20"/>
                <w:szCs w:val="20"/>
              </w:rPr>
              <w:t>MDGs: 58%</w:t>
            </w:r>
          </w:p>
          <w:p w14:paraId="32966766" w14:textId="77777777" w:rsidR="00EB1316" w:rsidRPr="00505812" w:rsidRDefault="00EB1316" w:rsidP="009C5083">
            <w:pPr>
              <w:rPr>
                <w:b/>
                <w:sz w:val="20"/>
                <w:szCs w:val="20"/>
              </w:rPr>
            </w:pPr>
            <w:r w:rsidRPr="00505812">
              <w:rPr>
                <w:b/>
                <w:sz w:val="20"/>
                <w:szCs w:val="20"/>
              </w:rPr>
              <w:t>Average: 52%</w:t>
            </w:r>
          </w:p>
        </w:tc>
        <w:tc>
          <w:tcPr>
            <w:tcW w:w="1530" w:type="dxa"/>
            <w:shd w:val="clear" w:color="auto" w:fill="auto"/>
            <w:vAlign w:val="center"/>
          </w:tcPr>
          <w:p w14:paraId="4F09880C" w14:textId="77777777" w:rsidR="00EB1316" w:rsidRPr="00CC281C" w:rsidRDefault="00EB1316" w:rsidP="009C5083">
            <w:pPr>
              <w:spacing w:after="0" w:line="240" w:lineRule="auto"/>
              <w:rPr>
                <w:rFonts w:eastAsia="Calibri" w:cs="Times New Roman"/>
                <w:sz w:val="20"/>
                <w:szCs w:val="20"/>
                <w:lang w:val="en-GB" w:eastAsia="en-US"/>
              </w:rPr>
            </w:pPr>
            <w:r>
              <w:rPr>
                <w:rFonts w:ascii="Calibri" w:eastAsia="Calibri" w:hAnsi="Calibri"/>
                <w:sz w:val="20"/>
                <w:szCs w:val="20"/>
              </w:rPr>
              <w:t>Not available</w:t>
            </w:r>
          </w:p>
        </w:tc>
        <w:tc>
          <w:tcPr>
            <w:tcW w:w="1710" w:type="dxa"/>
            <w:shd w:val="clear" w:color="auto" w:fill="auto"/>
            <w:vAlign w:val="center"/>
          </w:tcPr>
          <w:p w14:paraId="3BB525F4" w14:textId="77777777" w:rsidR="00EB1316" w:rsidRPr="00163B27" w:rsidRDefault="00EB1316" w:rsidP="006F161D">
            <w:pPr>
              <w:pStyle w:val="ListParagraph"/>
              <w:numPr>
                <w:ilvl w:val="0"/>
                <w:numId w:val="77"/>
              </w:numPr>
              <w:rPr>
                <w:rFonts w:eastAsia="Calibri"/>
                <w:sz w:val="20"/>
                <w:szCs w:val="20"/>
              </w:rPr>
            </w:pPr>
            <w:r w:rsidRPr="00E21D93">
              <w:rPr>
                <w:rFonts w:eastAsia="Calibri"/>
                <w:sz w:val="20"/>
                <w:szCs w:val="20"/>
              </w:rPr>
              <w:t xml:space="preserve"> </w:t>
            </w:r>
            <w:r w:rsidRPr="00163B27">
              <w:rPr>
                <w:rFonts w:eastAsia="Calibri"/>
                <w:bCs/>
                <w:sz w:val="20"/>
                <w:szCs w:val="20"/>
              </w:rPr>
              <w:t>53%</w:t>
            </w:r>
          </w:p>
          <w:p w14:paraId="2F7DC334" w14:textId="77777777" w:rsidR="00EB1316" w:rsidRPr="00163B27" w:rsidRDefault="00EB1316" w:rsidP="006F161D">
            <w:pPr>
              <w:pStyle w:val="ListParagraph"/>
              <w:numPr>
                <w:ilvl w:val="0"/>
                <w:numId w:val="77"/>
              </w:numPr>
              <w:rPr>
                <w:rFonts w:eastAsia="Calibri"/>
                <w:sz w:val="20"/>
                <w:szCs w:val="20"/>
              </w:rPr>
            </w:pPr>
            <w:r w:rsidRPr="00163B27">
              <w:rPr>
                <w:rFonts w:eastAsia="Calibri"/>
                <w:sz w:val="20"/>
                <w:szCs w:val="20"/>
              </w:rPr>
              <w:t xml:space="preserve"> </w:t>
            </w:r>
            <w:r w:rsidRPr="00163B27">
              <w:rPr>
                <w:rFonts w:eastAsia="Calibri"/>
                <w:bCs/>
                <w:sz w:val="20"/>
                <w:szCs w:val="20"/>
              </w:rPr>
              <w:t>56%</w:t>
            </w:r>
          </w:p>
          <w:p w14:paraId="06B67943" w14:textId="77777777" w:rsidR="00EB1316" w:rsidRPr="00163B27" w:rsidRDefault="00EB1316" w:rsidP="006F161D">
            <w:pPr>
              <w:pStyle w:val="ListParagraph"/>
              <w:numPr>
                <w:ilvl w:val="0"/>
                <w:numId w:val="77"/>
              </w:numPr>
              <w:rPr>
                <w:rFonts w:eastAsia="Calibri"/>
                <w:sz w:val="20"/>
                <w:szCs w:val="20"/>
              </w:rPr>
            </w:pPr>
            <w:r w:rsidRPr="00163B27">
              <w:rPr>
                <w:rFonts w:eastAsia="Calibri"/>
                <w:bCs/>
                <w:sz w:val="20"/>
                <w:szCs w:val="20"/>
              </w:rPr>
              <w:t>56%</w:t>
            </w:r>
          </w:p>
          <w:p w14:paraId="2156AAE0" w14:textId="77777777" w:rsidR="00EB1316" w:rsidRPr="00163B27" w:rsidRDefault="00EB1316" w:rsidP="006F161D">
            <w:pPr>
              <w:pStyle w:val="ListParagraph"/>
              <w:numPr>
                <w:ilvl w:val="0"/>
                <w:numId w:val="77"/>
              </w:numPr>
              <w:rPr>
                <w:rFonts w:eastAsia="Calibri"/>
                <w:sz w:val="20"/>
                <w:szCs w:val="20"/>
              </w:rPr>
            </w:pPr>
            <w:r w:rsidRPr="00163B27">
              <w:rPr>
                <w:rFonts w:eastAsia="Calibri"/>
                <w:bCs/>
                <w:sz w:val="20"/>
                <w:szCs w:val="20"/>
              </w:rPr>
              <w:t>56%</w:t>
            </w:r>
          </w:p>
          <w:p w14:paraId="14E61B4F" w14:textId="77777777" w:rsidR="00EB1316" w:rsidRPr="00163B27" w:rsidRDefault="00EB1316" w:rsidP="006F161D">
            <w:pPr>
              <w:pStyle w:val="ListParagraph"/>
              <w:numPr>
                <w:ilvl w:val="0"/>
                <w:numId w:val="77"/>
              </w:numPr>
              <w:rPr>
                <w:rFonts w:eastAsia="Calibri"/>
                <w:sz w:val="20"/>
                <w:szCs w:val="20"/>
              </w:rPr>
            </w:pPr>
            <w:r w:rsidRPr="00163B27">
              <w:rPr>
                <w:rFonts w:eastAsia="Calibri"/>
                <w:bCs/>
                <w:sz w:val="20"/>
                <w:szCs w:val="20"/>
              </w:rPr>
              <w:t>45%</w:t>
            </w:r>
          </w:p>
          <w:p w14:paraId="5AB2678F" w14:textId="77777777" w:rsidR="00EB1316" w:rsidRPr="00163B27" w:rsidRDefault="00EB1316" w:rsidP="006F161D">
            <w:pPr>
              <w:pStyle w:val="ListParagraph"/>
              <w:numPr>
                <w:ilvl w:val="0"/>
                <w:numId w:val="77"/>
              </w:numPr>
              <w:rPr>
                <w:rFonts w:eastAsia="Calibri"/>
                <w:sz w:val="20"/>
                <w:szCs w:val="20"/>
              </w:rPr>
            </w:pPr>
            <w:r w:rsidRPr="00163B27">
              <w:rPr>
                <w:rFonts w:eastAsia="Calibri"/>
                <w:bCs/>
                <w:sz w:val="20"/>
                <w:szCs w:val="20"/>
              </w:rPr>
              <w:t>44%</w:t>
            </w:r>
          </w:p>
          <w:p w14:paraId="093BCC31" w14:textId="77777777" w:rsidR="00EB1316" w:rsidRPr="00163B27" w:rsidRDefault="00EB1316" w:rsidP="006F161D">
            <w:pPr>
              <w:pStyle w:val="ListParagraph"/>
              <w:numPr>
                <w:ilvl w:val="0"/>
                <w:numId w:val="77"/>
              </w:numPr>
              <w:rPr>
                <w:rFonts w:eastAsia="Calibri"/>
                <w:sz w:val="20"/>
                <w:szCs w:val="20"/>
              </w:rPr>
            </w:pPr>
            <w:r w:rsidRPr="00163B27">
              <w:rPr>
                <w:rFonts w:eastAsia="Calibri"/>
                <w:bCs/>
                <w:sz w:val="20"/>
                <w:szCs w:val="20"/>
              </w:rPr>
              <w:t>66%</w:t>
            </w:r>
          </w:p>
          <w:p w14:paraId="56153536" w14:textId="77777777" w:rsidR="00EB1316" w:rsidRPr="001B2AE2" w:rsidRDefault="00EB1316" w:rsidP="009C5083">
            <w:pPr>
              <w:rPr>
                <w:rFonts w:eastAsia="Calibri"/>
                <w:b/>
                <w:sz w:val="20"/>
                <w:szCs w:val="20"/>
              </w:rPr>
            </w:pPr>
            <w:r w:rsidRPr="001B2AE2">
              <w:rPr>
                <w:rFonts w:eastAsia="Calibri"/>
                <w:b/>
                <w:sz w:val="20"/>
                <w:szCs w:val="20"/>
              </w:rPr>
              <w:t>Average: 54%</w:t>
            </w:r>
          </w:p>
        </w:tc>
        <w:tc>
          <w:tcPr>
            <w:tcW w:w="1530" w:type="dxa"/>
            <w:shd w:val="clear" w:color="auto" w:fill="auto"/>
            <w:vAlign w:val="center"/>
          </w:tcPr>
          <w:p w14:paraId="06A7486A" w14:textId="77777777" w:rsidR="00EB1316" w:rsidRPr="00E21D93" w:rsidRDefault="00EB1316" w:rsidP="009C5083">
            <w:pPr>
              <w:pStyle w:val="ListParagraph"/>
              <w:ind w:left="0"/>
              <w:rPr>
                <w:rFonts w:eastAsia="Calibri"/>
                <w:sz w:val="20"/>
                <w:szCs w:val="20"/>
              </w:rPr>
            </w:pPr>
            <w:r w:rsidRPr="00684183">
              <w:rPr>
                <w:rFonts w:eastAsia="Calibri"/>
                <w:sz w:val="20"/>
                <w:szCs w:val="20"/>
              </w:rPr>
              <w:t>70% for each outcome</w:t>
            </w:r>
          </w:p>
        </w:tc>
      </w:tr>
      <w:tr w:rsidR="00EB1316" w:rsidRPr="00C7021E" w14:paraId="2CC42AE9" w14:textId="77777777" w:rsidTr="009C5083">
        <w:trPr>
          <w:trHeight w:val="440"/>
          <w:jc w:val="center"/>
        </w:trPr>
        <w:tc>
          <w:tcPr>
            <w:tcW w:w="2065" w:type="dxa"/>
            <w:vMerge/>
            <w:shd w:val="clear" w:color="auto" w:fill="auto"/>
            <w:vAlign w:val="center"/>
          </w:tcPr>
          <w:p w14:paraId="243DBDB4"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vMerge/>
            <w:shd w:val="clear" w:color="auto" w:fill="auto"/>
            <w:vAlign w:val="center"/>
          </w:tcPr>
          <w:p w14:paraId="6FA36B4B" w14:textId="77777777" w:rsidR="00EB1316" w:rsidRPr="00C7021E" w:rsidRDefault="00EB1316" w:rsidP="009C5083">
            <w:pPr>
              <w:spacing w:after="0" w:line="240" w:lineRule="auto"/>
              <w:rPr>
                <w:rFonts w:eastAsia="Calibri" w:cs="Times New Roman"/>
                <w:b/>
                <w:sz w:val="20"/>
                <w:szCs w:val="20"/>
                <w:lang w:val="en-GB" w:eastAsia="en-US"/>
              </w:rPr>
            </w:pPr>
          </w:p>
        </w:tc>
        <w:tc>
          <w:tcPr>
            <w:tcW w:w="11700" w:type="dxa"/>
            <w:gridSpan w:val="5"/>
            <w:shd w:val="clear" w:color="auto" w:fill="D9D9D9" w:themeFill="background1" w:themeFillShade="D9"/>
            <w:vAlign w:val="center"/>
          </w:tcPr>
          <w:p w14:paraId="6B581255" w14:textId="77777777" w:rsidR="00EB1316" w:rsidRPr="00B27B86" w:rsidRDefault="00EB1316" w:rsidP="009C5083">
            <w:pPr>
              <w:spacing w:after="0" w:line="240" w:lineRule="auto"/>
              <w:rPr>
                <w:rFonts w:ascii="Calibri" w:eastAsia="Calibri" w:hAnsi="Calibri"/>
                <w:b/>
                <w:sz w:val="18"/>
                <w:szCs w:val="18"/>
                <w:lang w:val="en-GB"/>
              </w:rPr>
            </w:pPr>
            <w:r w:rsidRPr="00B27B86">
              <w:rPr>
                <w:rFonts w:ascii="Calibri" w:eastAsia="Calibri" w:hAnsi="Calibri"/>
                <w:b/>
                <w:sz w:val="18"/>
                <w:szCs w:val="18"/>
                <w:lang w:val="en-GB"/>
              </w:rPr>
              <w:t>Note</w:t>
            </w:r>
            <w:r>
              <w:rPr>
                <w:rFonts w:ascii="Calibri" w:eastAsia="Calibri" w:hAnsi="Calibri"/>
                <w:sz w:val="18"/>
                <w:szCs w:val="18"/>
                <w:lang w:val="en-GB"/>
              </w:rPr>
              <w:t xml:space="preserve">: </w:t>
            </w:r>
            <w:r w:rsidRPr="00CC281C">
              <w:rPr>
                <w:rFonts w:ascii="Calibri" w:eastAsia="Calibri" w:hAnsi="Calibri"/>
                <w:sz w:val="18"/>
                <w:szCs w:val="18"/>
              </w:rPr>
              <w:t>Data from the 2012 Partnership Survey is for a reference purposes only. The Partnership Survey questionnaire was revised to align with the 2014-2017 Strategic Plan, such that</w:t>
            </w:r>
            <w:r w:rsidRPr="00CC281C">
              <w:rPr>
                <w:sz w:val="18"/>
                <w:szCs w:val="18"/>
              </w:rPr>
              <w:t xml:space="preserve"> the baseline is not comparable. </w:t>
            </w:r>
          </w:p>
        </w:tc>
      </w:tr>
      <w:tr w:rsidR="00EB1316" w:rsidRPr="00C7021E" w14:paraId="062CDF63" w14:textId="77777777" w:rsidTr="009C5083">
        <w:trPr>
          <w:trHeight w:val="521"/>
          <w:jc w:val="center"/>
        </w:trPr>
        <w:tc>
          <w:tcPr>
            <w:tcW w:w="2065" w:type="dxa"/>
            <w:vMerge/>
            <w:shd w:val="clear" w:color="auto" w:fill="auto"/>
            <w:vAlign w:val="center"/>
          </w:tcPr>
          <w:p w14:paraId="7CAEF300"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vMerge w:val="restart"/>
            <w:shd w:val="clear" w:color="auto" w:fill="auto"/>
            <w:vAlign w:val="center"/>
          </w:tcPr>
          <w:p w14:paraId="5EAD3658"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3.</w:t>
            </w:r>
          </w:p>
        </w:tc>
        <w:tc>
          <w:tcPr>
            <w:tcW w:w="5130" w:type="dxa"/>
            <w:shd w:val="clear" w:color="auto" w:fill="auto"/>
            <w:vAlign w:val="center"/>
          </w:tcPr>
          <w:p w14:paraId="360AA4D0" w14:textId="77777777" w:rsidR="00EB1316" w:rsidRPr="00385656" w:rsidRDefault="00EB1316" w:rsidP="009C5083">
            <w:pPr>
              <w:spacing w:after="0" w:line="240" w:lineRule="auto"/>
              <w:rPr>
                <w:rFonts w:eastAsia="Calibri" w:cs="Times New Roman"/>
                <w:sz w:val="20"/>
                <w:szCs w:val="20"/>
                <w:lang w:val="en-GB" w:eastAsia="en-US"/>
              </w:rPr>
            </w:pPr>
            <w:r w:rsidRPr="00DF471E">
              <w:rPr>
                <w:sz w:val="20"/>
                <w:szCs w:val="20"/>
                <w:lang w:val="en-GB"/>
              </w:rPr>
              <w:t>Percentage of project</w:t>
            </w:r>
            <w:r>
              <w:rPr>
                <w:sz w:val="20"/>
                <w:szCs w:val="20"/>
                <w:lang w:val="en-GB"/>
              </w:rPr>
              <w:t>s</w:t>
            </w:r>
            <w:r w:rsidRPr="00DF471E">
              <w:rPr>
                <w:sz w:val="20"/>
                <w:szCs w:val="20"/>
                <w:lang w:val="en-GB"/>
              </w:rPr>
              <w:t xml:space="preserve"> with outputs reported as achieved or on track</w:t>
            </w:r>
            <w:r>
              <w:rPr>
                <w:sz w:val="20"/>
                <w:szCs w:val="20"/>
                <w:lang w:val="en-GB"/>
              </w:rPr>
              <w:t>.</w:t>
            </w:r>
          </w:p>
        </w:tc>
        <w:tc>
          <w:tcPr>
            <w:tcW w:w="1800" w:type="dxa"/>
            <w:shd w:val="clear" w:color="auto" w:fill="auto"/>
            <w:vAlign w:val="center"/>
          </w:tcPr>
          <w:p w14:paraId="5161870B" w14:textId="77777777" w:rsidR="00EB1316" w:rsidRPr="0049498A" w:rsidRDefault="00EB1316" w:rsidP="009C5083">
            <w:pPr>
              <w:spacing w:after="0"/>
              <w:jc w:val="center"/>
              <w:rPr>
                <w:rFonts w:ascii="Calibri" w:eastAsia="Calibri" w:hAnsi="Calibri"/>
                <w:sz w:val="20"/>
              </w:rPr>
            </w:pPr>
            <w:r w:rsidRPr="00033922">
              <w:rPr>
                <w:rFonts w:ascii="Calibri" w:eastAsia="Calibri" w:hAnsi="Calibri"/>
                <w:sz w:val="20"/>
              </w:rPr>
              <w:t>92.6%</w:t>
            </w:r>
            <w:r>
              <w:rPr>
                <w:rFonts w:ascii="Calibri" w:eastAsia="Calibri" w:hAnsi="Calibri"/>
                <w:sz w:val="20"/>
              </w:rPr>
              <w:t xml:space="preserve"> (2014)</w:t>
            </w:r>
          </w:p>
        </w:tc>
        <w:tc>
          <w:tcPr>
            <w:tcW w:w="1530" w:type="dxa"/>
            <w:shd w:val="clear" w:color="auto" w:fill="auto"/>
            <w:vAlign w:val="center"/>
          </w:tcPr>
          <w:p w14:paraId="258695C7" w14:textId="77777777" w:rsidR="00EB1316" w:rsidRPr="0049498A" w:rsidRDefault="00EB1316" w:rsidP="009C5083">
            <w:pPr>
              <w:spacing w:after="0"/>
              <w:jc w:val="center"/>
              <w:rPr>
                <w:rFonts w:ascii="Calibri" w:eastAsia="Calibri" w:hAnsi="Calibri"/>
                <w:sz w:val="20"/>
              </w:rPr>
            </w:pPr>
            <w:r>
              <w:rPr>
                <w:rFonts w:ascii="Calibri" w:eastAsia="Calibri" w:hAnsi="Calibri"/>
                <w:sz w:val="20"/>
              </w:rPr>
              <w:t>Not available</w:t>
            </w:r>
          </w:p>
        </w:tc>
        <w:tc>
          <w:tcPr>
            <w:tcW w:w="1710" w:type="dxa"/>
            <w:shd w:val="clear" w:color="auto" w:fill="auto"/>
            <w:vAlign w:val="center"/>
          </w:tcPr>
          <w:p w14:paraId="372CB289" w14:textId="77777777" w:rsidR="00EB1316" w:rsidRPr="0049498A" w:rsidRDefault="00EB1316" w:rsidP="009C5083">
            <w:pPr>
              <w:spacing w:after="0"/>
              <w:rPr>
                <w:rFonts w:ascii="Calibri" w:eastAsia="Calibri" w:hAnsi="Calibri"/>
                <w:sz w:val="20"/>
              </w:rPr>
            </w:pPr>
            <w:r w:rsidRPr="00EC6CBE">
              <w:rPr>
                <w:rFonts w:ascii="Calibri" w:eastAsia="Calibri" w:hAnsi="Calibri"/>
                <w:sz w:val="20"/>
              </w:rPr>
              <w:t>92.6%</w:t>
            </w:r>
          </w:p>
        </w:tc>
        <w:tc>
          <w:tcPr>
            <w:tcW w:w="1530" w:type="dxa"/>
            <w:shd w:val="clear" w:color="auto" w:fill="auto"/>
            <w:vAlign w:val="center"/>
          </w:tcPr>
          <w:p w14:paraId="48C9F0EF" w14:textId="77777777" w:rsidR="00EB1316" w:rsidRPr="00EC6CBE" w:rsidRDefault="00EB1316" w:rsidP="009C5083">
            <w:pPr>
              <w:spacing w:after="0"/>
              <w:rPr>
                <w:rFonts w:ascii="Calibri" w:eastAsia="Calibri" w:hAnsi="Calibri"/>
                <w:sz w:val="20"/>
              </w:rPr>
            </w:pPr>
            <w:r w:rsidRPr="00684183">
              <w:rPr>
                <w:rFonts w:ascii="Calibri" w:eastAsia="Calibri" w:hAnsi="Calibri"/>
                <w:sz w:val="20"/>
              </w:rPr>
              <w:t>TBD</w:t>
            </w:r>
          </w:p>
        </w:tc>
      </w:tr>
      <w:tr w:rsidR="00EB1316" w:rsidRPr="00C7021E" w14:paraId="72C250BC" w14:textId="77777777" w:rsidTr="009C5083">
        <w:trPr>
          <w:trHeight w:val="323"/>
          <w:jc w:val="center"/>
        </w:trPr>
        <w:tc>
          <w:tcPr>
            <w:tcW w:w="2065" w:type="dxa"/>
            <w:vMerge/>
            <w:shd w:val="clear" w:color="auto" w:fill="auto"/>
            <w:vAlign w:val="center"/>
          </w:tcPr>
          <w:p w14:paraId="02829549"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vMerge/>
            <w:shd w:val="clear" w:color="auto" w:fill="auto"/>
            <w:vAlign w:val="center"/>
          </w:tcPr>
          <w:p w14:paraId="66A5CD76" w14:textId="77777777" w:rsidR="00EB1316" w:rsidRPr="00C7021E" w:rsidRDefault="00EB1316" w:rsidP="009C5083">
            <w:pPr>
              <w:spacing w:after="0" w:line="240" w:lineRule="auto"/>
              <w:rPr>
                <w:rFonts w:eastAsia="Calibri" w:cs="Times New Roman"/>
                <w:b/>
                <w:sz w:val="20"/>
                <w:szCs w:val="20"/>
                <w:lang w:val="en-GB" w:eastAsia="en-US"/>
              </w:rPr>
            </w:pPr>
          </w:p>
        </w:tc>
        <w:tc>
          <w:tcPr>
            <w:tcW w:w="11700" w:type="dxa"/>
            <w:gridSpan w:val="5"/>
            <w:shd w:val="clear" w:color="auto" w:fill="D9D9D9" w:themeFill="background1" w:themeFillShade="D9"/>
            <w:vAlign w:val="center"/>
          </w:tcPr>
          <w:p w14:paraId="01C80DB4" w14:textId="77777777" w:rsidR="00EB1316" w:rsidRPr="00D973E5" w:rsidRDefault="00EB1316" w:rsidP="009C5083">
            <w:pPr>
              <w:spacing w:after="0" w:line="240" w:lineRule="auto"/>
              <w:rPr>
                <w:rFonts w:ascii="Calibri" w:eastAsia="Calibri" w:hAnsi="Calibri"/>
                <w:b/>
                <w:sz w:val="20"/>
                <w:shd w:val="clear" w:color="auto" w:fill="D9D9D9" w:themeFill="background1" w:themeFillShade="D9"/>
              </w:rPr>
            </w:pPr>
            <w:r w:rsidRPr="00D973E5">
              <w:rPr>
                <w:rFonts w:ascii="Calibri" w:eastAsia="Calibri" w:hAnsi="Calibri"/>
                <w:b/>
                <w:sz w:val="20"/>
                <w:shd w:val="clear" w:color="auto" w:fill="D9D9D9" w:themeFill="background1" w:themeFillShade="D9"/>
              </w:rPr>
              <w:t>Note</w:t>
            </w:r>
            <w:r>
              <w:rPr>
                <w:rFonts w:ascii="Calibri" w:eastAsia="Calibri" w:hAnsi="Calibri"/>
                <w:sz w:val="20"/>
              </w:rPr>
              <w:t xml:space="preserve">: </w:t>
            </w:r>
            <w:r w:rsidRPr="003F6210">
              <w:rPr>
                <w:rFonts w:ascii="Calibri" w:eastAsia="Calibri" w:hAnsi="Calibri"/>
                <w:sz w:val="18"/>
                <w:szCs w:val="18"/>
              </w:rPr>
              <w:t>The indicator measures the percentage of project outputs that are assessed as either “achieved” or “on-track” in the Corporate Strategic Planning system.</w:t>
            </w:r>
          </w:p>
        </w:tc>
      </w:tr>
      <w:tr w:rsidR="00EB1316" w:rsidRPr="00C7021E" w14:paraId="2B1031A1" w14:textId="77777777" w:rsidTr="009C5083">
        <w:trPr>
          <w:trHeight w:val="710"/>
          <w:jc w:val="center"/>
        </w:trPr>
        <w:tc>
          <w:tcPr>
            <w:tcW w:w="2065" w:type="dxa"/>
            <w:vMerge/>
            <w:shd w:val="clear" w:color="auto" w:fill="auto"/>
            <w:vAlign w:val="center"/>
          </w:tcPr>
          <w:p w14:paraId="23A02BCB"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vMerge w:val="restart"/>
            <w:shd w:val="clear" w:color="auto" w:fill="auto"/>
            <w:vAlign w:val="center"/>
          </w:tcPr>
          <w:p w14:paraId="52BCE017"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4.</w:t>
            </w:r>
          </w:p>
        </w:tc>
        <w:tc>
          <w:tcPr>
            <w:tcW w:w="5130" w:type="dxa"/>
            <w:shd w:val="clear" w:color="auto" w:fill="auto"/>
            <w:vAlign w:val="center"/>
          </w:tcPr>
          <w:p w14:paraId="32EDA7ED" w14:textId="77777777" w:rsidR="00EB1316" w:rsidRPr="00C7021E" w:rsidRDefault="00EB1316" w:rsidP="009C5083">
            <w:pPr>
              <w:spacing w:after="0" w:line="240" w:lineRule="auto"/>
              <w:rPr>
                <w:rFonts w:eastAsia="Calibri" w:cs="Times New Roman"/>
                <w:sz w:val="20"/>
                <w:szCs w:val="20"/>
                <w:lang w:val="en-GB" w:eastAsia="en-US"/>
              </w:rPr>
            </w:pPr>
            <w:r w:rsidRPr="00C7021E">
              <w:rPr>
                <w:rFonts w:eastAsia="Calibri" w:cs="Times New Roman"/>
                <w:sz w:val="20"/>
                <w:szCs w:val="20"/>
                <w:lang w:val="en-GB" w:eastAsia="en-US"/>
              </w:rPr>
              <w:t xml:space="preserve">Percentage of Country Office annual results reports which meet or exceed expected organizational quality standards </w:t>
            </w:r>
            <w:r w:rsidRPr="00C7021E">
              <w:rPr>
                <w:rFonts w:eastAsia="Calibri" w:cs="Times New Roman"/>
                <w:b/>
                <w:sz w:val="20"/>
                <w:szCs w:val="20"/>
                <w:lang w:val="en-GB" w:eastAsia="en-US"/>
              </w:rPr>
              <w:t>(QCPR related indicator)</w:t>
            </w:r>
          </w:p>
        </w:tc>
        <w:tc>
          <w:tcPr>
            <w:tcW w:w="1800" w:type="dxa"/>
            <w:shd w:val="clear" w:color="auto" w:fill="auto"/>
            <w:vAlign w:val="center"/>
          </w:tcPr>
          <w:p w14:paraId="624FF335" w14:textId="77777777" w:rsidR="00EB1316" w:rsidRPr="000657CC" w:rsidRDefault="00EB1316" w:rsidP="009C5083">
            <w:pPr>
              <w:spacing w:after="0"/>
              <w:jc w:val="center"/>
              <w:rPr>
                <w:rFonts w:ascii="Calibri" w:eastAsia="Calibri" w:hAnsi="Calibri"/>
                <w:sz w:val="20"/>
                <w:szCs w:val="20"/>
              </w:rPr>
            </w:pPr>
            <w:r w:rsidRPr="001149E1">
              <w:rPr>
                <w:rFonts w:ascii="Calibri" w:eastAsia="Calibri" w:hAnsi="Calibri"/>
                <w:sz w:val="20"/>
                <w:szCs w:val="20"/>
              </w:rPr>
              <w:t>67% [2012 ROARs]</w:t>
            </w:r>
          </w:p>
        </w:tc>
        <w:tc>
          <w:tcPr>
            <w:tcW w:w="1530" w:type="dxa"/>
            <w:shd w:val="clear" w:color="auto" w:fill="auto"/>
            <w:vAlign w:val="center"/>
          </w:tcPr>
          <w:p w14:paraId="3032165D" w14:textId="77777777" w:rsidR="00EB1316" w:rsidRPr="00D272C1" w:rsidRDefault="00EB1316" w:rsidP="009C5083">
            <w:pPr>
              <w:spacing w:after="0" w:line="240" w:lineRule="auto"/>
              <w:jc w:val="center"/>
              <w:rPr>
                <w:rFonts w:eastAsia="Calibri" w:cs="Times New Roman"/>
                <w:sz w:val="20"/>
                <w:szCs w:val="20"/>
                <w:lang w:val="en-GB" w:eastAsia="en-US"/>
              </w:rPr>
            </w:pPr>
          </w:p>
        </w:tc>
        <w:tc>
          <w:tcPr>
            <w:tcW w:w="1710" w:type="dxa"/>
            <w:shd w:val="clear" w:color="auto" w:fill="auto"/>
            <w:vAlign w:val="center"/>
          </w:tcPr>
          <w:p w14:paraId="0C90CD06" w14:textId="77777777" w:rsidR="00EB1316" w:rsidRPr="000657CC" w:rsidRDefault="00EB1316" w:rsidP="009C5083">
            <w:pPr>
              <w:spacing w:after="0" w:line="240" w:lineRule="auto"/>
              <w:rPr>
                <w:rFonts w:eastAsia="Calibri" w:cs="Times New Roman"/>
                <w:sz w:val="20"/>
                <w:szCs w:val="20"/>
                <w:lang w:val="en-GB" w:eastAsia="en-US"/>
              </w:rPr>
            </w:pPr>
            <w:r w:rsidRPr="00341052">
              <w:rPr>
                <w:rFonts w:eastAsia="Calibri" w:cs="Times New Roman"/>
                <w:sz w:val="20"/>
                <w:szCs w:val="20"/>
                <w:lang w:val="en-GB" w:eastAsia="en-US"/>
              </w:rPr>
              <w:t>75%</w:t>
            </w:r>
            <w:r>
              <w:rPr>
                <w:rFonts w:eastAsia="Calibri" w:cs="Times New Roman"/>
                <w:sz w:val="20"/>
                <w:szCs w:val="20"/>
                <w:lang w:val="en-GB" w:eastAsia="en-US"/>
              </w:rPr>
              <w:t xml:space="preserve"> [2013 ROARs]</w:t>
            </w:r>
          </w:p>
        </w:tc>
        <w:tc>
          <w:tcPr>
            <w:tcW w:w="1530" w:type="dxa"/>
            <w:shd w:val="clear" w:color="auto" w:fill="auto"/>
            <w:vAlign w:val="center"/>
          </w:tcPr>
          <w:p w14:paraId="2A160D7D" w14:textId="77777777" w:rsidR="00EB1316" w:rsidRPr="00341052" w:rsidRDefault="00EB1316" w:rsidP="009C5083">
            <w:pPr>
              <w:spacing w:after="0" w:line="240" w:lineRule="auto"/>
              <w:rPr>
                <w:rFonts w:eastAsia="Calibri" w:cs="Times New Roman"/>
                <w:sz w:val="20"/>
                <w:szCs w:val="20"/>
                <w:lang w:val="en-GB" w:eastAsia="en-US"/>
              </w:rPr>
            </w:pPr>
            <w:r w:rsidRPr="00371A2B">
              <w:rPr>
                <w:rFonts w:eastAsia="Calibri" w:cs="Times New Roman"/>
                <w:sz w:val="20"/>
                <w:szCs w:val="20"/>
                <w:lang w:eastAsia="en-US"/>
              </w:rPr>
              <w:t>90%</w:t>
            </w:r>
          </w:p>
        </w:tc>
      </w:tr>
      <w:tr w:rsidR="00EB1316" w:rsidRPr="00C7021E" w14:paraId="5C1E91FD" w14:textId="77777777" w:rsidTr="009C5083">
        <w:trPr>
          <w:trHeight w:val="503"/>
          <w:jc w:val="center"/>
        </w:trPr>
        <w:tc>
          <w:tcPr>
            <w:tcW w:w="2065" w:type="dxa"/>
            <w:vMerge/>
            <w:shd w:val="clear" w:color="auto" w:fill="auto"/>
            <w:vAlign w:val="center"/>
          </w:tcPr>
          <w:p w14:paraId="274CB053"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vMerge/>
            <w:shd w:val="clear" w:color="auto" w:fill="auto"/>
            <w:vAlign w:val="center"/>
          </w:tcPr>
          <w:p w14:paraId="44153AE4" w14:textId="77777777" w:rsidR="00EB1316" w:rsidRPr="00C7021E" w:rsidRDefault="00EB1316" w:rsidP="009C5083">
            <w:pPr>
              <w:spacing w:after="0" w:line="240" w:lineRule="auto"/>
              <w:rPr>
                <w:rFonts w:eastAsia="Calibri" w:cs="Times New Roman"/>
                <w:b/>
                <w:sz w:val="20"/>
                <w:szCs w:val="20"/>
                <w:lang w:val="en-GB" w:eastAsia="en-US"/>
              </w:rPr>
            </w:pPr>
          </w:p>
        </w:tc>
        <w:tc>
          <w:tcPr>
            <w:tcW w:w="11700" w:type="dxa"/>
            <w:gridSpan w:val="5"/>
            <w:shd w:val="clear" w:color="auto" w:fill="D9D9D9" w:themeFill="background1" w:themeFillShade="D9"/>
            <w:vAlign w:val="center"/>
          </w:tcPr>
          <w:p w14:paraId="7D811564" w14:textId="77777777" w:rsidR="00EB1316" w:rsidRPr="00D426CF" w:rsidRDefault="00EB1316" w:rsidP="009C5083">
            <w:pPr>
              <w:spacing w:after="0" w:line="240" w:lineRule="auto"/>
              <w:rPr>
                <w:rFonts w:ascii="Calibri" w:eastAsia="Calibri" w:hAnsi="Calibri"/>
                <w:b/>
                <w:sz w:val="18"/>
                <w:szCs w:val="18"/>
              </w:rPr>
            </w:pPr>
            <w:r w:rsidRPr="00D426CF">
              <w:rPr>
                <w:rFonts w:ascii="Calibri" w:eastAsia="Calibri" w:hAnsi="Calibri"/>
                <w:b/>
                <w:sz w:val="18"/>
                <w:szCs w:val="18"/>
              </w:rPr>
              <w:t>Note</w:t>
            </w:r>
            <w:r w:rsidRPr="00D426CF">
              <w:rPr>
                <w:rFonts w:ascii="Calibri" w:eastAsia="Calibri" w:hAnsi="Calibri"/>
                <w:sz w:val="18"/>
                <w:szCs w:val="18"/>
              </w:rPr>
              <w:t xml:space="preserve">: </w:t>
            </w:r>
            <w:r w:rsidRPr="00901A01">
              <w:rPr>
                <w:rFonts w:ascii="Calibri" w:eastAsia="Calibri" w:hAnsi="Calibri"/>
                <w:sz w:val="18"/>
                <w:szCs w:val="18"/>
              </w:rPr>
              <w:t xml:space="preserve">The 2014 actual refers to the rating of results oriented annual reports (ROARs) for </w:t>
            </w:r>
            <w:r w:rsidRPr="00901A01">
              <w:rPr>
                <w:rFonts w:ascii="Calibri" w:eastAsia="Calibri" w:hAnsi="Calibri"/>
                <w:sz w:val="18"/>
                <w:szCs w:val="18"/>
                <w:u w:val="single"/>
              </w:rPr>
              <w:t>2013</w:t>
            </w:r>
            <w:r w:rsidRPr="00901A01">
              <w:rPr>
                <w:rFonts w:ascii="Calibri" w:eastAsia="Calibri" w:hAnsi="Calibri"/>
                <w:sz w:val="18"/>
                <w:szCs w:val="18"/>
              </w:rPr>
              <w:t>, where 101 ROARs (75%) met the or</w:t>
            </w:r>
            <w:r>
              <w:rPr>
                <w:rFonts w:ascii="Calibri" w:eastAsia="Calibri" w:hAnsi="Calibri"/>
                <w:sz w:val="18"/>
                <w:szCs w:val="18"/>
              </w:rPr>
              <w:t>ganizational quality standard. The first milestone for this indicator was set for the 2014 ROARs at 77%. It will be reported next year.</w:t>
            </w:r>
          </w:p>
        </w:tc>
      </w:tr>
      <w:tr w:rsidR="00EB1316" w:rsidRPr="00C7021E" w14:paraId="11AC0705" w14:textId="77777777" w:rsidTr="009C5083">
        <w:trPr>
          <w:trHeight w:val="575"/>
          <w:jc w:val="center"/>
        </w:trPr>
        <w:tc>
          <w:tcPr>
            <w:tcW w:w="2065" w:type="dxa"/>
            <w:vMerge/>
            <w:shd w:val="clear" w:color="auto" w:fill="auto"/>
            <w:vAlign w:val="center"/>
          </w:tcPr>
          <w:p w14:paraId="1BD39012"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vMerge w:val="restart"/>
            <w:shd w:val="clear" w:color="auto" w:fill="auto"/>
            <w:vAlign w:val="center"/>
          </w:tcPr>
          <w:p w14:paraId="1E4AD15E"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5.</w:t>
            </w:r>
          </w:p>
        </w:tc>
        <w:tc>
          <w:tcPr>
            <w:tcW w:w="5130" w:type="dxa"/>
            <w:shd w:val="clear" w:color="auto" w:fill="auto"/>
            <w:vAlign w:val="center"/>
          </w:tcPr>
          <w:p w14:paraId="374EB9EC" w14:textId="77777777" w:rsidR="00EB1316" w:rsidRPr="00C7021E" w:rsidRDefault="00EB1316" w:rsidP="009C5083">
            <w:pPr>
              <w:spacing w:after="0" w:line="240" w:lineRule="auto"/>
              <w:rPr>
                <w:rFonts w:eastAsia="Calibri" w:cs="Times New Roman"/>
                <w:sz w:val="20"/>
                <w:szCs w:val="20"/>
                <w:lang w:val="en-GB" w:eastAsia="en-US"/>
              </w:rPr>
            </w:pPr>
            <w:r w:rsidRPr="00C7021E">
              <w:rPr>
                <w:rFonts w:eastAsia="Calibri" w:cs="Times New Roman"/>
                <w:sz w:val="20"/>
                <w:szCs w:val="20"/>
                <w:lang w:val="en-GB" w:eastAsia="en-US"/>
              </w:rPr>
              <w:t xml:space="preserve">Percentage of projects meeting or exceeding organizational quality standards </w:t>
            </w:r>
            <w:r w:rsidRPr="00C7021E">
              <w:rPr>
                <w:rFonts w:eastAsia="Calibri" w:cs="Times New Roman"/>
                <w:b/>
                <w:sz w:val="20"/>
                <w:szCs w:val="20"/>
                <w:lang w:val="en-GB" w:eastAsia="en-US"/>
              </w:rPr>
              <w:t>(QCPR related indicator)</w:t>
            </w:r>
          </w:p>
        </w:tc>
        <w:tc>
          <w:tcPr>
            <w:tcW w:w="1800" w:type="dxa"/>
            <w:shd w:val="clear" w:color="auto" w:fill="auto"/>
            <w:vAlign w:val="center"/>
          </w:tcPr>
          <w:p w14:paraId="623F641B" w14:textId="77777777" w:rsidR="00EB1316" w:rsidRPr="006E5BE9" w:rsidRDefault="00EB1316" w:rsidP="009C5083">
            <w:pPr>
              <w:spacing w:after="0"/>
              <w:jc w:val="center"/>
              <w:rPr>
                <w:rFonts w:ascii="Calibri" w:eastAsia="Calibri" w:hAnsi="Calibri"/>
                <w:sz w:val="20"/>
                <w:szCs w:val="20"/>
              </w:rPr>
            </w:pPr>
            <w:r>
              <w:rPr>
                <w:sz w:val="20"/>
                <w:szCs w:val="20"/>
              </w:rPr>
              <w:t>72</w:t>
            </w:r>
            <w:r w:rsidRPr="006E5BE9">
              <w:rPr>
                <w:sz w:val="20"/>
                <w:szCs w:val="20"/>
              </w:rPr>
              <w:t>% (2014)</w:t>
            </w:r>
          </w:p>
        </w:tc>
        <w:tc>
          <w:tcPr>
            <w:tcW w:w="1530" w:type="dxa"/>
            <w:shd w:val="clear" w:color="auto" w:fill="auto"/>
            <w:vAlign w:val="center"/>
          </w:tcPr>
          <w:p w14:paraId="34F043B0" w14:textId="77777777" w:rsidR="00EB1316" w:rsidRPr="006E5BE9" w:rsidRDefault="00EB1316" w:rsidP="009C5083">
            <w:pPr>
              <w:spacing w:after="0"/>
              <w:jc w:val="center"/>
              <w:rPr>
                <w:rFonts w:ascii="Calibri" w:eastAsia="Calibri" w:hAnsi="Calibri"/>
                <w:sz w:val="20"/>
                <w:szCs w:val="20"/>
              </w:rPr>
            </w:pPr>
            <w:r>
              <w:rPr>
                <w:sz w:val="20"/>
                <w:szCs w:val="20"/>
              </w:rPr>
              <w:t>Not available</w:t>
            </w:r>
          </w:p>
        </w:tc>
        <w:tc>
          <w:tcPr>
            <w:tcW w:w="1710" w:type="dxa"/>
            <w:shd w:val="clear" w:color="auto" w:fill="auto"/>
            <w:vAlign w:val="center"/>
          </w:tcPr>
          <w:p w14:paraId="006195A7" w14:textId="77777777" w:rsidR="00EB1316" w:rsidRPr="006E5BE9" w:rsidRDefault="00EB1316" w:rsidP="009C5083">
            <w:pPr>
              <w:spacing w:after="0"/>
              <w:jc w:val="center"/>
              <w:rPr>
                <w:rFonts w:ascii="Calibri" w:eastAsia="Calibri" w:hAnsi="Calibri"/>
                <w:sz w:val="20"/>
                <w:szCs w:val="20"/>
              </w:rPr>
            </w:pPr>
            <w:r>
              <w:rPr>
                <w:sz w:val="20"/>
                <w:szCs w:val="20"/>
              </w:rPr>
              <w:t>72%</w:t>
            </w:r>
          </w:p>
        </w:tc>
        <w:tc>
          <w:tcPr>
            <w:tcW w:w="1530" w:type="dxa"/>
            <w:shd w:val="clear" w:color="auto" w:fill="auto"/>
            <w:vAlign w:val="center"/>
          </w:tcPr>
          <w:p w14:paraId="3AB6CB8F" w14:textId="77777777" w:rsidR="00EB1316" w:rsidRDefault="00EB1316" w:rsidP="009C5083">
            <w:pPr>
              <w:spacing w:after="0"/>
              <w:jc w:val="center"/>
              <w:rPr>
                <w:sz w:val="20"/>
                <w:szCs w:val="20"/>
              </w:rPr>
            </w:pPr>
            <w:r w:rsidRPr="00371A2B">
              <w:rPr>
                <w:sz w:val="20"/>
                <w:szCs w:val="20"/>
              </w:rPr>
              <w:t>TBD</w:t>
            </w:r>
          </w:p>
        </w:tc>
      </w:tr>
      <w:tr w:rsidR="00EB1316" w:rsidRPr="00C7021E" w14:paraId="7FDFCCA5" w14:textId="77777777" w:rsidTr="009C5083">
        <w:trPr>
          <w:trHeight w:val="530"/>
          <w:jc w:val="center"/>
        </w:trPr>
        <w:tc>
          <w:tcPr>
            <w:tcW w:w="2065" w:type="dxa"/>
            <w:vMerge/>
            <w:shd w:val="clear" w:color="auto" w:fill="auto"/>
            <w:vAlign w:val="center"/>
          </w:tcPr>
          <w:p w14:paraId="0F95F30E"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vMerge/>
            <w:shd w:val="clear" w:color="auto" w:fill="auto"/>
            <w:vAlign w:val="center"/>
          </w:tcPr>
          <w:p w14:paraId="069A2852" w14:textId="77777777" w:rsidR="00EB1316" w:rsidRPr="00C7021E" w:rsidRDefault="00EB1316" w:rsidP="009C5083">
            <w:pPr>
              <w:spacing w:after="0" w:line="240" w:lineRule="auto"/>
              <w:rPr>
                <w:rFonts w:eastAsia="Calibri" w:cs="Times New Roman"/>
                <w:b/>
                <w:sz w:val="20"/>
                <w:szCs w:val="20"/>
                <w:lang w:val="en-GB" w:eastAsia="en-US"/>
              </w:rPr>
            </w:pPr>
          </w:p>
        </w:tc>
        <w:tc>
          <w:tcPr>
            <w:tcW w:w="11700" w:type="dxa"/>
            <w:gridSpan w:val="5"/>
            <w:shd w:val="clear" w:color="auto" w:fill="D9D9D9" w:themeFill="background1" w:themeFillShade="D9"/>
            <w:vAlign w:val="center"/>
          </w:tcPr>
          <w:p w14:paraId="63098929" w14:textId="77777777" w:rsidR="00EB1316" w:rsidRPr="007419AC" w:rsidRDefault="00EB1316" w:rsidP="009C5083">
            <w:pPr>
              <w:spacing w:after="0" w:line="240" w:lineRule="auto"/>
              <w:rPr>
                <w:rFonts w:ascii="Calibri" w:eastAsia="Calibri" w:hAnsi="Calibri"/>
                <w:b/>
                <w:sz w:val="20"/>
              </w:rPr>
            </w:pPr>
            <w:r w:rsidRPr="007419AC">
              <w:rPr>
                <w:rFonts w:ascii="Calibri" w:eastAsia="Calibri" w:hAnsi="Calibri"/>
                <w:b/>
                <w:sz w:val="20"/>
              </w:rPr>
              <w:t>Note</w:t>
            </w:r>
            <w:r>
              <w:rPr>
                <w:rFonts w:ascii="Calibri" w:eastAsia="Calibri" w:hAnsi="Calibri"/>
                <w:sz w:val="20"/>
              </w:rPr>
              <w:t xml:space="preserve">: </w:t>
            </w:r>
            <w:r w:rsidRPr="005F7E1F">
              <w:rPr>
                <w:rFonts w:ascii="Calibri" w:eastAsia="Calibri" w:hAnsi="Calibri"/>
                <w:sz w:val="18"/>
                <w:szCs w:val="18"/>
              </w:rPr>
              <w:t>The baseline is collected from Phase 1 of the Project QA system implementation, which includes quality ratings from a sample of 107 projects in 21 country offices. Phase 2 in 2015 will extend the system to 70 country offices, with full application worldwide planned in 2016.</w:t>
            </w:r>
          </w:p>
        </w:tc>
      </w:tr>
      <w:tr w:rsidR="00EB1316" w:rsidRPr="00C7021E" w14:paraId="458B0FC1" w14:textId="77777777" w:rsidTr="009C5083">
        <w:trPr>
          <w:trHeight w:val="800"/>
          <w:jc w:val="center"/>
        </w:trPr>
        <w:tc>
          <w:tcPr>
            <w:tcW w:w="2065" w:type="dxa"/>
            <w:vMerge/>
            <w:shd w:val="clear" w:color="auto" w:fill="auto"/>
            <w:vAlign w:val="center"/>
          </w:tcPr>
          <w:p w14:paraId="47BAE594"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vMerge w:val="restart"/>
            <w:shd w:val="clear" w:color="auto" w:fill="auto"/>
            <w:vAlign w:val="center"/>
          </w:tcPr>
          <w:p w14:paraId="6806408C"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6.</w:t>
            </w:r>
          </w:p>
        </w:tc>
        <w:tc>
          <w:tcPr>
            <w:tcW w:w="5130" w:type="dxa"/>
            <w:shd w:val="clear" w:color="auto" w:fill="auto"/>
            <w:vAlign w:val="center"/>
          </w:tcPr>
          <w:p w14:paraId="52E71645" w14:textId="77777777" w:rsidR="00EB1316" w:rsidRPr="00C7021E" w:rsidRDefault="00EB1316" w:rsidP="009C5083">
            <w:pPr>
              <w:spacing w:after="0" w:line="240" w:lineRule="auto"/>
              <w:rPr>
                <w:rFonts w:eastAsia="Calibri" w:cs="Times New Roman"/>
                <w:sz w:val="20"/>
                <w:szCs w:val="20"/>
                <w:lang w:val="en-GB" w:eastAsia="en-US"/>
              </w:rPr>
            </w:pPr>
            <w:r w:rsidRPr="00C7021E">
              <w:rPr>
                <w:rFonts w:eastAsia="Calibri" w:cs="Times New Roman"/>
                <w:sz w:val="20"/>
                <w:szCs w:val="20"/>
                <w:lang w:val="en-GB" w:eastAsia="en-US"/>
              </w:rPr>
              <w:t xml:space="preserve">Percentage of new country programme documents that meet organizational standards in the first submission for internal appraisal </w:t>
            </w:r>
            <w:r w:rsidRPr="00C7021E">
              <w:rPr>
                <w:rFonts w:eastAsia="Calibri" w:cs="Times New Roman"/>
                <w:b/>
                <w:sz w:val="20"/>
                <w:szCs w:val="20"/>
                <w:lang w:val="en-GB" w:eastAsia="en-US"/>
              </w:rPr>
              <w:t>(QCPR related indicator)</w:t>
            </w:r>
            <w:r w:rsidRPr="00C7021E">
              <w:rPr>
                <w:rFonts w:eastAsia="Calibri" w:cs="Times New Roman"/>
                <w:sz w:val="20"/>
                <w:szCs w:val="20"/>
                <w:lang w:val="en-GB" w:eastAsia="en-US"/>
              </w:rPr>
              <w:t xml:space="preserve"> </w:t>
            </w:r>
          </w:p>
        </w:tc>
        <w:tc>
          <w:tcPr>
            <w:tcW w:w="1800" w:type="dxa"/>
            <w:shd w:val="clear" w:color="auto" w:fill="auto"/>
            <w:vAlign w:val="center"/>
          </w:tcPr>
          <w:p w14:paraId="064E45FD" w14:textId="77777777" w:rsidR="00EB1316" w:rsidRPr="000657CC" w:rsidRDefault="00EB1316" w:rsidP="009C5083">
            <w:pPr>
              <w:spacing w:after="0"/>
              <w:jc w:val="center"/>
              <w:rPr>
                <w:rFonts w:ascii="Calibri" w:eastAsia="Calibri" w:hAnsi="Calibri"/>
                <w:sz w:val="20"/>
              </w:rPr>
            </w:pPr>
            <w:r>
              <w:rPr>
                <w:rFonts w:ascii="Calibri" w:eastAsia="Calibri" w:hAnsi="Calibri"/>
                <w:sz w:val="20"/>
              </w:rPr>
              <w:t>79</w:t>
            </w:r>
            <w:r w:rsidRPr="00D46CA5">
              <w:rPr>
                <w:rFonts w:ascii="Calibri" w:eastAsia="Calibri" w:hAnsi="Calibri"/>
                <w:sz w:val="20"/>
              </w:rPr>
              <w:t>% (2014)</w:t>
            </w:r>
          </w:p>
        </w:tc>
        <w:tc>
          <w:tcPr>
            <w:tcW w:w="1530" w:type="dxa"/>
            <w:shd w:val="clear" w:color="auto" w:fill="auto"/>
            <w:vAlign w:val="center"/>
          </w:tcPr>
          <w:p w14:paraId="03DFA420" w14:textId="77777777" w:rsidR="00EB1316" w:rsidRPr="000657CC" w:rsidRDefault="00EB1316" w:rsidP="009C5083">
            <w:pPr>
              <w:spacing w:after="0"/>
              <w:jc w:val="center"/>
              <w:rPr>
                <w:rFonts w:ascii="Calibri" w:eastAsia="Calibri" w:hAnsi="Calibri"/>
                <w:sz w:val="20"/>
              </w:rPr>
            </w:pPr>
            <w:r>
              <w:rPr>
                <w:rFonts w:ascii="Calibri" w:eastAsia="Calibri" w:hAnsi="Calibri"/>
                <w:sz w:val="20"/>
              </w:rPr>
              <w:t>Not available</w:t>
            </w:r>
          </w:p>
        </w:tc>
        <w:tc>
          <w:tcPr>
            <w:tcW w:w="1710" w:type="dxa"/>
            <w:shd w:val="clear" w:color="auto" w:fill="auto"/>
            <w:vAlign w:val="center"/>
          </w:tcPr>
          <w:p w14:paraId="35A80F5B" w14:textId="77777777" w:rsidR="00EB1316" w:rsidRPr="000657CC" w:rsidRDefault="00EB1316" w:rsidP="009C5083">
            <w:pPr>
              <w:spacing w:after="0"/>
              <w:jc w:val="center"/>
              <w:rPr>
                <w:rFonts w:ascii="Calibri" w:eastAsia="Calibri" w:hAnsi="Calibri"/>
                <w:sz w:val="20"/>
              </w:rPr>
            </w:pPr>
            <w:r>
              <w:rPr>
                <w:rFonts w:ascii="Calibri" w:eastAsia="Calibri" w:hAnsi="Calibri"/>
                <w:sz w:val="20"/>
              </w:rPr>
              <w:t>79%</w:t>
            </w:r>
          </w:p>
        </w:tc>
        <w:tc>
          <w:tcPr>
            <w:tcW w:w="1530" w:type="dxa"/>
            <w:shd w:val="clear" w:color="auto" w:fill="auto"/>
            <w:vAlign w:val="center"/>
          </w:tcPr>
          <w:p w14:paraId="0B61E496" w14:textId="77777777" w:rsidR="00EB1316" w:rsidRDefault="00EB1316" w:rsidP="009C5083">
            <w:pPr>
              <w:spacing w:after="0"/>
              <w:jc w:val="center"/>
              <w:rPr>
                <w:rFonts w:ascii="Calibri" w:eastAsia="Calibri" w:hAnsi="Calibri"/>
                <w:sz w:val="20"/>
              </w:rPr>
            </w:pPr>
            <w:r w:rsidRPr="00371A2B">
              <w:rPr>
                <w:rFonts w:ascii="Calibri" w:eastAsia="Calibri" w:hAnsi="Calibri"/>
                <w:sz w:val="20"/>
              </w:rPr>
              <w:t>TBD</w:t>
            </w:r>
          </w:p>
        </w:tc>
      </w:tr>
      <w:tr w:rsidR="00EB1316" w:rsidRPr="00C7021E" w14:paraId="13369511" w14:textId="77777777" w:rsidTr="009C5083">
        <w:trPr>
          <w:trHeight w:val="503"/>
          <w:jc w:val="center"/>
        </w:trPr>
        <w:tc>
          <w:tcPr>
            <w:tcW w:w="2065" w:type="dxa"/>
            <w:vMerge/>
            <w:shd w:val="clear" w:color="auto" w:fill="auto"/>
            <w:vAlign w:val="center"/>
          </w:tcPr>
          <w:p w14:paraId="02E840F9"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vMerge/>
            <w:shd w:val="clear" w:color="auto" w:fill="auto"/>
            <w:vAlign w:val="center"/>
          </w:tcPr>
          <w:p w14:paraId="23114C7A" w14:textId="77777777" w:rsidR="00EB1316" w:rsidRPr="00C7021E" w:rsidRDefault="00EB1316" w:rsidP="009C5083">
            <w:pPr>
              <w:spacing w:after="0" w:line="240" w:lineRule="auto"/>
              <w:rPr>
                <w:rFonts w:eastAsia="Calibri" w:cs="Times New Roman"/>
                <w:b/>
                <w:sz w:val="20"/>
                <w:szCs w:val="20"/>
                <w:lang w:val="en-GB" w:eastAsia="en-US"/>
              </w:rPr>
            </w:pPr>
          </w:p>
        </w:tc>
        <w:tc>
          <w:tcPr>
            <w:tcW w:w="11700" w:type="dxa"/>
            <w:gridSpan w:val="5"/>
            <w:shd w:val="clear" w:color="auto" w:fill="D9D9D9" w:themeFill="background1" w:themeFillShade="D9"/>
            <w:vAlign w:val="center"/>
          </w:tcPr>
          <w:p w14:paraId="69AFAAC1" w14:textId="77777777" w:rsidR="00EB1316" w:rsidRPr="00F444AE" w:rsidRDefault="00EB1316" w:rsidP="009C5083">
            <w:pPr>
              <w:spacing w:after="0" w:line="240" w:lineRule="auto"/>
              <w:rPr>
                <w:rFonts w:ascii="Calibri" w:eastAsia="Calibri" w:hAnsi="Calibri"/>
                <w:b/>
                <w:sz w:val="18"/>
                <w:szCs w:val="18"/>
              </w:rPr>
            </w:pPr>
            <w:r w:rsidRPr="00F444AE">
              <w:rPr>
                <w:rFonts w:ascii="Calibri" w:eastAsia="Calibri" w:hAnsi="Calibri"/>
                <w:b/>
                <w:sz w:val="18"/>
                <w:szCs w:val="18"/>
              </w:rPr>
              <w:t>Note</w:t>
            </w:r>
            <w:r w:rsidRPr="00F444AE">
              <w:rPr>
                <w:rFonts w:ascii="Calibri" w:eastAsia="Calibri" w:hAnsi="Calibri"/>
                <w:sz w:val="18"/>
                <w:szCs w:val="18"/>
              </w:rPr>
              <w:t xml:space="preserve">: </w:t>
            </w:r>
            <w:r w:rsidRPr="00143FFF">
              <w:rPr>
                <w:rFonts w:ascii="Calibri" w:eastAsia="Calibri" w:hAnsi="Calibri"/>
                <w:sz w:val="18"/>
                <w:szCs w:val="18"/>
              </w:rPr>
              <w:t>The baseline reports the results of HQ CPD appraisals in 2014 (HQPACs requested re-submission of 4 out of 19 CPDs). The new organisational standards for programmes will be rolled out in 2015.</w:t>
            </w:r>
          </w:p>
        </w:tc>
      </w:tr>
      <w:tr w:rsidR="00EB1316" w:rsidRPr="00C7021E" w14:paraId="46A90DA8" w14:textId="77777777" w:rsidTr="009C5083">
        <w:trPr>
          <w:trHeight w:val="953"/>
          <w:jc w:val="center"/>
        </w:trPr>
        <w:tc>
          <w:tcPr>
            <w:tcW w:w="2065" w:type="dxa"/>
            <w:vMerge/>
            <w:shd w:val="clear" w:color="auto" w:fill="auto"/>
            <w:vAlign w:val="center"/>
          </w:tcPr>
          <w:p w14:paraId="300176AF"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vMerge w:val="restart"/>
            <w:shd w:val="clear" w:color="auto" w:fill="FFFFFF" w:themeFill="background1"/>
            <w:vAlign w:val="center"/>
          </w:tcPr>
          <w:p w14:paraId="4332D251"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7</w:t>
            </w:r>
            <w:r>
              <w:rPr>
                <w:rFonts w:eastAsia="Calibri" w:cs="Times New Roman"/>
                <w:b/>
                <w:sz w:val="20"/>
                <w:szCs w:val="20"/>
                <w:lang w:val="en-GB" w:eastAsia="en-US"/>
              </w:rPr>
              <w:t>.</w:t>
            </w:r>
          </w:p>
        </w:tc>
        <w:tc>
          <w:tcPr>
            <w:tcW w:w="5130" w:type="dxa"/>
            <w:shd w:val="clear" w:color="auto" w:fill="FFFFFF" w:themeFill="background1"/>
            <w:vAlign w:val="center"/>
          </w:tcPr>
          <w:p w14:paraId="0FBB56DA" w14:textId="77777777" w:rsidR="00EB1316" w:rsidRPr="00C7021E" w:rsidRDefault="00EB1316" w:rsidP="009C5083">
            <w:pPr>
              <w:spacing w:after="0" w:line="240" w:lineRule="auto"/>
              <w:rPr>
                <w:rFonts w:eastAsia="Calibri" w:cs="Times New Roman"/>
                <w:sz w:val="20"/>
                <w:szCs w:val="20"/>
                <w:lang w:val="en-GB" w:eastAsia="en-US"/>
              </w:rPr>
            </w:pPr>
            <w:r w:rsidRPr="00C7021E">
              <w:rPr>
                <w:rFonts w:eastAsia="Calibri" w:cs="Times New Roman"/>
                <w:sz w:val="20"/>
                <w:szCs w:val="20"/>
                <w:lang w:val="en-GB" w:eastAsia="en-US"/>
              </w:rPr>
              <w:t>Percentage of UNDP staff surveyed who report satisfaction with:</w:t>
            </w:r>
          </w:p>
          <w:p w14:paraId="20FFB27A" w14:textId="77777777" w:rsidR="00EB1316" w:rsidRPr="00C7021E" w:rsidRDefault="00EB1316" w:rsidP="006F161D">
            <w:pPr>
              <w:numPr>
                <w:ilvl w:val="0"/>
                <w:numId w:val="78"/>
              </w:numPr>
              <w:spacing w:after="0" w:line="240" w:lineRule="auto"/>
              <w:rPr>
                <w:rFonts w:eastAsia="Calibri" w:cs="Times New Roman"/>
                <w:sz w:val="20"/>
                <w:szCs w:val="20"/>
                <w:lang w:val="en-GB" w:eastAsia="en-US"/>
              </w:rPr>
            </w:pPr>
            <w:r w:rsidRPr="00C7021E">
              <w:rPr>
                <w:rFonts w:eastAsia="Calibri" w:cs="Times New Roman"/>
                <w:sz w:val="20"/>
                <w:szCs w:val="20"/>
                <w:lang w:val="en-GB" w:eastAsia="en-US"/>
              </w:rPr>
              <w:t>UNDP policy services</w:t>
            </w:r>
          </w:p>
          <w:p w14:paraId="0C6EBE87" w14:textId="77777777" w:rsidR="00EB1316" w:rsidRPr="00C7021E" w:rsidRDefault="00EB1316" w:rsidP="006F161D">
            <w:pPr>
              <w:numPr>
                <w:ilvl w:val="0"/>
                <w:numId w:val="78"/>
              </w:numPr>
              <w:spacing w:after="0" w:line="240" w:lineRule="auto"/>
              <w:rPr>
                <w:rFonts w:eastAsia="Calibri" w:cs="Times New Roman"/>
                <w:sz w:val="20"/>
                <w:szCs w:val="20"/>
                <w:lang w:val="en-GB" w:eastAsia="en-US"/>
              </w:rPr>
            </w:pPr>
            <w:r w:rsidRPr="00C7021E">
              <w:rPr>
                <w:rFonts w:eastAsia="Calibri" w:cs="Times New Roman"/>
                <w:sz w:val="20"/>
                <w:szCs w:val="20"/>
                <w:lang w:val="en-GB" w:eastAsia="en-US"/>
              </w:rPr>
              <w:t>UNDP programme/project guidelines and support</w:t>
            </w:r>
          </w:p>
        </w:tc>
        <w:tc>
          <w:tcPr>
            <w:tcW w:w="1800" w:type="dxa"/>
            <w:shd w:val="clear" w:color="auto" w:fill="FFFFFF" w:themeFill="background1"/>
            <w:vAlign w:val="center"/>
          </w:tcPr>
          <w:p w14:paraId="0F8FEA1B" w14:textId="77777777" w:rsidR="00EB1316" w:rsidRDefault="00EB1316" w:rsidP="006F161D">
            <w:pPr>
              <w:pStyle w:val="ListParagraph"/>
              <w:numPr>
                <w:ilvl w:val="0"/>
                <w:numId w:val="79"/>
              </w:numPr>
              <w:jc w:val="center"/>
              <w:rPr>
                <w:rFonts w:eastAsia="Calibri"/>
                <w:sz w:val="20"/>
              </w:rPr>
            </w:pPr>
            <w:r>
              <w:rPr>
                <w:rFonts w:eastAsia="Calibri"/>
                <w:sz w:val="20"/>
              </w:rPr>
              <w:t>74% (2012)</w:t>
            </w:r>
          </w:p>
          <w:p w14:paraId="1F14D5F8" w14:textId="77777777" w:rsidR="00EB1316" w:rsidRPr="00756183" w:rsidRDefault="00EB1316" w:rsidP="006F161D">
            <w:pPr>
              <w:pStyle w:val="ListParagraph"/>
              <w:numPr>
                <w:ilvl w:val="0"/>
                <w:numId w:val="79"/>
              </w:numPr>
              <w:jc w:val="center"/>
              <w:rPr>
                <w:rFonts w:eastAsia="Calibri"/>
                <w:sz w:val="20"/>
              </w:rPr>
            </w:pPr>
            <w:r>
              <w:rPr>
                <w:rFonts w:eastAsia="Calibri"/>
                <w:sz w:val="20"/>
              </w:rPr>
              <w:t>68% (2012)</w:t>
            </w:r>
          </w:p>
        </w:tc>
        <w:tc>
          <w:tcPr>
            <w:tcW w:w="1530" w:type="dxa"/>
            <w:shd w:val="clear" w:color="auto" w:fill="FFFFFF" w:themeFill="background1"/>
            <w:vAlign w:val="center"/>
          </w:tcPr>
          <w:p w14:paraId="7D613B7E" w14:textId="77777777" w:rsidR="00EB1316" w:rsidRPr="0049498A" w:rsidRDefault="00EB1316" w:rsidP="009C5083">
            <w:pPr>
              <w:jc w:val="center"/>
              <w:rPr>
                <w:rFonts w:ascii="Calibri" w:eastAsia="Calibri" w:hAnsi="Calibri"/>
                <w:sz w:val="20"/>
              </w:rPr>
            </w:pPr>
            <w:r w:rsidRPr="000A2241">
              <w:rPr>
                <w:rFonts w:ascii="Calibri" w:eastAsia="Calibri" w:hAnsi="Calibri"/>
                <w:sz w:val="20"/>
              </w:rPr>
              <w:t>Not available</w:t>
            </w:r>
          </w:p>
        </w:tc>
        <w:tc>
          <w:tcPr>
            <w:tcW w:w="1710" w:type="dxa"/>
            <w:shd w:val="clear" w:color="auto" w:fill="FFFFFF" w:themeFill="background1"/>
            <w:vAlign w:val="center"/>
          </w:tcPr>
          <w:p w14:paraId="16345E04" w14:textId="77777777" w:rsidR="00EB1316" w:rsidRPr="002238ED" w:rsidRDefault="00EB1316" w:rsidP="009C5083">
            <w:pPr>
              <w:rPr>
                <w:rFonts w:eastAsia="Calibri"/>
                <w:sz w:val="20"/>
              </w:rPr>
            </w:pPr>
            <w:r w:rsidRPr="000A2241">
              <w:rPr>
                <w:rFonts w:eastAsia="Calibri"/>
                <w:sz w:val="20"/>
              </w:rPr>
              <w:t>Not available</w:t>
            </w:r>
          </w:p>
        </w:tc>
        <w:tc>
          <w:tcPr>
            <w:tcW w:w="1530" w:type="dxa"/>
            <w:shd w:val="clear" w:color="auto" w:fill="FFFFFF" w:themeFill="background1"/>
            <w:vAlign w:val="center"/>
          </w:tcPr>
          <w:p w14:paraId="72078210" w14:textId="77777777" w:rsidR="00EB1316" w:rsidRDefault="00EB1316" w:rsidP="006F161D">
            <w:pPr>
              <w:pStyle w:val="ListParagraph"/>
              <w:numPr>
                <w:ilvl w:val="0"/>
                <w:numId w:val="80"/>
              </w:numPr>
              <w:tabs>
                <w:tab w:val="left" w:pos="612"/>
              </w:tabs>
              <w:rPr>
                <w:rFonts w:eastAsia="Calibri"/>
                <w:sz w:val="20"/>
              </w:rPr>
            </w:pPr>
            <w:r>
              <w:rPr>
                <w:rFonts w:eastAsia="Calibri"/>
                <w:sz w:val="20"/>
              </w:rPr>
              <w:t>80%</w:t>
            </w:r>
          </w:p>
          <w:p w14:paraId="25158C03" w14:textId="77777777" w:rsidR="00EB1316" w:rsidRPr="00371A2B" w:rsidRDefault="00EB1316" w:rsidP="006F161D">
            <w:pPr>
              <w:pStyle w:val="ListParagraph"/>
              <w:numPr>
                <w:ilvl w:val="0"/>
                <w:numId w:val="80"/>
              </w:numPr>
              <w:tabs>
                <w:tab w:val="left" w:pos="612"/>
              </w:tabs>
              <w:rPr>
                <w:rFonts w:eastAsia="Calibri"/>
                <w:sz w:val="20"/>
              </w:rPr>
            </w:pPr>
            <w:r w:rsidRPr="00371A2B">
              <w:rPr>
                <w:rFonts w:eastAsia="Calibri"/>
                <w:sz w:val="20"/>
              </w:rPr>
              <w:t>80</w:t>
            </w:r>
          </w:p>
        </w:tc>
      </w:tr>
      <w:tr w:rsidR="00EB1316" w:rsidRPr="00C7021E" w14:paraId="57F440B0" w14:textId="77777777" w:rsidTr="009C5083">
        <w:trPr>
          <w:trHeight w:val="440"/>
          <w:jc w:val="center"/>
        </w:trPr>
        <w:tc>
          <w:tcPr>
            <w:tcW w:w="2065" w:type="dxa"/>
            <w:vMerge/>
            <w:shd w:val="clear" w:color="auto" w:fill="auto"/>
            <w:vAlign w:val="center"/>
          </w:tcPr>
          <w:p w14:paraId="5E7DB335"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vMerge/>
            <w:shd w:val="clear" w:color="auto" w:fill="FFFFFF" w:themeFill="background1"/>
            <w:vAlign w:val="center"/>
          </w:tcPr>
          <w:p w14:paraId="1750D58B" w14:textId="77777777" w:rsidR="00EB1316" w:rsidRPr="00C7021E" w:rsidRDefault="00EB1316" w:rsidP="009C5083">
            <w:pPr>
              <w:spacing w:after="0" w:line="240" w:lineRule="auto"/>
              <w:rPr>
                <w:rFonts w:eastAsia="Calibri" w:cs="Times New Roman"/>
                <w:b/>
                <w:sz w:val="20"/>
                <w:szCs w:val="20"/>
                <w:lang w:val="en-GB" w:eastAsia="en-US"/>
              </w:rPr>
            </w:pPr>
          </w:p>
        </w:tc>
        <w:tc>
          <w:tcPr>
            <w:tcW w:w="11700" w:type="dxa"/>
            <w:gridSpan w:val="5"/>
            <w:shd w:val="clear" w:color="auto" w:fill="D9D9D9" w:themeFill="background1" w:themeFillShade="D9"/>
            <w:vAlign w:val="center"/>
          </w:tcPr>
          <w:p w14:paraId="131CEE72" w14:textId="77777777" w:rsidR="00EB1316" w:rsidRPr="004B34F6" w:rsidRDefault="00EB1316" w:rsidP="009C5083">
            <w:pPr>
              <w:spacing w:after="0" w:line="240" w:lineRule="auto"/>
              <w:rPr>
                <w:rFonts w:ascii="Calibri" w:eastAsia="Calibri" w:hAnsi="Calibri"/>
                <w:b/>
                <w:sz w:val="20"/>
              </w:rPr>
            </w:pPr>
            <w:r w:rsidRPr="004B34F6">
              <w:rPr>
                <w:rFonts w:ascii="Calibri" w:eastAsia="Calibri" w:hAnsi="Calibri"/>
                <w:b/>
                <w:sz w:val="20"/>
              </w:rPr>
              <w:t>Note</w:t>
            </w:r>
            <w:r>
              <w:rPr>
                <w:rFonts w:ascii="Calibri" w:eastAsia="Calibri" w:hAnsi="Calibri"/>
                <w:sz w:val="20"/>
              </w:rPr>
              <w:t xml:space="preserve">: </w:t>
            </w:r>
            <w:r>
              <w:rPr>
                <w:sz w:val="18"/>
                <w:szCs w:val="18"/>
              </w:rPr>
              <w:t>2012 data from the most recent Products and Services Survey (PSS) is used as baseline. The Products and Services Survey methodology is being revised and it will be implemented in 2015.</w:t>
            </w:r>
          </w:p>
        </w:tc>
      </w:tr>
      <w:tr w:rsidR="00EB1316" w:rsidRPr="00C7021E" w14:paraId="1769791D" w14:textId="77777777" w:rsidTr="009C5083">
        <w:trPr>
          <w:trHeight w:val="800"/>
          <w:jc w:val="center"/>
        </w:trPr>
        <w:tc>
          <w:tcPr>
            <w:tcW w:w="2065" w:type="dxa"/>
            <w:vMerge w:val="restart"/>
            <w:shd w:val="clear" w:color="auto" w:fill="auto"/>
            <w:vAlign w:val="center"/>
          </w:tcPr>
          <w:p w14:paraId="50627F65" w14:textId="77777777" w:rsidR="00EB1316" w:rsidRPr="00C7021E" w:rsidRDefault="00EB1316" w:rsidP="009C5083">
            <w:pPr>
              <w:spacing w:after="0" w:line="240" w:lineRule="auto"/>
              <w:rPr>
                <w:rFonts w:eastAsia="Calibri" w:cs="Times New Roman"/>
                <w:sz w:val="20"/>
                <w:szCs w:val="20"/>
                <w:lang w:val="en-GB" w:eastAsia="en-US"/>
              </w:rPr>
            </w:pPr>
            <w:r w:rsidRPr="00245A7E">
              <w:rPr>
                <w:rFonts w:eastAsia="Calibri" w:cs="Times New Roman"/>
                <w:b/>
                <w:sz w:val="20"/>
                <w:szCs w:val="20"/>
                <w:lang w:val="en-GB" w:eastAsia="en-US"/>
              </w:rPr>
              <w:t>1.2</w:t>
            </w:r>
            <w:r w:rsidRPr="00C7021E">
              <w:rPr>
                <w:rFonts w:eastAsia="Calibri" w:cs="Times New Roman"/>
                <w:sz w:val="20"/>
                <w:szCs w:val="20"/>
                <w:lang w:val="en-GB" w:eastAsia="en-US"/>
              </w:rPr>
              <w:t xml:space="preserve"> UNDP’s key development approaches fully integrated into UNDP programmes and projects for more durable results</w:t>
            </w:r>
          </w:p>
        </w:tc>
        <w:tc>
          <w:tcPr>
            <w:tcW w:w="540" w:type="dxa"/>
            <w:vMerge w:val="restart"/>
            <w:shd w:val="clear" w:color="auto" w:fill="auto"/>
            <w:vAlign w:val="center"/>
          </w:tcPr>
          <w:p w14:paraId="6DBE2F43"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8.</w:t>
            </w:r>
          </w:p>
        </w:tc>
        <w:tc>
          <w:tcPr>
            <w:tcW w:w="5130" w:type="dxa"/>
            <w:shd w:val="clear" w:color="auto" w:fill="auto"/>
            <w:vAlign w:val="center"/>
          </w:tcPr>
          <w:p w14:paraId="34281AEC" w14:textId="77777777" w:rsidR="00EB1316" w:rsidRPr="00C7021E" w:rsidRDefault="00EB1316" w:rsidP="009C5083">
            <w:pPr>
              <w:spacing w:after="0" w:line="240" w:lineRule="auto"/>
              <w:rPr>
                <w:rFonts w:eastAsia="Calibri" w:cs="Times New Roman"/>
                <w:sz w:val="20"/>
                <w:szCs w:val="20"/>
                <w:lang w:val="en-GB" w:eastAsia="en-US"/>
              </w:rPr>
            </w:pPr>
            <w:r w:rsidRPr="00C7021E">
              <w:rPr>
                <w:rFonts w:eastAsia="Calibri" w:cs="Times New Roman"/>
                <w:sz w:val="20"/>
                <w:szCs w:val="20"/>
                <w:lang w:eastAsia="en-US"/>
              </w:rPr>
              <w:t>Percentage of projects that meet corporate quality standards for capacity development</w:t>
            </w:r>
            <w:r w:rsidRPr="00C7021E">
              <w:rPr>
                <w:rFonts w:eastAsia="Calibri" w:cs="Times New Roman"/>
                <w:b/>
                <w:sz w:val="20"/>
                <w:szCs w:val="20"/>
                <w:lang w:val="en-GB" w:eastAsia="en-US"/>
              </w:rPr>
              <w:t xml:space="preserve"> (QCPR related indicator)</w:t>
            </w:r>
          </w:p>
        </w:tc>
        <w:tc>
          <w:tcPr>
            <w:tcW w:w="1800" w:type="dxa"/>
            <w:shd w:val="clear" w:color="auto" w:fill="auto"/>
            <w:vAlign w:val="center"/>
          </w:tcPr>
          <w:p w14:paraId="019D93B3" w14:textId="77777777" w:rsidR="00EB1316" w:rsidRPr="00CE13A7" w:rsidRDefault="00EB1316" w:rsidP="009C5083">
            <w:pPr>
              <w:spacing w:after="0" w:line="240" w:lineRule="auto"/>
              <w:jc w:val="center"/>
              <w:rPr>
                <w:rFonts w:ascii="Calibri" w:eastAsia="Calibri" w:hAnsi="Calibri"/>
                <w:sz w:val="20"/>
              </w:rPr>
            </w:pPr>
            <w:r w:rsidRPr="00B55A95">
              <w:rPr>
                <w:rFonts w:ascii="Calibri" w:eastAsia="Calibri" w:hAnsi="Calibri"/>
                <w:color w:val="000000"/>
                <w:sz w:val="20"/>
              </w:rPr>
              <w:t>7</w:t>
            </w:r>
            <w:r>
              <w:rPr>
                <w:rFonts w:ascii="Calibri" w:eastAsia="Calibri" w:hAnsi="Calibri"/>
                <w:color w:val="000000"/>
                <w:sz w:val="20"/>
              </w:rPr>
              <w:t>6</w:t>
            </w:r>
            <w:r w:rsidRPr="00B55A95">
              <w:rPr>
                <w:rFonts w:ascii="Calibri" w:eastAsia="Calibri" w:hAnsi="Calibri"/>
                <w:color w:val="000000"/>
                <w:sz w:val="20"/>
              </w:rPr>
              <w:t>.6% (2014)</w:t>
            </w:r>
          </w:p>
        </w:tc>
        <w:tc>
          <w:tcPr>
            <w:tcW w:w="1530" w:type="dxa"/>
            <w:shd w:val="clear" w:color="auto" w:fill="auto"/>
            <w:vAlign w:val="center"/>
          </w:tcPr>
          <w:p w14:paraId="1537E3D7" w14:textId="77777777" w:rsidR="00EB1316" w:rsidRPr="00CE13A7" w:rsidRDefault="00EB1316" w:rsidP="009C5083">
            <w:pPr>
              <w:spacing w:after="0" w:line="240" w:lineRule="auto"/>
              <w:jc w:val="center"/>
              <w:rPr>
                <w:rFonts w:ascii="Calibri" w:eastAsia="Calibri" w:hAnsi="Calibri"/>
                <w:sz w:val="20"/>
              </w:rPr>
            </w:pPr>
            <w:r w:rsidRPr="000A2241">
              <w:rPr>
                <w:rFonts w:ascii="Calibri" w:eastAsia="Calibri" w:hAnsi="Calibri"/>
                <w:sz w:val="20"/>
              </w:rPr>
              <w:t>Not available</w:t>
            </w:r>
          </w:p>
        </w:tc>
        <w:tc>
          <w:tcPr>
            <w:tcW w:w="1710" w:type="dxa"/>
            <w:shd w:val="clear" w:color="auto" w:fill="auto"/>
            <w:vAlign w:val="center"/>
          </w:tcPr>
          <w:p w14:paraId="1C2C7039" w14:textId="77777777" w:rsidR="00EB1316" w:rsidRPr="00CE13A7" w:rsidRDefault="00EB1316" w:rsidP="009C5083">
            <w:pPr>
              <w:spacing w:after="0" w:line="240" w:lineRule="auto"/>
              <w:rPr>
                <w:rFonts w:ascii="Calibri" w:eastAsia="Calibri" w:hAnsi="Calibri"/>
                <w:sz w:val="20"/>
              </w:rPr>
            </w:pPr>
            <w:r w:rsidRPr="00B55A95">
              <w:rPr>
                <w:rFonts w:ascii="Calibri" w:eastAsia="Calibri" w:hAnsi="Calibri"/>
                <w:sz w:val="20"/>
              </w:rPr>
              <w:t>7</w:t>
            </w:r>
            <w:r>
              <w:rPr>
                <w:rFonts w:ascii="Calibri" w:eastAsia="Calibri" w:hAnsi="Calibri"/>
                <w:sz w:val="20"/>
              </w:rPr>
              <w:t>6</w:t>
            </w:r>
            <w:r w:rsidRPr="00B55A95">
              <w:rPr>
                <w:rFonts w:ascii="Calibri" w:eastAsia="Calibri" w:hAnsi="Calibri"/>
                <w:sz w:val="20"/>
              </w:rPr>
              <w:t>.6%</w:t>
            </w:r>
          </w:p>
        </w:tc>
        <w:tc>
          <w:tcPr>
            <w:tcW w:w="1530" w:type="dxa"/>
            <w:shd w:val="clear" w:color="auto" w:fill="auto"/>
            <w:vAlign w:val="center"/>
          </w:tcPr>
          <w:p w14:paraId="6FD9F3C3" w14:textId="77777777" w:rsidR="00EB1316" w:rsidRPr="00B55A95" w:rsidRDefault="00EB1316" w:rsidP="009C5083">
            <w:pPr>
              <w:spacing w:after="0" w:line="240" w:lineRule="auto"/>
              <w:rPr>
                <w:rFonts w:ascii="Calibri" w:eastAsia="Calibri" w:hAnsi="Calibri"/>
                <w:sz w:val="20"/>
              </w:rPr>
            </w:pPr>
            <w:r w:rsidRPr="003B0744">
              <w:rPr>
                <w:rFonts w:ascii="Calibri" w:eastAsia="Calibri" w:hAnsi="Calibri"/>
                <w:sz w:val="20"/>
              </w:rPr>
              <w:t>TBD</w:t>
            </w:r>
          </w:p>
        </w:tc>
      </w:tr>
      <w:tr w:rsidR="00EB1316" w:rsidRPr="00C7021E" w14:paraId="1EAEEB5B" w14:textId="77777777" w:rsidTr="009C5083">
        <w:trPr>
          <w:trHeight w:val="737"/>
          <w:jc w:val="center"/>
        </w:trPr>
        <w:tc>
          <w:tcPr>
            <w:tcW w:w="2065" w:type="dxa"/>
            <w:vMerge/>
            <w:shd w:val="clear" w:color="auto" w:fill="auto"/>
            <w:vAlign w:val="center"/>
          </w:tcPr>
          <w:p w14:paraId="445813BE" w14:textId="77777777" w:rsidR="00EB1316" w:rsidRPr="00245A7E" w:rsidRDefault="00EB1316" w:rsidP="009C5083">
            <w:pPr>
              <w:spacing w:after="0" w:line="240" w:lineRule="auto"/>
              <w:rPr>
                <w:rFonts w:eastAsia="Calibri" w:cs="Times New Roman"/>
                <w:b/>
                <w:sz w:val="20"/>
                <w:szCs w:val="20"/>
                <w:lang w:val="en-GB" w:eastAsia="en-US"/>
              </w:rPr>
            </w:pPr>
          </w:p>
        </w:tc>
        <w:tc>
          <w:tcPr>
            <w:tcW w:w="540" w:type="dxa"/>
            <w:vMerge/>
            <w:shd w:val="clear" w:color="auto" w:fill="auto"/>
            <w:vAlign w:val="center"/>
          </w:tcPr>
          <w:p w14:paraId="01FA416F" w14:textId="77777777" w:rsidR="00EB1316" w:rsidRPr="00C7021E" w:rsidRDefault="00EB1316" w:rsidP="009C5083">
            <w:pPr>
              <w:spacing w:after="0" w:line="240" w:lineRule="auto"/>
              <w:rPr>
                <w:rFonts w:eastAsia="Calibri" w:cs="Times New Roman"/>
                <w:b/>
                <w:sz w:val="20"/>
                <w:szCs w:val="20"/>
                <w:lang w:val="en-GB" w:eastAsia="en-US"/>
              </w:rPr>
            </w:pPr>
          </w:p>
        </w:tc>
        <w:tc>
          <w:tcPr>
            <w:tcW w:w="11700" w:type="dxa"/>
            <w:gridSpan w:val="5"/>
            <w:shd w:val="clear" w:color="auto" w:fill="D9D9D9" w:themeFill="background1" w:themeFillShade="D9"/>
            <w:vAlign w:val="center"/>
          </w:tcPr>
          <w:p w14:paraId="78ACF7E4" w14:textId="77777777" w:rsidR="00EB1316" w:rsidRPr="0011226E" w:rsidRDefault="00EB1316" w:rsidP="009C5083">
            <w:pPr>
              <w:spacing w:after="0" w:line="240" w:lineRule="auto"/>
              <w:rPr>
                <w:rFonts w:ascii="Calibri" w:eastAsia="Calibri" w:hAnsi="Calibri"/>
                <w:b/>
                <w:sz w:val="18"/>
                <w:szCs w:val="18"/>
              </w:rPr>
            </w:pPr>
            <w:r w:rsidRPr="0011226E">
              <w:rPr>
                <w:rFonts w:ascii="Calibri" w:eastAsia="Calibri" w:hAnsi="Calibri"/>
                <w:b/>
                <w:sz w:val="18"/>
                <w:szCs w:val="18"/>
              </w:rPr>
              <w:t>Note</w:t>
            </w:r>
            <w:r w:rsidRPr="0011226E">
              <w:rPr>
                <w:rFonts w:ascii="Calibri" w:eastAsia="Calibri" w:hAnsi="Calibri"/>
                <w:sz w:val="18"/>
                <w:szCs w:val="18"/>
              </w:rPr>
              <w:t xml:space="preserve">: </w:t>
            </w:r>
            <w:r w:rsidRPr="00862392">
              <w:rPr>
                <w:rFonts w:ascii="Calibri" w:eastAsia="Calibri" w:hAnsi="Calibri"/>
                <w:sz w:val="18"/>
                <w:szCs w:val="18"/>
              </w:rPr>
              <w:t>The Project QA system includes a separate quality criterion for “National Ownership &amp; Sustainability” that integrates corporate quality standards for capacity development. The baseline is collected from Phase 1 of the Project QA system implementation, which includes quality ratings from a sample of 107 projects in 21 country offices. Phase 2 in 2015 will extend the system to 70 country offices, with full application worldwide planned in 2016.</w:t>
            </w:r>
          </w:p>
        </w:tc>
      </w:tr>
      <w:tr w:rsidR="00EB1316" w:rsidRPr="00C7021E" w14:paraId="25EA4720" w14:textId="77777777" w:rsidTr="009C5083">
        <w:trPr>
          <w:trHeight w:val="1772"/>
          <w:jc w:val="center"/>
        </w:trPr>
        <w:tc>
          <w:tcPr>
            <w:tcW w:w="2065" w:type="dxa"/>
            <w:vMerge/>
            <w:shd w:val="clear" w:color="auto" w:fill="auto"/>
            <w:vAlign w:val="center"/>
          </w:tcPr>
          <w:p w14:paraId="3787C07A"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vMerge w:val="restart"/>
            <w:shd w:val="clear" w:color="auto" w:fill="auto"/>
            <w:vAlign w:val="center"/>
          </w:tcPr>
          <w:p w14:paraId="6DEFC78F"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9.</w:t>
            </w:r>
          </w:p>
        </w:tc>
        <w:tc>
          <w:tcPr>
            <w:tcW w:w="5130" w:type="dxa"/>
            <w:shd w:val="clear" w:color="auto" w:fill="auto"/>
            <w:vAlign w:val="center"/>
          </w:tcPr>
          <w:p w14:paraId="22C79E7B" w14:textId="77777777" w:rsidR="00EB1316" w:rsidRDefault="00EB1316" w:rsidP="006F161D">
            <w:pPr>
              <w:numPr>
                <w:ilvl w:val="0"/>
                <w:numId w:val="8"/>
              </w:numPr>
              <w:spacing w:after="0" w:line="240" w:lineRule="auto"/>
              <w:ind w:left="273" w:hanging="270"/>
              <w:contextualSpacing/>
              <w:rPr>
                <w:rFonts w:eastAsia="Calibri" w:cs="Times New Roman"/>
                <w:b/>
                <w:sz w:val="20"/>
                <w:szCs w:val="20"/>
                <w:lang w:val="en-GB" w:eastAsia="en-US"/>
              </w:rPr>
            </w:pPr>
            <w:r w:rsidRPr="00C7021E">
              <w:rPr>
                <w:rFonts w:eastAsia="Calibri" w:cs="Times New Roman"/>
                <w:sz w:val="20"/>
                <w:szCs w:val="20"/>
                <w:lang w:val="en-GB" w:eastAsia="en-US"/>
              </w:rPr>
              <w:t>Percentage of expenditures with a significant gender component and with gender as a principal objective.</w:t>
            </w:r>
            <w:r w:rsidRPr="00C7021E">
              <w:rPr>
                <w:rFonts w:eastAsia="Calibri" w:cs="Times New Roman"/>
                <w:b/>
                <w:sz w:val="20"/>
                <w:szCs w:val="20"/>
                <w:lang w:val="en-GB" w:eastAsia="en-US"/>
              </w:rPr>
              <w:t xml:space="preserve"> (QCPR related indicator)</w:t>
            </w:r>
          </w:p>
          <w:p w14:paraId="5F178CF4" w14:textId="77777777" w:rsidR="00EB1316" w:rsidRPr="00C7021E" w:rsidRDefault="00EB1316" w:rsidP="006F161D">
            <w:pPr>
              <w:numPr>
                <w:ilvl w:val="0"/>
                <w:numId w:val="8"/>
              </w:numPr>
              <w:spacing w:after="0" w:line="240" w:lineRule="auto"/>
              <w:ind w:left="273" w:hanging="270"/>
              <w:contextualSpacing/>
              <w:rPr>
                <w:rFonts w:eastAsia="Calibri" w:cs="Times New Roman"/>
                <w:sz w:val="20"/>
                <w:szCs w:val="20"/>
                <w:lang w:val="en-GB" w:eastAsia="en-US"/>
              </w:rPr>
            </w:pPr>
            <w:r w:rsidRPr="00C7021E">
              <w:rPr>
                <w:rFonts w:eastAsia="Calibri" w:cs="Times New Roman"/>
                <w:sz w:val="20"/>
                <w:szCs w:val="20"/>
                <w:lang w:val="en-GB" w:eastAsia="en-US"/>
              </w:rPr>
              <w:t xml:space="preserve">Number of country offices that track and report on expenditures using gender markers validated by a quality assurance process. </w:t>
            </w:r>
            <w:r w:rsidRPr="00C7021E">
              <w:rPr>
                <w:rFonts w:eastAsia="Calibri" w:cs="Times New Roman"/>
                <w:b/>
                <w:sz w:val="20"/>
                <w:szCs w:val="20"/>
                <w:lang w:eastAsia="en-US"/>
              </w:rPr>
              <w:t>[COMMON QCPR INDICATOR]</w:t>
            </w:r>
          </w:p>
        </w:tc>
        <w:tc>
          <w:tcPr>
            <w:tcW w:w="1800" w:type="dxa"/>
            <w:shd w:val="clear" w:color="auto" w:fill="auto"/>
            <w:vAlign w:val="center"/>
          </w:tcPr>
          <w:p w14:paraId="2587564B" w14:textId="77777777" w:rsidR="00EB1316" w:rsidRDefault="00EB1316" w:rsidP="006F161D">
            <w:pPr>
              <w:pStyle w:val="ListParagraph"/>
              <w:numPr>
                <w:ilvl w:val="0"/>
                <w:numId w:val="51"/>
              </w:numPr>
              <w:rPr>
                <w:rFonts w:eastAsia="Calibri"/>
                <w:sz w:val="20"/>
              </w:rPr>
            </w:pPr>
            <w:r>
              <w:rPr>
                <w:rFonts w:eastAsia="Calibri"/>
                <w:sz w:val="20"/>
              </w:rPr>
              <w:t>30%</w:t>
            </w:r>
          </w:p>
          <w:p w14:paraId="54063311" w14:textId="77777777" w:rsidR="00EB1316" w:rsidRPr="00BF6CDB" w:rsidRDefault="00EB1316" w:rsidP="006F161D">
            <w:pPr>
              <w:pStyle w:val="ListParagraph"/>
              <w:numPr>
                <w:ilvl w:val="0"/>
                <w:numId w:val="51"/>
              </w:numPr>
              <w:rPr>
                <w:rFonts w:eastAsia="Calibri"/>
                <w:sz w:val="20"/>
              </w:rPr>
            </w:pPr>
            <w:r>
              <w:rPr>
                <w:rFonts w:eastAsia="Calibri"/>
                <w:sz w:val="20"/>
              </w:rPr>
              <w:t>3</w:t>
            </w:r>
          </w:p>
        </w:tc>
        <w:tc>
          <w:tcPr>
            <w:tcW w:w="1530" w:type="dxa"/>
            <w:shd w:val="clear" w:color="auto" w:fill="auto"/>
            <w:vAlign w:val="center"/>
          </w:tcPr>
          <w:p w14:paraId="0CE1F962" w14:textId="77777777" w:rsidR="00EB1316" w:rsidRDefault="00EB1316" w:rsidP="006F161D">
            <w:pPr>
              <w:pStyle w:val="ListParagraph"/>
              <w:numPr>
                <w:ilvl w:val="0"/>
                <w:numId w:val="52"/>
              </w:numPr>
              <w:rPr>
                <w:rFonts w:eastAsia="Calibri"/>
                <w:sz w:val="20"/>
              </w:rPr>
            </w:pPr>
            <w:r w:rsidRPr="00BF6CDB">
              <w:rPr>
                <w:rFonts w:eastAsia="Calibri"/>
                <w:sz w:val="20"/>
              </w:rPr>
              <w:t>40%</w:t>
            </w:r>
          </w:p>
          <w:p w14:paraId="5428CEC9" w14:textId="77777777" w:rsidR="00EB1316" w:rsidRPr="004C62F4" w:rsidRDefault="00EB1316" w:rsidP="006F161D">
            <w:pPr>
              <w:pStyle w:val="ListParagraph"/>
              <w:numPr>
                <w:ilvl w:val="0"/>
                <w:numId w:val="52"/>
              </w:numPr>
              <w:rPr>
                <w:rFonts w:eastAsia="Calibri"/>
                <w:sz w:val="20"/>
              </w:rPr>
            </w:pPr>
            <w:r w:rsidRPr="004C62F4">
              <w:rPr>
                <w:rFonts w:eastAsia="Calibri"/>
                <w:sz w:val="20"/>
              </w:rPr>
              <w:t>34</w:t>
            </w:r>
          </w:p>
        </w:tc>
        <w:tc>
          <w:tcPr>
            <w:tcW w:w="1710" w:type="dxa"/>
            <w:shd w:val="clear" w:color="auto" w:fill="auto"/>
            <w:vAlign w:val="center"/>
          </w:tcPr>
          <w:p w14:paraId="3C91D8F9" w14:textId="77777777" w:rsidR="00EB1316" w:rsidRDefault="00EB1316" w:rsidP="006F161D">
            <w:pPr>
              <w:pStyle w:val="ListParagraph"/>
              <w:numPr>
                <w:ilvl w:val="0"/>
                <w:numId w:val="72"/>
              </w:numPr>
              <w:rPr>
                <w:rFonts w:eastAsia="Calibri"/>
                <w:sz w:val="20"/>
              </w:rPr>
            </w:pPr>
            <w:r>
              <w:rPr>
                <w:rFonts w:eastAsia="Calibri"/>
                <w:sz w:val="20"/>
              </w:rPr>
              <w:t>36%</w:t>
            </w:r>
          </w:p>
          <w:p w14:paraId="423DAE23" w14:textId="77777777" w:rsidR="00EB1316" w:rsidRPr="00207297" w:rsidRDefault="00EB1316" w:rsidP="006F161D">
            <w:pPr>
              <w:pStyle w:val="ListParagraph"/>
              <w:numPr>
                <w:ilvl w:val="0"/>
                <w:numId w:val="72"/>
              </w:numPr>
              <w:rPr>
                <w:rFonts w:eastAsia="Calibri"/>
                <w:sz w:val="20"/>
              </w:rPr>
            </w:pPr>
            <w:r>
              <w:rPr>
                <w:rFonts w:eastAsia="Calibri"/>
                <w:sz w:val="20"/>
              </w:rPr>
              <w:t>28 (25 certified in 2014)</w:t>
            </w:r>
          </w:p>
        </w:tc>
        <w:tc>
          <w:tcPr>
            <w:tcW w:w="1530" w:type="dxa"/>
            <w:shd w:val="clear" w:color="auto" w:fill="auto"/>
            <w:vAlign w:val="center"/>
          </w:tcPr>
          <w:p w14:paraId="534E3AD9" w14:textId="77777777" w:rsidR="00EB1316" w:rsidRDefault="00EB1316" w:rsidP="006F161D">
            <w:pPr>
              <w:pStyle w:val="ListParagraph"/>
              <w:numPr>
                <w:ilvl w:val="0"/>
                <w:numId w:val="73"/>
              </w:numPr>
              <w:rPr>
                <w:rFonts w:eastAsia="Calibri"/>
                <w:sz w:val="20"/>
              </w:rPr>
            </w:pPr>
            <w:r w:rsidRPr="003B0744">
              <w:rPr>
                <w:rFonts w:eastAsia="Calibri"/>
                <w:sz w:val="20"/>
              </w:rPr>
              <w:t>57%</w:t>
            </w:r>
          </w:p>
          <w:p w14:paraId="7B347144" w14:textId="77777777" w:rsidR="00EB1316" w:rsidRPr="003B0744" w:rsidRDefault="00EB1316" w:rsidP="006F161D">
            <w:pPr>
              <w:pStyle w:val="ListParagraph"/>
              <w:numPr>
                <w:ilvl w:val="0"/>
                <w:numId w:val="73"/>
              </w:numPr>
              <w:rPr>
                <w:rFonts w:eastAsia="Calibri"/>
                <w:sz w:val="20"/>
              </w:rPr>
            </w:pPr>
            <w:r w:rsidRPr="003B0744">
              <w:rPr>
                <w:rFonts w:eastAsia="Calibri"/>
                <w:sz w:val="20"/>
              </w:rPr>
              <w:t>70</w:t>
            </w:r>
          </w:p>
        </w:tc>
      </w:tr>
      <w:tr w:rsidR="00EB1316" w:rsidRPr="00C7021E" w14:paraId="4EC17904" w14:textId="77777777" w:rsidTr="009C5083">
        <w:trPr>
          <w:trHeight w:val="550"/>
          <w:jc w:val="center"/>
        </w:trPr>
        <w:tc>
          <w:tcPr>
            <w:tcW w:w="2065" w:type="dxa"/>
            <w:vMerge/>
            <w:shd w:val="clear" w:color="auto" w:fill="auto"/>
            <w:vAlign w:val="center"/>
          </w:tcPr>
          <w:p w14:paraId="27B74F33"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vMerge/>
            <w:shd w:val="clear" w:color="auto" w:fill="auto"/>
            <w:vAlign w:val="center"/>
          </w:tcPr>
          <w:p w14:paraId="3E661053" w14:textId="77777777" w:rsidR="00EB1316" w:rsidRPr="00C7021E" w:rsidRDefault="00EB1316" w:rsidP="009C5083">
            <w:pPr>
              <w:spacing w:after="0" w:line="240" w:lineRule="auto"/>
              <w:rPr>
                <w:rFonts w:eastAsia="Calibri" w:cs="Times New Roman"/>
                <w:b/>
                <w:sz w:val="20"/>
                <w:szCs w:val="20"/>
                <w:lang w:val="en-GB" w:eastAsia="en-US"/>
              </w:rPr>
            </w:pPr>
          </w:p>
        </w:tc>
        <w:tc>
          <w:tcPr>
            <w:tcW w:w="11700" w:type="dxa"/>
            <w:gridSpan w:val="5"/>
            <w:shd w:val="clear" w:color="auto" w:fill="D9D9D9" w:themeFill="background1" w:themeFillShade="D9"/>
            <w:vAlign w:val="center"/>
          </w:tcPr>
          <w:p w14:paraId="6C8D0DDA" w14:textId="77777777" w:rsidR="00EB1316" w:rsidRPr="00A2664E" w:rsidRDefault="00EB1316" w:rsidP="009C5083">
            <w:pPr>
              <w:spacing w:after="0" w:line="240" w:lineRule="auto"/>
              <w:rPr>
                <w:rFonts w:ascii="Calibri" w:eastAsia="Calibri" w:hAnsi="Calibri"/>
                <w:sz w:val="18"/>
                <w:szCs w:val="18"/>
              </w:rPr>
            </w:pPr>
            <w:r>
              <w:rPr>
                <w:rFonts w:ascii="Calibri" w:eastAsia="Calibri" w:hAnsi="Calibri"/>
                <w:b/>
                <w:sz w:val="18"/>
                <w:szCs w:val="18"/>
              </w:rPr>
              <w:t>Note</w:t>
            </w:r>
            <w:r w:rsidRPr="00A2664E">
              <w:rPr>
                <w:rFonts w:ascii="Calibri" w:eastAsia="Calibri" w:hAnsi="Calibri"/>
                <w:b/>
                <w:sz w:val="18"/>
                <w:szCs w:val="18"/>
              </w:rPr>
              <w:t xml:space="preserve"> 9a</w:t>
            </w:r>
            <w:r w:rsidRPr="00A2664E">
              <w:rPr>
                <w:rFonts w:ascii="Calibri" w:eastAsia="Calibri" w:hAnsi="Calibri"/>
                <w:sz w:val="18"/>
                <w:szCs w:val="18"/>
              </w:rPr>
              <w:t xml:space="preserve">: </w:t>
            </w:r>
            <w:r>
              <w:rPr>
                <w:rFonts w:ascii="Calibri" w:eastAsia="Calibri" w:hAnsi="Calibri"/>
                <w:sz w:val="18"/>
                <w:szCs w:val="18"/>
              </w:rPr>
              <w:t>Based on the</w:t>
            </w:r>
            <w:r w:rsidRPr="00A2664E">
              <w:rPr>
                <w:rFonts w:ascii="Calibri" w:eastAsia="Calibri" w:hAnsi="Calibri"/>
                <w:sz w:val="18"/>
                <w:szCs w:val="18"/>
              </w:rPr>
              <w:t xml:space="preserve"> gender marker: expenditures tracked by outputs according to their contribution to gender equality.</w:t>
            </w:r>
            <w:r>
              <w:rPr>
                <w:rFonts w:ascii="Calibri" w:eastAsia="Calibri" w:hAnsi="Calibri"/>
                <w:sz w:val="18"/>
                <w:szCs w:val="18"/>
              </w:rPr>
              <w:t xml:space="preserve"> Baselines, milestones and targets contemplate gender projects (GEN 3) and projects with a significant gender component (GEN 2).</w:t>
            </w:r>
          </w:p>
          <w:p w14:paraId="7A594BE5" w14:textId="77777777" w:rsidR="00EB1316" w:rsidRDefault="00EB1316" w:rsidP="009C5083">
            <w:pPr>
              <w:spacing w:after="0" w:line="240" w:lineRule="auto"/>
              <w:rPr>
                <w:rFonts w:ascii="Calibri" w:eastAsia="Calibri" w:hAnsi="Calibri"/>
                <w:b/>
                <w:sz w:val="18"/>
                <w:szCs w:val="18"/>
              </w:rPr>
            </w:pPr>
            <w:r>
              <w:rPr>
                <w:rFonts w:ascii="Calibri" w:eastAsia="Calibri" w:hAnsi="Calibri"/>
                <w:b/>
                <w:sz w:val="18"/>
                <w:szCs w:val="18"/>
              </w:rPr>
              <w:t>Note</w:t>
            </w:r>
            <w:r w:rsidRPr="00A2664E">
              <w:rPr>
                <w:rFonts w:ascii="Calibri" w:eastAsia="Calibri" w:hAnsi="Calibri"/>
                <w:b/>
                <w:sz w:val="18"/>
                <w:szCs w:val="18"/>
              </w:rPr>
              <w:t xml:space="preserve"> 9b:</w:t>
            </w:r>
            <w:r w:rsidRPr="00A2664E">
              <w:rPr>
                <w:rFonts w:ascii="Calibri" w:eastAsia="Calibri" w:hAnsi="Calibri"/>
                <w:sz w:val="18"/>
                <w:szCs w:val="18"/>
              </w:rPr>
              <w:t xml:space="preserve"> The SEAL initiative helps Country Offices put in place quality control mechanisms to better use the gender marker and revisit their portfolio to check accuracy. In addition, UNDP HQ also checks the accuracy of scores of those COs. This process </w:t>
            </w:r>
            <w:r>
              <w:rPr>
                <w:rFonts w:ascii="Calibri" w:eastAsia="Calibri" w:hAnsi="Calibri"/>
                <w:sz w:val="18"/>
                <w:szCs w:val="18"/>
              </w:rPr>
              <w:t>is carried out over</w:t>
            </w:r>
            <w:r w:rsidRPr="00A2664E">
              <w:rPr>
                <w:rFonts w:ascii="Calibri" w:eastAsia="Calibri" w:hAnsi="Calibri"/>
                <w:sz w:val="18"/>
                <w:szCs w:val="18"/>
              </w:rPr>
              <w:t xml:space="preserve"> 2 years in each Country Office</w:t>
            </w:r>
            <w:r>
              <w:rPr>
                <w:rFonts w:ascii="Calibri" w:eastAsia="Calibri" w:hAnsi="Calibri"/>
                <w:sz w:val="18"/>
                <w:szCs w:val="18"/>
              </w:rPr>
              <w:t>,</w:t>
            </w:r>
            <w:r w:rsidRPr="00A2664E">
              <w:rPr>
                <w:rFonts w:ascii="Calibri" w:eastAsia="Calibri" w:hAnsi="Calibri"/>
                <w:sz w:val="18"/>
                <w:szCs w:val="18"/>
              </w:rPr>
              <w:t xml:space="preserve"> and it is rolled out in 34 Country Offices every two years.</w:t>
            </w:r>
          </w:p>
        </w:tc>
      </w:tr>
      <w:tr w:rsidR="00EB1316" w:rsidRPr="00C7021E" w14:paraId="4EA357A6" w14:textId="77777777" w:rsidTr="009C5083">
        <w:trPr>
          <w:trHeight w:val="458"/>
          <w:jc w:val="center"/>
        </w:trPr>
        <w:tc>
          <w:tcPr>
            <w:tcW w:w="2065" w:type="dxa"/>
            <w:vMerge/>
            <w:shd w:val="clear" w:color="auto" w:fill="auto"/>
            <w:vAlign w:val="center"/>
          </w:tcPr>
          <w:p w14:paraId="6F4C6CC9"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vMerge w:val="restart"/>
            <w:shd w:val="clear" w:color="auto" w:fill="auto"/>
            <w:vAlign w:val="center"/>
          </w:tcPr>
          <w:p w14:paraId="61F64F28"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10.</w:t>
            </w:r>
          </w:p>
        </w:tc>
        <w:tc>
          <w:tcPr>
            <w:tcW w:w="5130" w:type="dxa"/>
            <w:shd w:val="clear" w:color="auto" w:fill="auto"/>
            <w:vAlign w:val="center"/>
          </w:tcPr>
          <w:p w14:paraId="4147A05A" w14:textId="77777777" w:rsidR="00EB1316" w:rsidRPr="00C7021E" w:rsidRDefault="00EB1316" w:rsidP="009C5083">
            <w:pPr>
              <w:spacing w:after="0" w:line="240" w:lineRule="auto"/>
              <w:rPr>
                <w:rFonts w:eastAsia="Calibri" w:cs="Times New Roman"/>
                <w:sz w:val="20"/>
                <w:szCs w:val="20"/>
                <w:lang w:val="en-GB" w:eastAsia="en-US"/>
              </w:rPr>
            </w:pPr>
            <w:r w:rsidRPr="00C7021E">
              <w:rPr>
                <w:rFonts w:eastAsia="Calibri" w:cs="Times New Roman"/>
                <w:sz w:val="20"/>
                <w:szCs w:val="20"/>
                <w:lang w:val="en-GB" w:eastAsia="en-US"/>
              </w:rPr>
              <w:t>Percentage of projects that meet corporate social and environmental standards</w:t>
            </w:r>
            <w:r w:rsidRPr="00C7021E" w:rsidDel="00403B62">
              <w:rPr>
                <w:rFonts w:eastAsia="Calibri" w:cs="Times New Roman"/>
                <w:sz w:val="20"/>
                <w:szCs w:val="20"/>
                <w:lang w:val="en-GB" w:eastAsia="en-US"/>
              </w:rPr>
              <w:t xml:space="preserve"> </w:t>
            </w:r>
            <w:r w:rsidRPr="00C7021E">
              <w:rPr>
                <w:rFonts w:eastAsia="Calibri" w:cs="Times New Roman"/>
                <w:b/>
                <w:sz w:val="20"/>
                <w:szCs w:val="20"/>
                <w:lang w:val="en-GB" w:eastAsia="en-US"/>
              </w:rPr>
              <w:t>(QCPR related indicator)</w:t>
            </w:r>
          </w:p>
        </w:tc>
        <w:tc>
          <w:tcPr>
            <w:tcW w:w="1800" w:type="dxa"/>
            <w:shd w:val="clear" w:color="auto" w:fill="auto"/>
            <w:vAlign w:val="center"/>
          </w:tcPr>
          <w:p w14:paraId="73DF68F8" w14:textId="77777777" w:rsidR="00EB1316" w:rsidRPr="0049498A" w:rsidRDefault="00EB1316" w:rsidP="009C5083">
            <w:pPr>
              <w:spacing w:after="0" w:line="240" w:lineRule="auto"/>
              <w:jc w:val="center"/>
              <w:rPr>
                <w:rFonts w:ascii="Calibri" w:eastAsia="Calibri" w:hAnsi="Calibri"/>
                <w:sz w:val="20"/>
              </w:rPr>
            </w:pPr>
            <w:r>
              <w:rPr>
                <w:rFonts w:ascii="Calibri" w:eastAsia="Calibri" w:hAnsi="Calibri"/>
                <w:sz w:val="20"/>
              </w:rPr>
              <w:t>78.5</w:t>
            </w:r>
            <w:r w:rsidRPr="0033066E">
              <w:rPr>
                <w:rFonts w:ascii="Calibri" w:eastAsia="Calibri" w:hAnsi="Calibri"/>
                <w:sz w:val="20"/>
              </w:rPr>
              <w:t>% (2014)</w:t>
            </w:r>
          </w:p>
        </w:tc>
        <w:tc>
          <w:tcPr>
            <w:tcW w:w="1530" w:type="dxa"/>
            <w:shd w:val="clear" w:color="auto" w:fill="auto"/>
            <w:vAlign w:val="center"/>
          </w:tcPr>
          <w:p w14:paraId="5CCAEED9" w14:textId="77777777" w:rsidR="00EB1316" w:rsidRPr="0049498A" w:rsidRDefault="00EB1316" w:rsidP="009C5083">
            <w:pPr>
              <w:spacing w:after="0" w:line="240" w:lineRule="auto"/>
              <w:jc w:val="center"/>
              <w:rPr>
                <w:rFonts w:ascii="Calibri" w:eastAsia="Calibri" w:hAnsi="Calibri"/>
                <w:sz w:val="20"/>
              </w:rPr>
            </w:pPr>
            <w:r w:rsidRPr="000A2241">
              <w:rPr>
                <w:rFonts w:ascii="Calibri" w:eastAsia="Calibri" w:hAnsi="Calibri"/>
                <w:sz w:val="20"/>
              </w:rPr>
              <w:t>Not available</w:t>
            </w:r>
          </w:p>
        </w:tc>
        <w:tc>
          <w:tcPr>
            <w:tcW w:w="1710" w:type="dxa"/>
            <w:shd w:val="clear" w:color="auto" w:fill="auto"/>
            <w:vAlign w:val="center"/>
          </w:tcPr>
          <w:p w14:paraId="7039E54D" w14:textId="77777777" w:rsidR="00EB1316" w:rsidRPr="0049498A" w:rsidRDefault="00EB1316" w:rsidP="009C5083">
            <w:pPr>
              <w:spacing w:after="0"/>
              <w:jc w:val="center"/>
              <w:rPr>
                <w:rFonts w:ascii="Calibri" w:eastAsia="Calibri" w:hAnsi="Calibri"/>
                <w:sz w:val="20"/>
              </w:rPr>
            </w:pPr>
            <w:r>
              <w:rPr>
                <w:rFonts w:ascii="Calibri" w:eastAsia="Calibri" w:hAnsi="Calibri"/>
                <w:sz w:val="20"/>
              </w:rPr>
              <w:t>78.5</w:t>
            </w:r>
            <w:r w:rsidRPr="0033066E">
              <w:rPr>
                <w:rFonts w:ascii="Calibri" w:eastAsia="Calibri" w:hAnsi="Calibri"/>
                <w:sz w:val="20"/>
              </w:rPr>
              <w:t>%</w:t>
            </w:r>
          </w:p>
        </w:tc>
        <w:tc>
          <w:tcPr>
            <w:tcW w:w="1530" w:type="dxa"/>
            <w:shd w:val="clear" w:color="auto" w:fill="auto"/>
            <w:vAlign w:val="center"/>
          </w:tcPr>
          <w:p w14:paraId="781EBF71" w14:textId="77777777" w:rsidR="00EB1316" w:rsidRDefault="00EB1316" w:rsidP="009C5083">
            <w:pPr>
              <w:spacing w:after="0"/>
              <w:jc w:val="center"/>
              <w:rPr>
                <w:rFonts w:ascii="Calibri" w:eastAsia="Calibri" w:hAnsi="Calibri"/>
                <w:sz w:val="20"/>
              </w:rPr>
            </w:pPr>
            <w:r w:rsidRPr="003B0744">
              <w:rPr>
                <w:rFonts w:ascii="Calibri" w:eastAsia="Calibri" w:hAnsi="Calibri"/>
                <w:sz w:val="20"/>
              </w:rPr>
              <w:t>TBD</w:t>
            </w:r>
          </w:p>
        </w:tc>
      </w:tr>
      <w:tr w:rsidR="00EB1316" w:rsidRPr="00C7021E" w14:paraId="6AF13F46" w14:textId="77777777" w:rsidTr="009C5083">
        <w:trPr>
          <w:trHeight w:val="665"/>
          <w:jc w:val="center"/>
        </w:trPr>
        <w:tc>
          <w:tcPr>
            <w:tcW w:w="2065" w:type="dxa"/>
            <w:vMerge/>
            <w:shd w:val="clear" w:color="auto" w:fill="auto"/>
            <w:vAlign w:val="center"/>
          </w:tcPr>
          <w:p w14:paraId="6B66500C"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vMerge/>
            <w:shd w:val="clear" w:color="auto" w:fill="auto"/>
            <w:vAlign w:val="center"/>
          </w:tcPr>
          <w:p w14:paraId="4F19C6E8" w14:textId="77777777" w:rsidR="00EB1316" w:rsidRPr="00C7021E" w:rsidRDefault="00EB1316" w:rsidP="009C5083">
            <w:pPr>
              <w:spacing w:after="0" w:line="240" w:lineRule="auto"/>
              <w:rPr>
                <w:rFonts w:eastAsia="Calibri" w:cs="Times New Roman"/>
                <w:b/>
                <w:sz w:val="20"/>
                <w:szCs w:val="20"/>
                <w:lang w:val="en-GB" w:eastAsia="en-US"/>
              </w:rPr>
            </w:pPr>
          </w:p>
        </w:tc>
        <w:tc>
          <w:tcPr>
            <w:tcW w:w="11700" w:type="dxa"/>
            <w:gridSpan w:val="5"/>
            <w:shd w:val="clear" w:color="auto" w:fill="D9D9D9" w:themeFill="background1" w:themeFillShade="D9"/>
            <w:vAlign w:val="center"/>
          </w:tcPr>
          <w:p w14:paraId="2AF09783" w14:textId="77777777" w:rsidR="00EB1316" w:rsidRPr="00A12874" w:rsidRDefault="00EB1316" w:rsidP="009C5083">
            <w:pPr>
              <w:spacing w:after="0" w:line="240" w:lineRule="auto"/>
              <w:rPr>
                <w:rFonts w:ascii="Calibri" w:eastAsia="Calibri" w:hAnsi="Calibri"/>
                <w:b/>
                <w:sz w:val="18"/>
                <w:szCs w:val="18"/>
              </w:rPr>
            </w:pPr>
            <w:r w:rsidRPr="00A12874">
              <w:rPr>
                <w:rFonts w:ascii="Calibri" w:eastAsia="Calibri" w:hAnsi="Calibri"/>
                <w:b/>
                <w:sz w:val="18"/>
                <w:szCs w:val="18"/>
              </w:rPr>
              <w:t>Note</w:t>
            </w:r>
            <w:r w:rsidRPr="00A12874">
              <w:rPr>
                <w:rFonts w:ascii="Calibri" w:eastAsia="Calibri" w:hAnsi="Calibri"/>
                <w:sz w:val="18"/>
                <w:szCs w:val="18"/>
              </w:rPr>
              <w:t xml:space="preserve">: </w:t>
            </w:r>
            <w:r w:rsidRPr="00862392">
              <w:rPr>
                <w:rFonts w:ascii="Calibri" w:eastAsia="Calibri" w:hAnsi="Calibri"/>
                <w:sz w:val="18"/>
                <w:szCs w:val="18"/>
              </w:rPr>
              <w:t>The Project QA system includes a separate quality criterion for “Social &amp; Environmental Standards” that integrates corporate quality standards for social and environmental standards. The baseline is collected from Phase 1 of the Project QA system implementation, which includes quality ratings from a sample of 107 projects in 21 country offices. Phase 2 in 2015 will extend the system to 70 country offices, with full application worldwide planned in 2016.</w:t>
            </w:r>
          </w:p>
        </w:tc>
      </w:tr>
      <w:tr w:rsidR="00EB1316" w:rsidRPr="00C7021E" w14:paraId="3A8C3F41" w14:textId="77777777" w:rsidTr="009C5083">
        <w:trPr>
          <w:trHeight w:val="890"/>
          <w:jc w:val="center"/>
        </w:trPr>
        <w:tc>
          <w:tcPr>
            <w:tcW w:w="2065" w:type="dxa"/>
            <w:vMerge/>
            <w:shd w:val="clear" w:color="auto" w:fill="F2DBDB"/>
            <w:vAlign w:val="center"/>
          </w:tcPr>
          <w:p w14:paraId="44155398"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vMerge w:val="restart"/>
            <w:shd w:val="clear" w:color="auto" w:fill="auto"/>
            <w:vAlign w:val="center"/>
          </w:tcPr>
          <w:p w14:paraId="0134CF1B" w14:textId="77777777" w:rsidR="00EB1316" w:rsidRPr="00C7021E" w:rsidRDefault="00EB1316" w:rsidP="009C5083">
            <w:pPr>
              <w:spacing w:after="0" w:line="240" w:lineRule="auto"/>
              <w:rPr>
                <w:rFonts w:eastAsia="Calibri" w:cs="Times New Roman"/>
                <w:sz w:val="20"/>
                <w:szCs w:val="20"/>
                <w:lang w:val="en-GB" w:eastAsia="en-US"/>
              </w:rPr>
            </w:pPr>
            <w:r w:rsidRPr="00C7021E">
              <w:rPr>
                <w:rFonts w:eastAsia="Calibri" w:cs="Times New Roman"/>
                <w:b/>
                <w:sz w:val="20"/>
                <w:szCs w:val="20"/>
                <w:lang w:val="en-GB" w:eastAsia="en-US"/>
              </w:rPr>
              <w:t>11</w:t>
            </w:r>
            <w:r w:rsidRPr="00C7021E">
              <w:rPr>
                <w:rFonts w:eastAsia="Calibri" w:cs="Times New Roman"/>
                <w:sz w:val="20"/>
                <w:szCs w:val="20"/>
                <w:lang w:val="en-GB" w:eastAsia="en-US"/>
              </w:rPr>
              <w:t>.</w:t>
            </w:r>
          </w:p>
        </w:tc>
        <w:tc>
          <w:tcPr>
            <w:tcW w:w="5130" w:type="dxa"/>
            <w:shd w:val="clear" w:color="auto" w:fill="auto"/>
            <w:vAlign w:val="center"/>
          </w:tcPr>
          <w:p w14:paraId="61F9ECF6" w14:textId="77777777" w:rsidR="00EB1316" w:rsidRPr="00C7021E" w:rsidRDefault="00EB1316" w:rsidP="009C5083">
            <w:pPr>
              <w:spacing w:after="0" w:line="240" w:lineRule="auto"/>
              <w:rPr>
                <w:rFonts w:eastAsia="Calibri" w:cs="Times New Roman"/>
                <w:sz w:val="20"/>
                <w:szCs w:val="20"/>
                <w:lang w:val="en-GB" w:eastAsia="en-US"/>
              </w:rPr>
            </w:pPr>
            <w:r w:rsidRPr="00C7021E">
              <w:rPr>
                <w:rFonts w:eastAsia="Calibri" w:cs="Times New Roman"/>
                <w:sz w:val="20"/>
                <w:szCs w:val="20"/>
                <w:lang w:val="en-GB" w:eastAsia="en-US"/>
              </w:rPr>
              <w:t xml:space="preserve">Percentage of </w:t>
            </w:r>
            <w:r w:rsidRPr="00C7021E">
              <w:rPr>
                <w:rFonts w:eastAsia="Calibri" w:cs="Times New Roman"/>
                <w:color w:val="000000"/>
                <w:sz w:val="20"/>
                <w:szCs w:val="20"/>
                <w:lang w:val="en-GB" w:eastAsia="en-US"/>
              </w:rPr>
              <w:t>programmes</w:t>
            </w:r>
            <w:r w:rsidRPr="00C7021E">
              <w:rPr>
                <w:rFonts w:eastAsia="Calibri" w:cs="Times New Roman"/>
                <w:sz w:val="20"/>
                <w:szCs w:val="20"/>
                <w:u w:val="single"/>
                <w:lang w:val="en-GB" w:eastAsia="en-US"/>
              </w:rPr>
              <w:t>/projects</w:t>
            </w:r>
            <w:r>
              <w:rPr>
                <w:rFonts w:eastAsia="Calibri" w:cs="Times New Roman"/>
                <w:sz w:val="20"/>
                <w:szCs w:val="20"/>
                <w:lang w:val="en-GB" w:eastAsia="en-US"/>
              </w:rPr>
              <w:t xml:space="preserve"> where south</w:t>
            </w:r>
            <w:r w:rsidRPr="00C7021E">
              <w:rPr>
                <w:rFonts w:eastAsia="Calibri" w:cs="Times New Roman"/>
                <w:sz w:val="20"/>
                <w:szCs w:val="20"/>
                <w:lang w:val="en-GB" w:eastAsia="en-US"/>
              </w:rPr>
              <w:t xml:space="preserve">-south or triangular cooperation is used to achieve results </w:t>
            </w:r>
            <w:r w:rsidRPr="00C7021E">
              <w:rPr>
                <w:rFonts w:eastAsia="Calibri" w:cs="Times New Roman"/>
                <w:b/>
                <w:sz w:val="20"/>
                <w:szCs w:val="20"/>
                <w:lang w:val="en-GB" w:eastAsia="en-US"/>
              </w:rPr>
              <w:t>(QCPR related indicator)</w:t>
            </w:r>
          </w:p>
        </w:tc>
        <w:tc>
          <w:tcPr>
            <w:tcW w:w="1800" w:type="dxa"/>
            <w:shd w:val="clear" w:color="auto" w:fill="auto"/>
            <w:vAlign w:val="center"/>
          </w:tcPr>
          <w:p w14:paraId="4C049560" w14:textId="77777777" w:rsidR="00EB1316" w:rsidRPr="0049498A" w:rsidRDefault="00EB1316" w:rsidP="009C5083">
            <w:pPr>
              <w:spacing w:after="0" w:line="240" w:lineRule="auto"/>
              <w:jc w:val="center"/>
              <w:rPr>
                <w:rFonts w:ascii="Calibri" w:eastAsia="Calibri" w:hAnsi="Calibri"/>
                <w:sz w:val="20"/>
              </w:rPr>
            </w:pPr>
            <w:r>
              <w:rPr>
                <w:rFonts w:ascii="Calibri" w:eastAsia="Calibri" w:hAnsi="Calibri"/>
                <w:sz w:val="20"/>
              </w:rPr>
              <w:t>8%</w:t>
            </w:r>
          </w:p>
        </w:tc>
        <w:tc>
          <w:tcPr>
            <w:tcW w:w="1530" w:type="dxa"/>
            <w:shd w:val="clear" w:color="auto" w:fill="auto"/>
            <w:vAlign w:val="center"/>
          </w:tcPr>
          <w:p w14:paraId="66E35A6A" w14:textId="77777777" w:rsidR="00EB1316" w:rsidRPr="0049498A" w:rsidRDefault="00EB1316" w:rsidP="009C5083">
            <w:pPr>
              <w:spacing w:after="0" w:line="240" w:lineRule="auto"/>
              <w:jc w:val="center"/>
              <w:rPr>
                <w:rFonts w:ascii="Calibri" w:eastAsia="Calibri" w:hAnsi="Calibri"/>
                <w:sz w:val="20"/>
              </w:rPr>
            </w:pPr>
            <w:r>
              <w:rPr>
                <w:rFonts w:ascii="Calibri" w:eastAsia="Calibri" w:hAnsi="Calibri"/>
                <w:sz w:val="20"/>
              </w:rPr>
              <w:t>8%</w:t>
            </w:r>
          </w:p>
        </w:tc>
        <w:tc>
          <w:tcPr>
            <w:tcW w:w="1710" w:type="dxa"/>
            <w:shd w:val="clear" w:color="auto" w:fill="auto"/>
            <w:vAlign w:val="center"/>
          </w:tcPr>
          <w:p w14:paraId="3B108CD8" w14:textId="77777777" w:rsidR="00EB1316" w:rsidRPr="0049498A" w:rsidRDefault="00EB1316" w:rsidP="009C5083">
            <w:pPr>
              <w:spacing w:after="0" w:line="240" w:lineRule="auto"/>
              <w:jc w:val="center"/>
              <w:rPr>
                <w:rFonts w:ascii="Calibri" w:eastAsia="Calibri" w:hAnsi="Calibri"/>
                <w:sz w:val="20"/>
              </w:rPr>
            </w:pPr>
            <w:r w:rsidRPr="00686FC3">
              <w:rPr>
                <w:rFonts w:ascii="Calibri" w:eastAsia="Calibri" w:hAnsi="Calibri"/>
                <w:sz w:val="20"/>
              </w:rPr>
              <w:t>13.4%</w:t>
            </w:r>
          </w:p>
        </w:tc>
        <w:tc>
          <w:tcPr>
            <w:tcW w:w="1530" w:type="dxa"/>
            <w:shd w:val="clear" w:color="auto" w:fill="auto"/>
            <w:vAlign w:val="center"/>
          </w:tcPr>
          <w:p w14:paraId="04F8095F" w14:textId="77777777" w:rsidR="00EB1316" w:rsidRPr="00686FC3" w:rsidRDefault="00EB1316" w:rsidP="009C5083">
            <w:pPr>
              <w:spacing w:after="0" w:line="240" w:lineRule="auto"/>
              <w:jc w:val="center"/>
              <w:rPr>
                <w:rFonts w:ascii="Calibri" w:eastAsia="Calibri" w:hAnsi="Calibri"/>
                <w:sz w:val="20"/>
              </w:rPr>
            </w:pPr>
            <w:r>
              <w:rPr>
                <w:rFonts w:ascii="Calibri" w:eastAsia="Calibri" w:hAnsi="Calibri"/>
                <w:sz w:val="20"/>
              </w:rPr>
              <w:t>30%</w:t>
            </w:r>
          </w:p>
        </w:tc>
      </w:tr>
      <w:tr w:rsidR="00EB1316" w:rsidRPr="00C7021E" w14:paraId="38509DCD" w14:textId="77777777" w:rsidTr="009C5083">
        <w:trPr>
          <w:trHeight w:val="305"/>
          <w:jc w:val="center"/>
        </w:trPr>
        <w:tc>
          <w:tcPr>
            <w:tcW w:w="2065" w:type="dxa"/>
            <w:vMerge/>
            <w:shd w:val="clear" w:color="auto" w:fill="F2DBDB"/>
            <w:vAlign w:val="center"/>
          </w:tcPr>
          <w:p w14:paraId="31636DDE"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vMerge/>
            <w:shd w:val="clear" w:color="auto" w:fill="EAF1DD" w:themeFill="accent3" w:themeFillTint="33"/>
            <w:vAlign w:val="center"/>
          </w:tcPr>
          <w:p w14:paraId="4E7A9B8A" w14:textId="77777777" w:rsidR="00EB1316" w:rsidRPr="00C7021E" w:rsidRDefault="00EB1316" w:rsidP="009C5083">
            <w:pPr>
              <w:spacing w:after="0" w:line="240" w:lineRule="auto"/>
              <w:rPr>
                <w:rFonts w:eastAsia="Calibri" w:cs="Times New Roman"/>
                <w:b/>
                <w:sz w:val="20"/>
                <w:szCs w:val="20"/>
                <w:lang w:val="en-GB" w:eastAsia="en-US"/>
              </w:rPr>
            </w:pPr>
          </w:p>
        </w:tc>
        <w:tc>
          <w:tcPr>
            <w:tcW w:w="11700" w:type="dxa"/>
            <w:gridSpan w:val="5"/>
            <w:shd w:val="clear" w:color="auto" w:fill="BFBFBF" w:themeFill="background1" w:themeFillShade="BF"/>
            <w:vAlign w:val="center"/>
          </w:tcPr>
          <w:p w14:paraId="50ADD852" w14:textId="77777777" w:rsidR="00EB1316" w:rsidRPr="002C7F68" w:rsidRDefault="00EB1316" w:rsidP="009C5083">
            <w:pPr>
              <w:spacing w:after="0" w:line="240" w:lineRule="auto"/>
              <w:rPr>
                <w:rFonts w:ascii="Calibri" w:eastAsia="Calibri" w:hAnsi="Calibri"/>
                <w:b/>
                <w:sz w:val="20"/>
              </w:rPr>
            </w:pPr>
            <w:r w:rsidRPr="002C7F68">
              <w:rPr>
                <w:rFonts w:ascii="Calibri" w:eastAsia="Calibri" w:hAnsi="Calibri"/>
                <w:b/>
                <w:sz w:val="20"/>
              </w:rPr>
              <w:t>Note</w:t>
            </w:r>
            <w:r w:rsidRPr="002C7F68">
              <w:rPr>
                <w:rFonts w:ascii="Calibri" w:eastAsia="Calibri" w:hAnsi="Calibri"/>
                <w:sz w:val="20"/>
              </w:rPr>
              <w:t>:</w:t>
            </w:r>
            <w:r>
              <w:rPr>
                <w:rFonts w:ascii="Calibri" w:eastAsia="Calibri" w:hAnsi="Calibri"/>
                <w:sz w:val="20"/>
              </w:rPr>
              <w:t xml:space="preserve"> The baseline was calculate at the beginning of 2014 through </w:t>
            </w:r>
            <w:r w:rsidRPr="00817C78">
              <w:rPr>
                <w:rFonts w:ascii="Calibri" w:eastAsia="Calibri" w:hAnsi="Calibri"/>
                <w:sz w:val="20"/>
              </w:rPr>
              <w:t xml:space="preserve">a </w:t>
            </w:r>
            <w:r w:rsidRPr="00817C78">
              <w:rPr>
                <w:rFonts w:ascii="Calibri" w:eastAsia="Calibri" w:hAnsi="Calibri"/>
                <w:bCs/>
                <w:sz w:val="20"/>
              </w:rPr>
              <w:t>comprehensive mapping of 3,500 on-going projects</w:t>
            </w:r>
            <w:r>
              <w:rPr>
                <w:rFonts w:ascii="Calibri" w:eastAsia="Calibri" w:hAnsi="Calibri"/>
                <w:bCs/>
                <w:sz w:val="20"/>
              </w:rPr>
              <w:t>, out of which</w:t>
            </w:r>
            <w:r w:rsidRPr="00817C78">
              <w:rPr>
                <w:rFonts w:ascii="Calibri" w:eastAsia="Calibri" w:hAnsi="Calibri"/>
                <w:bCs/>
                <w:sz w:val="20"/>
              </w:rPr>
              <w:t xml:space="preserve"> 269 (8%) </w:t>
            </w:r>
            <w:r>
              <w:rPr>
                <w:rFonts w:ascii="Calibri" w:eastAsia="Calibri" w:hAnsi="Calibri"/>
                <w:bCs/>
                <w:sz w:val="20"/>
              </w:rPr>
              <w:t>had</w:t>
            </w:r>
            <w:r w:rsidRPr="00817C78">
              <w:rPr>
                <w:rFonts w:ascii="Calibri" w:eastAsia="Calibri" w:hAnsi="Calibri"/>
                <w:bCs/>
                <w:sz w:val="20"/>
              </w:rPr>
              <w:t xml:space="preserve"> integrated South-South or triangular cooperation approaches. In the 2014 Country Offices results oriented annual reports (ROARs), 469 projects out of</w:t>
            </w:r>
            <w:r w:rsidRPr="00817C78">
              <w:t xml:space="preserve"> </w:t>
            </w:r>
            <w:r w:rsidRPr="00817C78">
              <w:rPr>
                <w:rFonts w:ascii="Calibri" w:eastAsia="Calibri" w:hAnsi="Calibri"/>
                <w:bCs/>
                <w:sz w:val="20"/>
              </w:rPr>
              <w:t xml:space="preserve">3,492 </w:t>
            </w:r>
            <w:r>
              <w:rPr>
                <w:rFonts w:ascii="Calibri" w:eastAsia="Calibri" w:hAnsi="Calibri"/>
                <w:bCs/>
                <w:sz w:val="20"/>
              </w:rPr>
              <w:t xml:space="preserve">reported </w:t>
            </w:r>
            <w:r w:rsidRPr="00817C78">
              <w:rPr>
                <w:rFonts w:ascii="Calibri" w:eastAsia="Calibri" w:hAnsi="Calibri"/>
                <w:bCs/>
                <w:sz w:val="20"/>
              </w:rPr>
              <w:t>South-South and triangular cooperation</w:t>
            </w:r>
            <w:r>
              <w:rPr>
                <w:rFonts w:ascii="Calibri" w:eastAsia="Calibri" w:hAnsi="Calibri"/>
                <w:bCs/>
                <w:sz w:val="20"/>
              </w:rPr>
              <w:t xml:space="preserve"> activities</w:t>
            </w:r>
            <w:r w:rsidRPr="00817C78">
              <w:rPr>
                <w:rFonts w:ascii="Calibri" w:eastAsia="Calibri" w:hAnsi="Calibri"/>
                <w:bCs/>
                <w:sz w:val="20"/>
              </w:rPr>
              <w:t>.</w:t>
            </w:r>
          </w:p>
        </w:tc>
      </w:tr>
      <w:tr w:rsidR="00EB1316" w:rsidRPr="00C7021E" w14:paraId="388B84D1" w14:textId="77777777" w:rsidTr="009C5083">
        <w:trPr>
          <w:trHeight w:val="548"/>
          <w:jc w:val="center"/>
        </w:trPr>
        <w:tc>
          <w:tcPr>
            <w:tcW w:w="2065" w:type="dxa"/>
            <w:vMerge w:val="restart"/>
            <w:shd w:val="clear" w:color="auto" w:fill="auto"/>
            <w:vAlign w:val="center"/>
          </w:tcPr>
          <w:p w14:paraId="07C29D6A" w14:textId="77777777" w:rsidR="00EB1316" w:rsidRPr="00C7021E" w:rsidRDefault="00EB1316" w:rsidP="009C5083">
            <w:pPr>
              <w:spacing w:after="0" w:line="240" w:lineRule="auto"/>
              <w:rPr>
                <w:rFonts w:eastAsia="Calibri" w:cs="Times New Roman"/>
                <w:sz w:val="20"/>
                <w:szCs w:val="20"/>
                <w:lang w:val="en-GB" w:eastAsia="en-US"/>
              </w:rPr>
            </w:pPr>
            <w:r w:rsidRPr="00245A7E">
              <w:rPr>
                <w:rFonts w:eastAsia="Calibri" w:cs="Times New Roman"/>
                <w:b/>
                <w:sz w:val="20"/>
                <w:szCs w:val="20"/>
                <w:lang w:val="en-GB" w:eastAsia="en-US"/>
              </w:rPr>
              <w:t>1.3</w:t>
            </w:r>
            <w:r w:rsidRPr="00C7021E">
              <w:rPr>
                <w:rFonts w:eastAsia="Calibri" w:cs="Times New Roman"/>
                <w:sz w:val="20"/>
                <w:szCs w:val="20"/>
                <w:lang w:val="en-GB" w:eastAsia="en-US"/>
              </w:rPr>
              <w:t xml:space="preserve"> Knowledge management </w:t>
            </w:r>
            <w:r w:rsidRPr="00C7021E">
              <w:rPr>
                <w:rFonts w:eastAsia="Calibri" w:cs="Times New Roman"/>
                <w:color w:val="000000"/>
                <w:sz w:val="20"/>
                <w:szCs w:val="20"/>
                <w:lang w:val="en-GB" w:eastAsia="en-US"/>
              </w:rPr>
              <w:t>institutionalized</w:t>
            </w:r>
            <w:r w:rsidRPr="00C7021E">
              <w:rPr>
                <w:rFonts w:eastAsia="Calibri" w:cs="Times New Roman"/>
                <w:sz w:val="20"/>
                <w:szCs w:val="20"/>
                <w:lang w:val="en-GB" w:eastAsia="en-US"/>
              </w:rPr>
              <w:t xml:space="preserve"> and learning </w:t>
            </w:r>
            <w:r w:rsidRPr="00C7021E">
              <w:rPr>
                <w:rFonts w:eastAsia="Calibri" w:cs="Times New Roman"/>
                <w:color w:val="000000"/>
                <w:sz w:val="20"/>
                <w:szCs w:val="20"/>
                <w:lang w:val="en-GB" w:eastAsia="en-US"/>
              </w:rPr>
              <w:t xml:space="preserve">is made </w:t>
            </w:r>
            <w:r w:rsidRPr="00C7021E">
              <w:rPr>
                <w:rFonts w:eastAsia="Calibri" w:cs="Times New Roman"/>
                <w:sz w:val="20"/>
                <w:szCs w:val="20"/>
                <w:lang w:val="en-GB" w:eastAsia="en-US"/>
              </w:rPr>
              <w:t>part of its performance culture.</w:t>
            </w:r>
          </w:p>
        </w:tc>
        <w:tc>
          <w:tcPr>
            <w:tcW w:w="540" w:type="dxa"/>
            <w:shd w:val="clear" w:color="auto" w:fill="auto"/>
            <w:vAlign w:val="center"/>
          </w:tcPr>
          <w:p w14:paraId="501D9A1D"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12.</w:t>
            </w:r>
          </w:p>
        </w:tc>
        <w:tc>
          <w:tcPr>
            <w:tcW w:w="5130" w:type="dxa"/>
            <w:shd w:val="clear" w:color="auto" w:fill="auto"/>
            <w:vAlign w:val="center"/>
          </w:tcPr>
          <w:p w14:paraId="1AAE23A1" w14:textId="77777777" w:rsidR="00EB1316" w:rsidRPr="00C7021E" w:rsidRDefault="00EB1316" w:rsidP="009C5083">
            <w:pPr>
              <w:spacing w:after="0" w:line="240" w:lineRule="auto"/>
              <w:rPr>
                <w:rFonts w:eastAsia="Calibri" w:cs="Times New Roman"/>
                <w:sz w:val="20"/>
                <w:szCs w:val="20"/>
                <w:lang w:val="en-GB" w:eastAsia="en-US"/>
              </w:rPr>
            </w:pPr>
            <w:r w:rsidRPr="00C7021E">
              <w:rPr>
                <w:rFonts w:eastAsia="Calibri" w:cs="Times New Roman"/>
                <w:sz w:val="20"/>
                <w:szCs w:val="20"/>
                <w:lang w:val="en-GB" w:eastAsia="en-US"/>
              </w:rPr>
              <w:t xml:space="preserve">Existence of (and use of) a database of searchable lessons learned from evaluations and project completion reports </w:t>
            </w:r>
          </w:p>
        </w:tc>
        <w:tc>
          <w:tcPr>
            <w:tcW w:w="1800" w:type="dxa"/>
            <w:shd w:val="clear" w:color="auto" w:fill="auto"/>
            <w:vAlign w:val="center"/>
          </w:tcPr>
          <w:p w14:paraId="259989D8" w14:textId="77777777" w:rsidR="00EB1316" w:rsidRPr="0049498A" w:rsidRDefault="00EB1316" w:rsidP="009C5083">
            <w:pPr>
              <w:spacing w:after="0" w:line="240" w:lineRule="auto"/>
              <w:rPr>
                <w:rFonts w:ascii="Calibri" w:eastAsia="Calibri" w:hAnsi="Calibri"/>
                <w:sz w:val="20"/>
              </w:rPr>
            </w:pPr>
            <w:r>
              <w:rPr>
                <w:rFonts w:ascii="Calibri" w:eastAsia="Calibri" w:hAnsi="Calibri"/>
                <w:sz w:val="20"/>
              </w:rPr>
              <w:t>Excel-based extract of lessons from decentralized evaluation reports published in 2011 and 2012 completed.</w:t>
            </w:r>
          </w:p>
        </w:tc>
        <w:tc>
          <w:tcPr>
            <w:tcW w:w="1530" w:type="dxa"/>
            <w:shd w:val="clear" w:color="auto" w:fill="auto"/>
            <w:vAlign w:val="center"/>
          </w:tcPr>
          <w:p w14:paraId="0E49D958" w14:textId="77777777" w:rsidR="00EB1316" w:rsidRPr="0049498A" w:rsidRDefault="00EB1316" w:rsidP="009C5083">
            <w:pPr>
              <w:spacing w:after="0" w:line="240" w:lineRule="auto"/>
              <w:rPr>
                <w:rFonts w:ascii="Calibri" w:eastAsia="Calibri" w:hAnsi="Calibri"/>
                <w:sz w:val="20"/>
              </w:rPr>
            </w:pPr>
            <w:r>
              <w:rPr>
                <w:rFonts w:ascii="Calibri" w:eastAsia="Calibri" w:hAnsi="Calibri"/>
                <w:sz w:val="20"/>
              </w:rPr>
              <w:t>“Evaluation Tool” piloted with lessons from 2011 and 2012 decentralized evaluations, and disseminated to staff</w:t>
            </w:r>
          </w:p>
        </w:tc>
        <w:tc>
          <w:tcPr>
            <w:tcW w:w="1710" w:type="dxa"/>
            <w:shd w:val="clear" w:color="auto" w:fill="auto"/>
            <w:vAlign w:val="center"/>
          </w:tcPr>
          <w:p w14:paraId="4223CF73" w14:textId="77777777" w:rsidR="00EB1316" w:rsidRPr="0049498A" w:rsidRDefault="00EB1316" w:rsidP="009C5083">
            <w:pPr>
              <w:spacing w:after="0" w:line="240" w:lineRule="auto"/>
              <w:rPr>
                <w:rFonts w:ascii="Calibri" w:eastAsia="Calibri" w:hAnsi="Calibri"/>
                <w:sz w:val="20"/>
              </w:rPr>
            </w:pPr>
            <w:r w:rsidRPr="00E970E7">
              <w:rPr>
                <w:rFonts w:ascii="Calibri" w:eastAsia="Calibri" w:hAnsi="Calibri"/>
                <w:sz w:val="20"/>
              </w:rPr>
              <w:t>A corporate lessons learned database prototype will be developed in 2015. Meanwhile, the Excel based evaluation tool has been updated with references to lessons learned in 2013</w:t>
            </w:r>
            <w:r>
              <w:rPr>
                <w:rFonts w:ascii="Calibri" w:eastAsia="Calibri" w:hAnsi="Calibri"/>
                <w:sz w:val="20"/>
              </w:rPr>
              <w:t xml:space="preserve"> and 2014</w:t>
            </w:r>
          </w:p>
        </w:tc>
        <w:tc>
          <w:tcPr>
            <w:tcW w:w="1530" w:type="dxa"/>
            <w:shd w:val="clear" w:color="auto" w:fill="auto"/>
            <w:vAlign w:val="center"/>
          </w:tcPr>
          <w:p w14:paraId="72DA3761" w14:textId="77777777" w:rsidR="00EB1316" w:rsidRPr="00E970E7" w:rsidRDefault="00EB1316" w:rsidP="009C5083">
            <w:pPr>
              <w:spacing w:after="0" w:line="240" w:lineRule="auto"/>
              <w:rPr>
                <w:rFonts w:ascii="Calibri" w:eastAsia="Calibri" w:hAnsi="Calibri"/>
                <w:sz w:val="20"/>
              </w:rPr>
            </w:pPr>
            <w:r w:rsidRPr="007D55BB">
              <w:rPr>
                <w:rFonts w:ascii="Calibri" w:eastAsia="Calibri" w:hAnsi="Calibri"/>
                <w:sz w:val="20"/>
              </w:rPr>
              <w:t>Tool updated to incorporate lessons from 2015 and 2016 evaluations, project completion reports and other relevant sources.</w:t>
            </w:r>
          </w:p>
        </w:tc>
      </w:tr>
      <w:tr w:rsidR="00EB1316" w:rsidRPr="00C7021E" w14:paraId="57E84E5F" w14:textId="77777777" w:rsidTr="009C5083">
        <w:trPr>
          <w:trHeight w:val="611"/>
          <w:jc w:val="center"/>
        </w:trPr>
        <w:tc>
          <w:tcPr>
            <w:tcW w:w="2065" w:type="dxa"/>
            <w:vMerge/>
            <w:shd w:val="clear" w:color="auto" w:fill="auto"/>
            <w:vAlign w:val="center"/>
          </w:tcPr>
          <w:p w14:paraId="5B731413"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vMerge w:val="restart"/>
            <w:shd w:val="clear" w:color="auto" w:fill="FFFFFF" w:themeFill="background1"/>
            <w:vAlign w:val="center"/>
          </w:tcPr>
          <w:p w14:paraId="68D6080C"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13.</w:t>
            </w:r>
          </w:p>
        </w:tc>
        <w:tc>
          <w:tcPr>
            <w:tcW w:w="5130" w:type="dxa"/>
            <w:shd w:val="clear" w:color="auto" w:fill="FFFFFF" w:themeFill="background1"/>
            <w:vAlign w:val="center"/>
          </w:tcPr>
          <w:p w14:paraId="75FFAAD1" w14:textId="77777777" w:rsidR="00EB1316" w:rsidRPr="00C7021E" w:rsidRDefault="00EB1316" w:rsidP="009C5083">
            <w:pPr>
              <w:spacing w:after="0" w:line="240" w:lineRule="auto"/>
              <w:rPr>
                <w:rFonts w:eastAsia="Calibri" w:cs="Times New Roman"/>
                <w:sz w:val="20"/>
                <w:szCs w:val="20"/>
                <w:lang w:val="en-GB" w:eastAsia="en-US"/>
              </w:rPr>
            </w:pPr>
            <w:r w:rsidRPr="00C7021E">
              <w:rPr>
                <w:rFonts w:eastAsia="Calibri" w:cs="Times New Roman"/>
                <w:sz w:val="20"/>
                <w:szCs w:val="20"/>
                <w:lang w:val="en-GB" w:eastAsia="en-US"/>
              </w:rPr>
              <w:t>Number of citations of UNDP publications in professional publications</w:t>
            </w:r>
          </w:p>
        </w:tc>
        <w:tc>
          <w:tcPr>
            <w:tcW w:w="1800" w:type="dxa"/>
            <w:shd w:val="clear" w:color="auto" w:fill="FFFFFF" w:themeFill="background1"/>
            <w:vAlign w:val="center"/>
          </w:tcPr>
          <w:p w14:paraId="6C491ACB" w14:textId="77777777" w:rsidR="00EB1316" w:rsidRPr="0049498A" w:rsidRDefault="00EB1316" w:rsidP="009C5083">
            <w:pPr>
              <w:spacing w:after="0" w:line="240" w:lineRule="auto"/>
              <w:jc w:val="center"/>
              <w:rPr>
                <w:rFonts w:ascii="Calibri" w:eastAsia="Calibri" w:hAnsi="Calibri"/>
                <w:sz w:val="20"/>
              </w:rPr>
            </w:pPr>
            <w:r w:rsidRPr="0049498A">
              <w:rPr>
                <w:rFonts w:ascii="Calibri" w:eastAsia="Calibri" w:hAnsi="Calibri"/>
                <w:sz w:val="20"/>
              </w:rPr>
              <w:t>TBD</w:t>
            </w:r>
          </w:p>
        </w:tc>
        <w:tc>
          <w:tcPr>
            <w:tcW w:w="1530" w:type="dxa"/>
            <w:shd w:val="clear" w:color="auto" w:fill="FFFFFF" w:themeFill="background1"/>
            <w:vAlign w:val="center"/>
          </w:tcPr>
          <w:p w14:paraId="4B95DC26" w14:textId="77777777" w:rsidR="00EB1316" w:rsidRPr="0049498A" w:rsidRDefault="00EB1316" w:rsidP="009C5083">
            <w:pPr>
              <w:spacing w:after="0" w:line="240" w:lineRule="auto"/>
              <w:jc w:val="center"/>
              <w:rPr>
                <w:rFonts w:ascii="Calibri" w:eastAsia="Calibri" w:hAnsi="Calibri"/>
                <w:sz w:val="20"/>
              </w:rPr>
            </w:pPr>
            <w:r w:rsidRPr="0049498A">
              <w:rPr>
                <w:rFonts w:ascii="Calibri" w:eastAsia="Calibri" w:hAnsi="Calibri"/>
                <w:sz w:val="20"/>
              </w:rPr>
              <w:t>TBD</w:t>
            </w:r>
          </w:p>
        </w:tc>
        <w:tc>
          <w:tcPr>
            <w:tcW w:w="1710" w:type="dxa"/>
            <w:shd w:val="clear" w:color="auto" w:fill="FFFFFF" w:themeFill="background1"/>
            <w:vAlign w:val="center"/>
          </w:tcPr>
          <w:p w14:paraId="4F2B8821" w14:textId="77777777" w:rsidR="00EB1316" w:rsidRPr="0049498A" w:rsidRDefault="00EB1316" w:rsidP="009C5083">
            <w:pPr>
              <w:spacing w:after="0" w:line="240" w:lineRule="auto"/>
              <w:jc w:val="center"/>
              <w:rPr>
                <w:rFonts w:ascii="Calibri" w:eastAsia="Calibri" w:hAnsi="Calibri"/>
                <w:sz w:val="20"/>
              </w:rPr>
            </w:pPr>
            <w:r w:rsidRPr="000A2241">
              <w:rPr>
                <w:rFonts w:ascii="Calibri" w:eastAsia="Calibri" w:hAnsi="Calibri"/>
                <w:sz w:val="20"/>
              </w:rPr>
              <w:t>Not available</w:t>
            </w:r>
          </w:p>
        </w:tc>
        <w:tc>
          <w:tcPr>
            <w:tcW w:w="1530" w:type="dxa"/>
            <w:shd w:val="clear" w:color="auto" w:fill="FFFFFF" w:themeFill="background1"/>
            <w:vAlign w:val="center"/>
          </w:tcPr>
          <w:p w14:paraId="54122A29" w14:textId="77777777" w:rsidR="00EB1316" w:rsidRPr="000A2241" w:rsidRDefault="00EB1316" w:rsidP="009C5083">
            <w:pPr>
              <w:spacing w:after="0" w:line="240" w:lineRule="auto"/>
              <w:jc w:val="center"/>
              <w:rPr>
                <w:rFonts w:ascii="Calibri" w:eastAsia="Calibri" w:hAnsi="Calibri"/>
                <w:sz w:val="20"/>
              </w:rPr>
            </w:pPr>
            <w:r w:rsidRPr="007D55BB">
              <w:rPr>
                <w:rFonts w:ascii="Calibri" w:eastAsia="Calibri" w:hAnsi="Calibri"/>
                <w:sz w:val="20"/>
              </w:rPr>
              <w:t>TBD</w:t>
            </w:r>
          </w:p>
        </w:tc>
      </w:tr>
      <w:tr w:rsidR="00EB1316" w:rsidRPr="00C7021E" w14:paraId="22D5E957" w14:textId="77777777" w:rsidTr="009C5083">
        <w:trPr>
          <w:trHeight w:val="575"/>
          <w:jc w:val="center"/>
        </w:trPr>
        <w:tc>
          <w:tcPr>
            <w:tcW w:w="2065" w:type="dxa"/>
            <w:vMerge/>
            <w:tcBorders>
              <w:bottom w:val="single" w:sz="4" w:space="0" w:color="auto"/>
            </w:tcBorders>
            <w:shd w:val="clear" w:color="auto" w:fill="auto"/>
            <w:vAlign w:val="center"/>
          </w:tcPr>
          <w:p w14:paraId="0613666F"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vMerge/>
            <w:tcBorders>
              <w:bottom w:val="single" w:sz="4" w:space="0" w:color="auto"/>
            </w:tcBorders>
            <w:shd w:val="clear" w:color="auto" w:fill="auto"/>
            <w:vAlign w:val="center"/>
          </w:tcPr>
          <w:p w14:paraId="314D7496" w14:textId="77777777" w:rsidR="00EB1316" w:rsidRPr="00C7021E" w:rsidRDefault="00EB1316" w:rsidP="009C5083">
            <w:pPr>
              <w:spacing w:after="0" w:line="240" w:lineRule="auto"/>
              <w:rPr>
                <w:rFonts w:eastAsia="Calibri" w:cs="Times New Roman"/>
                <w:b/>
                <w:sz w:val="20"/>
                <w:szCs w:val="20"/>
                <w:lang w:val="en-GB" w:eastAsia="en-US"/>
              </w:rPr>
            </w:pPr>
          </w:p>
        </w:tc>
        <w:tc>
          <w:tcPr>
            <w:tcW w:w="11700" w:type="dxa"/>
            <w:gridSpan w:val="5"/>
            <w:tcBorders>
              <w:bottom w:val="single" w:sz="4" w:space="0" w:color="auto"/>
            </w:tcBorders>
            <w:shd w:val="clear" w:color="auto" w:fill="D9D9D9" w:themeFill="background1" w:themeFillShade="D9"/>
            <w:vAlign w:val="center"/>
          </w:tcPr>
          <w:p w14:paraId="037E642E" w14:textId="77777777" w:rsidR="00EB1316" w:rsidRPr="00176A4A" w:rsidRDefault="00EB1316" w:rsidP="009C5083">
            <w:pPr>
              <w:spacing w:after="0" w:line="240" w:lineRule="auto"/>
              <w:rPr>
                <w:rFonts w:ascii="Calibri" w:eastAsia="Calibri" w:hAnsi="Calibri"/>
                <w:sz w:val="18"/>
                <w:szCs w:val="18"/>
              </w:rPr>
            </w:pPr>
            <w:r w:rsidRPr="00176A4A">
              <w:rPr>
                <w:rFonts w:ascii="Calibri" w:eastAsia="Calibri" w:hAnsi="Calibri"/>
                <w:b/>
                <w:bCs/>
                <w:sz w:val="18"/>
                <w:szCs w:val="18"/>
              </w:rPr>
              <w:t>Note</w:t>
            </w:r>
            <w:r w:rsidRPr="00176A4A">
              <w:rPr>
                <w:rFonts w:ascii="Calibri" w:eastAsia="Calibri" w:hAnsi="Calibri"/>
                <w:sz w:val="18"/>
                <w:szCs w:val="18"/>
              </w:rPr>
              <w:t>: The intended data source for this indicator has not permitted complete monitoring of citations of UNDP publications in professional publications as expected in 2014. The methodology is being finalized to allow reporting from 2015 onwards. As a partial proxy for 2014 reporting, the global Human Development Report [2014] received 403 academic citations in the year after its publication, detected through Google Scholar.</w:t>
            </w:r>
          </w:p>
        </w:tc>
      </w:tr>
    </w:tbl>
    <w:p w14:paraId="03658407" w14:textId="77777777" w:rsidR="00EB1316" w:rsidRDefault="00EB1316" w:rsidP="00EB1316">
      <w:pPr>
        <w:spacing w:after="0" w:line="240" w:lineRule="auto"/>
        <w:rPr>
          <w:rFonts w:eastAsia="Calibri" w:cs="Times New Roman"/>
          <w:sz w:val="16"/>
          <w:szCs w:val="16"/>
          <w:lang w:eastAsia="en-US"/>
        </w:rPr>
      </w:pPr>
    </w:p>
    <w:p w14:paraId="6886B6B7" w14:textId="77777777" w:rsidR="00EB1316" w:rsidRDefault="00EB1316" w:rsidP="00EB1316">
      <w:pPr>
        <w:spacing w:after="0" w:line="240" w:lineRule="auto"/>
        <w:rPr>
          <w:rFonts w:eastAsia="Calibri" w:cs="Times New Roman"/>
          <w:sz w:val="16"/>
          <w:szCs w:val="16"/>
          <w:lang w:eastAsia="en-US"/>
        </w:rPr>
      </w:pPr>
    </w:p>
    <w:p w14:paraId="131C70D6" w14:textId="77777777" w:rsidR="00EB1316" w:rsidRDefault="00EB1316" w:rsidP="00EB1316">
      <w:pPr>
        <w:spacing w:after="0" w:line="240" w:lineRule="auto"/>
        <w:rPr>
          <w:rFonts w:eastAsia="Calibri" w:cs="Times New Roman"/>
          <w:sz w:val="16"/>
          <w:szCs w:val="16"/>
          <w:lang w:eastAsia="en-US"/>
        </w:rPr>
      </w:pPr>
    </w:p>
    <w:p w14:paraId="452179DD" w14:textId="77777777" w:rsidR="00EB1316" w:rsidRDefault="00EB1316" w:rsidP="00EB1316">
      <w:pPr>
        <w:spacing w:after="0" w:line="240" w:lineRule="auto"/>
        <w:rPr>
          <w:rFonts w:eastAsia="Calibri" w:cs="Times New Roman"/>
          <w:sz w:val="16"/>
          <w:szCs w:val="16"/>
          <w:lang w:eastAsia="en-US"/>
        </w:rPr>
      </w:pPr>
    </w:p>
    <w:p w14:paraId="304CEF00" w14:textId="77777777" w:rsidR="00EB1316" w:rsidRDefault="00EB1316" w:rsidP="00EB1316">
      <w:pPr>
        <w:spacing w:after="0" w:line="240" w:lineRule="auto"/>
        <w:rPr>
          <w:rFonts w:eastAsia="Calibri" w:cs="Times New Roman"/>
          <w:sz w:val="16"/>
          <w:szCs w:val="16"/>
          <w:lang w:eastAsia="en-US"/>
        </w:rPr>
      </w:pPr>
    </w:p>
    <w:p w14:paraId="12799311" w14:textId="77777777" w:rsidR="00EB1316" w:rsidRDefault="00EB1316" w:rsidP="00EB1316">
      <w:pPr>
        <w:spacing w:after="0" w:line="240" w:lineRule="auto"/>
        <w:rPr>
          <w:rFonts w:eastAsia="Calibri" w:cs="Times New Roman"/>
          <w:sz w:val="16"/>
          <w:szCs w:val="16"/>
          <w:lang w:eastAsia="en-US"/>
        </w:rPr>
      </w:pPr>
    </w:p>
    <w:p w14:paraId="5D0BB244" w14:textId="77777777" w:rsidR="00EB1316" w:rsidRDefault="00EB1316" w:rsidP="00EB1316">
      <w:pPr>
        <w:spacing w:after="0" w:line="240" w:lineRule="auto"/>
        <w:rPr>
          <w:rFonts w:eastAsia="Calibri" w:cs="Times New Roman"/>
          <w:sz w:val="16"/>
          <w:szCs w:val="16"/>
          <w:lang w:eastAsia="en-US"/>
        </w:rPr>
      </w:pPr>
    </w:p>
    <w:p w14:paraId="24C2B24C" w14:textId="77777777" w:rsidR="00EB1316" w:rsidRDefault="00EB1316" w:rsidP="00EB1316">
      <w:pPr>
        <w:spacing w:after="0" w:line="240" w:lineRule="auto"/>
        <w:rPr>
          <w:rFonts w:eastAsia="Calibri" w:cs="Times New Roman"/>
          <w:sz w:val="16"/>
          <w:szCs w:val="16"/>
          <w:lang w:eastAsia="en-US"/>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540"/>
        <w:gridCol w:w="5130"/>
        <w:gridCol w:w="1800"/>
        <w:gridCol w:w="1530"/>
        <w:gridCol w:w="1800"/>
        <w:gridCol w:w="1800"/>
      </w:tblGrid>
      <w:tr w:rsidR="00EB1316" w:rsidRPr="00C7021E" w14:paraId="7073844A" w14:textId="77777777" w:rsidTr="009C5083">
        <w:trPr>
          <w:trHeight w:val="458"/>
          <w:tblHeader/>
          <w:jc w:val="center"/>
        </w:trPr>
        <w:tc>
          <w:tcPr>
            <w:tcW w:w="14395" w:type="dxa"/>
            <w:gridSpan w:val="7"/>
            <w:shd w:val="clear" w:color="auto" w:fill="00B050"/>
            <w:vAlign w:val="center"/>
          </w:tcPr>
          <w:p w14:paraId="5C3ECE0C" w14:textId="77777777" w:rsidR="00EB1316" w:rsidRPr="00C7021E" w:rsidRDefault="00EB1316" w:rsidP="009C5083">
            <w:pPr>
              <w:spacing w:after="0" w:line="240" w:lineRule="auto"/>
              <w:rPr>
                <w:rFonts w:eastAsia="Calibri" w:cs="Times New Roman"/>
                <w:sz w:val="20"/>
                <w:szCs w:val="20"/>
                <w:lang w:val="en-GB" w:eastAsia="en-US"/>
              </w:rPr>
            </w:pPr>
            <w:r w:rsidRPr="00C7021E">
              <w:rPr>
                <w:rFonts w:eastAsia="Calibri" w:cs="Times New Roman"/>
                <w:sz w:val="20"/>
                <w:szCs w:val="20"/>
                <w:lang w:val="en-GB" w:eastAsia="en-US"/>
              </w:rPr>
              <w:br w:type="page"/>
            </w:r>
            <w:r w:rsidRPr="00C7021E">
              <w:rPr>
                <w:rFonts w:eastAsia="Calibri" w:cs="Times New Roman"/>
                <w:sz w:val="20"/>
                <w:szCs w:val="20"/>
                <w:lang w:val="en-GB" w:eastAsia="en-US"/>
              </w:rPr>
              <w:br w:type="page"/>
            </w:r>
            <w:r w:rsidRPr="00C7021E">
              <w:rPr>
                <w:rFonts w:eastAsia="Calibri" w:cs="Times New Roman"/>
                <w:b/>
                <w:color w:val="FFFFFF"/>
                <w:sz w:val="20"/>
                <w:szCs w:val="20"/>
                <w:shd w:val="clear" w:color="auto" w:fill="00B050"/>
                <w:lang w:val="en-GB" w:eastAsia="en-US"/>
              </w:rPr>
              <w:t>[cost classification: management functional clusters]</w:t>
            </w:r>
            <w:r w:rsidRPr="00C7021E">
              <w:rPr>
                <w:rFonts w:eastAsia="Calibri" w:cs="Times New Roman"/>
                <w:color w:val="FFFFFF"/>
                <w:sz w:val="20"/>
                <w:szCs w:val="20"/>
                <w:shd w:val="clear" w:color="auto" w:fill="00B050"/>
                <w:lang w:val="en-GB" w:eastAsia="en-US"/>
              </w:rPr>
              <w:t xml:space="preserve"> 2. </w:t>
            </w:r>
            <w:r w:rsidRPr="00C7021E">
              <w:rPr>
                <w:rFonts w:eastAsia="Calibri" w:cs="Times New Roman"/>
                <w:b/>
                <w:color w:val="FFFFFF"/>
                <w:sz w:val="20"/>
                <w:szCs w:val="20"/>
                <w:shd w:val="clear" w:color="auto" w:fill="00B050"/>
                <w:lang w:val="en-GB" w:eastAsia="en-US"/>
              </w:rPr>
              <w:t>FIELD/COUNTRY OFFICE OVERSIGHT, MANAGEMENT AND OPERATIONS SUPPORT</w:t>
            </w:r>
          </w:p>
        </w:tc>
      </w:tr>
      <w:tr w:rsidR="00EB1316" w:rsidRPr="00C7021E" w14:paraId="2F8C5AF9" w14:textId="77777777" w:rsidTr="009C5083">
        <w:trPr>
          <w:trHeight w:val="269"/>
          <w:tblHeader/>
          <w:jc w:val="center"/>
        </w:trPr>
        <w:tc>
          <w:tcPr>
            <w:tcW w:w="1795" w:type="dxa"/>
            <w:shd w:val="clear" w:color="auto" w:fill="DBE5F1" w:themeFill="accent1" w:themeFillTint="33"/>
            <w:vAlign w:val="center"/>
          </w:tcPr>
          <w:p w14:paraId="1AA6F43C"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 xml:space="preserve">Results statement: </w:t>
            </w:r>
          </w:p>
        </w:tc>
        <w:tc>
          <w:tcPr>
            <w:tcW w:w="540" w:type="dxa"/>
            <w:shd w:val="clear" w:color="auto" w:fill="DBE5F1" w:themeFill="accent1" w:themeFillTint="33"/>
            <w:vAlign w:val="center"/>
          </w:tcPr>
          <w:p w14:paraId="11F46443"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No.</w:t>
            </w:r>
          </w:p>
        </w:tc>
        <w:tc>
          <w:tcPr>
            <w:tcW w:w="5130" w:type="dxa"/>
            <w:shd w:val="clear" w:color="auto" w:fill="DBE5F1" w:themeFill="accent1" w:themeFillTint="33"/>
            <w:vAlign w:val="center"/>
          </w:tcPr>
          <w:p w14:paraId="67B7163C"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Indicator</w:t>
            </w:r>
          </w:p>
        </w:tc>
        <w:tc>
          <w:tcPr>
            <w:tcW w:w="1800" w:type="dxa"/>
            <w:shd w:val="clear" w:color="auto" w:fill="DBE5F1" w:themeFill="accent1" w:themeFillTint="33"/>
            <w:vAlign w:val="center"/>
          </w:tcPr>
          <w:p w14:paraId="75DCE8F7" w14:textId="77777777" w:rsidR="00EB1316" w:rsidRPr="00C7021E" w:rsidRDefault="00EB1316" w:rsidP="009C5083">
            <w:pPr>
              <w:spacing w:after="0" w:line="240" w:lineRule="auto"/>
              <w:jc w:val="center"/>
              <w:rPr>
                <w:rFonts w:eastAsia="Calibri" w:cs="Times New Roman"/>
                <w:b/>
                <w:sz w:val="20"/>
                <w:szCs w:val="20"/>
                <w:lang w:val="en-GB" w:eastAsia="en-US"/>
              </w:rPr>
            </w:pPr>
            <w:r>
              <w:rPr>
                <w:rFonts w:eastAsia="Calibri" w:cs="Times New Roman"/>
                <w:b/>
                <w:sz w:val="20"/>
                <w:szCs w:val="20"/>
                <w:lang w:val="en-GB" w:eastAsia="en-US"/>
              </w:rPr>
              <w:t xml:space="preserve">Baseline </w:t>
            </w:r>
            <w:r w:rsidRPr="00A33C42">
              <w:rPr>
                <w:rFonts w:eastAsia="Calibri" w:cs="Times New Roman"/>
                <w:sz w:val="20"/>
                <w:szCs w:val="20"/>
                <w:lang w:val="en-GB" w:eastAsia="en-US"/>
              </w:rPr>
              <w:t>2013</w:t>
            </w:r>
          </w:p>
        </w:tc>
        <w:tc>
          <w:tcPr>
            <w:tcW w:w="1530" w:type="dxa"/>
            <w:shd w:val="clear" w:color="auto" w:fill="DBE5F1" w:themeFill="accent1" w:themeFillTint="33"/>
            <w:vAlign w:val="center"/>
          </w:tcPr>
          <w:p w14:paraId="36E23E86" w14:textId="77777777" w:rsidR="00EB1316" w:rsidRPr="00C7021E" w:rsidRDefault="00EB1316" w:rsidP="009C5083">
            <w:pPr>
              <w:spacing w:after="0" w:line="240" w:lineRule="auto"/>
              <w:jc w:val="center"/>
              <w:rPr>
                <w:rFonts w:eastAsia="Calibri" w:cs="Times New Roman"/>
                <w:sz w:val="20"/>
                <w:szCs w:val="20"/>
                <w:lang w:val="en-GB" w:eastAsia="en-US"/>
              </w:rPr>
            </w:pPr>
            <w:r>
              <w:rPr>
                <w:rFonts w:eastAsia="Calibri" w:cs="Times New Roman"/>
                <w:b/>
                <w:sz w:val="20"/>
                <w:szCs w:val="20"/>
                <w:lang w:val="en-GB" w:eastAsia="en-US"/>
              </w:rPr>
              <w:t xml:space="preserve">Milestone </w:t>
            </w:r>
            <w:r w:rsidRPr="00A33C42">
              <w:rPr>
                <w:rFonts w:eastAsia="Calibri" w:cs="Times New Roman"/>
                <w:sz w:val="20"/>
                <w:szCs w:val="20"/>
                <w:lang w:val="en-GB" w:eastAsia="en-US"/>
              </w:rPr>
              <w:t>2014</w:t>
            </w:r>
          </w:p>
        </w:tc>
        <w:tc>
          <w:tcPr>
            <w:tcW w:w="1800" w:type="dxa"/>
            <w:shd w:val="clear" w:color="auto" w:fill="DBE5F1" w:themeFill="accent1" w:themeFillTint="33"/>
            <w:vAlign w:val="center"/>
          </w:tcPr>
          <w:p w14:paraId="208558A6" w14:textId="77777777" w:rsidR="00EB1316" w:rsidRPr="00C7021E" w:rsidRDefault="00EB1316" w:rsidP="009C5083">
            <w:pPr>
              <w:spacing w:after="0" w:line="240" w:lineRule="auto"/>
              <w:jc w:val="center"/>
              <w:rPr>
                <w:rFonts w:eastAsia="Calibri" w:cs="Times New Roman"/>
                <w:b/>
                <w:sz w:val="20"/>
                <w:szCs w:val="20"/>
                <w:lang w:val="en-GB" w:eastAsia="en-US"/>
              </w:rPr>
            </w:pPr>
            <w:r>
              <w:rPr>
                <w:rFonts w:eastAsia="Calibri" w:cs="Times New Roman"/>
                <w:b/>
                <w:sz w:val="20"/>
                <w:szCs w:val="20"/>
                <w:lang w:val="en-GB" w:eastAsia="en-US"/>
              </w:rPr>
              <w:t xml:space="preserve">Actual </w:t>
            </w:r>
            <w:r w:rsidRPr="00A33C42">
              <w:rPr>
                <w:rFonts w:eastAsia="Calibri" w:cs="Times New Roman"/>
                <w:sz w:val="20"/>
                <w:szCs w:val="20"/>
                <w:lang w:val="en-GB" w:eastAsia="en-US"/>
              </w:rPr>
              <w:t>201</w:t>
            </w:r>
            <w:r>
              <w:rPr>
                <w:rFonts w:eastAsia="Calibri" w:cs="Times New Roman"/>
                <w:sz w:val="20"/>
                <w:szCs w:val="20"/>
                <w:lang w:val="en-GB" w:eastAsia="en-US"/>
              </w:rPr>
              <w:t>4</w:t>
            </w:r>
          </w:p>
        </w:tc>
        <w:tc>
          <w:tcPr>
            <w:tcW w:w="1800" w:type="dxa"/>
            <w:shd w:val="clear" w:color="auto" w:fill="DBE5F1" w:themeFill="accent1" w:themeFillTint="33"/>
            <w:vAlign w:val="center"/>
          </w:tcPr>
          <w:p w14:paraId="36A69419" w14:textId="77777777" w:rsidR="00EB1316" w:rsidRDefault="00EB1316" w:rsidP="009C5083">
            <w:pPr>
              <w:spacing w:after="0" w:line="240" w:lineRule="auto"/>
              <w:jc w:val="center"/>
              <w:rPr>
                <w:rFonts w:eastAsia="Calibri" w:cs="Times New Roman"/>
                <w:b/>
                <w:sz w:val="20"/>
                <w:szCs w:val="20"/>
                <w:lang w:val="en-GB" w:eastAsia="en-US"/>
              </w:rPr>
            </w:pPr>
            <w:r>
              <w:rPr>
                <w:rFonts w:eastAsia="Calibri" w:cs="Times New Roman"/>
                <w:b/>
                <w:sz w:val="20"/>
                <w:szCs w:val="20"/>
                <w:lang w:val="en-GB" w:eastAsia="en-US"/>
              </w:rPr>
              <w:t>Target 2017</w:t>
            </w:r>
          </w:p>
        </w:tc>
      </w:tr>
      <w:tr w:rsidR="00EB1316" w:rsidRPr="00C7021E" w14:paraId="0ED926C6" w14:textId="77777777" w:rsidTr="009C5083">
        <w:trPr>
          <w:trHeight w:val="1133"/>
          <w:jc w:val="center"/>
        </w:trPr>
        <w:tc>
          <w:tcPr>
            <w:tcW w:w="1795" w:type="dxa"/>
            <w:vMerge w:val="restart"/>
            <w:shd w:val="clear" w:color="auto" w:fill="auto"/>
            <w:vAlign w:val="center"/>
          </w:tcPr>
          <w:p w14:paraId="368ADEC5" w14:textId="77777777" w:rsidR="00EB1316" w:rsidRPr="00C7021E" w:rsidRDefault="00EB1316" w:rsidP="009C5083">
            <w:pPr>
              <w:spacing w:after="0" w:line="240" w:lineRule="auto"/>
              <w:rPr>
                <w:rFonts w:eastAsia="Calibri" w:cs="Times New Roman"/>
                <w:sz w:val="20"/>
                <w:szCs w:val="20"/>
                <w:lang w:val="en-GB" w:eastAsia="en-US"/>
              </w:rPr>
            </w:pPr>
            <w:r w:rsidRPr="00245A7E">
              <w:rPr>
                <w:rFonts w:eastAsia="Calibri" w:cs="Times New Roman"/>
                <w:b/>
                <w:sz w:val="20"/>
                <w:szCs w:val="20"/>
                <w:lang w:val="en-GB" w:eastAsia="en-US"/>
              </w:rPr>
              <w:t>2.1</w:t>
            </w:r>
            <w:r w:rsidRPr="00C7021E">
              <w:rPr>
                <w:rFonts w:eastAsia="Calibri" w:cs="Times New Roman"/>
                <w:sz w:val="20"/>
                <w:szCs w:val="20"/>
                <w:lang w:val="en-GB" w:eastAsia="en-US"/>
              </w:rPr>
              <w:t xml:space="preserve"> UNDP is an efficient and cost conscious organization </w:t>
            </w:r>
          </w:p>
        </w:tc>
        <w:tc>
          <w:tcPr>
            <w:tcW w:w="540" w:type="dxa"/>
            <w:shd w:val="clear" w:color="auto" w:fill="auto"/>
            <w:vAlign w:val="center"/>
          </w:tcPr>
          <w:p w14:paraId="0890FD04"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1</w:t>
            </w:r>
            <w:r>
              <w:rPr>
                <w:rFonts w:eastAsia="Calibri" w:cs="Times New Roman"/>
                <w:b/>
                <w:sz w:val="20"/>
                <w:szCs w:val="20"/>
                <w:lang w:val="en-GB" w:eastAsia="en-US"/>
              </w:rPr>
              <w:t>4</w:t>
            </w:r>
            <w:r w:rsidRPr="00C7021E">
              <w:rPr>
                <w:rFonts w:eastAsia="Calibri" w:cs="Times New Roman"/>
                <w:b/>
                <w:sz w:val="20"/>
                <w:szCs w:val="20"/>
                <w:lang w:val="en-GB" w:eastAsia="en-US"/>
              </w:rPr>
              <w:t>.</w:t>
            </w:r>
          </w:p>
        </w:tc>
        <w:tc>
          <w:tcPr>
            <w:tcW w:w="5130" w:type="dxa"/>
            <w:shd w:val="clear" w:color="auto" w:fill="auto"/>
            <w:vAlign w:val="center"/>
          </w:tcPr>
          <w:p w14:paraId="3D4746F0" w14:textId="77777777" w:rsidR="00EB1316" w:rsidRDefault="00EB1316" w:rsidP="009C5083">
            <w:pPr>
              <w:spacing w:after="0" w:line="240" w:lineRule="auto"/>
              <w:rPr>
                <w:rFonts w:eastAsia="Calibri" w:cs="Times New Roman"/>
                <w:sz w:val="20"/>
                <w:szCs w:val="20"/>
                <w:lang w:val="en-GB" w:eastAsia="en-US"/>
              </w:rPr>
            </w:pPr>
            <w:r>
              <w:rPr>
                <w:rFonts w:eastAsia="Calibri" w:cs="Times New Roman"/>
                <w:sz w:val="20"/>
                <w:szCs w:val="20"/>
                <w:lang w:val="en-GB" w:eastAsia="en-US"/>
              </w:rPr>
              <w:t>Procurement efficiency:</w:t>
            </w:r>
          </w:p>
          <w:p w14:paraId="72793FC6" w14:textId="77777777" w:rsidR="00EB1316" w:rsidRPr="00A3516F" w:rsidRDefault="00EB1316" w:rsidP="006F161D">
            <w:pPr>
              <w:pStyle w:val="ListParagraph"/>
              <w:numPr>
                <w:ilvl w:val="0"/>
                <w:numId w:val="53"/>
              </w:numPr>
              <w:rPr>
                <w:rFonts w:eastAsia="Calibri"/>
                <w:sz w:val="20"/>
                <w:szCs w:val="20"/>
                <w:lang w:val="en-GB" w:eastAsia="en-US"/>
              </w:rPr>
            </w:pPr>
            <w:r w:rsidRPr="00A3516F">
              <w:rPr>
                <w:rFonts w:eastAsia="Calibri"/>
                <w:sz w:val="20"/>
                <w:szCs w:val="20"/>
                <w:lang w:val="en-GB" w:eastAsia="en-US"/>
              </w:rPr>
              <w:t xml:space="preserve">Percentage of procurement cases submitted to the ACP that are approved upon first review </w:t>
            </w:r>
          </w:p>
          <w:p w14:paraId="30907FEC" w14:textId="77777777" w:rsidR="00EB1316" w:rsidRPr="00A3516F" w:rsidRDefault="00EB1316" w:rsidP="006F161D">
            <w:pPr>
              <w:pStyle w:val="ListParagraph"/>
              <w:numPr>
                <w:ilvl w:val="0"/>
                <w:numId w:val="53"/>
              </w:numPr>
              <w:rPr>
                <w:rFonts w:eastAsia="Calibri"/>
                <w:sz w:val="20"/>
                <w:szCs w:val="20"/>
                <w:lang w:val="en-GB" w:eastAsia="en-US"/>
              </w:rPr>
            </w:pPr>
            <w:r>
              <w:rPr>
                <w:rFonts w:eastAsia="Calibri"/>
                <w:sz w:val="20"/>
                <w:szCs w:val="20"/>
                <w:lang w:val="en-GB" w:eastAsia="en-US"/>
              </w:rPr>
              <w:t>Percentage of business units with a consolidated Procurement Plan.</w:t>
            </w:r>
          </w:p>
        </w:tc>
        <w:tc>
          <w:tcPr>
            <w:tcW w:w="1800" w:type="dxa"/>
            <w:shd w:val="clear" w:color="auto" w:fill="auto"/>
            <w:vAlign w:val="center"/>
          </w:tcPr>
          <w:p w14:paraId="32885747" w14:textId="77777777" w:rsidR="00EB1316" w:rsidRDefault="00EB1316" w:rsidP="006F161D">
            <w:pPr>
              <w:pStyle w:val="ListParagraph"/>
              <w:numPr>
                <w:ilvl w:val="0"/>
                <w:numId w:val="54"/>
              </w:numPr>
              <w:rPr>
                <w:rFonts w:eastAsia="Calibri"/>
                <w:sz w:val="20"/>
              </w:rPr>
            </w:pPr>
            <w:r w:rsidRPr="00A3516F">
              <w:rPr>
                <w:rFonts w:eastAsia="Calibri"/>
                <w:sz w:val="20"/>
              </w:rPr>
              <w:t xml:space="preserve">75.24% </w:t>
            </w:r>
          </w:p>
          <w:p w14:paraId="338910C4" w14:textId="77777777" w:rsidR="00EB1316" w:rsidRDefault="00EB1316" w:rsidP="009C5083">
            <w:pPr>
              <w:pStyle w:val="ListParagraph"/>
              <w:ind w:left="360"/>
              <w:rPr>
                <w:rFonts w:eastAsia="Calibri"/>
                <w:sz w:val="20"/>
              </w:rPr>
            </w:pPr>
          </w:p>
          <w:p w14:paraId="2C54FE1B" w14:textId="77777777" w:rsidR="00EB1316" w:rsidRPr="00A3516F" w:rsidRDefault="00EB1316" w:rsidP="006F161D">
            <w:pPr>
              <w:pStyle w:val="ListParagraph"/>
              <w:numPr>
                <w:ilvl w:val="0"/>
                <w:numId w:val="54"/>
              </w:numPr>
              <w:rPr>
                <w:rFonts w:eastAsia="Calibri"/>
                <w:sz w:val="20"/>
              </w:rPr>
            </w:pPr>
            <w:r>
              <w:rPr>
                <w:rFonts w:eastAsia="Calibri"/>
                <w:sz w:val="20"/>
              </w:rPr>
              <w:t>21%</w:t>
            </w:r>
          </w:p>
        </w:tc>
        <w:tc>
          <w:tcPr>
            <w:tcW w:w="1530" w:type="dxa"/>
            <w:shd w:val="clear" w:color="auto" w:fill="auto"/>
            <w:vAlign w:val="center"/>
          </w:tcPr>
          <w:p w14:paraId="53A50F8C" w14:textId="77777777" w:rsidR="00EB1316" w:rsidRDefault="00EB1316" w:rsidP="006F161D">
            <w:pPr>
              <w:pStyle w:val="ListParagraph"/>
              <w:numPr>
                <w:ilvl w:val="0"/>
                <w:numId w:val="55"/>
              </w:numPr>
              <w:ind w:left="252" w:hanging="180"/>
              <w:rPr>
                <w:rFonts w:eastAsia="Calibri"/>
                <w:sz w:val="20"/>
              </w:rPr>
            </w:pPr>
            <w:r w:rsidRPr="00BE7B8A">
              <w:rPr>
                <w:rFonts w:eastAsia="Calibri"/>
                <w:sz w:val="20"/>
              </w:rPr>
              <w:t>78%</w:t>
            </w:r>
          </w:p>
          <w:p w14:paraId="7E526178" w14:textId="77777777" w:rsidR="00EB1316" w:rsidRDefault="00EB1316" w:rsidP="009C5083">
            <w:pPr>
              <w:pStyle w:val="ListParagraph"/>
              <w:ind w:left="252"/>
              <w:rPr>
                <w:rFonts w:eastAsia="Calibri"/>
                <w:sz w:val="20"/>
              </w:rPr>
            </w:pPr>
          </w:p>
          <w:p w14:paraId="39724336" w14:textId="77777777" w:rsidR="00EB1316" w:rsidRPr="0062243B" w:rsidRDefault="00EB1316" w:rsidP="006F161D">
            <w:pPr>
              <w:pStyle w:val="ListParagraph"/>
              <w:numPr>
                <w:ilvl w:val="0"/>
                <w:numId w:val="55"/>
              </w:numPr>
              <w:ind w:left="252" w:hanging="180"/>
              <w:rPr>
                <w:rFonts w:eastAsia="Calibri"/>
                <w:sz w:val="20"/>
              </w:rPr>
            </w:pPr>
            <w:r w:rsidRPr="0062243B">
              <w:rPr>
                <w:rFonts w:eastAsia="Calibri"/>
                <w:sz w:val="20"/>
              </w:rPr>
              <w:t>71%</w:t>
            </w:r>
          </w:p>
        </w:tc>
        <w:tc>
          <w:tcPr>
            <w:tcW w:w="1800" w:type="dxa"/>
            <w:shd w:val="clear" w:color="auto" w:fill="auto"/>
            <w:vAlign w:val="center"/>
          </w:tcPr>
          <w:p w14:paraId="6F8949F4" w14:textId="77777777" w:rsidR="00EB1316" w:rsidRDefault="00EB1316" w:rsidP="006F161D">
            <w:pPr>
              <w:pStyle w:val="ListParagraph"/>
              <w:numPr>
                <w:ilvl w:val="0"/>
                <w:numId w:val="70"/>
              </w:numPr>
              <w:ind w:left="432"/>
              <w:rPr>
                <w:rFonts w:eastAsia="Calibri"/>
                <w:sz w:val="20"/>
              </w:rPr>
            </w:pPr>
            <w:r w:rsidRPr="003C43BF">
              <w:rPr>
                <w:rFonts w:eastAsia="Calibri"/>
                <w:sz w:val="20"/>
              </w:rPr>
              <w:t>81%</w:t>
            </w:r>
          </w:p>
          <w:p w14:paraId="00E6FF98" w14:textId="77777777" w:rsidR="00EB1316" w:rsidRPr="003C43BF" w:rsidRDefault="00EB1316" w:rsidP="009C5083">
            <w:pPr>
              <w:pStyle w:val="ListParagraph"/>
              <w:ind w:left="432"/>
              <w:rPr>
                <w:rFonts w:eastAsia="Calibri"/>
                <w:sz w:val="20"/>
              </w:rPr>
            </w:pPr>
          </w:p>
          <w:p w14:paraId="38E817B3" w14:textId="77777777" w:rsidR="00EB1316" w:rsidRPr="003C43BF" w:rsidRDefault="00EB1316" w:rsidP="006F161D">
            <w:pPr>
              <w:pStyle w:val="ListParagraph"/>
              <w:numPr>
                <w:ilvl w:val="0"/>
                <w:numId w:val="70"/>
              </w:numPr>
              <w:ind w:left="432"/>
              <w:rPr>
                <w:rFonts w:eastAsia="Calibri"/>
                <w:sz w:val="20"/>
              </w:rPr>
            </w:pPr>
            <w:r w:rsidRPr="003C43BF">
              <w:rPr>
                <w:rFonts w:eastAsia="Calibri"/>
                <w:sz w:val="20"/>
              </w:rPr>
              <w:t xml:space="preserve">71%  </w:t>
            </w:r>
          </w:p>
        </w:tc>
        <w:tc>
          <w:tcPr>
            <w:tcW w:w="1800" w:type="dxa"/>
            <w:shd w:val="clear" w:color="auto" w:fill="auto"/>
            <w:vAlign w:val="center"/>
          </w:tcPr>
          <w:p w14:paraId="3AE211AF" w14:textId="77777777" w:rsidR="00EB1316" w:rsidRPr="00EF7E41" w:rsidRDefault="00EB1316" w:rsidP="006F161D">
            <w:pPr>
              <w:pStyle w:val="ListParagraph"/>
              <w:numPr>
                <w:ilvl w:val="0"/>
                <w:numId w:val="74"/>
              </w:numPr>
              <w:ind w:left="252" w:hanging="270"/>
              <w:rPr>
                <w:rFonts w:eastAsia="Calibri"/>
                <w:sz w:val="20"/>
              </w:rPr>
            </w:pPr>
            <w:r w:rsidRPr="00EF7E41">
              <w:rPr>
                <w:rFonts w:eastAsia="Calibri"/>
                <w:sz w:val="20"/>
              </w:rPr>
              <w:t>85%</w:t>
            </w:r>
          </w:p>
          <w:p w14:paraId="0DCD3BD9" w14:textId="77777777" w:rsidR="00EB1316" w:rsidRPr="00EF7E41" w:rsidRDefault="00EB1316" w:rsidP="009C5083">
            <w:pPr>
              <w:pStyle w:val="ListParagraph"/>
              <w:ind w:left="252" w:hanging="270"/>
              <w:rPr>
                <w:rFonts w:eastAsia="Calibri"/>
                <w:sz w:val="20"/>
              </w:rPr>
            </w:pPr>
          </w:p>
          <w:p w14:paraId="157D9C12" w14:textId="77777777" w:rsidR="00EB1316" w:rsidRPr="003C43BF" w:rsidRDefault="00EB1316" w:rsidP="006F161D">
            <w:pPr>
              <w:pStyle w:val="ListParagraph"/>
              <w:numPr>
                <w:ilvl w:val="0"/>
                <w:numId w:val="74"/>
              </w:numPr>
              <w:ind w:left="252" w:hanging="270"/>
              <w:rPr>
                <w:rFonts w:eastAsia="Calibri"/>
                <w:sz w:val="20"/>
              </w:rPr>
            </w:pPr>
            <w:r w:rsidRPr="00EF7E41">
              <w:rPr>
                <w:rFonts w:eastAsia="Calibri"/>
                <w:sz w:val="20"/>
              </w:rPr>
              <w:t>80%</w:t>
            </w:r>
          </w:p>
        </w:tc>
      </w:tr>
      <w:tr w:rsidR="00EB1316" w:rsidRPr="00C7021E" w14:paraId="07AB1EF1" w14:textId="77777777" w:rsidTr="009C5083">
        <w:trPr>
          <w:trHeight w:val="333"/>
          <w:jc w:val="center"/>
        </w:trPr>
        <w:tc>
          <w:tcPr>
            <w:tcW w:w="1795" w:type="dxa"/>
            <w:vMerge/>
            <w:shd w:val="clear" w:color="auto" w:fill="auto"/>
            <w:vAlign w:val="center"/>
          </w:tcPr>
          <w:p w14:paraId="3BB1314D"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vMerge w:val="restart"/>
            <w:shd w:val="clear" w:color="auto" w:fill="auto"/>
            <w:vAlign w:val="center"/>
          </w:tcPr>
          <w:p w14:paraId="17BD39BB"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1</w:t>
            </w:r>
            <w:r>
              <w:rPr>
                <w:rFonts w:eastAsia="Calibri" w:cs="Times New Roman"/>
                <w:b/>
                <w:sz w:val="20"/>
                <w:szCs w:val="20"/>
                <w:lang w:val="en-GB" w:eastAsia="en-US"/>
              </w:rPr>
              <w:t>5</w:t>
            </w:r>
            <w:r w:rsidRPr="00C7021E">
              <w:rPr>
                <w:rFonts w:eastAsia="Calibri" w:cs="Times New Roman"/>
                <w:b/>
                <w:sz w:val="20"/>
                <w:szCs w:val="20"/>
                <w:lang w:val="en-GB" w:eastAsia="en-US"/>
              </w:rPr>
              <w:t>.</w:t>
            </w:r>
          </w:p>
        </w:tc>
        <w:tc>
          <w:tcPr>
            <w:tcW w:w="5130" w:type="dxa"/>
            <w:shd w:val="clear" w:color="auto" w:fill="auto"/>
            <w:vAlign w:val="center"/>
          </w:tcPr>
          <w:p w14:paraId="515C7DD8" w14:textId="77777777" w:rsidR="00EB1316" w:rsidRPr="0057140C" w:rsidRDefault="00EB1316" w:rsidP="006F161D">
            <w:pPr>
              <w:numPr>
                <w:ilvl w:val="0"/>
                <w:numId w:val="7"/>
              </w:numPr>
              <w:spacing w:after="0" w:line="240" w:lineRule="auto"/>
              <w:ind w:left="252" w:hanging="252"/>
              <w:rPr>
                <w:rFonts w:eastAsia="Calibri" w:cs="Times New Roman"/>
                <w:sz w:val="20"/>
                <w:szCs w:val="20"/>
                <w:lang w:val="en-GB" w:eastAsia="en-US"/>
              </w:rPr>
            </w:pPr>
            <w:r w:rsidRPr="0057140C">
              <w:rPr>
                <w:rFonts w:eastAsia="Calibri" w:cs="Times New Roman"/>
                <w:sz w:val="20"/>
                <w:szCs w:val="20"/>
                <w:lang w:val="en-GB" w:eastAsia="en-US"/>
              </w:rPr>
              <w:t>Percentage of cost-sharing agreements that comply with the new cost recovery policy (third party contributions only)</w:t>
            </w:r>
          </w:p>
        </w:tc>
        <w:tc>
          <w:tcPr>
            <w:tcW w:w="1800" w:type="dxa"/>
            <w:shd w:val="clear" w:color="auto" w:fill="auto"/>
            <w:vAlign w:val="center"/>
          </w:tcPr>
          <w:p w14:paraId="6454A92C" w14:textId="77777777" w:rsidR="00EB1316" w:rsidRPr="0057140C" w:rsidRDefault="00EB1316" w:rsidP="009C5083">
            <w:pPr>
              <w:spacing w:after="0" w:line="240" w:lineRule="auto"/>
              <w:jc w:val="center"/>
              <w:rPr>
                <w:rFonts w:ascii="Calibri" w:eastAsia="Calibri" w:hAnsi="Calibri"/>
                <w:sz w:val="20"/>
              </w:rPr>
            </w:pPr>
            <w:r w:rsidRPr="0057140C">
              <w:rPr>
                <w:rFonts w:ascii="Calibri" w:eastAsia="Calibri" w:hAnsi="Calibri"/>
                <w:sz w:val="20"/>
              </w:rPr>
              <w:t>the new policy started in January 2014</w:t>
            </w:r>
          </w:p>
        </w:tc>
        <w:tc>
          <w:tcPr>
            <w:tcW w:w="1530" w:type="dxa"/>
            <w:shd w:val="clear" w:color="auto" w:fill="auto"/>
            <w:vAlign w:val="center"/>
          </w:tcPr>
          <w:p w14:paraId="1EEAF7CB" w14:textId="77777777" w:rsidR="00EB1316" w:rsidRPr="0057140C" w:rsidRDefault="00EB1316" w:rsidP="009C5083">
            <w:pPr>
              <w:spacing w:after="0" w:line="240" w:lineRule="auto"/>
              <w:jc w:val="center"/>
              <w:rPr>
                <w:rFonts w:ascii="Calibri" w:eastAsia="Calibri" w:hAnsi="Calibri"/>
                <w:sz w:val="20"/>
              </w:rPr>
            </w:pPr>
            <w:r w:rsidRPr="0057140C">
              <w:rPr>
                <w:rFonts w:ascii="Calibri" w:eastAsia="Calibri" w:hAnsi="Calibri"/>
                <w:sz w:val="20"/>
              </w:rPr>
              <w:t>55%</w:t>
            </w:r>
          </w:p>
        </w:tc>
        <w:tc>
          <w:tcPr>
            <w:tcW w:w="1800" w:type="dxa"/>
            <w:shd w:val="clear" w:color="auto" w:fill="auto"/>
            <w:vAlign w:val="center"/>
          </w:tcPr>
          <w:p w14:paraId="3730F56C" w14:textId="77777777" w:rsidR="00EB1316" w:rsidRPr="0057140C" w:rsidRDefault="00EB1316" w:rsidP="009C5083">
            <w:pPr>
              <w:spacing w:after="0" w:line="240" w:lineRule="auto"/>
              <w:jc w:val="center"/>
              <w:rPr>
                <w:rFonts w:eastAsia="Calibri" w:cs="Times New Roman"/>
                <w:sz w:val="20"/>
                <w:szCs w:val="20"/>
                <w:lang w:val="en-GB" w:eastAsia="en-US"/>
              </w:rPr>
            </w:pPr>
            <w:r w:rsidRPr="0057140C">
              <w:rPr>
                <w:rFonts w:eastAsia="Calibri" w:cs="Times New Roman"/>
                <w:sz w:val="20"/>
                <w:szCs w:val="20"/>
                <w:lang w:eastAsia="en-US"/>
              </w:rPr>
              <w:t>65%</w:t>
            </w:r>
          </w:p>
        </w:tc>
        <w:tc>
          <w:tcPr>
            <w:tcW w:w="1800" w:type="dxa"/>
            <w:shd w:val="clear" w:color="auto" w:fill="auto"/>
            <w:vAlign w:val="center"/>
          </w:tcPr>
          <w:p w14:paraId="6C43FF6E" w14:textId="77777777" w:rsidR="00EB1316" w:rsidRPr="00DE5B6A" w:rsidRDefault="00EB1316" w:rsidP="009C5083">
            <w:pPr>
              <w:spacing w:after="0" w:line="240" w:lineRule="auto"/>
              <w:jc w:val="center"/>
              <w:rPr>
                <w:rFonts w:eastAsia="Calibri" w:cs="Times New Roman"/>
                <w:sz w:val="20"/>
                <w:szCs w:val="20"/>
                <w:lang w:eastAsia="en-US"/>
              </w:rPr>
            </w:pPr>
            <w:r w:rsidRPr="00EF7E41">
              <w:rPr>
                <w:rFonts w:eastAsia="Calibri" w:cs="Times New Roman"/>
                <w:sz w:val="20"/>
                <w:szCs w:val="20"/>
                <w:lang w:val="en-GB" w:eastAsia="en-US"/>
              </w:rPr>
              <w:t>90%</w:t>
            </w:r>
          </w:p>
        </w:tc>
      </w:tr>
      <w:tr w:rsidR="00EB1316" w:rsidRPr="00C7021E" w14:paraId="52633BA5" w14:textId="77777777" w:rsidTr="009C5083">
        <w:trPr>
          <w:trHeight w:val="3392"/>
          <w:jc w:val="center"/>
        </w:trPr>
        <w:tc>
          <w:tcPr>
            <w:tcW w:w="1795" w:type="dxa"/>
            <w:vMerge/>
            <w:shd w:val="clear" w:color="auto" w:fill="auto"/>
            <w:vAlign w:val="center"/>
          </w:tcPr>
          <w:p w14:paraId="4ACEC051"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vMerge/>
            <w:shd w:val="clear" w:color="auto" w:fill="F2DBDB" w:themeFill="accent2" w:themeFillTint="33"/>
            <w:vAlign w:val="center"/>
          </w:tcPr>
          <w:p w14:paraId="78B4C92D" w14:textId="77777777" w:rsidR="00EB1316" w:rsidRPr="00C7021E" w:rsidRDefault="00EB1316" w:rsidP="009C5083">
            <w:pPr>
              <w:spacing w:after="0" w:line="240" w:lineRule="auto"/>
              <w:rPr>
                <w:rFonts w:eastAsia="Calibri" w:cs="Times New Roman"/>
                <w:b/>
                <w:sz w:val="20"/>
                <w:szCs w:val="20"/>
                <w:lang w:val="en-GB" w:eastAsia="en-US"/>
              </w:rPr>
            </w:pPr>
          </w:p>
        </w:tc>
        <w:tc>
          <w:tcPr>
            <w:tcW w:w="5130" w:type="dxa"/>
            <w:shd w:val="clear" w:color="auto" w:fill="auto"/>
            <w:vAlign w:val="center"/>
          </w:tcPr>
          <w:p w14:paraId="4A96B6D0" w14:textId="77777777" w:rsidR="00EB1316" w:rsidRDefault="00EB1316" w:rsidP="006F161D">
            <w:pPr>
              <w:numPr>
                <w:ilvl w:val="0"/>
                <w:numId w:val="7"/>
              </w:numPr>
              <w:spacing w:after="0" w:line="240" w:lineRule="auto"/>
              <w:ind w:left="252" w:hanging="252"/>
              <w:rPr>
                <w:rFonts w:eastAsia="Calibri" w:cs="Times New Roman"/>
                <w:sz w:val="20"/>
                <w:szCs w:val="20"/>
                <w:lang w:val="en-GB" w:eastAsia="en-US"/>
              </w:rPr>
            </w:pPr>
            <w:r w:rsidRPr="00C7021E">
              <w:rPr>
                <w:rFonts w:eastAsia="Calibri" w:cs="Times New Roman"/>
                <w:sz w:val="20"/>
                <w:szCs w:val="20"/>
                <w:lang w:val="en-GB" w:eastAsia="en-US"/>
              </w:rPr>
              <w:t>Average cost recovery rate (disaggregated by funding instrument)</w:t>
            </w:r>
          </w:p>
          <w:p w14:paraId="12F01FF5" w14:textId="77777777" w:rsidR="00EB1316" w:rsidRPr="00752011" w:rsidRDefault="00EB1316" w:rsidP="006F161D">
            <w:pPr>
              <w:numPr>
                <w:ilvl w:val="1"/>
                <w:numId w:val="81"/>
              </w:numPr>
              <w:spacing w:after="0" w:line="240" w:lineRule="auto"/>
              <w:rPr>
                <w:rFonts w:eastAsia="Calibri" w:cs="Times New Roman"/>
                <w:sz w:val="18"/>
                <w:szCs w:val="20"/>
                <w:lang w:val="en-GB" w:eastAsia="en-US"/>
              </w:rPr>
            </w:pPr>
            <w:r w:rsidRPr="00752011">
              <w:rPr>
                <w:rFonts w:ascii="Calibri" w:eastAsia="Calibri" w:hAnsi="Calibri"/>
                <w:sz w:val="20"/>
              </w:rPr>
              <w:t>Third party cost sharing</w:t>
            </w:r>
          </w:p>
          <w:p w14:paraId="2106BE0A" w14:textId="77777777" w:rsidR="00EB1316" w:rsidRPr="00752011" w:rsidRDefault="00EB1316" w:rsidP="006F161D">
            <w:pPr>
              <w:numPr>
                <w:ilvl w:val="1"/>
                <w:numId w:val="81"/>
              </w:numPr>
              <w:spacing w:after="0" w:line="240" w:lineRule="auto"/>
              <w:rPr>
                <w:rFonts w:eastAsia="Calibri" w:cs="Times New Roman"/>
                <w:sz w:val="18"/>
                <w:szCs w:val="20"/>
                <w:lang w:val="en-GB" w:eastAsia="en-US"/>
              </w:rPr>
            </w:pPr>
            <w:r w:rsidRPr="00752011">
              <w:rPr>
                <w:rFonts w:ascii="Calibri" w:eastAsia="Calibri" w:hAnsi="Calibri"/>
                <w:sz w:val="20"/>
              </w:rPr>
              <w:t>Government cost sharing</w:t>
            </w:r>
          </w:p>
          <w:p w14:paraId="1AB55CC7" w14:textId="77777777" w:rsidR="00EB1316" w:rsidRPr="00752011" w:rsidRDefault="00EB1316" w:rsidP="006F161D">
            <w:pPr>
              <w:numPr>
                <w:ilvl w:val="1"/>
                <w:numId w:val="81"/>
              </w:numPr>
              <w:spacing w:after="0" w:line="240" w:lineRule="auto"/>
              <w:rPr>
                <w:rFonts w:eastAsia="Calibri" w:cs="Times New Roman"/>
                <w:sz w:val="18"/>
                <w:szCs w:val="20"/>
                <w:lang w:val="en-GB" w:eastAsia="en-US"/>
              </w:rPr>
            </w:pPr>
            <w:r w:rsidRPr="00752011">
              <w:rPr>
                <w:rFonts w:ascii="Calibri" w:eastAsia="Calibri" w:hAnsi="Calibri"/>
                <w:sz w:val="20"/>
              </w:rPr>
              <w:t>South-South contributions</w:t>
            </w:r>
          </w:p>
          <w:p w14:paraId="3AB4FB49" w14:textId="77777777" w:rsidR="00EB1316" w:rsidRPr="00752011" w:rsidRDefault="00EB1316" w:rsidP="006F161D">
            <w:pPr>
              <w:numPr>
                <w:ilvl w:val="1"/>
                <w:numId w:val="81"/>
              </w:numPr>
              <w:spacing w:after="0" w:line="240" w:lineRule="auto"/>
              <w:rPr>
                <w:rFonts w:eastAsia="Calibri" w:cs="Times New Roman"/>
                <w:sz w:val="18"/>
                <w:szCs w:val="20"/>
                <w:lang w:val="en-GB" w:eastAsia="en-US"/>
              </w:rPr>
            </w:pPr>
            <w:r w:rsidRPr="00752011">
              <w:rPr>
                <w:rFonts w:ascii="Calibri" w:eastAsia="Calibri" w:hAnsi="Calibri"/>
                <w:sz w:val="20"/>
              </w:rPr>
              <w:t>Other trust funds</w:t>
            </w:r>
          </w:p>
          <w:p w14:paraId="4C18F3D0" w14:textId="77777777" w:rsidR="00EB1316" w:rsidRPr="00752011" w:rsidRDefault="00EB1316" w:rsidP="006F161D">
            <w:pPr>
              <w:numPr>
                <w:ilvl w:val="1"/>
                <w:numId w:val="81"/>
              </w:numPr>
              <w:spacing w:after="0" w:line="240" w:lineRule="auto"/>
              <w:rPr>
                <w:rFonts w:eastAsia="Calibri" w:cs="Times New Roman"/>
                <w:sz w:val="18"/>
                <w:szCs w:val="20"/>
                <w:lang w:val="en-GB" w:eastAsia="en-US"/>
              </w:rPr>
            </w:pPr>
            <w:r w:rsidRPr="00752011">
              <w:rPr>
                <w:rFonts w:ascii="Calibri" w:eastAsia="Calibri" w:hAnsi="Calibri"/>
                <w:sz w:val="20"/>
              </w:rPr>
              <w:t>GFATM</w:t>
            </w:r>
          </w:p>
          <w:p w14:paraId="744E59A9" w14:textId="77777777" w:rsidR="00EB1316" w:rsidRPr="0021364F" w:rsidRDefault="00EB1316" w:rsidP="006F161D">
            <w:pPr>
              <w:numPr>
                <w:ilvl w:val="1"/>
                <w:numId w:val="81"/>
              </w:numPr>
              <w:spacing w:after="0" w:line="240" w:lineRule="auto"/>
              <w:rPr>
                <w:rFonts w:eastAsia="Calibri" w:cs="Times New Roman"/>
                <w:sz w:val="20"/>
                <w:szCs w:val="20"/>
                <w:lang w:val="en-GB" w:eastAsia="en-US"/>
              </w:rPr>
            </w:pPr>
            <w:r w:rsidRPr="0021364F">
              <w:rPr>
                <w:rFonts w:ascii="Calibri" w:eastAsia="Calibri" w:hAnsi="Calibri"/>
                <w:sz w:val="20"/>
                <w:szCs w:val="20"/>
              </w:rPr>
              <w:t>GEF</w:t>
            </w:r>
          </w:p>
          <w:p w14:paraId="7CD2A632" w14:textId="77777777" w:rsidR="00EB1316" w:rsidRPr="00F94998" w:rsidRDefault="00EB1316" w:rsidP="009C5083">
            <w:pPr>
              <w:spacing w:after="0" w:line="240" w:lineRule="auto"/>
              <w:ind w:left="1422"/>
              <w:rPr>
                <w:sz w:val="20"/>
                <w:szCs w:val="20"/>
              </w:rPr>
            </w:pPr>
            <w:r>
              <w:rPr>
                <w:sz w:val="20"/>
                <w:szCs w:val="20"/>
              </w:rPr>
              <w:t>vi</w:t>
            </w:r>
            <w:r w:rsidRPr="00F94998">
              <w:rPr>
                <w:sz w:val="20"/>
                <w:szCs w:val="20"/>
              </w:rPr>
              <w:t>.1. Contributions below $10 million</w:t>
            </w:r>
          </w:p>
          <w:p w14:paraId="383ECB78" w14:textId="77777777" w:rsidR="00EB1316" w:rsidRPr="005403AB" w:rsidRDefault="00EB1316" w:rsidP="009C5083">
            <w:pPr>
              <w:spacing w:after="0" w:line="240" w:lineRule="auto"/>
              <w:ind w:left="1872" w:hanging="450"/>
              <w:rPr>
                <w:sz w:val="20"/>
                <w:szCs w:val="20"/>
              </w:rPr>
            </w:pPr>
            <w:r>
              <w:rPr>
                <w:sz w:val="20"/>
                <w:szCs w:val="20"/>
              </w:rPr>
              <w:t>vi</w:t>
            </w:r>
            <w:r w:rsidRPr="005403AB">
              <w:rPr>
                <w:sz w:val="20"/>
                <w:szCs w:val="20"/>
              </w:rPr>
              <w:t>.2. Contributions above $ 10 million</w:t>
            </w:r>
          </w:p>
          <w:p w14:paraId="5C108572" w14:textId="77777777" w:rsidR="00EB1316" w:rsidRPr="00752011" w:rsidRDefault="00EB1316" w:rsidP="006F161D">
            <w:pPr>
              <w:numPr>
                <w:ilvl w:val="0"/>
                <w:numId w:val="82"/>
              </w:numPr>
              <w:spacing w:after="0" w:line="240" w:lineRule="auto"/>
              <w:rPr>
                <w:rFonts w:eastAsia="Calibri" w:cs="Times New Roman"/>
                <w:sz w:val="18"/>
                <w:szCs w:val="20"/>
                <w:lang w:val="en-GB" w:eastAsia="en-US"/>
              </w:rPr>
            </w:pPr>
            <w:r w:rsidRPr="00752011">
              <w:rPr>
                <w:rFonts w:ascii="Calibri" w:eastAsia="Calibri" w:hAnsi="Calibri"/>
                <w:sz w:val="20"/>
              </w:rPr>
              <w:t>LOFTA</w:t>
            </w:r>
          </w:p>
          <w:p w14:paraId="00DC51DE" w14:textId="77777777" w:rsidR="00EB1316" w:rsidRPr="00752011" w:rsidRDefault="00EB1316" w:rsidP="006F161D">
            <w:pPr>
              <w:numPr>
                <w:ilvl w:val="0"/>
                <w:numId w:val="82"/>
              </w:numPr>
              <w:spacing w:after="0" w:line="240" w:lineRule="auto"/>
              <w:rPr>
                <w:rFonts w:eastAsia="Calibri" w:cs="Times New Roman"/>
                <w:sz w:val="18"/>
                <w:szCs w:val="20"/>
                <w:lang w:val="en-GB" w:eastAsia="en-US"/>
              </w:rPr>
            </w:pPr>
            <w:r w:rsidRPr="00752011">
              <w:rPr>
                <w:rFonts w:ascii="Calibri" w:eastAsia="Calibri" w:hAnsi="Calibri"/>
                <w:sz w:val="20"/>
              </w:rPr>
              <w:t>Thematic contributions</w:t>
            </w:r>
          </w:p>
          <w:p w14:paraId="1F3D50E5" w14:textId="77777777" w:rsidR="00EB1316" w:rsidRPr="00752011" w:rsidRDefault="00EB1316" w:rsidP="006F161D">
            <w:pPr>
              <w:numPr>
                <w:ilvl w:val="0"/>
                <w:numId w:val="82"/>
              </w:numPr>
              <w:spacing w:after="0" w:line="240" w:lineRule="auto"/>
              <w:rPr>
                <w:rFonts w:eastAsia="Calibri" w:cs="Times New Roman"/>
                <w:sz w:val="18"/>
                <w:szCs w:val="20"/>
                <w:lang w:val="en-GB" w:eastAsia="en-US"/>
              </w:rPr>
            </w:pPr>
            <w:r w:rsidRPr="00752011">
              <w:rPr>
                <w:rFonts w:ascii="Calibri" w:eastAsia="Calibri" w:hAnsi="Calibri"/>
                <w:sz w:val="20"/>
              </w:rPr>
              <w:t>Montreal Protocol</w:t>
            </w:r>
          </w:p>
          <w:p w14:paraId="0E553138" w14:textId="77777777" w:rsidR="00EB1316" w:rsidRPr="00C7021E" w:rsidRDefault="00EB1316" w:rsidP="006F161D">
            <w:pPr>
              <w:numPr>
                <w:ilvl w:val="0"/>
                <w:numId w:val="82"/>
              </w:numPr>
              <w:spacing w:after="0" w:line="240" w:lineRule="auto"/>
              <w:rPr>
                <w:rFonts w:eastAsia="Calibri" w:cs="Times New Roman"/>
                <w:sz w:val="20"/>
                <w:szCs w:val="20"/>
                <w:lang w:val="en-GB" w:eastAsia="en-US"/>
              </w:rPr>
            </w:pPr>
            <w:r w:rsidRPr="00752011">
              <w:rPr>
                <w:rFonts w:ascii="Calibri" w:eastAsia="Calibri" w:hAnsi="Calibri"/>
                <w:sz w:val="20"/>
              </w:rPr>
              <w:t>EC</w:t>
            </w:r>
          </w:p>
        </w:tc>
        <w:tc>
          <w:tcPr>
            <w:tcW w:w="1800" w:type="dxa"/>
            <w:shd w:val="clear" w:color="auto" w:fill="auto"/>
            <w:vAlign w:val="center"/>
          </w:tcPr>
          <w:p w14:paraId="754DF005" w14:textId="77777777" w:rsidR="00EB1316" w:rsidRDefault="00EB1316" w:rsidP="009C5083">
            <w:pPr>
              <w:spacing w:after="0" w:line="240" w:lineRule="auto"/>
              <w:rPr>
                <w:sz w:val="20"/>
                <w:szCs w:val="20"/>
              </w:rPr>
            </w:pPr>
          </w:p>
          <w:p w14:paraId="49FDDAA0" w14:textId="77777777" w:rsidR="00EB1316" w:rsidRPr="00664FF9" w:rsidRDefault="00EB1316" w:rsidP="009C5083">
            <w:pPr>
              <w:spacing w:after="0" w:line="240" w:lineRule="auto"/>
              <w:rPr>
                <w:sz w:val="20"/>
                <w:szCs w:val="20"/>
              </w:rPr>
            </w:pPr>
          </w:p>
          <w:p w14:paraId="2AB91673" w14:textId="6F2F6A32" w:rsidR="00EB1316" w:rsidRPr="004E6A76" w:rsidRDefault="00377DE1" w:rsidP="006F161D">
            <w:pPr>
              <w:numPr>
                <w:ilvl w:val="0"/>
                <w:numId w:val="83"/>
              </w:numPr>
              <w:spacing w:after="0" w:line="240" w:lineRule="auto"/>
              <w:rPr>
                <w:sz w:val="20"/>
                <w:szCs w:val="20"/>
                <w:lang w:eastAsia="en-US"/>
              </w:rPr>
            </w:pPr>
            <w:r>
              <w:rPr>
                <w:sz w:val="20"/>
                <w:szCs w:val="20"/>
              </w:rPr>
              <w:t>5.9</w:t>
            </w:r>
            <w:r w:rsidR="00EB1316" w:rsidRPr="004E6A76">
              <w:rPr>
                <w:sz w:val="20"/>
                <w:szCs w:val="20"/>
              </w:rPr>
              <w:t>%</w:t>
            </w:r>
          </w:p>
          <w:p w14:paraId="199F09F4" w14:textId="5C72ADDC" w:rsidR="00EB1316" w:rsidRPr="004E6A76" w:rsidRDefault="00EB1316" w:rsidP="006F161D">
            <w:pPr>
              <w:numPr>
                <w:ilvl w:val="0"/>
                <w:numId w:val="83"/>
              </w:numPr>
              <w:spacing w:after="0" w:line="240" w:lineRule="auto"/>
              <w:rPr>
                <w:sz w:val="20"/>
                <w:szCs w:val="20"/>
              </w:rPr>
            </w:pPr>
            <w:r w:rsidRPr="004E6A76">
              <w:rPr>
                <w:sz w:val="20"/>
                <w:szCs w:val="20"/>
              </w:rPr>
              <w:t>3.</w:t>
            </w:r>
            <w:r w:rsidR="00377DE1">
              <w:rPr>
                <w:sz w:val="20"/>
                <w:szCs w:val="20"/>
              </w:rPr>
              <w:t>8</w:t>
            </w:r>
            <w:r w:rsidRPr="004E6A76">
              <w:rPr>
                <w:sz w:val="20"/>
                <w:szCs w:val="20"/>
              </w:rPr>
              <w:t>%</w:t>
            </w:r>
          </w:p>
          <w:p w14:paraId="054D96C2" w14:textId="586073A9" w:rsidR="00EB1316" w:rsidRPr="004E6A76" w:rsidRDefault="00377DE1" w:rsidP="006F161D">
            <w:pPr>
              <w:numPr>
                <w:ilvl w:val="0"/>
                <w:numId w:val="83"/>
              </w:numPr>
              <w:spacing w:after="0" w:line="240" w:lineRule="auto"/>
              <w:rPr>
                <w:sz w:val="20"/>
                <w:szCs w:val="20"/>
              </w:rPr>
            </w:pPr>
            <w:r>
              <w:rPr>
                <w:sz w:val="20"/>
                <w:szCs w:val="20"/>
              </w:rPr>
              <w:t>n/a</w:t>
            </w:r>
          </w:p>
          <w:p w14:paraId="0C9D3E09" w14:textId="0FF1BED2" w:rsidR="00EB1316" w:rsidRPr="004E6A76" w:rsidRDefault="00410BB2" w:rsidP="006F161D">
            <w:pPr>
              <w:numPr>
                <w:ilvl w:val="0"/>
                <w:numId w:val="83"/>
              </w:numPr>
              <w:spacing w:after="0" w:line="240" w:lineRule="auto"/>
              <w:rPr>
                <w:sz w:val="20"/>
                <w:szCs w:val="20"/>
              </w:rPr>
            </w:pPr>
            <w:r>
              <w:rPr>
                <w:sz w:val="20"/>
                <w:szCs w:val="20"/>
              </w:rPr>
              <w:t>6.0</w:t>
            </w:r>
            <w:r w:rsidR="00EB1316" w:rsidRPr="004E6A76">
              <w:rPr>
                <w:sz w:val="20"/>
                <w:szCs w:val="20"/>
              </w:rPr>
              <w:t>%</w:t>
            </w:r>
          </w:p>
          <w:p w14:paraId="0761A388" w14:textId="4BD0D9AA" w:rsidR="00EB1316" w:rsidRDefault="00410BB2" w:rsidP="006F161D">
            <w:pPr>
              <w:numPr>
                <w:ilvl w:val="0"/>
                <w:numId w:val="83"/>
              </w:numPr>
              <w:spacing w:after="0" w:line="240" w:lineRule="auto"/>
              <w:rPr>
                <w:sz w:val="20"/>
                <w:szCs w:val="20"/>
              </w:rPr>
            </w:pPr>
            <w:r>
              <w:rPr>
                <w:sz w:val="20"/>
                <w:szCs w:val="20"/>
              </w:rPr>
              <w:t>6.5</w:t>
            </w:r>
            <w:r w:rsidR="00EB1316" w:rsidRPr="004E6A76">
              <w:rPr>
                <w:sz w:val="20"/>
                <w:szCs w:val="20"/>
              </w:rPr>
              <w:t>%</w:t>
            </w:r>
          </w:p>
          <w:p w14:paraId="47CB5E17" w14:textId="77777777" w:rsidR="00EB1316" w:rsidRDefault="00EB1316" w:rsidP="006F161D">
            <w:pPr>
              <w:numPr>
                <w:ilvl w:val="0"/>
                <w:numId w:val="83"/>
              </w:numPr>
              <w:spacing w:after="0" w:line="240" w:lineRule="auto"/>
              <w:rPr>
                <w:sz w:val="20"/>
                <w:szCs w:val="20"/>
              </w:rPr>
            </w:pPr>
          </w:p>
          <w:p w14:paraId="5FE56F58" w14:textId="460D0D34" w:rsidR="00EB1316" w:rsidRDefault="00EB1316" w:rsidP="009C5083">
            <w:pPr>
              <w:spacing w:after="0" w:line="240" w:lineRule="auto"/>
              <w:ind w:left="432"/>
              <w:rPr>
                <w:sz w:val="20"/>
                <w:szCs w:val="20"/>
              </w:rPr>
            </w:pPr>
            <w:r>
              <w:rPr>
                <w:sz w:val="20"/>
                <w:szCs w:val="20"/>
              </w:rPr>
              <w:t>vi</w:t>
            </w:r>
            <w:r w:rsidRPr="00664FF9">
              <w:rPr>
                <w:sz w:val="20"/>
                <w:szCs w:val="20"/>
              </w:rPr>
              <w:t>.1. 9.</w:t>
            </w:r>
            <w:r w:rsidR="00410BB2">
              <w:rPr>
                <w:sz w:val="20"/>
                <w:szCs w:val="20"/>
              </w:rPr>
              <w:t>6</w:t>
            </w:r>
            <w:r w:rsidRPr="00664FF9">
              <w:rPr>
                <w:sz w:val="20"/>
                <w:szCs w:val="20"/>
              </w:rPr>
              <w:t>%</w:t>
            </w:r>
          </w:p>
          <w:p w14:paraId="7FED7EBF" w14:textId="7DC05B07" w:rsidR="00EB1316" w:rsidRPr="00C908AF" w:rsidRDefault="00EB1316" w:rsidP="009C5083">
            <w:pPr>
              <w:spacing w:after="0" w:line="240" w:lineRule="auto"/>
              <w:ind w:left="432"/>
              <w:rPr>
                <w:sz w:val="20"/>
                <w:szCs w:val="20"/>
              </w:rPr>
            </w:pPr>
            <w:r>
              <w:rPr>
                <w:sz w:val="20"/>
                <w:szCs w:val="20"/>
              </w:rPr>
              <w:t>vi</w:t>
            </w:r>
            <w:r w:rsidRPr="00C908AF">
              <w:rPr>
                <w:sz w:val="20"/>
                <w:szCs w:val="20"/>
              </w:rPr>
              <w:t>.2. 9</w:t>
            </w:r>
            <w:r w:rsidR="00410BB2">
              <w:rPr>
                <w:sz w:val="20"/>
                <w:szCs w:val="20"/>
              </w:rPr>
              <w:t>.6</w:t>
            </w:r>
            <w:r w:rsidRPr="00C908AF">
              <w:rPr>
                <w:sz w:val="20"/>
                <w:szCs w:val="20"/>
              </w:rPr>
              <w:t>%</w:t>
            </w:r>
          </w:p>
          <w:p w14:paraId="55246849" w14:textId="2AAF4FC9" w:rsidR="00EB1316" w:rsidRPr="00664FF9" w:rsidRDefault="00410BB2" w:rsidP="006F161D">
            <w:pPr>
              <w:pStyle w:val="ListParagraph"/>
              <w:numPr>
                <w:ilvl w:val="0"/>
                <w:numId w:val="83"/>
              </w:numPr>
              <w:rPr>
                <w:sz w:val="20"/>
                <w:szCs w:val="20"/>
              </w:rPr>
            </w:pPr>
            <w:r>
              <w:rPr>
                <w:sz w:val="20"/>
                <w:szCs w:val="20"/>
              </w:rPr>
              <w:t>3.8</w:t>
            </w:r>
            <w:r w:rsidR="00EB1316" w:rsidRPr="00664FF9">
              <w:rPr>
                <w:sz w:val="20"/>
                <w:szCs w:val="20"/>
              </w:rPr>
              <w:t>%</w:t>
            </w:r>
          </w:p>
          <w:p w14:paraId="70C19EF2" w14:textId="3AE59BDD" w:rsidR="00EB1316" w:rsidRDefault="00410BB2" w:rsidP="006F161D">
            <w:pPr>
              <w:pStyle w:val="ListParagraph"/>
              <w:numPr>
                <w:ilvl w:val="0"/>
                <w:numId w:val="83"/>
              </w:numPr>
              <w:rPr>
                <w:sz w:val="20"/>
                <w:szCs w:val="20"/>
              </w:rPr>
            </w:pPr>
            <w:r>
              <w:rPr>
                <w:sz w:val="20"/>
                <w:szCs w:val="20"/>
              </w:rPr>
              <w:t>4.3</w:t>
            </w:r>
            <w:r w:rsidR="00EB1316" w:rsidRPr="00664FF9">
              <w:rPr>
                <w:sz w:val="20"/>
                <w:szCs w:val="20"/>
              </w:rPr>
              <w:t>%</w:t>
            </w:r>
          </w:p>
          <w:p w14:paraId="4EFB8F5E" w14:textId="159946E7" w:rsidR="00EB1316" w:rsidRPr="00C908AF" w:rsidRDefault="00EB1316" w:rsidP="006F161D">
            <w:pPr>
              <w:pStyle w:val="ListParagraph"/>
              <w:numPr>
                <w:ilvl w:val="0"/>
                <w:numId w:val="83"/>
              </w:numPr>
              <w:rPr>
                <w:sz w:val="20"/>
                <w:szCs w:val="20"/>
              </w:rPr>
            </w:pPr>
            <w:r w:rsidRPr="00C908AF">
              <w:rPr>
                <w:sz w:val="20"/>
                <w:szCs w:val="20"/>
              </w:rPr>
              <w:t>7</w:t>
            </w:r>
            <w:r w:rsidR="00410BB2">
              <w:rPr>
                <w:sz w:val="20"/>
                <w:szCs w:val="20"/>
              </w:rPr>
              <w:t>.5</w:t>
            </w:r>
            <w:r w:rsidRPr="00C908AF">
              <w:rPr>
                <w:sz w:val="20"/>
                <w:szCs w:val="20"/>
              </w:rPr>
              <w:t>%</w:t>
            </w:r>
          </w:p>
          <w:p w14:paraId="23B7E0E4" w14:textId="1737AE9F" w:rsidR="00EB1316" w:rsidRPr="004E6A76" w:rsidRDefault="00410BB2" w:rsidP="00410BB2">
            <w:pPr>
              <w:pStyle w:val="ListParagraph"/>
              <w:numPr>
                <w:ilvl w:val="0"/>
                <w:numId w:val="83"/>
              </w:numPr>
              <w:rPr>
                <w:rFonts w:asciiTheme="minorHAnsi" w:eastAsia="Calibri" w:hAnsiTheme="minorHAnsi"/>
                <w:sz w:val="20"/>
                <w:szCs w:val="20"/>
              </w:rPr>
            </w:pPr>
            <w:r>
              <w:rPr>
                <w:rFonts w:asciiTheme="minorHAnsi" w:hAnsiTheme="minorHAnsi"/>
                <w:sz w:val="20"/>
                <w:szCs w:val="20"/>
              </w:rPr>
              <w:t>6.0</w:t>
            </w:r>
            <w:r w:rsidR="00EB1316" w:rsidRPr="004E6A76">
              <w:rPr>
                <w:rFonts w:asciiTheme="minorHAnsi" w:hAnsiTheme="minorHAnsi"/>
                <w:sz w:val="20"/>
                <w:szCs w:val="20"/>
              </w:rPr>
              <w:t>%</w:t>
            </w:r>
          </w:p>
        </w:tc>
        <w:tc>
          <w:tcPr>
            <w:tcW w:w="1530" w:type="dxa"/>
            <w:shd w:val="clear" w:color="auto" w:fill="auto"/>
            <w:vAlign w:val="center"/>
          </w:tcPr>
          <w:p w14:paraId="603B5934" w14:textId="77777777" w:rsidR="00EB1316" w:rsidRDefault="00EB1316" w:rsidP="009C5083">
            <w:pPr>
              <w:spacing w:after="0" w:line="240" w:lineRule="auto"/>
              <w:rPr>
                <w:sz w:val="20"/>
                <w:szCs w:val="20"/>
              </w:rPr>
            </w:pPr>
          </w:p>
          <w:p w14:paraId="5FD9F994" w14:textId="77777777" w:rsidR="00EB1316" w:rsidRDefault="00EB1316" w:rsidP="009C5083">
            <w:pPr>
              <w:spacing w:after="0" w:line="240" w:lineRule="auto"/>
              <w:rPr>
                <w:sz w:val="20"/>
                <w:szCs w:val="20"/>
              </w:rPr>
            </w:pPr>
          </w:p>
          <w:p w14:paraId="48488CDD" w14:textId="1E443538" w:rsidR="00EB1316" w:rsidRPr="004E6A76" w:rsidRDefault="00EB1316" w:rsidP="006F161D">
            <w:pPr>
              <w:numPr>
                <w:ilvl w:val="0"/>
                <w:numId w:val="84"/>
              </w:numPr>
              <w:spacing w:after="0" w:line="240" w:lineRule="auto"/>
              <w:ind w:left="522" w:hanging="270"/>
              <w:rPr>
                <w:sz w:val="20"/>
                <w:szCs w:val="20"/>
                <w:lang w:eastAsia="en-US"/>
              </w:rPr>
            </w:pPr>
            <w:r w:rsidRPr="004E6A76">
              <w:rPr>
                <w:sz w:val="20"/>
                <w:szCs w:val="20"/>
              </w:rPr>
              <w:t>7.</w:t>
            </w:r>
            <w:r w:rsidR="00551892">
              <w:rPr>
                <w:sz w:val="20"/>
                <w:szCs w:val="20"/>
              </w:rPr>
              <w:t>2</w:t>
            </w:r>
            <w:r w:rsidRPr="004E6A76">
              <w:rPr>
                <w:sz w:val="20"/>
                <w:szCs w:val="20"/>
              </w:rPr>
              <w:t>5%</w:t>
            </w:r>
          </w:p>
          <w:p w14:paraId="2250DBEB" w14:textId="77777777" w:rsidR="00EB1316" w:rsidRPr="004E6A76" w:rsidRDefault="00EB1316" w:rsidP="006F161D">
            <w:pPr>
              <w:numPr>
                <w:ilvl w:val="0"/>
                <w:numId w:val="84"/>
              </w:numPr>
              <w:spacing w:after="0" w:line="240" w:lineRule="auto"/>
              <w:ind w:left="522" w:hanging="270"/>
              <w:rPr>
                <w:sz w:val="20"/>
                <w:szCs w:val="20"/>
              </w:rPr>
            </w:pPr>
            <w:r w:rsidRPr="004E6A76">
              <w:rPr>
                <w:sz w:val="20"/>
                <w:szCs w:val="20"/>
              </w:rPr>
              <w:t>3.5%</w:t>
            </w:r>
          </w:p>
          <w:p w14:paraId="131193DA" w14:textId="77777777" w:rsidR="00EB1316" w:rsidRPr="004E6A76" w:rsidRDefault="00EB1316" w:rsidP="006F161D">
            <w:pPr>
              <w:numPr>
                <w:ilvl w:val="0"/>
                <w:numId w:val="84"/>
              </w:numPr>
              <w:spacing w:after="0" w:line="240" w:lineRule="auto"/>
              <w:ind w:left="522" w:hanging="270"/>
              <w:rPr>
                <w:sz w:val="20"/>
                <w:szCs w:val="20"/>
              </w:rPr>
            </w:pPr>
            <w:r w:rsidRPr="004E6A76">
              <w:rPr>
                <w:sz w:val="20"/>
                <w:szCs w:val="20"/>
              </w:rPr>
              <w:t>3.5%</w:t>
            </w:r>
          </w:p>
          <w:p w14:paraId="2461BEA1" w14:textId="39BA603D" w:rsidR="00EB1316" w:rsidRPr="004E6A76" w:rsidRDefault="00EB1316" w:rsidP="006F161D">
            <w:pPr>
              <w:numPr>
                <w:ilvl w:val="0"/>
                <w:numId w:val="84"/>
              </w:numPr>
              <w:spacing w:after="0" w:line="240" w:lineRule="auto"/>
              <w:ind w:left="522" w:hanging="270"/>
              <w:rPr>
                <w:sz w:val="20"/>
                <w:szCs w:val="20"/>
              </w:rPr>
            </w:pPr>
            <w:r w:rsidRPr="004E6A76">
              <w:rPr>
                <w:sz w:val="20"/>
                <w:szCs w:val="20"/>
              </w:rPr>
              <w:t>7.</w:t>
            </w:r>
            <w:r w:rsidR="00551892">
              <w:rPr>
                <w:sz w:val="20"/>
                <w:szCs w:val="20"/>
              </w:rPr>
              <w:t>2</w:t>
            </w:r>
            <w:r w:rsidRPr="004E6A76">
              <w:rPr>
                <w:sz w:val="20"/>
                <w:szCs w:val="20"/>
              </w:rPr>
              <w:t>5%</w:t>
            </w:r>
          </w:p>
          <w:p w14:paraId="54DAF550" w14:textId="77777777" w:rsidR="00EB1316" w:rsidRDefault="00EB1316" w:rsidP="006F161D">
            <w:pPr>
              <w:numPr>
                <w:ilvl w:val="0"/>
                <w:numId w:val="84"/>
              </w:numPr>
              <w:spacing w:after="0" w:line="240" w:lineRule="auto"/>
              <w:ind w:left="522" w:hanging="270"/>
              <w:rPr>
                <w:sz w:val="20"/>
                <w:szCs w:val="20"/>
              </w:rPr>
            </w:pPr>
            <w:r w:rsidRPr="004E6A76">
              <w:rPr>
                <w:sz w:val="20"/>
                <w:szCs w:val="20"/>
              </w:rPr>
              <w:t>7%</w:t>
            </w:r>
          </w:p>
          <w:p w14:paraId="6F01DB32" w14:textId="77777777" w:rsidR="00EB1316" w:rsidRDefault="00EB1316" w:rsidP="006F161D">
            <w:pPr>
              <w:numPr>
                <w:ilvl w:val="0"/>
                <w:numId w:val="84"/>
              </w:numPr>
              <w:spacing w:after="0" w:line="240" w:lineRule="auto"/>
              <w:ind w:left="522" w:hanging="270"/>
              <w:rPr>
                <w:sz w:val="20"/>
                <w:szCs w:val="20"/>
              </w:rPr>
            </w:pPr>
          </w:p>
          <w:p w14:paraId="354304E7" w14:textId="77777777" w:rsidR="00EB1316" w:rsidRDefault="00EB1316" w:rsidP="009C5083">
            <w:pPr>
              <w:pStyle w:val="ListParagraph"/>
              <w:ind w:left="252"/>
              <w:rPr>
                <w:sz w:val="20"/>
                <w:szCs w:val="20"/>
              </w:rPr>
            </w:pPr>
            <w:r>
              <w:rPr>
                <w:sz w:val="20"/>
                <w:szCs w:val="20"/>
              </w:rPr>
              <w:t>vi</w:t>
            </w:r>
            <w:r w:rsidRPr="00C35F6D">
              <w:rPr>
                <w:sz w:val="20"/>
                <w:szCs w:val="20"/>
              </w:rPr>
              <w:t>.1. 9.5%</w:t>
            </w:r>
          </w:p>
          <w:p w14:paraId="671FCF95" w14:textId="77777777" w:rsidR="00EB1316" w:rsidRPr="00C35F6D" w:rsidRDefault="00EB1316" w:rsidP="009C5083">
            <w:pPr>
              <w:pStyle w:val="ListParagraph"/>
              <w:ind w:left="252"/>
              <w:rPr>
                <w:sz w:val="20"/>
                <w:szCs w:val="20"/>
              </w:rPr>
            </w:pPr>
            <w:r>
              <w:rPr>
                <w:sz w:val="20"/>
                <w:szCs w:val="20"/>
              </w:rPr>
              <w:t>vi</w:t>
            </w:r>
            <w:r w:rsidRPr="00C35F6D">
              <w:rPr>
                <w:sz w:val="20"/>
                <w:szCs w:val="20"/>
              </w:rPr>
              <w:t>.2. 9%</w:t>
            </w:r>
          </w:p>
          <w:p w14:paraId="4A6B73C6" w14:textId="5FCE0BC6" w:rsidR="00EB1316" w:rsidRPr="00C35F6D" w:rsidRDefault="00EB1316" w:rsidP="006F161D">
            <w:pPr>
              <w:pStyle w:val="ListParagraph"/>
              <w:numPr>
                <w:ilvl w:val="0"/>
                <w:numId w:val="84"/>
              </w:numPr>
              <w:ind w:left="522" w:hanging="270"/>
              <w:rPr>
                <w:sz w:val="20"/>
                <w:szCs w:val="20"/>
              </w:rPr>
            </w:pPr>
            <w:r w:rsidRPr="00C35F6D">
              <w:rPr>
                <w:sz w:val="20"/>
                <w:szCs w:val="20"/>
              </w:rPr>
              <w:t>4%</w:t>
            </w:r>
          </w:p>
          <w:p w14:paraId="17455B4F" w14:textId="4D50A41E" w:rsidR="00EB1316" w:rsidRDefault="00EB1316" w:rsidP="006F161D">
            <w:pPr>
              <w:pStyle w:val="ListParagraph"/>
              <w:numPr>
                <w:ilvl w:val="0"/>
                <w:numId w:val="84"/>
              </w:numPr>
              <w:ind w:left="522" w:hanging="270"/>
              <w:rPr>
                <w:sz w:val="20"/>
                <w:szCs w:val="20"/>
              </w:rPr>
            </w:pPr>
            <w:r w:rsidRPr="00C35F6D">
              <w:rPr>
                <w:sz w:val="20"/>
                <w:szCs w:val="20"/>
              </w:rPr>
              <w:t>7%</w:t>
            </w:r>
          </w:p>
          <w:p w14:paraId="5ACC9A26" w14:textId="77777777" w:rsidR="00EB1316" w:rsidRPr="00477E4A" w:rsidRDefault="00EB1316" w:rsidP="006F161D">
            <w:pPr>
              <w:pStyle w:val="ListParagraph"/>
              <w:numPr>
                <w:ilvl w:val="0"/>
                <w:numId w:val="84"/>
              </w:numPr>
              <w:ind w:left="522" w:hanging="270"/>
              <w:rPr>
                <w:sz w:val="20"/>
                <w:szCs w:val="20"/>
              </w:rPr>
            </w:pPr>
            <w:r w:rsidRPr="00477E4A">
              <w:rPr>
                <w:sz w:val="20"/>
                <w:szCs w:val="20"/>
              </w:rPr>
              <w:t>7%</w:t>
            </w:r>
          </w:p>
          <w:p w14:paraId="76428356" w14:textId="14AAC67C" w:rsidR="00EB1316" w:rsidRPr="00C35F6D" w:rsidRDefault="00EB1316" w:rsidP="006F161D">
            <w:pPr>
              <w:pStyle w:val="ListParagraph"/>
              <w:numPr>
                <w:ilvl w:val="0"/>
                <w:numId w:val="84"/>
              </w:numPr>
              <w:ind w:left="522" w:hanging="270"/>
              <w:rPr>
                <w:rFonts w:eastAsia="Calibri"/>
                <w:sz w:val="20"/>
                <w:szCs w:val="20"/>
              </w:rPr>
            </w:pPr>
            <w:r w:rsidRPr="00C35F6D">
              <w:rPr>
                <w:sz w:val="20"/>
                <w:szCs w:val="20"/>
              </w:rPr>
              <w:t>7%</w:t>
            </w:r>
          </w:p>
        </w:tc>
        <w:tc>
          <w:tcPr>
            <w:tcW w:w="1800" w:type="dxa"/>
            <w:shd w:val="clear" w:color="auto" w:fill="auto"/>
            <w:vAlign w:val="center"/>
          </w:tcPr>
          <w:p w14:paraId="70B56AC8" w14:textId="77777777" w:rsidR="00EB1316" w:rsidRDefault="00EB1316" w:rsidP="009C5083">
            <w:pPr>
              <w:spacing w:after="0" w:line="240" w:lineRule="auto"/>
              <w:rPr>
                <w:rFonts w:ascii="Calibri" w:eastAsia="Calibri" w:hAnsi="Calibri" w:cs="Times New Roman"/>
                <w:sz w:val="20"/>
                <w:szCs w:val="20"/>
                <w:lang w:val="en-GB" w:eastAsia="en-GB"/>
              </w:rPr>
            </w:pPr>
          </w:p>
          <w:p w14:paraId="7ACE7443" w14:textId="77777777" w:rsidR="00EB1316" w:rsidRDefault="00EB1316" w:rsidP="009C5083">
            <w:pPr>
              <w:spacing w:after="0" w:line="240" w:lineRule="auto"/>
              <w:rPr>
                <w:rFonts w:ascii="Calibri" w:eastAsia="Calibri" w:hAnsi="Calibri" w:cs="Times New Roman"/>
                <w:sz w:val="20"/>
                <w:szCs w:val="20"/>
                <w:lang w:val="en-GB" w:eastAsia="en-GB"/>
              </w:rPr>
            </w:pPr>
          </w:p>
          <w:p w14:paraId="5D4F270C" w14:textId="77777777" w:rsidR="00EB1316" w:rsidRPr="00477E4A" w:rsidRDefault="00EB1316" w:rsidP="006F161D">
            <w:pPr>
              <w:pStyle w:val="ListParagraph"/>
              <w:numPr>
                <w:ilvl w:val="1"/>
                <w:numId w:val="85"/>
              </w:numPr>
              <w:tabs>
                <w:tab w:val="left" w:pos="342"/>
              </w:tabs>
              <w:ind w:hanging="1278"/>
              <w:rPr>
                <w:rFonts w:eastAsia="Calibri"/>
                <w:sz w:val="20"/>
                <w:szCs w:val="20"/>
                <w:lang w:val="en-GB" w:eastAsia="en-GB"/>
              </w:rPr>
            </w:pPr>
            <w:r w:rsidRPr="00477E4A">
              <w:rPr>
                <w:rFonts w:eastAsia="Calibri"/>
                <w:sz w:val="20"/>
                <w:szCs w:val="20"/>
                <w:lang w:val="en-GB" w:eastAsia="en-GB"/>
              </w:rPr>
              <w:t>6.23%</w:t>
            </w:r>
          </w:p>
          <w:p w14:paraId="4099E92D" w14:textId="77777777" w:rsidR="00EB1316" w:rsidRPr="00477E4A" w:rsidRDefault="00EB1316" w:rsidP="006F161D">
            <w:pPr>
              <w:pStyle w:val="ListParagraph"/>
              <w:numPr>
                <w:ilvl w:val="1"/>
                <w:numId w:val="85"/>
              </w:numPr>
              <w:tabs>
                <w:tab w:val="left" w:pos="342"/>
              </w:tabs>
              <w:ind w:hanging="1278"/>
              <w:rPr>
                <w:rFonts w:eastAsia="Calibri"/>
                <w:sz w:val="20"/>
                <w:szCs w:val="20"/>
                <w:lang w:val="en-GB" w:eastAsia="en-GB"/>
              </w:rPr>
            </w:pPr>
            <w:r w:rsidRPr="00477E4A">
              <w:rPr>
                <w:rFonts w:eastAsia="Calibri"/>
                <w:sz w:val="20"/>
                <w:szCs w:val="20"/>
                <w:lang w:val="en-GB" w:eastAsia="en-GB"/>
              </w:rPr>
              <w:t>4.06%</w:t>
            </w:r>
          </w:p>
          <w:p w14:paraId="6B9339D0" w14:textId="77777777" w:rsidR="00EB1316" w:rsidRPr="00477E4A" w:rsidRDefault="00EB1316" w:rsidP="006F161D">
            <w:pPr>
              <w:pStyle w:val="ListParagraph"/>
              <w:numPr>
                <w:ilvl w:val="1"/>
                <w:numId w:val="85"/>
              </w:numPr>
              <w:tabs>
                <w:tab w:val="left" w:pos="342"/>
              </w:tabs>
              <w:ind w:hanging="1278"/>
              <w:rPr>
                <w:rFonts w:eastAsia="Calibri"/>
                <w:sz w:val="20"/>
                <w:szCs w:val="20"/>
                <w:lang w:val="en-GB" w:eastAsia="en-GB"/>
              </w:rPr>
            </w:pPr>
            <w:r w:rsidRPr="00477E4A">
              <w:rPr>
                <w:rFonts w:eastAsia="Calibri"/>
                <w:sz w:val="20"/>
                <w:szCs w:val="20"/>
                <w:lang w:val="en-GB" w:eastAsia="en-GB"/>
              </w:rPr>
              <w:t>6.08%</w:t>
            </w:r>
          </w:p>
          <w:p w14:paraId="0A1DD1EF" w14:textId="77777777" w:rsidR="00EB1316" w:rsidRPr="00477E4A" w:rsidRDefault="00EB1316" w:rsidP="006F161D">
            <w:pPr>
              <w:pStyle w:val="ListParagraph"/>
              <w:numPr>
                <w:ilvl w:val="1"/>
                <w:numId w:val="85"/>
              </w:numPr>
              <w:tabs>
                <w:tab w:val="left" w:pos="342"/>
              </w:tabs>
              <w:ind w:hanging="1278"/>
              <w:rPr>
                <w:rFonts w:eastAsia="Calibri"/>
                <w:sz w:val="20"/>
                <w:szCs w:val="20"/>
                <w:lang w:val="en-GB" w:eastAsia="en-GB"/>
              </w:rPr>
            </w:pPr>
            <w:r>
              <w:rPr>
                <w:rFonts w:eastAsia="Calibri"/>
                <w:sz w:val="20"/>
                <w:szCs w:val="20"/>
                <w:lang w:val="en-GB" w:eastAsia="en-GB"/>
              </w:rPr>
              <w:t>4.50</w:t>
            </w:r>
            <w:r w:rsidRPr="00477E4A">
              <w:rPr>
                <w:rFonts w:eastAsia="Calibri"/>
                <w:sz w:val="20"/>
                <w:szCs w:val="20"/>
                <w:lang w:val="en-GB" w:eastAsia="en-GB"/>
              </w:rPr>
              <w:t>%</w:t>
            </w:r>
          </w:p>
          <w:p w14:paraId="350B6A8F" w14:textId="77777777" w:rsidR="00EB1316" w:rsidRDefault="00EB1316" w:rsidP="006F161D">
            <w:pPr>
              <w:pStyle w:val="ListParagraph"/>
              <w:numPr>
                <w:ilvl w:val="1"/>
                <w:numId w:val="85"/>
              </w:numPr>
              <w:tabs>
                <w:tab w:val="left" w:pos="342"/>
              </w:tabs>
              <w:ind w:hanging="1278"/>
              <w:rPr>
                <w:rFonts w:eastAsia="Calibri"/>
                <w:sz w:val="20"/>
                <w:szCs w:val="20"/>
                <w:lang w:val="en-GB" w:eastAsia="en-GB"/>
              </w:rPr>
            </w:pPr>
            <w:r w:rsidRPr="00477E4A">
              <w:rPr>
                <w:rFonts w:eastAsia="Calibri"/>
                <w:sz w:val="20"/>
                <w:szCs w:val="20"/>
                <w:lang w:val="en-GB" w:eastAsia="en-GB"/>
              </w:rPr>
              <w:t>6.69%</w:t>
            </w:r>
          </w:p>
          <w:p w14:paraId="1203B449" w14:textId="77777777" w:rsidR="00EB1316" w:rsidRDefault="00EB1316" w:rsidP="006F161D">
            <w:pPr>
              <w:pStyle w:val="ListParagraph"/>
              <w:numPr>
                <w:ilvl w:val="1"/>
                <w:numId w:val="85"/>
              </w:numPr>
              <w:tabs>
                <w:tab w:val="left" w:pos="342"/>
              </w:tabs>
              <w:ind w:hanging="1278"/>
              <w:rPr>
                <w:rFonts w:eastAsia="Calibri"/>
                <w:sz w:val="20"/>
                <w:szCs w:val="20"/>
                <w:lang w:val="en-GB" w:eastAsia="en-GB"/>
              </w:rPr>
            </w:pPr>
          </w:p>
          <w:p w14:paraId="3328212C" w14:textId="77777777" w:rsidR="00EB1316" w:rsidRDefault="00EB1316" w:rsidP="009C5083">
            <w:pPr>
              <w:tabs>
                <w:tab w:val="left" w:pos="342"/>
              </w:tabs>
              <w:spacing w:after="0" w:line="240" w:lineRule="auto"/>
              <w:ind w:left="72"/>
              <w:rPr>
                <w:rFonts w:eastAsia="Calibri"/>
                <w:sz w:val="20"/>
                <w:szCs w:val="20"/>
                <w:lang w:val="en-GB" w:eastAsia="en-GB"/>
              </w:rPr>
            </w:pPr>
            <w:r>
              <w:rPr>
                <w:rFonts w:eastAsia="Calibri"/>
                <w:sz w:val="20"/>
                <w:szCs w:val="20"/>
                <w:lang w:val="en-GB" w:eastAsia="en-GB"/>
              </w:rPr>
              <w:t>vi</w:t>
            </w:r>
            <w:r w:rsidRPr="001E7BB4">
              <w:rPr>
                <w:rFonts w:eastAsia="Calibri"/>
                <w:sz w:val="20"/>
                <w:szCs w:val="20"/>
                <w:lang w:val="en-GB" w:eastAsia="en-GB"/>
              </w:rPr>
              <w:t>.1.9.5%</w:t>
            </w:r>
          </w:p>
          <w:p w14:paraId="258D67DB" w14:textId="77777777" w:rsidR="00EB1316" w:rsidRPr="001E7BB4" w:rsidRDefault="00EB1316" w:rsidP="009C5083">
            <w:pPr>
              <w:tabs>
                <w:tab w:val="left" w:pos="342"/>
              </w:tabs>
              <w:spacing w:after="0" w:line="240" w:lineRule="auto"/>
              <w:ind w:left="72"/>
              <w:rPr>
                <w:rFonts w:eastAsia="Calibri"/>
                <w:sz w:val="20"/>
                <w:szCs w:val="20"/>
                <w:lang w:val="en-GB" w:eastAsia="en-GB"/>
              </w:rPr>
            </w:pPr>
            <w:r>
              <w:rPr>
                <w:rFonts w:eastAsia="Calibri"/>
                <w:sz w:val="20"/>
                <w:szCs w:val="20"/>
                <w:lang w:val="en-GB" w:eastAsia="en-GB"/>
              </w:rPr>
              <w:t>vi</w:t>
            </w:r>
            <w:r w:rsidRPr="001E7BB4">
              <w:rPr>
                <w:rFonts w:eastAsia="Calibri"/>
                <w:sz w:val="20"/>
                <w:szCs w:val="20"/>
                <w:lang w:val="en-GB" w:eastAsia="en-GB"/>
              </w:rPr>
              <w:t>.2. 9%</w:t>
            </w:r>
          </w:p>
          <w:p w14:paraId="3CD6125A" w14:textId="77777777" w:rsidR="00EB1316" w:rsidRDefault="00EB1316" w:rsidP="006F161D">
            <w:pPr>
              <w:pStyle w:val="ListParagraph"/>
              <w:numPr>
                <w:ilvl w:val="1"/>
                <w:numId w:val="85"/>
              </w:numPr>
              <w:tabs>
                <w:tab w:val="left" w:pos="342"/>
              </w:tabs>
              <w:ind w:hanging="1278"/>
              <w:rPr>
                <w:rFonts w:eastAsia="Calibri"/>
                <w:sz w:val="20"/>
                <w:szCs w:val="20"/>
                <w:lang w:val="en-GB" w:eastAsia="en-GB"/>
              </w:rPr>
            </w:pPr>
            <w:r w:rsidRPr="00477E4A">
              <w:rPr>
                <w:rFonts w:eastAsia="Calibri"/>
                <w:sz w:val="20"/>
                <w:szCs w:val="20"/>
                <w:lang w:val="en-GB" w:eastAsia="en-GB"/>
              </w:rPr>
              <w:t>4%</w:t>
            </w:r>
          </w:p>
          <w:p w14:paraId="7B8ADFB5" w14:textId="77777777" w:rsidR="00EB1316" w:rsidRDefault="00EB1316" w:rsidP="006F161D">
            <w:pPr>
              <w:pStyle w:val="ListParagraph"/>
              <w:numPr>
                <w:ilvl w:val="1"/>
                <w:numId w:val="85"/>
              </w:numPr>
              <w:tabs>
                <w:tab w:val="left" w:pos="342"/>
              </w:tabs>
              <w:ind w:hanging="1278"/>
              <w:rPr>
                <w:rFonts w:eastAsia="Calibri"/>
                <w:sz w:val="20"/>
                <w:szCs w:val="20"/>
                <w:lang w:val="en-GB" w:eastAsia="en-GB"/>
              </w:rPr>
            </w:pPr>
            <w:r w:rsidRPr="00381863">
              <w:rPr>
                <w:rFonts w:eastAsia="Calibri"/>
                <w:sz w:val="20"/>
                <w:szCs w:val="20"/>
                <w:lang w:val="en-GB" w:eastAsia="en-GB"/>
              </w:rPr>
              <w:t>7.01%</w:t>
            </w:r>
          </w:p>
          <w:p w14:paraId="19B51ADE" w14:textId="77777777" w:rsidR="00EB1316" w:rsidRDefault="00EB1316" w:rsidP="006F161D">
            <w:pPr>
              <w:pStyle w:val="ListParagraph"/>
              <w:numPr>
                <w:ilvl w:val="1"/>
                <w:numId w:val="85"/>
              </w:numPr>
              <w:tabs>
                <w:tab w:val="left" w:pos="342"/>
              </w:tabs>
              <w:ind w:hanging="1278"/>
              <w:rPr>
                <w:rFonts w:eastAsia="Calibri"/>
                <w:sz w:val="20"/>
                <w:szCs w:val="20"/>
                <w:lang w:val="en-GB" w:eastAsia="en-GB"/>
              </w:rPr>
            </w:pPr>
            <w:r w:rsidRPr="00381863">
              <w:rPr>
                <w:rFonts w:eastAsia="Calibri"/>
                <w:sz w:val="20"/>
                <w:szCs w:val="20"/>
                <w:lang w:val="en-GB" w:eastAsia="en-GB"/>
              </w:rPr>
              <w:t>7.8%</w:t>
            </w:r>
          </w:p>
          <w:p w14:paraId="53D470B8" w14:textId="77777777" w:rsidR="00EB1316" w:rsidRPr="00381863" w:rsidRDefault="00EB1316" w:rsidP="006F161D">
            <w:pPr>
              <w:pStyle w:val="ListParagraph"/>
              <w:numPr>
                <w:ilvl w:val="1"/>
                <w:numId w:val="85"/>
              </w:numPr>
              <w:tabs>
                <w:tab w:val="left" w:pos="342"/>
              </w:tabs>
              <w:ind w:hanging="1278"/>
              <w:rPr>
                <w:rFonts w:eastAsia="Calibri"/>
                <w:sz w:val="20"/>
                <w:szCs w:val="20"/>
                <w:lang w:val="en-GB" w:eastAsia="en-GB"/>
              </w:rPr>
            </w:pPr>
            <w:r w:rsidRPr="00381863">
              <w:rPr>
                <w:rFonts w:eastAsia="Calibri"/>
                <w:sz w:val="20"/>
                <w:szCs w:val="20"/>
                <w:lang w:val="en-GB" w:eastAsia="en-GB"/>
              </w:rPr>
              <w:t xml:space="preserve"> 6.4%</w:t>
            </w:r>
          </w:p>
        </w:tc>
        <w:tc>
          <w:tcPr>
            <w:tcW w:w="1800" w:type="dxa"/>
            <w:shd w:val="clear" w:color="auto" w:fill="auto"/>
            <w:vAlign w:val="bottom"/>
          </w:tcPr>
          <w:p w14:paraId="17F513EB" w14:textId="77777777" w:rsidR="00EB1316" w:rsidRPr="004E6A76" w:rsidRDefault="00EB1316" w:rsidP="006F161D">
            <w:pPr>
              <w:numPr>
                <w:ilvl w:val="0"/>
                <w:numId w:val="86"/>
              </w:numPr>
              <w:spacing w:after="0" w:line="240" w:lineRule="auto"/>
              <w:ind w:left="432" w:hanging="180"/>
              <w:rPr>
                <w:sz w:val="20"/>
                <w:szCs w:val="20"/>
                <w:lang w:eastAsia="en-US"/>
              </w:rPr>
            </w:pPr>
            <w:r w:rsidRPr="004E6A76">
              <w:rPr>
                <w:sz w:val="20"/>
                <w:szCs w:val="20"/>
              </w:rPr>
              <w:t>8.0%</w:t>
            </w:r>
          </w:p>
          <w:p w14:paraId="3009E661" w14:textId="77777777" w:rsidR="00EB1316" w:rsidRPr="004E6A76" w:rsidRDefault="00EB1316" w:rsidP="006F161D">
            <w:pPr>
              <w:numPr>
                <w:ilvl w:val="0"/>
                <w:numId w:val="86"/>
              </w:numPr>
              <w:spacing w:after="0" w:line="240" w:lineRule="auto"/>
              <w:ind w:left="432" w:hanging="180"/>
              <w:rPr>
                <w:sz w:val="20"/>
                <w:szCs w:val="20"/>
              </w:rPr>
            </w:pPr>
            <w:r w:rsidRPr="004E6A76">
              <w:rPr>
                <w:sz w:val="20"/>
                <w:szCs w:val="20"/>
              </w:rPr>
              <w:t>3.5%</w:t>
            </w:r>
          </w:p>
          <w:p w14:paraId="06D7E013" w14:textId="77777777" w:rsidR="00EB1316" w:rsidRPr="004E6A76" w:rsidRDefault="00EB1316" w:rsidP="006F161D">
            <w:pPr>
              <w:numPr>
                <w:ilvl w:val="0"/>
                <w:numId w:val="86"/>
              </w:numPr>
              <w:spacing w:after="0" w:line="240" w:lineRule="auto"/>
              <w:ind w:left="432" w:hanging="180"/>
              <w:rPr>
                <w:sz w:val="20"/>
                <w:szCs w:val="20"/>
              </w:rPr>
            </w:pPr>
            <w:r w:rsidRPr="004E6A76">
              <w:rPr>
                <w:sz w:val="20"/>
                <w:szCs w:val="20"/>
              </w:rPr>
              <w:t>3.5%</w:t>
            </w:r>
          </w:p>
          <w:p w14:paraId="22BBDB4C" w14:textId="77777777" w:rsidR="00EB1316" w:rsidRPr="004E6A76" w:rsidRDefault="00EB1316" w:rsidP="006F161D">
            <w:pPr>
              <w:numPr>
                <w:ilvl w:val="0"/>
                <w:numId w:val="86"/>
              </w:numPr>
              <w:spacing w:after="0" w:line="240" w:lineRule="auto"/>
              <w:ind w:left="432" w:hanging="180"/>
              <w:rPr>
                <w:sz w:val="20"/>
                <w:szCs w:val="20"/>
              </w:rPr>
            </w:pPr>
            <w:r w:rsidRPr="004E6A76">
              <w:rPr>
                <w:sz w:val="20"/>
                <w:szCs w:val="20"/>
              </w:rPr>
              <w:t>8.0%</w:t>
            </w:r>
          </w:p>
          <w:p w14:paraId="1BD8B466" w14:textId="77777777" w:rsidR="00EB1316" w:rsidRDefault="00EB1316" w:rsidP="006F161D">
            <w:pPr>
              <w:numPr>
                <w:ilvl w:val="0"/>
                <w:numId w:val="86"/>
              </w:numPr>
              <w:spacing w:after="0" w:line="240" w:lineRule="auto"/>
              <w:ind w:left="432" w:hanging="180"/>
              <w:rPr>
                <w:sz w:val="20"/>
                <w:szCs w:val="20"/>
              </w:rPr>
            </w:pPr>
            <w:r w:rsidRPr="004E6A76">
              <w:rPr>
                <w:sz w:val="20"/>
                <w:szCs w:val="20"/>
              </w:rPr>
              <w:t>7%</w:t>
            </w:r>
          </w:p>
          <w:p w14:paraId="638D72F6" w14:textId="77777777" w:rsidR="00EB1316" w:rsidRDefault="00EB1316" w:rsidP="006F161D">
            <w:pPr>
              <w:numPr>
                <w:ilvl w:val="0"/>
                <w:numId w:val="86"/>
              </w:numPr>
              <w:spacing w:after="0" w:line="240" w:lineRule="auto"/>
              <w:ind w:left="432" w:hanging="180"/>
              <w:rPr>
                <w:sz w:val="20"/>
                <w:szCs w:val="20"/>
              </w:rPr>
            </w:pPr>
          </w:p>
          <w:p w14:paraId="44803344" w14:textId="77777777" w:rsidR="00EB1316" w:rsidRDefault="00EB1316" w:rsidP="009C5083">
            <w:pPr>
              <w:pStyle w:val="ListParagraph"/>
              <w:ind w:left="252"/>
              <w:rPr>
                <w:sz w:val="20"/>
                <w:szCs w:val="20"/>
              </w:rPr>
            </w:pPr>
            <w:r>
              <w:rPr>
                <w:sz w:val="20"/>
                <w:szCs w:val="20"/>
              </w:rPr>
              <w:t>vi</w:t>
            </w:r>
            <w:r w:rsidRPr="0091666B">
              <w:rPr>
                <w:sz w:val="20"/>
                <w:szCs w:val="20"/>
              </w:rPr>
              <w:t>.1. 9.5%</w:t>
            </w:r>
          </w:p>
          <w:p w14:paraId="053B80C3" w14:textId="77777777" w:rsidR="00EB1316" w:rsidRPr="0091666B" w:rsidRDefault="00EB1316" w:rsidP="009C5083">
            <w:pPr>
              <w:pStyle w:val="ListParagraph"/>
              <w:ind w:left="252"/>
              <w:rPr>
                <w:sz w:val="20"/>
                <w:szCs w:val="20"/>
              </w:rPr>
            </w:pPr>
            <w:r>
              <w:rPr>
                <w:sz w:val="20"/>
                <w:szCs w:val="20"/>
              </w:rPr>
              <w:t>vi</w:t>
            </w:r>
            <w:r w:rsidRPr="0091666B">
              <w:rPr>
                <w:sz w:val="20"/>
                <w:szCs w:val="20"/>
              </w:rPr>
              <w:t>.2. 9%</w:t>
            </w:r>
          </w:p>
          <w:p w14:paraId="56C77023" w14:textId="77777777" w:rsidR="00EB1316" w:rsidRPr="0091666B" w:rsidRDefault="00EB1316" w:rsidP="006F161D">
            <w:pPr>
              <w:pStyle w:val="ListParagraph"/>
              <w:numPr>
                <w:ilvl w:val="0"/>
                <w:numId w:val="86"/>
              </w:numPr>
              <w:ind w:left="432" w:hanging="180"/>
              <w:rPr>
                <w:sz w:val="20"/>
                <w:szCs w:val="20"/>
              </w:rPr>
            </w:pPr>
            <w:r w:rsidRPr="0091666B">
              <w:rPr>
                <w:sz w:val="20"/>
                <w:szCs w:val="20"/>
              </w:rPr>
              <w:t>4%</w:t>
            </w:r>
          </w:p>
          <w:p w14:paraId="3C25CA81" w14:textId="77777777" w:rsidR="00EB1316" w:rsidRDefault="00EB1316" w:rsidP="006F161D">
            <w:pPr>
              <w:pStyle w:val="ListParagraph"/>
              <w:numPr>
                <w:ilvl w:val="0"/>
                <w:numId w:val="86"/>
              </w:numPr>
              <w:ind w:left="432" w:hanging="180"/>
              <w:rPr>
                <w:sz w:val="20"/>
                <w:szCs w:val="20"/>
              </w:rPr>
            </w:pPr>
            <w:r w:rsidRPr="0091666B">
              <w:rPr>
                <w:sz w:val="20"/>
                <w:szCs w:val="20"/>
              </w:rPr>
              <w:t>7%</w:t>
            </w:r>
          </w:p>
          <w:p w14:paraId="10D67DE6" w14:textId="77777777" w:rsidR="00EB1316" w:rsidRPr="00E74508" w:rsidRDefault="00EB1316" w:rsidP="006F161D">
            <w:pPr>
              <w:pStyle w:val="ListParagraph"/>
              <w:numPr>
                <w:ilvl w:val="0"/>
                <w:numId w:val="86"/>
              </w:numPr>
              <w:ind w:left="432" w:hanging="180"/>
              <w:rPr>
                <w:sz w:val="20"/>
                <w:szCs w:val="20"/>
              </w:rPr>
            </w:pPr>
            <w:r w:rsidRPr="00E74508">
              <w:rPr>
                <w:sz w:val="20"/>
                <w:szCs w:val="20"/>
              </w:rPr>
              <w:t>7%</w:t>
            </w:r>
          </w:p>
          <w:p w14:paraId="0FA89B87" w14:textId="77777777" w:rsidR="00EB1316" w:rsidRPr="0091666B" w:rsidRDefault="00EB1316" w:rsidP="006F161D">
            <w:pPr>
              <w:pStyle w:val="ListParagraph"/>
              <w:numPr>
                <w:ilvl w:val="0"/>
                <w:numId w:val="86"/>
              </w:numPr>
              <w:ind w:left="432" w:hanging="180"/>
              <w:rPr>
                <w:rFonts w:eastAsia="Calibri"/>
                <w:sz w:val="20"/>
                <w:szCs w:val="20"/>
                <w:lang w:val="en-GB" w:eastAsia="en-GB"/>
              </w:rPr>
            </w:pPr>
            <w:r w:rsidRPr="0091666B">
              <w:rPr>
                <w:sz w:val="20"/>
                <w:szCs w:val="20"/>
              </w:rPr>
              <w:t>7%</w:t>
            </w:r>
          </w:p>
        </w:tc>
      </w:tr>
      <w:tr w:rsidR="00EB1316" w:rsidRPr="00C7021E" w14:paraId="1685030F" w14:textId="77777777" w:rsidTr="009C5083">
        <w:trPr>
          <w:trHeight w:val="341"/>
          <w:jc w:val="center"/>
        </w:trPr>
        <w:tc>
          <w:tcPr>
            <w:tcW w:w="1795" w:type="dxa"/>
            <w:vMerge/>
            <w:shd w:val="clear" w:color="auto" w:fill="auto"/>
            <w:vAlign w:val="center"/>
          </w:tcPr>
          <w:p w14:paraId="43F40C39"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vMerge/>
            <w:shd w:val="clear" w:color="auto" w:fill="FFFFFF" w:themeFill="background1"/>
            <w:vAlign w:val="center"/>
          </w:tcPr>
          <w:p w14:paraId="0485B409" w14:textId="77777777" w:rsidR="00EB1316" w:rsidRPr="00C7021E" w:rsidRDefault="00EB1316" w:rsidP="009C5083">
            <w:pPr>
              <w:spacing w:after="0" w:line="240" w:lineRule="auto"/>
              <w:rPr>
                <w:rFonts w:eastAsia="Calibri" w:cs="Times New Roman"/>
                <w:b/>
                <w:sz w:val="20"/>
                <w:szCs w:val="20"/>
                <w:lang w:val="en-GB" w:eastAsia="en-US"/>
              </w:rPr>
            </w:pPr>
          </w:p>
        </w:tc>
        <w:tc>
          <w:tcPr>
            <w:tcW w:w="12060" w:type="dxa"/>
            <w:gridSpan w:val="5"/>
            <w:shd w:val="clear" w:color="auto" w:fill="D9D9D9" w:themeFill="background1" w:themeFillShade="D9"/>
            <w:vAlign w:val="center"/>
          </w:tcPr>
          <w:p w14:paraId="18588222" w14:textId="77777777" w:rsidR="00EB1316" w:rsidRPr="00AF266B" w:rsidRDefault="00EB1316" w:rsidP="009C5083">
            <w:pPr>
              <w:spacing w:after="0" w:line="240" w:lineRule="auto"/>
              <w:rPr>
                <w:rFonts w:ascii="Calibri" w:eastAsia="Calibri" w:hAnsi="Calibri"/>
                <w:b/>
                <w:sz w:val="18"/>
                <w:szCs w:val="18"/>
              </w:rPr>
            </w:pPr>
            <w:r w:rsidRPr="002B1DDC">
              <w:rPr>
                <w:rFonts w:ascii="Calibri" w:eastAsia="Calibri" w:hAnsi="Calibri"/>
                <w:b/>
                <w:sz w:val="18"/>
                <w:szCs w:val="18"/>
              </w:rPr>
              <w:t>Note</w:t>
            </w:r>
            <w:r w:rsidRPr="002B1DDC">
              <w:rPr>
                <w:rFonts w:ascii="Calibri" w:eastAsia="Calibri" w:hAnsi="Calibri"/>
                <w:sz w:val="18"/>
                <w:szCs w:val="18"/>
              </w:rPr>
              <w:t xml:space="preserve">: </w:t>
            </w:r>
            <w:r w:rsidRPr="002B1DDC">
              <w:rPr>
                <w:sz w:val="20"/>
                <w:szCs w:val="20"/>
              </w:rPr>
              <w:t>For Indicator 15(a), the actual reflects the total number of active agreements in 2014. The compliance rate for agreements signed in 2014 is 74%. For technical reasons, TTFs have not been included in this calculation, but as this affects less than 1 percent of the total number of agreements, the impact is not material.</w:t>
            </w:r>
            <w:r w:rsidRPr="002B1DDC">
              <w:t> </w:t>
            </w:r>
          </w:p>
        </w:tc>
      </w:tr>
      <w:tr w:rsidR="00EB1316" w:rsidRPr="00C7021E" w14:paraId="5A212E57" w14:textId="77777777" w:rsidTr="009C5083">
        <w:trPr>
          <w:trHeight w:val="575"/>
          <w:jc w:val="center"/>
        </w:trPr>
        <w:tc>
          <w:tcPr>
            <w:tcW w:w="1795" w:type="dxa"/>
            <w:vMerge/>
            <w:shd w:val="clear" w:color="auto" w:fill="auto"/>
            <w:vAlign w:val="center"/>
          </w:tcPr>
          <w:p w14:paraId="07D30C7A"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shd w:val="clear" w:color="auto" w:fill="auto"/>
            <w:vAlign w:val="center"/>
          </w:tcPr>
          <w:p w14:paraId="4692565F" w14:textId="77777777" w:rsidR="00EB1316" w:rsidRPr="00C7021E" w:rsidRDefault="00EB1316" w:rsidP="009C5083">
            <w:pPr>
              <w:spacing w:after="0" w:line="240" w:lineRule="auto"/>
              <w:rPr>
                <w:rFonts w:eastAsia="Calibri" w:cs="Times New Roman"/>
                <w:b/>
                <w:sz w:val="20"/>
                <w:szCs w:val="20"/>
                <w:lang w:val="en-GB" w:eastAsia="en-US"/>
              </w:rPr>
            </w:pPr>
            <w:r>
              <w:rPr>
                <w:rFonts w:eastAsia="Calibri" w:cs="Times New Roman"/>
                <w:b/>
                <w:sz w:val="20"/>
                <w:szCs w:val="20"/>
                <w:lang w:val="en-GB" w:eastAsia="en-US"/>
              </w:rPr>
              <w:t>16</w:t>
            </w:r>
            <w:r w:rsidRPr="00C7021E">
              <w:rPr>
                <w:rFonts w:eastAsia="Calibri" w:cs="Times New Roman"/>
                <w:b/>
                <w:sz w:val="20"/>
                <w:szCs w:val="20"/>
                <w:lang w:val="en-GB" w:eastAsia="en-US"/>
              </w:rPr>
              <w:t>.</w:t>
            </w:r>
          </w:p>
        </w:tc>
        <w:tc>
          <w:tcPr>
            <w:tcW w:w="5130" w:type="dxa"/>
            <w:shd w:val="clear" w:color="auto" w:fill="auto"/>
            <w:vAlign w:val="center"/>
          </w:tcPr>
          <w:p w14:paraId="7708613C" w14:textId="77777777" w:rsidR="00EB1316" w:rsidRPr="00C7021E" w:rsidRDefault="00EB1316" w:rsidP="009C5083">
            <w:pPr>
              <w:spacing w:after="0" w:line="240" w:lineRule="auto"/>
              <w:rPr>
                <w:rFonts w:eastAsia="Calibri" w:cs="Times New Roman"/>
                <w:sz w:val="20"/>
                <w:szCs w:val="20"/>
                <w:lang w:val="en-GB" w:eastAsia="en-US"/>
              </w:rPr>
            </w:pPr>
            <w:r w:rsidRPr="00C7021E">
              <w:rPr>
                <w:rFonts w:eastAsia="Calibri" w:cs="Times New Roman"/>
                <w:sz w:val="20"/>
                <w:szCs w:val="20"/>
                <w:lang w:val="en-GB" w:eastAsia="en-US"/>
              </w:rPr>
              <w:t>Percentage of operating units meeting financial data quality standards, including IPSAS indicators</w:t>
            </w:r>
          </w:p>
        </w:tc>
        <w:tc>
          <w:tcPr>
            <w:tcW w:w="1800" w:type="dxa"/>
            <w:shd w:val="clear" w:color="auto" w:fill="auto"/>
            <w:vAlign w:val="center"/>
          </w:tcPr>
          <w:p w14:paraId="17873C20" w14:textId="77777777" w:rsidR="00EB1316" w:rsidRDefault="00EB1316" w:rsidP="009C5083">
            <w:pPr>
              <w:spacing w:after="0" w:line="240" w:lineRule="auto"/>
              <w:rPr>
                <w:sz w:val="20"/>
                <w:szCs w:val="20"/>
              </w:rPr>
            </w:pPr>
            <w:r>
              <w:rPr>
                <w:sz w:val="20"/>
                <w:szCs w:val="20"/>
              </w:rPr>
              <w:t>81% financial quality</w:t>
            </w:r>
          </w:p>
          <w:p w14:paraId="3A1A5EE2" w14:textId="77777777" w:rsidR="00EB1316" w:rsidRPr="00CA6122" w:rsidRDefault="00EB1316" w:rsidP="009C5083">
            <w:pPr>
              <w:spacing w:after="0" w:line="240" w:lineRule="auto"/>
              <w:rPr>
                <w:rFonts w:ascii="Calibri" w:eastAsia="Calibri" w:hAnsi="Calibri"/>
                <w:sz w:val="20"/>
              </w:rPr>
            </w:pPr>
            <w:r>
              <w:rPr>
                <w:sz w:val="20"/>
                <w:szCs w:val="20"/>
              </w:rPr>
              <w:t>30% IPSAS</w:t>
            </w:r>
          </w:p>
        </w:tc>
        <w:tc>
          <w:tcPr>
            <w:tcW w:w="1530" w:type="dxa"/>
            <w:shd w:val="clear" w:color="auto" w:fill="auto"/>
            <w:vAlign w:val="center"/>
          </w:tcPr>
          <w:p w14:paraId="20B6D3FA" w14:textId="77777777" w:rsidR="00EB1316" w:rsidRPr="00CA6122" w:rsidRDefault="00EB1316" w:rsidP="009C5083">
            <w:pPr>
              <w:spacing w:after="0" w:line="240" w:lineRule="auto"/>
              <w:rPr>
                <w:rFonts w:ascii="Calibri" w:eastAsia="Calibri" w:hAnsi="Calibri"/>
                <w:sz w:val="20"/>
              </w:rPr>
            </w:pPr>
            <w:r>
              <w:rPr>
                <w:sz w:val="20"/>
                <w:szCs w:val="20"/>
              </w:rPr>
              <w:t>50% (joint financial quality and IPSAS)</w:t>
            </w:r>
          </w:p>
        </w:tc>
        <w:tc>
          <w:tcPr>
            <w:tcW w:w="1800" w:type="dxa"/>
            <w:shd w:val="clear" w:color="auto" w:fill="auto"/>
            <w:vAlign w:val="center"/>
          </w:tcPr>
          <w:p w14:paraId="20EEE96D" w14:textId="77777777" w:rsidR="00EB1316" w:rsidRPr="00CA6122" w:rsidRDefault="00EB1316" w:rsidP="009C5083">
            <w:pPr>
              <w:spacing w:after="0" w:line="240" w:lineRule="auto"/>
              <w:rPr>
                <w:rFonts w:ascii="Calibri" w:eastAsia="Calibri" w:hAnsi="Calibri"/>
                <w:sz w:val="20"/>
              </w:rPr>
            </w:pPr>
            <w:r w:rsidRPr="00FD6EC5">
              <w:rPr>
                <w:rFonts w:ascii="Calibri" w:eastAsia="Calibri" w:hAnsi="Calibri"/>
                <w:sz w:val="20"/>
              </w:rPr>
              <w:t>51%</w:t>
            </w:r>
          </w:p>
        </w:tc>
        <w:tc>
          <w:tcPr>
            <w:tcW w:w="1800" w:type="dxa"/>
            <w:shd w:val="clear" w:color="auto" w:fill="auto"/>
            <w:vAlign w:val="center"/>
          </w:tcPr>
          <w:p w14:paraId="087DB8A4" w14:textId="77777777" w:rsidR="00EB1316" w:rsidRPr="00FD6EC5" w:rsidRDefault="00EB1316" w:rsidP="009C5083">
            <w:pPr>
              <w:spacing w:after="0" w:line="240" w:lineRule="auto"/>
              <w:rPr>
                <w:rFonts w:ascii="Calibri" w:eastAsia="Calibri" w:hAnsi="Calibri"/>
                <w:sz w:val="20"/>
              </w:rPr>
            </w:pPr>
            <w:r w:rsidRPr="00EF7E41">
              <w:rPr>
                <w:rFonts w:ascii="Calibri" w:eastAsia="Calibri" w:hAnsi="Calibri"/>
                <w:sz w:val="20"/>
              </w:rPr>
              <w:t>80% (joint financial quality and IPSAS)</w:t>
            </w:r>
          </w:p>
        </w:tc>
      </w:tr>
      <w:tr w:rsidR="00EB1316" w:rsidRPr="00C7021E" w14:paraId="383F60AD" w14:textId="77777777" w:rsidTr="009C5083">
        <w:trPr>
          <w:trHeight w:val="521"/>
          <w:jc w:val="center"/>
        </w:trPr>
        <w:tc>
          <w:tcPr>
            <w:tcW w:w="1795" w:type="dxa"/>
            <w:vMerge/>
            <w:shd w:val="clear" w:color="auto" w:fill="auto"/>
            <w:vAlign w:val="center"/>
          </w:tcPr>
          <w:p w14:paraId="45FB9360"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shd w:val="clear" w:color="auto" w:fill="auto"/>
            <w:vAlign w:val="center"/>
          </w:tcPr>
          <w:p w14:paraId="5F51A68F"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1</w:t>
            </w:r>
            <w:r>
              <w:rPr>
                <w:rFonts w:eastAsia="Calibri" w:cs="Times New Roman"/>
                <w:b/>
                <w:sz w:val="20"/>
                <w:szCs w:val="20"/>
                <w:lang w:val="en-GB" w:eastAsia="en-US"/>
              </w:rPr>
              <w:t>7</w:t>
            </w:r>
            <w:r w:rsidRPr="00C7021E">
              <w:rPr>
                <w:rFonts w:eastAsia="Calibri" w:cs="Times New Roman"/>
                <w:b/>
                <w:sz w:val="20"/>
                <w:szCs w:val="20"/>
                <w:lang w:val="en-GB" w:eastAsia="en-US"/>
              </w:rPr>
              <w:t>.</w:t>
            </w:r>
          </w:p>
        </w:tc>
        <w:tc>
          <w:tcPr>
            <w:tcW w:w="5130" w:type="dxa"/>
            <w:shd w:val="clear" w:color="auto" w:fill="auto"/>
            <w:vAlign w:val="center"/>
          </w:tcPr>
          <w:p w14:paraId="5A6FB03D" w14:textId="77777777" w:rsidR="00EB1316" w:rsidRPr="00C7021E" w:rsidRDefault="00EB1316" w:rsidP="006F161D">
            <w:pPr>
              <w:numPr>
                <w:ilvl w:val="0"/>
                <w:numId w:val="87"/>
              </w:numPr>
              <w:spacing w:after="0" w:line="240" w:lineRule="auto"/>
              <w:ind w:left="162" w:hanging="90"/>
              <w:contextualSpacing/>
              <w:rPr>
                <w:rFonts w:eastAsia="Calibri" w:cs="Times New Roman"/>
                <w:sz w:val="20"/>
                <w:szCs w:val="20"/>
                <w:lang w:val="en-GB" w:eastAsia="en-US"/>
              </w:rPr>
            </w:pPr>
            <w:r w:rsidRPr="00C7021E">
              <w:rPr>
                <w:rFonts w:eastAsia="Calibri" w:cs="Times New Roman"/>
                <w:sz w:val="20"/>
                <w:szCs w:val="20"/>
                <w:lang w:val="en-GB" w:eastAsia="en-US"/>
              </w:rPr>
              <w:t>percentage of total core expenditures on development-related activities directed to programme activities</w:t>
            </w:r>
          </w:p>
          <w:p w14:paraId="09C8EA68" w14:textId="77777777" w:rsidR="00EB1316" w:rsidRPr="00C7021E" w:rsidRDefault="00EB1316" w:rsidP="006F161D">
            <w:pPr>
              <w:numPr>
                <w:ilvl w:val="0"/>
                <w:numId w:val="87"/>
              </w:numPr>
              <w:spacing w:after="0" w:line="240" w:lineRule="auto"/>
              <w:ind w:left="162" w:hanging="90"/>
              <w:contextualSpacing/>
              <w:rPr>
                <w:rFonts w:eastAsia="Calibri" w:cs="Times New Roman"/>
                <w:sz w:val="20"/>
                <w:szCs w:val="20"/>
                <w:lang w:val="en-GB" w:eastAsia="en-US"/>
              </w:rPr>
            </w:pPr>
            <w:r w:rsidRPr="00C7021E">
              <w:rPr>
                <w:rFonts w:eastAsia="Calibri" w:cs="Times New Roman"/>
                <w:sz w:val="20"/>
                <w:szCs w:val="20"/>
                <w:lang w:val="en-GB" w:eastAsia="en-US"/>
              </w:rPr>
              <w:t>percentage of total non-core expenditures on development-related activities directed to programme activities</w:t>
            </w:r>
          </w:p>
          <w:p w14:paraId="7BD54DE0" w14:textId="77777777" w:rsidR="00EB1316" w:rsidRPr="00C7021E" w:rsidRDefault="00EB1316" w:rsidP="009C5083">
            <w:pPr>
              <w:spacing w:after="0" w:line="240" w:lineRule="auto"/>
              <w:rPr>
                <w:rFonts w:eastAsia="Calibri" w:cs="Times New Roman"/>
                <w:sz w:val="20"/>
                <w:szCs w:val="20"/>
                <w:lang w:val="en-GB" w:eastAsia="en-US"/>
              </w:rPr>
            </w:pPr>
            <w:r w:rsidRPr="00C7021E">
              <w:rPr>
                <w:rFonts w:eastAsia="Calibri" w:cs="Times New Roman"/>
                <w:sz w:val="20"/>
                <w:szCs w:val="20"/>
                <w:lang w:val="en-GB" w:eastAsia="en-US"/>
              </w:rPr>
              <w:t>[</w:t>
            </w:r>
            <w:r w:rsidRPr="00C7021E">
              <w:rPr>
                <w:rFonts w:eastAsia="Calibri" w:cs="Times New Roman"/>
                <w:b/>
                <w:sz w:val="20"/>
                <w:szCs w:val="20"/>
                <w:lang w:val="en-GB" w:eastAsia="en-US"/>
              </w:rPr>
              <w:t>COMMON QCPR INDICATOR</w:t>
            </w:r>
            <w:r w:rsidRPr="00C7021E">
              <w:rPr>
                <w:rFonts w:eastAsia="Calibri" w:cs="Times New Roman"/>
                <w:sz w:val="20"/>
                <w:szCs w:val="20"/>
                <w:lang w:val="en-GB" w:eastAsia="en-US"/>
              </w:rPr>
              <w:t>]</w:t>
            </w:r>
          </w:p>
        </w:tc>
        <w:tc>
          <w:tcPr>
            <w:tcW w:w="1800" w:type="dxa"/>
            <w:shd w:val="clear" w:color="auto" w:fill="auto"/>
            <w:vAlign w:val="center"/>
          </w:tcPr>
          <w:p w14:paraId="4119901F" w14:textId="77777777" w:rsidR="00EB1316" w:rsidRDefault="00EB1316" w:rsidP="006F161D">
            <w:pPr>
              <w:pStyle w:val="ListParagraph"/>
              <w:numPr>
                <w:ilvl w:val="0"/>
                <w:numId w:val="88"/>
              </w:numPr>
              <w:contextualSpacing/>
              <w:rPr>
                <w:sz w:val="20"/>
                <w:szCs w:val="20"/>
              </w:rPr>
            </w:pPr>
            <w:r>
              <w:rPr>
                <w:sz w:val="20"/>
                <w:szCs w:val="20"/>
              </w:rPr>
              <w:t>71%</w:t>
            </w:r>
          </w:p>
          <w:p w14:paraId="0CBAD7F2" w14:textId="77777777" w:rsidR="00EB1316" w:rsidRPr="00024566" w:rsidRDefault="00EB1316" w:rsidP="009C5083">
            <w:pPr>
              <w:spacing w:after="0" w:line="240" w:lineRule="auto"/>
              <w:ind w:left="72"/>
              <w:rPr>
                <w:sz w:val="20"/>
                <w:szCs w:val="20"/>
              </w:rPr>
            </w:pPr>
          </w:p>
          <w:p w14:paraId="76FB1ADB" w14:textId="77777777" w:rsidR="00EB1316" w:rsidRPr="0025250C" w:rsidRDefault="00EB1316" w:rsidP="006F161D">
            <w:pPr>
              <w:pStyle w:val="ListParagraph"/>
              <w:numPr>
                <w:ilvl w:val="0"/>
                <w:numId w:val="88"/>
              </w:numPr>
              <w:contextualSpacing/>
              <w:rPr>
                <w:sz w:val="20"/>
                <w:szCs w:val="20"/>
              </w:rPr>
            </w:pPr>
            <w:r w:rsidRPr="0025250C">
              <w:rPr>
                <w:sz w:val="20"/>
                <w:szCs w:val="20"/>
              </w:rPr>
              <w:t>9</w:t>
            </w:r>
            <w:r>
              <w:rPr>
                <w:sz w:val="20"/>
                <w:szCs w:val="20"/>
              </w:rPr>
              <w:t>6%</w:t>
            </w:r>
          </w:p>
        </w:tc>
        <w:tc>
          <w:tcPr>
            <w:tcW w:w="1530" w:type="dxa"/>
            <w:shd w:val="clear" w:color="auto" w:fill="auto"/>
            <w:vAlign w:val="center"/>
          </w:tcPr>
          <w:p w14:paraId="1A422964" w14:textId="77777777" w:rsidR="00EB1316" w:rsidRPr="00CE2EE0" w:rsidRDefault="00EB1316" w:rsidP="006F161D">
            <w:pPr>
              <w:pStyle w:val="ListParagraph"/>
              <w:numPr>
                <w:ilvl w:val="0"/>
                <w:numId w:val="89"/>
              </w:numPr>
              <w:contextualSpacing/>
              <w:rPr>
                <w:sz w:val="20"/>
                <w:szCs w:val="20"/>
              </w:rPr>
            </w:pPr>
            <w:r w:rsidRPr="00CE2EE0">
              <w:rPr>
                <w:sz w:val="20"/>
                <w:szCs w:val="20"/>
              </w:rPr>
              <w:t>80%</w:t>
            </w:r>
          </w:p>
          <w:p w14:paraId="773A8F1B" w14:textId="77777777" w:rsidR="00EB1316" w:rsidRPr="00CE2EE0" w:rsidRDefault="00EB1316" w:rsidP="009C5083">
            <w:pPr>
              <w:pStyle w:val="ListParagraph"/>
              <w:ind w:left="432"/>
              <w:contextualSpacing/>
              <w:rPr>
                <w:sz w:val="20"/>
                <w:szCs w:val="20"/>
              </w:rPr>
            </w:pPr>
          </w:p>
          <w:p w14:paraId="1C90FE57" w14:textId="77777777" w:rsidR="00EB1316" w:rsidRPr="00CE2EE0" w:rsidRDefault="00EB1316" w:rsidP="006F161D">
            <w:pPr>
              <w:pStyle w:val="ListParagraph"/>
              <w:numPr>
                <w:ilvl w:val="0"/>
                <w:numId w:val="89"/>
              </w:numPr>
              <w:contextualSpacing/>
              <w:rPr>
                <w:sz w:val="20"/>
                <w:szCs w:val="20"/>
              </w:rPr>
            </w:pPr>
            <w:r w:rsidRPr="00CE2EE0">
              <w:rPr>
                <w:sz w:val="20"/>
                <w:szCs w:val="20"/>
              </w:rPr>
              <w:t>95%</w:t>
            </w:r>
          </w:p>
        </w:tc>
        <w:tc>
          <w:tcPr>
            <w:tcW w:w="1800" w:type="dxa"/>
            <w:shd w:val="clear" w:color="auto" w:fill="auto"/>
            <w:vAlign w:val="center"/>
          </w:tcPr>
          <w:p w14:paraId="017A0914" w14:textId="77777777" w:rsidR="00EB1316" w:rsidRPr="00CE2EE0" w:rsidRDefault="00EB1316" w:rsidP="006F161D">
            <w:pPr>
              <w:pStyle w:val="ListParagraph"/>
              <w:numPr>
                <w:ilvl w:val="0"/>
                <w:numId w:val="90"/>
              </w:numPr>
              <w:contextualSpacing/>
              <w:rPr>
                <w:sz w:val="20"/>
                <w:szCs w:val="20"/>
              </w:rPr>
            </w:pPr>
            <w:r w:rsidRPr="00CE2EE0">
              <w:rPr>
                <w:sz w:val="20"/>
                <w:szCs w:val="20"/>
              </w:rPr>
              <w:t>76%</w:t>
            </w:r>
          </w:p>
          <w:p w14:paraId="41BB03F4" w14:textId="77777777" w:rsidR="00EB1316" w:rsidRPr="00CE2EE0" w:rsidRDefault="00EB1316" w:rsidP="009C5083">
            <w:pPr>
              <w:pStyle w:val="ListParagraph"/>
              <w:ind w:left="342"/>
              <w:contextualSpacing/>
              <w:rPr>
                <w:sz w:val="20"/>
                <w:szCs w:val="20"/>
              </w:rPr>
            </w:pPr>
          </w:p>
          <w:p w14:paraId="3E93909E" w14:textId="77777777" w:rsidR="00EB1316" w:rsidRPr="00CE2EE0" w:rsidRDefault="00EB1316" w:rsidP="006F161D">
            <w:pPr>
              <w:pStyle w:val="ListParagraph"/>
              <w:numPr>
                <w:ilvl w:val="0"/>
                <w:numId w:val="90"/>
              </w:numPr>
              <w:contextualSpacing/>
              <w:rPr>
                <w:sz w:val="20"/>
                <w:szCs w:val="20"/>
              </w:rPr>
            </w:pPr>
            <w:r w:rsidRPr="00CE2EE0">
              <w:rPr>
                <w:sz w:val="20"/>
                <w:szCs w:val="20"/>
              </w:rPr>
              <w:t>94%</w:t>
            </w:r>
          </w:p>
        </w:tc>
        <w:tc>
          <w:tcPr>
            <w:tcW w:w="1800" w:type="dxa"/>
            <w:shd w:val="clear" w:color="auto" w:fill="auto"/>
            <w:vAlign w:val="center"/>
          </w:tcPr>
          <w:p w14:paraId="3E1FCEB2" w14:textId="77777777" w:rsidR="00EB1316" w:rsidRPr="004907A0" w:rsidRDefault="00EB1316" w:rsidP="006F161D">
            <w:pPr>
              <w:pStyle w:val="ListParagraph"/>
              <w:numPr>
                <w:ilvl w:val="0"/>
                <w:numId w:val="91"/>
              </w:numPr>
              <w:contextualSpacing/>
              <w:rPr>
                <w:sz w:val="20"/>
                <w:szCs w:val="20"/>
              </w:rPr>
            </w:pPr>
            <w:r w:rsidRPr="004907A0">
              <w:rPr>
                <w:sz w:val="20"/>
                <w:szCs w:val="20"/>
              </w:rPr>
              <w:t>84%</w:t>
            </w:r>
          </w:p>
          <w:p w14:paraId="65495F93" w14:textId="77777777" w:rsidR="00EB1316" w:rsidRPr="00702010" w:rsidRDefault="00EB1316" w:rsidP="009C5083">
            <w:pPr>
              <w:pStyle w:val="ListParagraph"/>
              <w:contextualSpacing/>
              <w:rPr>
                <w:sz w:val="20"/>
                <w:szCs w:val="20"/>
              </w:rPr>
            </w:pPr>
          </w:p>
          <w:p w14:paraId="4AE46D3B" w14:textId="77777777" w:rsidR="00EB1316" w:rsidRPr="004907A0" w:rsidRDefault="00EB1316" w:rsidP="006F161D">
            <w:pPr>
              <w:pStyle w:val="ListParagraph"/>
              <w:numPr>
                <w:ilvl w:val="0"/>
                <w:numId w:val="91"/>
              </w:numPr>
              <w:contextualSpacing/>
              <w:rPr>
                <w:sz w:val="20"/>
                <w:szCs w:val="20"/>
              </w:rPr>
            </w:pPr>
            <w:r w:rsidRPr="004907A0">
              <w:rPr>
                <w:sz w:val="20"/>
                <w:szCs w:val="20"/>
              </w:rPr>
              <w:t>94</w:t>
            </w:r>
          </w:p>
        </w:tc>
      </w:tr>
      <w:tr w:rsidR="00EB1316" w:rsidRPr="00C7021E" w14:paraId="7559EFFF" w14:textId="77777777" w:rsidTr="009C5083">
        <w:trPr>
          <w:jc w:val="center"/>
        </w:trPr>
        <w:tc>
          <w:tcPr>
            <w:tcW w:w="1795" w:type="dxa"/>
            <w:vMerge/>
            <w:shd w:val="clear" w:color="auto" w:fill="00B050"/>
            <w:vAlign w:val="center"/>
          </w:tcPr>
          <w:p w14:paraId="726CAA6E" w14:textId="77777777" w:rsidR="00EB1316" w:rsidRPr="00C7021E" w:rsidRDefault="00EB1316" w:rsidP="009C5083">
            <w:pPr>
              <w:spacing w:after="0" w:line="240" w:lineRule="auto"/>
              <w:rPr>
                <w:rFonts w:eastAsia="Calibri" w:cs="Times New Roman"/>
                <w:b/>
                <w:sz w:val="20"/>
                <w:szCs w:val="20"/>
                <w:lang w:val="en-GB" w:eastAsia="en-US"/>
              </w:rPr>
            </w:pPr>
          </w:p>
        </w:tc>
        <w:tc>
          <w:tcPr>
            <w:tcW w:w="540" w:type="dxa"/>
            <w:vMerge w:val="restart"/>
            <w:shd w:val="clear" w:color="auto" w:fill="auto"/>
            <w:vAlign w:val="center"/>
          </w:tcPr>
          <w:p w14:paraId="4DD33924"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1</w:t>
            </w:r>
            <w:r>
              <w:rPr>
                <w:rFonts w:eastAsia="Calibri" w:cs="Times New Roman"/>
                <w:b/>
                <w:sz w:val="20"/>
                <w:szCs w:val="20"/>
                <w:lang w:val="en-GB" w:eastAsia="en-US"/>
              </w:rPr>
              <w:t>8</w:t>
            </w:r>
            <w:r w:rsidRPr="00C7021E">
              <w:rPr>
                <w:rFonts w:eastAsia="Calibri" w:cs="Times New Roman"/>
                <w:b/>
                <w:sz w:val="20"/>
                <w:szCs w:val="20"/>
                <w:lang w:val="en-GB" w:eastAsia="en-US"/>
              </w:rPr>
              <w:t>.</w:t>
            </w:r>
          </w:p>
        </w:tc>
        <w:tc>
          <w:tcPr>
            <w:tcW w:w="5130" w:type="dxa"/>
            <w:shd w:val="clear" w:color="auto" w:fill="auto"/>
            <w:vAlign w:val="center"/>
          </w:tcPr>
          <w:p w14:paraId="3B440B98"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sz w:val="20"/>
                <w:szCs w:val="20"/>
                <w:lang w:val="en-GB" w:eastAsia="en-US"/>
              </w:rPr>
              <w:t>UNDP Carbon Footprint (CO</w:t>
            </w:r>
            <w:r w:rsidRPr="00C7021E">
              <w:rPr>
                <w:rFonts w:eastAsia="Calibri" w:cs="Times New Roman"/>
                <w:sz w:val="20"/>
                <w:szCs w:val="20"/>
                <w:vertAlign w:val="subscript"/>
                <w:lang w:val="en-GB" w:eastAsia="en-US"/>
              </w:rPr>
              <w:t>2</w:t>
            </w:r>
            <w:r w:rsidRPr="00C7021E">
              <w:rPr>
                <w:rFonts w:eastAsia="Calibri" w:cs="Times New Roman"/>
                <w:sz w:val="20"/>
                <w:szCs w:val="20"/>
                <w:lang w:val="en-GB" w:eastAsia="en-US"/>
              </w:rPr>
              <w:t xml:space="preserve"> emissions)</w:t>
            </w:r>
          </w:p>
        </w:tc>
        <w:tc>
          <w:tcPr>
            <w:tcW w:w="1800" w:type="dxa"/>
            <w:shd w:val="clear" w:color="auto" w:fill="auto"/>
            <w:vAlign w:val="center"/>
          </w:tcPr>
          <w:p w14:paraId="3C7DA72D" w14:textId="77777777" w:rsidR="00EB1316" w:rsidRPr="005248D0" w:rsidRDefault="00EB1316" w:rsidP="009C5083">
            <w:pPr>
              <w:spacing w:after="0" w:line="240" w:lineRule="auto"/>
              <w:rPr>
                <w:rFonts w:ascii="Calibri" w:eastAsia="Calibri" w:hAnsi="Calibri"/>
                <w:sz w:val="20"/>
              </w:rPr>
            </w:pPr>
            <w:r>
              <w:rPr>
                <w:sz w:val="20"/>
                <w:szCs w:val="20"/>
              </w:rPr>
              <w:t>69,896 tons CO</w:t>
            </w:r>
            <w:r>
              <w:rPr>
                <w:sz w:val="20"/>
                <w:szCs w:val="20"/>
                <w:vertAlign w:val="subscript"/>
              </w:rPr>
              <w:t>2</w:t>
            </w:r>
            <w:r>
              <w:rPr>
                <w:sz w:val="20"/>
                <w:szCs w:val="20"/>
              </w:rPr>
              <w:t xml:space="preserve">-equivalent </w:t>
            </w:r>
          </w:p>
        </w:tc>
        <w:tc>
          <w:tcPr>
            <w:tcW w:w="1530" w:type="dxa"/>
            <w:shd w:val="clear" w:color="auto" w:fill="auto"/>
            <w:vAlign w:val="center"/>
          </w:tcPr>
          <w:p w14:paraId="3B8344D6" w14:textId="77777777" w:rsidR="00EB1316" w:rsidRPr="002A6040" w:rsidRDefault="00EB1316" w:rsidP="009C5083">
            <w:pPr>
              <w:spacing w:after="0" w:line="240" w:lineRule="auto"/>
              <w:rPr>
                <w:rFonts w:eastAsia="Calibri" w:cs="Times New Roman"/>
                <w:b/>
                <w:sz w:val="20"/>
                <w:szCs w:val="20"/>
                <w:highlight w:val="yellow"/>
                <w:lang w:val="en-GB" w:eastAsia="en-US"/>
              </w:rPr>
            </w:pPr>
            <w:r>
              <w:rPr>
                <w:sz w:val="20"/>
                <w:szCs w:val="20"/>
              </w:rPr>
              <w:t>67,799 tons CO</w:t>
            </w:r>
            <w:r>
              <w:rPr>
                <w:sz w:val="20"/>
                <w:szCs w:val="20"/>
                <w:vertAlign w:val="subscript"/>
              </w:rPr>
              <w:t>2</w:t>
            </w:r>
            <w:r>
              <w:rPr>
                <w:sz w:val="20"/>
                <w:szCs w:val="20"/>
              </w:rPr>
              <w:t>-equivalent</w:t>
            </w:r>
          </w:p>
        </w:tc>
        <w:tc>
          <w:tcPr>
            <w:tcW w:w="1800" w:type="dxa"/>
            <w:shd w:val="clear" w:color="auto" w:fill="auto"/>
            <w:vAlign w:val="center"/>
          </w:tcPr>
          <w:p w14:paraId="35F49744" w14:textId="77777777" w:rsidR="00EB1316" w:rsidRPr="00244357" w:rsidRDefault="00EB1316" w:rsidP="009C5083">
            <w:pPr>
              <w:spacing w:after="0" w:line="240" w:lineRule="auto"/>
              <w:rPr>
                <w:rFonts w:eastAsia="Calibri" w:cs="Times New Roman"/>
                <w:sz w:val="20"/>
                <w:szCs w:val="20"/>
                <w:highlight w:val="yellow"/>
                <w:lang w:val="en-GB" w:eastAsia="en-US"/>
              </w:rPr>
            </w:pPr>
            <w:r w:rsidRPr="00244357">
              <w:rPr>
                <w:rFonts w:eastAsia="Calibri" w:cs="Times New Roman"/>
                <w:sz w:val="20"/>
                <w:szCs w:val="20"/>
                <w:lang w:val="en-GB" w:eastAsia="en-US"/>
              </w:rPr>
              <w:t>67,799 tonnes</w:t>
            </w:r>
            <w:r>
              <w:rPr>
                <w:rFonts w:eastAsia="Calibri" w:cs="Times New Roman"/>
                <w:sz w:val="20"/>
                <w:szCs w:val="20"/>
                <w:lang w:val="en-GB" w:eastAsia="en-US"/>
              </w:rPr>
              <w:t xml:space="preserve"> </w:t>
            </w:r>
            <w:r w:rsidRPr="00887B6F">
              <w:rPr>
                <w:rFonts w:eastAsia="Calibri" w:cs="Times New Roman"/>
                <w:sz w:val="20"/>
                <w:szCs w:val="20"/>
                <w:lang w:eastAsia="en-US"/>
              </w:rPr>
              <w:t>CO</w:t>
            </w:r>
            <w:r w:rsidRPr="00887B6F">
              <w:rPr>
                <w:rFonts w:eastAsia="Calibri" w:cs="Times New Roman"/>
                <w:sz w:val="20"/>
                <w:szCs w:val="20"/>
                <w:vertAlign w:val="subscript"/>
                <w:lang w:eastAsia="en-US"/>
              </w:rPr>
              <w:t>2</w:t>
            </w:r>
            <w:r w:rsidRPr="00887B6F">
              <w:rPr>
                <w:rFonts w:eastAsia="Calibri" w:cs="Times New Roman"/>
                <w:sz w:val="20"/>
                <w:szCs w:val="20"/>
                <w:lang w:eastAsia="en-US"/>
              </w:rPr>
              <w:t>-equivalent</w:t>
            </w:r>
          </w:p>
        </w:tc>
        <w:tc>
          <w:tcPr>
            <w:tcW w:w="1800" w:type="dxa"/>
            <w:shd w:val="clear" w:color="auto" w:fill="auto"/>
            <w:vAlign w:val="center"/>
          </w:tcPr>
          <w:p w14:paraId="035BD729" w14:textId="77777777" w:rsidR="00EB1316" w:rsidRPr="00244357" w:rsidRDefault="00EB1316" w:rsidP="009C5083">
            <w:pPr>
              <w:spacing w:after="0" w:line="240" w:lineRule="auto"/>
              <w:rPr>
                <w:rFonts w:eastAsia="Calibri" w:cs="Times New Roman"/>
                <w:sz w:val="20"/>
                <w:szCs w:val="20"/>
                <w:lang w:val="en-GB" w:eastAsia="en-US"/>
              </w:rPr>
            </w:pPr>
            <w:r w:rsidRPr="00702010">
              <w:rPr>
                <w:rFonts w:eastAsia="Calibri" w:cs="Times New Roman"/>
                <w:sz w:val="20"/>
                <w:szCs w:val="20"/>
                <w:lang w:eastAsia="en-US"/>
              </w:rPr>
              <w:t>63,792 tons CO</w:t>
            </w:r>
            <w:r w:rsidRPr="00702010">
              <w:rPr>
                <w:rFonts w:eastAsia="Calibri" w:cs="Times New Roman"/>
                <w:sz w:val="20"/>
                <w:szCs w:val="20"/>
                <w:vertAlign w:val="subscript"/>
                <w:lang w:eastAsia="en-US"/>
              </w:rPr>
              <w:t>2</w:t>
            </w:r>
            <w:r w:rsidRPr="00702010">
              <w:rPr>
                <w:rFonts w:eastAsia="Calibri" w:cs="Times New Roman"/>
                <w:sz w:val="20"/>
                <w:szCs w:val="20"/>
                <w:lang w:eastAsia="en-US"/>
              </w:rPr>
              <w:t>-equivalent</w:t>
            </w:r>
          </w:p>
        </w:tc>
      </w:tr>
      <w:tr w:rsidR="00EB1316" w:rsidRPr="00C7021E" w14:paraId="670FC68A" w14:textId="77777777" w:rsidTr="009C5083">
        <w:trPr>
          <w:jc w:val="center"/>
        </w:trPr>
        <w:tc>
          <w:tcPr>
            <w:tcW w:w="1795" w:type="dxa"/>
            <w:vMerge/>
            <w:shd w:val="clear" w:color="auto" w:fill="00B050"/>
            <w:vAlign w:val="center"/>
          </w:tcPr>
          <w:p w14:paraId="1658FB02" w14:textId="77777777" w:rsidR="00EB1316" w:rsidRPr="00C7021E" w:rsidRDefault="00EB1316" w:rsidP="009C5083">
            <w:pPr>
              <w:spacing w:after="0" w:line="240" w:lineRule="auto"/>
              <w:rPr>
                <w:rFonts w:eastAsia="Calibri" w:cs="Times New Roman"/>
                <w:b/>
                <w:sz w:val="20"/>
                <w:szCs w:val="20"/>
                <w:lang w:val="en-GB" w:eastAsia="en-US"/>
              </w:rPr>
            </w:pPr>
          </w:p>
        </w:tc>
        <w:tc>
          <w:tcPr>
            <w:tcW w:w="540" w:type="dxa"/>
            <w:vMerge/>
            <w:shd w:val="clear" w:color="auto" w:fill="FFFFFF" w:themeFill="background1"/>
            <w:vAlign w:val="center"/>
          </w:tcPr>
          <w:p w14:paraId="6EA22875" w14:textId="77777777" w:rsidR="00EB1316" w:rsidRPr="00C7021E" w:rsidRDefault="00EB1316" w:rsidP="009C5083">
            <w:pPr>
              <w:spacing w:after="0" w:line="240" w:lineRule="auto"/>
              <w:rPr>
                <w:rFonts w:eastAsia="Calibri" w:cs="Times New Roman"/>
                <w:b/>
                <w:sz w:val="20"/>
                <w:szCs w:val="20"/>
                <w:lang w:val="en-GB" w:eastAsia="en-US"/>
              </w:rPr>
            </w:pPr>
          </w:p>
        </w:tc>
        <w:tc>
          <w:tcPr>
            <w:tcW w:w="12060" w:type="dxa"/>
            <w:gridSpan w:val="5"/>
            <w:shd w:val="clear" w:color="auto" w:fill="D9D9D9" w:themeFill="background1" w:themeFillShade="D9"/>
            <w:vAlign w:val="center"/>
          </w:tcPr>
          <w:p w14:paraId="5DF6FB33" w14:textId="77777777" w:rsidR="00EB1316" w:rsidRDefault="00EB1316" w:rsidP="009C5083">
            <w:pPr>
              <w:spacing w:after="0" w:line="240" w:lineRule="auto"/>
              <w:rPr>
                <w:rFonts w:eastAsia="Calibri" w:cs="Times New Roman"/>
                <w:b/>
                <w:sz w:val="20"/>
                <w:szCs w:val="20"/>
                <w:lang w:val="en-GB" w:eastAsia="en-US"/>
              </w:rPr>
            </w:pPr>
            <w:r>
              <w:rPr>
                <w:rFonts w:eastAsia="Calibri" w:cs="Times New Roman"/>
                <w:b/>
                <w:sz w:val="20"/>
                <w:szCs w:val="20"/>
                <w:lang w:val="en-GB" w:eastAsia="en-US"/>
              </w:rPr>
              <w:t xml:space="preserve">Note: </w:t>
            </w:r>
            <w:r w:rsidRPr="00887B6F">
              <w:rPr>
                <w:rFonts w:eastAsia="Calibri" w:cs="Times New Roman"/>
                <w:sz w:val="20"/>
                <w:szCs w:val="20"/>
                <w:lang w:val="en-GB" w:eastAsia="en-US"/>
              </w:rPr>
              <w:t>the 2014 actuals reported here refer to the</w:t>
            </w:r>
            <w:r>
              <w:rPr>
                <w:rFonts w:eastAsia="Calibri" w:cs="Times New Roman"/>
                <w:sz w:val="20"/>
                <w:szCs w:val="20"/>
                <w:lang w:val="en-GB" w:eastAsia="en-US"/>
              </w:rPr>
              <w:t xml:space="preserve"> pre-inventory estimate</w:t>
            </w:r>
          </w:p>
        </w:tc>
      </w:tr>
    </w:tbl>
    <w:p w14:paraId="6340955D" w14:textId="77777777" w:rsidR="00EB1316" w:rsidRDefault="00EB1316" w:rsidP="00EB1316">
      <w:pPr>
        <w:spacing w:after="0" w:line="240" w:lineRule="auto"/>
        <w:rPr>
          <w:rFonts w:eastAsia="Calibri" w:cs="Times New Roman"/>
          <w:sz w:val="16"/>
          <w:szCs w:val="16"/>
          <w:lang w:eastAsia="en-US"/>
        </w:rPr>
      </w:pPr>
    </w:p>
    <w:tbl>
      <w:tblPr>
        <w:tblW w:w="14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540"/>
        <w:gridCol w:w="5040"/>
        <w:gridCol w:w="1710"/>
        <w:gridCol w:w="1620"/>
        <w:gridCol w:w="1800"/>
        <w:gridCol w:w="1710"/>
      </w:tblGrid>
      <w:tr w:rsidR="00EB1316" w:rsidRPr="00C7021E" w14:paraId="39905291" w14:textId="77777777" w:rsidTr="009C5083">
        <w:trPr>
          <w:trHeight w:val="332"/>
          <w:jc w:val="center"/>
        </w:trPr>
        <w:tc>
          <w:tcPr>
            <w:tcW w:w="14215" w:type="dxa"/>
            <w:gridSpan w:val="7"/>
            <w:shd w:val="clear" w:color="auto" w:fill="00B050"/>
            <w:vAlign w:val="center"/>
          </w:tcPr>
          <w:p w14:paraId="3FAF0CF1" w14:textId="77777777" w:rsidR="00EB1316" w:rsidRPr="00C7021E" w:rsidRDefault="00EB1316" w:rsidP="009C5083">
            <w:pPr>
              <w:spacing w:after="0" w:line="240" w:lineRule="auto"/>
              <w:rPr>
                <w:rFonts w:eastAsia="Calibri" w:cs="Times New Roman"/>
                <w:b/>
                <w:color w:val="FFFFFF"/>
                <w:shd w:val="clear" w:color="auto" w:fill="00B050"/>
                <w:lang w:val="en-GB" w:eastAsia="en-US"/>
              </w:rPr>
            </w:pPr>
            <w:r w:rsidRPr="00C7021E">
              <w:rPr>
                <w:rFonts w:eastAsia="Calibri" w:cs="Times New Roman"/>
                <w:b/>
                <w:color w:val="FFFFFF"/>
                <w:shd w:val="clear" w:color="auto" w:fill="00B050"/>
                <w:lang w:val="en-GB" w:eastAsia="en-US"/>
              </w:rPr>
              <w:t>[cost classification: management functional clusters]</w:t>
            </w:r>
            <w:r w:rsidRPr="00C7021E">
              <w:rPr>
                <w:rFonts w:eastAsia="Calibri" w:cs="Times New Roman"/>
                <w:color w:val="FFFFFF"/>
                <w:shd w:val="clear" w:color="auto" w:fill="00B050"/>
                <w:lang w:val="en-GB" w:eastAsia="en-US"/>
              </w:rPr>
              <w:t xml:space="preserve"> 3. </w:t>
            </w:r>
            <w:r w:rsidRPr="00C7021E">
              <w:rPr>
                <w:rFonts w:eastAsia="Calibri" w:cs="Times New Roman"/>
                <w:b/>
                <w:color w:val="FFFFFF"/>
                <w:lang w:val="en-GB" w:eastAsia="en-US"/>
              </w:rPr>
              <w:t>CORPORATE OVERSIGHT AND ASSURANCE (internal audit, investigations and corporate evaluations)</w:t>
            </w:r>
          </w:p>
        </w:tc>
      </w:tr>
      <w:tr w:rsidR="00EB1316" w:rsidRPr="00C7021E" w14:paraId="0D5C9C81" w14:textId="77777777" w:rsidTr="009C5083">
        <w:trPr>
          <w:trHeight w:val="260"/>
          <w:jc w:val="center"/>
        </w:trPr>
        <w:tc>
          <w:tcPr>
            <w:tcW w:w="1795" w:type="dxa"/>
            <w:shd w:val="clear" w:color="auto" w:fill="DBE5F1" w:themeFill="accent1" w:themeFillTint="33"/>
            <w:vAlign w:val="center"/>
          </w:tcPr>
          <w:p w14:paraId="70BC566B"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 xml:space="preserve">Results statement: </w:t>
            </w:r>
          </w:p>
        </w:tc>
        <w:tc>
          <w:tcPr>
            <w:tcW w:w="540" w:type="dxa"/>
            <w:shd w:val="clear" w:color="auto" w:fill="DBE5F1" w:themeFill="accent1" w:themeFillTint="33"/>
            <w:vAlign w:val="center"/>
          </w:tcPr>
          <w:p w14:paraId="044C4D99"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No.</w:t>
            </w:r>
          </w:p>
        </w:tc>
        <w:tc>
          <w:tcPr>
            <w:tcW w:w="5040" w:type="dxa"/>
            <w:shd w:val="clear" w:color="auto" w:fill="DBE5F1" w:themeFill="accent1" w:themeFillTint="33"/>
            <w:vAlign w:val="center"/>
          </w:tcPr>
          <w:p w14:paraId="7E498A78"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Indicator</w:t>
            </w:r>
          </w:p>
        </w:tc>
        <w:tc>
          <w:tcPr>
            <w:tcW w:w="1710" w:type="dxa"/>
            <w:shd w:val="clear" w:color="auto" w:fill="DBE5F1" w:themeFill="accent1" w:themeFillTint="33"/>
            <w:vAlign w:val="center"/>
          </w:tcPr>
          <w:p w14:paraId="66521E05" w14:textId="77777777" w:rsidR="00EB1316" w:rsidRPr="00C7021E" w:rsidRDefault="00EB1316" w:rsidP="009C5083">
            <w:pPr>
              <w:spacing w:after="0" w:line="240" w:lineRule="auto"/>
              <w:jc w:val="center"/>
              <w:rPr>
                <w:rFonts w:eastAsia="Calibri" w:cs="Times New Roman"/>
                <w:b/>
                <w:sz w:val="20"/>
                <w:szCs w:val="20"/>
                <w:lang w:val="en-GB" w:eastAsia="en-US"/>
              </w:rPr>
            </w:pPr>
            <w:r>
              <w:rPr>
                <w:rFonts w:eastAsia="Calibri" w:cs="Times New Roman"/>
                <w:b/>
                <w:sz w:val="20"/>
                <w:szCs w:val="20"/>
                <w:lang w:val="en-GB" w:eastAsia="en-US"/>
              </w:rPr>
              <w:t xml:space="preserve">Baseline </w:t>
            </w:r>
            <w:r w:rsidRPr="003D185C">
              <w:rPr>
                <w:rFonts w:eastAsia="Calibri" w:cs="Times New Roman"/>
                <w:sz w:val="20"/>
                <w:szCs w:val="20"/>
                <w:lang w:val="en-GB" w:eastAsia="en-US"/>
              </w:rPr>
              <w:t>2013</w:t>
            </w:r>
          </w:p>
        </w:tc>
        <w:tc>
          <w:tcPr>
            <w:tcW w:w="1620" w:type="dxa"/>
            <w:shd w:val="clear" w:color="auto" w:fill="DBE5F1" w:themeFill="accent1" w:themeFillTint="33"/>
            <w:vAlign w:val="center"/>
          </w:tcPr>
          <w:p w14:paraId="77568C8A" w14:textId="77777777" w:rsidR="00EB1316" w:rsidRPr="00C7021E" w:rsidRDefault="00EB1316" w:rsidP="009C5083">
            <w:pPr>
              <w:spacing w:after="0" w:line="240" w:lineRule="auto"/>
              <w:jc w:val="center"/>
              <w:rPr>
                <w:rFonts w:eastAsia="Calibri" w:cs="Times New Roman"/>
                <w:sz w:val="20"/>
                <w:szCs w:val="20"/>
                <w:lang w:val="en-GB" w:eastAsia="en-US"/>
              </w:rPr>
            </w:pPr>
            <w:r>
              <w:rPr>
                <w:rFonts w:eastAsia="Calibri" w:cs="Times New Roman"/>
                <w:b/>
                <w:sz w:val="20"/>
                <w:szCs w:val="20"/>
                <w:lang w:val="en-GB" w:eastAsia="en-US"/>
              </w:rPr>
              <w:t xml:space="preserve">Milestones </w:t>
            </w:r>
            <w:r w:rsidRPr="003D185C">
              <w:rPr>
                <w:rFonts w:eastAsia="Calibri" w:cs="Times New Roman"/>
                <w:sz w:val="20"/>
                <w:szCs w:val="20"/>
                <w:lang w:val="en-GB" w:eastAsia="en-US"/>
              </w:rPr>
              <w:t>2014</w:t>
            </w:r>
          </w:p>
        </w:tc>
        <w:tc>
          <w:tcPr>
            <w:tcW w:w="1800" w:type="dxa"/>
            <w:shd w:val="clear" w:color="auto" w:fill="DBE5F1" w:themeFill="accent1" w:themeFillTint="33"/>
            <w:vAlign w:val="center"/>
          </w:tcPr>
          <w:p w14:paraId="4E5A8B75" w14:textId="77777777" w:rsidR="00EB1316" w:rsidRPr="00C7021E" w:rsidRDefault="00EB1316" w:rsidP="009C5083">
            <w:pPr>
              <w:spacing w:after="0" w:line="240" w:lineRule="auto"/>
              <w:jc w:val="center"/>
              <w:rPr>
                <w:rFonts w:eastAsia="Calibri" w:cs="Times New Roman"/>
                <w:b/>
                <w:sz w:val="20"/>
                <w:szCs w:val="20"/>
                <w:lang w:val="en-GB" w:eastAsia="en-US"/>
              </w:rPr>
            </w:pPr>
            <w:r>
              <w:rPr>
                <w:rFonts w:eastAsia="Calibri" w:cs="Times New Roman"/>
                <w:b/>
                <w:sz w:val="20"/>
                <w:szCs w:val="20"/>
                <w:lang w:val="en-GB" w:eastAsia="en-US"/>
              </w:rPr>
              <w:t>Actual 2014</w:t>
            </w:r>
          </w:p>
        </w:tc>
        <w:tc>
          <w:tcPr>
            <w:tcW w:w="1710" w:type="dxa"/>
            <w:shd w:val="clear" w:color="auto" w:fill="DBE5F1" w:themeFill="accent1" w:themeFillTint="33"/>
            <w:vAlign w:val="center"/>
          </w:tcPr>
          <w:p w14:paraId="02A4F521" w14:textId="77777777" w:rsidR="00EB1316" w:rsidRDefault="00EB1316" w:rsidP="009C5083">
            <w:pPr>
              <w:spacing w:after="0" w:line="240" w:lineRule="auto"/>
              <w:jc w:val="center"/>
              <w:rPr>
                <w:rFonts w:eastAsia="Calibri" w:cs="Times New Roman"/>
                <w:b/>
                <w:sz w:val="20"/>
                <w:szCs w:val="20"/>
                <w:lang w:val="en-GB" w:eastAsia="en-US"/>
              </w:rPr>
            </w:pPr>
            <w:r>
              <w:rPr>
                <w:rFonts w:eastAsia="Calibri" w:cs="Times New Roman"/>
                <w:b/>
                <w:sz w:val="20"/>
                <w:szCs w:val="20"/>
                <w:lang w:val="en-GB" w:eastAsia="en-US"/>
              </w:rPr>
              <w:t>Target 2017</w:t>
            </w:r>
          </w:p>
        </w:tc>
      </w:tr>
      <w:tr w:rsidR="00EB1316" w:rsidRPr="00C7021E" w14:paraId="49067841" w14:textId="77777777" w:rsidTr="009C5083">
        <w:trPr>
          <w:trHeight w:val="341"/>
          <w:jc w:val="center"/>
        </w:trPr>
        <w:tc>
          <w:tcPr>
            <w:tcW w:w="1795" w:type="dxa"/>
            <w:vMerge w:val="restart"/>
            <w:shd w:val="clear" w:color="auto" w:fill="auto"/>
            <w:vAlign w:val="center"/>
          </w:tcPr>
          <w:p w14:paraId="34ECA61B" w14:textId="77777777" w:rsidR="00EB1316" w:rsidRPr="00C7021E" w:rsidRDefault="00EB1316" w:rsidP="009C5083">
            <w:pPr>
              <w:spacing w:after="0" w:line="240" w:lineRule="auto"/>
              <w:rPr>
                <w:rFonts w:eastAsia="Calibri" w:cs="Times New Roman"/>
                <w:sz w:val="20"/>
                <w:szCs w:val="20"/>
                <w:lang w:val="en-GB" w:eastAsia="en-US"/>
              </w:rPr>
            </w:pPr>
            <w:r w:rsidRPr="00245A7E">
              <w:rPr>
                <w:rFonts w:eastAsia="Calibri" w:cs="Times New Roman"/>
                <w:b/>
                <w:sz w:val="20"/>
                <w:szCs w:val="20"/>
                <w:lang w:val="en-GB" w:eastAsia="en-US"/>
              </w:rPr>
              <w:t>3.1</w:t>
            </w:r>
            <w:r w:rsidRPr="00C7021E">
              <w:rPr>
                <w:rFonts w:eastAsia="Calibri" w:cs="Times New Roman"/>
                <w:sz w:val="20"/>
                <w:szCs w:val="20"/>
                <w:lang w:val="en-GB" w:eastAsia="en-US"/>
              </w:rPr>
              <w:t xml:space="preserve"> Efficiency and effectiveness o</w:t>
            </w:r>
            <w:r>
              <w:rPr>
                <w:rFonts w:eastAsia="Calibri" w:cs="Times New Roman"/>
                <w:sz w:val="20"/>
                <w:szCs w:val="20"/>
                <w:lang w:val="en-GB" w:eastAsia="en-US"/>
              </w:rPr>
              <w:t xml:space="preserve">f UNDP operations improved and </w:t>
            </w:r>
            <w:r w:rsidRPr="00C7021E">
              <w:rPr>
                <w:rFonts w:eastAsia="Calibri" w:cs="Times New Roman"/>
                <w:sz w:val="20"/>
                <w:szCs w:val="20"/>
                <w:lang w:val="en-GB" w:eastAsia="en-US"/>
              </w:rPr>
              <w:t>development effectiveness enhanced with support from The Evaluation Office and the Office of Audits</w:t>
            </w:r>
          </w:p>
        </w:tc>
        <w:tc>
          <w:tcPr>
            <w:tcW w:w="540" w:type="dxa"/>
            <w:vMerge w:val="restart"/>
            <w:shd w:val="clear" w:color="auto" w:fill="FFFFFF" w:themeFill="background1"/>
            <w:vAlign w:val="center"/>
          </w:tcPr>
          <w:p w14:paraId="75AD2ED9" w14:textId="77777777" w:rsidR="00EB1316" w:rsidRPr="00C7021E" w:rsidRDefault="00EB1316" w:rsidP="009C5083">
            <w:pPr>
              <w:spacing w:after="0" w:line="240" w:lineRule="auto"/>
              <w:rPr>
                <w:rFonts w:eastAsia="Calibri" w:cs="Times New Roman"/>
                <w:b/>
                <w:sz w:val="20"/>
                <w:szCs w:val="20"/>
                <w:lang w:val="en-GB" w:eastAsia="en-US"/>
              </w:rPr>
            </w:pPr>
            <w:r>
              <w:rPr>
                <w:rFonts w:eastAsia="Calibri" w:cs="Times New Roman"/>
                <w:b/>
                <w:sz w:val="20"/>
                <w:szCs w:val="20"/>
                <w:lang w:val="en-GB" w:eastAsia="en-US"/>
              </w:rPr>
              <w:t>19</w:t>
            </w:r>
            <w:r w:rsidRPr="00C7021E">
              <w:rPr>
                <w:rFonts w:eastAsia="Calibri" w:cs="Times New Roman"/>
                <w:b/>
                <w:sz w:val="20"/>
                <w:szCs w:val="20"/>
                <w:lang w:val="en-GB" w:eastAsia="en-US"/>
              </w:rPr>
              <w:t>.</w:t>
            </w:r>
          </w:p>
        </w:tc>
        <w:tc>
          <w:tcPr>
            <w:tcW w:w="5040" w:type="dxa"/>
            <w:shd w:val="clear" w:color="auto" w:fill="FFFFFF" w:themeFill="background1"/>
            <w:vAlign w:val="center"/>
          </w:tcPr>
          <w:p w14:paraId="0FEB4142" w14:textId="77777777" w:rsidR="00EB1316" w:rsidRPr="00C7021E" w:rsidRDefault="00EB1316" w:rsidP="009C5083">
            <w:pPr>
              <w:spacing w:after="0" w:line="240" w:lineRule="auto"/>
              <w:rPr>
                <w:rFonts w:eastAsia="Calibri" w:cs="Times New Roman"/>
                <w:sz w:val="20"/>
                <w:szCs w:val="20"/>
                <w:lang w:val="en-GB" w:eastAsia="en-US"/>
              </w:rPr>
            </w:pPr>
            <w:r w:rsidRPr="00C7021E">
              <w:rPr>
                <w:rFonts w:eastAsia="Calibri" w:cs="Times New Roman"/>
                <w:sz w:val="20"/>
                <w:szCs w:val="20"/>
                <w:lang w:val="en-GB" w:eastAsia="en-US"/>
              </w:rPr>
              <w:t xml:space="preserve">Percentage of decentralized evaluations assessed which are rated of satisfactory quality, including having met UNEG gender-related norms and standards </w:t>
            </w:r>
            <w:r w:rsidRPr="00C7021E">
              <w:rPr>
                <w:rFonts w:eastAsia="Calibri" w:cs="Times New Roman"/>
                <w:b/>
                <w:sz w:val="20"/>
                <w:szCs w:val="20"/>
                <w:lang w:val="en-GB" w:eastAsia="en-US"/>
              </w:rPr>
              <w:t>(SWAP-related indicator)</w:t>
            </w:r>
            <w:r w:rsidRPr="00C7021E">
              <w:rPr>
                <w:rFonts w:eastAsia="Calibri" w:cs="Times New Roman"/>
                <w:sz w:val="20"/>
                <w:szCs w:val="20"/>
                <w:lang w:val="en-GB" w:eastAsia="en-US"/>
              </w:rPr>
              <w:t>.</w:t>
            </w:r>
          </w:p>
        </w:tc>
        <w:tc>
          <w:tcPr>
            <w:tcW w:w="1710" w:type="dxa"/>
            <w:shd w:val="clear" w:color="auto" w:fill="FFFFFF" w:themeFill="background1"/>
            <w:vAlign w:val="center"/>
          </w:tcPr>
          <w:p w14:paraId="4F332F5B" w14:textId="77777777" w:rsidR="00EB1316" w:rsidRPr="00BB2D00" w:rsidRDefault="00EB1316" w:rsidP="009C5083">
            <w:pPr>
              <w:spacing w:after="0"/>
              <w:jc w:val="center"/>
              <w:rPr>
                <w:rFonts w:ascii="Calibri" w:eastAsia="Calibri" w:hAnsi="Calibri"/>
                <w:sz w:val="20"/>
              </w:rPr>
            </w:pPr>
            <w:r>
              <w:rPr>
                <w:rFonts w:ascii="Calibri" w:eastAsia="Calibri" w:hAnsi="Calibri"/>
                <w:sz w:val="20"/>
              </w:rPr>
              <w:t>TBD</w:t>
            </w:r>
            <w:r w:rsidRPr="00BB2D00">
              <w:rPr>
                <w:rFonts w:ascii="Calibri" w:eastAsia="Calibri" w:hAnsi="Calibri"/>
                <w:sz w:val="20"/>
              </w:rPr>
              <w:t xml:space="preserve"> (201</w:t>
            </w:r>
            <w:r>
              <w:rPr>
                <w:rFonts w:ascii="Calibri" w:eastAsia="Calibri" w:hAnsi="Calibri"/>
                <w:sz w:val="20"/>
              </w:rPr>
              <w:t>4</w:t>
            </w:r>
            <w:r w:rsidRPr="00BB2D00">
              <w:rPr>
                <w:rFonts w:ascii="Calibri" w:eastAsia="Calibri" w:hAnsi="Calibri"/>
                <w:sz w:val="20"/>
              </w:rPr>
              <w:t>)</w:t>
            </w:r>
          </w:p>
        </w:tc>
        <w:tc>
          <w:tcPr>
            <w:tcW w:w="1620" w:type="dxa"/>
            <w:shd w:val="clear" w:color="auto" w:fill="FFFFFF" w:themeFill="background1"/>
            <w:vAlign w:val="center"/>
          </w:tcPr>
          <w:p w14:paraId="79ACA09A" w14:textId="77777777" w:rsidR="00EB1316" w:rsidRPr="00BB2D00" w:rsidRDefault="00EB1316" w:rsidP="009C5083">
            <w:pPr>
              <w:spacing w:after="0"/>
              <w:jc w:val="center"/>
              <w:rPr>
                <w:rFonts w:ascii="Calibri" w:eastAsia="Calibri" w:hAnsi="Calibri"/>
                <w:sz w:val="20"/>
              </w:rPr>
            </w:pPr>
            <w:r>
              <w:rPr>
                <w:rFonts w:ascii="Calibri" w:eastAsia="Calibri" w:hAnsi="Calibri"/>
                <w:sz w:val="20"/>
              </w:rPr>
              <w:t>NA</w:t>
            </w:r>
          </w:p>
        </w:tc>
        <w:tc>
          <w:tcPr>
            <w:tcW w:w="1800" w:type="dxa"/>
            <w:shd w:val="clear" w:color="auto" w:fill="FFFFFF" w:themeFill="background1"/>
            <w:vAlign w:val="center"/>
          </w:tcPr>
          <w:p w14:paraId="6E9A3F62" w14:textId="77777777" w:rsidR="00EB1316" w:rsidRPr="00BB2D00" w:rsidRDefault="00EB1316" w:rsidP="009C5083">
            <w:pPr>
              <w:spacing w:after="0"/>
              <w:jc w:val="center"/>
              <w:rPr>
                <w:rFonts w:ascii="Calibri" w:eastAsia="Calibri" w:hAnsi="Calibri"/>
                <w:sz w:val="20"/>
              </w:rPr>
            </w:pPr>
            <w:r>
              <w:rPr>
                <w:rFonts w:ascii="Calibri" w:eastAsia="Calibri" w:hAnsi="Calibri"/>
                <w:sz w:val="20"/>
              </w:rPr>
              <w:t>NA</w:t>
            </w:r>
          </w:p>
        </w:tc>
        <w:tc>
          <w:tcPr>
            <w:tcW w:w="1710" w:type="dxa"/>
            <w:shd w:val="clear" w:color="auto" w:fill="FFFFFF" w:themeFill="background1"/>
            <w:vAlign w:val="center"/>
          </w:tcPr>
          <w:p w14:paraId="2E7E9427" w14:textId="77777777" w:rsidR="00EB1316" w:rsidRDefault="00EB1316" w:rsidP="009C5083">
            <w:pPr>
              <w:spacing w:after="0"/>
              <w:jc w:val="center"/>
              <w:rPr>
                <w:rFonts w:ascii="Calibri" w:eastAsia="Calibri" w:hAnsi="Calibri"/>
                <w:sz w:val="20"/>
              </w:rPr>
            </w:pPr>
            <w:r>
              <w:rPr>
                <w:rFonts w:ascii="Calibri" w:eastAsia="Calibri" w:hAnsi="Calibri"/>
                <w:sz w:val="20"/>
              </w:rPr>
              <w:t>TBD</w:t>
            </w:r>
          </w:p>
        </w:tc>
      </w:tr>
      <w:tr w:rsidR="00EB1316" w:rsidRPr="00C7021E" w14:paraId="102EB18E" w14:textId="77777777" w:rsidTr="009C5083">
        <w:trPr>
          <w:trHeight w:val="341"/>
          <w:jc w:val="center"/>
        </w:trPr>
        <w:tc>
          <w:tcPr>
            <w:tcW w:w="1795" w:type="dxa"/>
            <w:vMerge/>
            <w:shd w:val="clear" w:color="auto" w:fill="auto"/>
            <w:vAlign w:val="center"/>
          </w:tcPr>
          <w:p w14:paraId="18403885" w14:textId="77777777" w:rsidR="00EB1316" w:rsidRPr="00245A7E" w:rsidRDefault="00EB1316" w:rsidP="009C5083">
            <w:pPr>
              <w:spacing w:after="0" w:line="240" w:lineRule="auto"/>
              <w:rPr>
                <w:rFonts w:eastAsia="Calibri" w:cs="Times New Roman"/>
                <w:b/>
                <w:sz w:val="20"/>
                <w:szCs w:val="20"/>
                <w:lang w:val="en-GB" w:eastAsia="en-US"/>
              </w:rPr>
            </w:pPr>
          </w:p>
        </w:tc>
        <w:tc>
          <w:tcPr>
            <w:tcW w:w="540" w:type="dxa"/>
            <w:vMerge/>
            <w:shd w:val="clear" w:color="auto" w:fill="auto"/>
            <w:vAlign w:val="center"/>
          </w:tcPr>
          <w:p w14:paraId="72C51729" w14:textId="77777777" w:rsidR="00EB1316" w:rsidRPr="00C7021E" w:rsidRDefault="00EB1316" w:rsidP="009C5083">
            <w:pPr>
              <w:spacing w:after="0" w:line="240" w:lineRule="auto"/>
              <w:rPr>
                <w:rFonts w:eastAsia="Calibri" w:cs="Times New Roman"/>
                <w:b/>
                <w:sz w:val="20"/>
                <w:szCs w:val="20"/>
                <w:lang w:val="en-GB" w:eastAsia="en-US"/>
              </w:rPr>
            </w:pPr>
          </w:p>
        </w:tc>
        <w:tc>
          <w:tcPr>
            <w:tcW w:w="11880" w:type="dxa"/>
            <w:gridSpan w:val="5"/>
            <w:shd w:val="clear" w:color="auto" w:fill="D9D9D9" w:themeFill="background1" w:themeFillShade="D9"/>
            <w:vAlign w:val="center"/>
          </w:tcPr>
          <w:p w14:paraId="0E167FBA" w14:textId="77777777" w:rsidR="00EB1316" w:rsidRPr="00710F4E" w:rsidRDefault="00EB1316" w:rsidP="009C5083">
            <w:pPr>
              <w:spacing w:after="0" w:line="240" w:lineRule="auto"/>
              <w:rPr>
                <w:rFonts w:ascii="Calibri" w:eastAsia="Calibri" w:hAnsi="Calibri"/>
                <w:b/>
                <w:sz w:val="18"/>
                <w:szCs w:val="18"/>
              </w:rPr>
            </w:pPr>
            <w:r w:rsidRPr="00710F4E">
              <w:rPr>
                <w:rFonts w:ascii="Calibri" w:eastAsia="Calibri" w:hAnsi="Calibri"/>
                <w:b/>
                <w:sz w:val="18"/>
                <w:szCs w:val="18"/>
              </w:rPr>
              <w:t>Note</w:t>
            </w:r>
            <w:r w:rsidRPr="00710F4E">
              <w:rPr>
                <w:rFonts w:ascii="Calibri" w:eastAsia="Calibri" w:hAnsi="Calibri"/>
                <w:sz w:val="18"/>
                <w:szCs w:val="18"/>
              </w:rPr>
              <w:t xml:space="preserve">: </w:t>
            </w:r>
            <w:r w:rsidRPr="00FE5CA5">
              <w:rPr>
                <w:rFonts w:ascii="Calibri" w:eastAsia="Calibri" w:hAnsi="Calibri"/>
                <w:sz w:val="18"/>
                <w:szCs w:val="18"/>
              </w:rPr>
              <w:t xml:space="preserve">The methodology to assess the quality of evaluation reports is </w:t>
            </w:r>
            <w:r>
              <w:rPr>
                <w:rFonts w:ascii="Calibri" w:eastAsia="Calibri" w:hAnsi="Calibri"/>
                <w:sz w:val="18"/>
                <w:szCs w:val="18"/>
              </w:rPr>
              <w:t xml:space="preserve">to be </w:t>
            </w:r>
            <w:r w:rsidRPr="00FE5CA5">
              <w:rPr>
                <w:rFonts w:ascii="Calibri" w:eastAsia="Calibri" w:hAnsi="Calibri"/>
                <w:sz w:val="18"/>
                <w:szCs w:val="18"/>
              </w:rPr>
              <w:t>revised by the Independent Evaluation Office, in the framework of the new evaluation policy. In 2015, UNDP expects to be in a position to report on both 2015 and 2014 assessments of decentralized evaluations. The 2014 figure will become the newly established baseline. During 2014, the Independent Evaluation Office has tested the application of UNEG criteria, including criteria on gender responsiveness, in a meta-evaluation covering 26 Decentralized evaluations (as part of the reporting to the UN SWAP on gender). The average score was “5.12</w:t>
            </w:r>
            <w:r>
              <w:rPr>
                <w:rFonts w:ascii="Calibri" w:eastAsia="Calibri" w:hAnsi="Calibri"/>
                <w:sz w:val="18"/>
                <w:szCs w:val="18"/>
              </w:rPr>
              <w:t>=</w:t>
            </w:r>
            <w:r w:rsidRPr="00FE5CA5">
              <w:rPr>
                <w:rFonts w:ascii="Calibri" w:eastAsia="Calibri" w:hAnsi="Calibri"/>
                <w:sz w:val="18"/>
                <w:szCs w:val="18"/>
              </w:rPr>
              <w:t>Approaches requirements” on a scale from 0-12.</w:t>
            </w:r>
          </w:p>
        </w:tc>
      </w:tr>
      <w:tr w:rsidR="00EB1316" w:rsidRPr="00C7021E" w14:paraId="328503DB" w14:textId="77777777" w:rsidTr="009C5083">
        <w:trPr>
          <w:trHeight w:val="350"/>
          <w:jc w:val="center"/>
        </w:trPr>
        <w:tc>
          <w:tcPr>
            <w:tcW w:w="1795" w:type="dxa"/>
            <w:vMerge/>
            <w:shd w:val="clear" w:color="auto" w:fill="auto"/>
            <w:vAlign w:val="center"/>
          </w:tcPr>
          <w:p w14:paraId="6A5E43CA"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vMerge w:val="restart"/>
            <w:shd w:val="clear" w:color="auto" w:fill="auto"/>
            <w:vAlign w:val="center"/>
          </w:tcPr>
          <w:p w14:paraId="3D5B86DB"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2</w:t>
            </w:r>
            <w:r>
              <w:rPr>
                <w:rFonts w:eastAsia="Calibri" w:cs="Times New Roman"/>
                <w:b/>
                <w:sz w:val="20"/>
                <w:szCs w:val="20"/>
                <w:lang w:val="en-GB" w:eastAsia="en-US"/>
              </w:rPr>
              <w:t>0</w:t>
            </w:r>
            <w:r w:rsidRPr="00C7021E">
              <w:rPr>
                <w:rFonts w:eastAsia="Calibri" w:cs="Times New Roman"/>
                <w:b/>
                <w:sz w:val="20"/>
                <w:szCs w:val="20"/>
                <w:lang w:val="en-GB" w:eastAsia="en-US"/>
              </w:rPr>
              <w:t>.</w:t>
            </w:r>
          </w:p>
        </w:tc>
        <w:tc>
          <w:tcPr>
            <w:tcW w:w="5040" w:type="dxa"/>
            <w:shd w:val="clear" w:color="auto" w:fill="auto"/>
            <w:vAlign w:val="center"/>
          </w:tcPr>
          <w:p w14:paraId="7B515DAA" w14:textId="77777777" w:rsidR="00EB1316" w:rsidRDefault="00EB1316" w:rsidP="009C5083">
            <w:pPr>
              <w:spacing w:after="0" w:line="240" w:lineRule="auto"/>
              <w:rPr>
                <w:rFonts w:eastAsia="Calibri" w:cs="Times New Roman"/>
                <w:sz w:val="20"/>
                <w:szCs w:val="20"/>
                <w:lang w:val="en-GB" w:eastAsia="en-US"/>
              </w:rPr>
            </w:pPr>
            <w:r w:rsidRPr="00C7021E">
              <w:rPr>
                <w:rFonts w:eastAsia="Calibri" w:cs="Times New Roman"/>
                <w:sz w:val="20"/>
                <w:szCs w:val="20"/>
                <w:lang w:val="en-GB" w:eastAsia="en-US"/>
              </w:rPr>
              <w:t>Percentage of internal audits that are rated as satisfactory, partially satisfactory, and unsatisfactory</w:t>
            </w:r>
          </w:p>
          <w:p w14:paraId="7B83485A" w14:textId="77777777" w:rsidR="00EB1316" w:rsidRDefault="00EB1316" w:rsidP="006F161D">
            <w:pPr>
              <w:pStyle w:val="ListParagraph"/>
              <w:numPr>
                <w:ilvl w:val="0"/>
                <w:numId w:val="92"/>
              </w:numPr>
              <w:rPr>
                <w:rFonts w:eastAsia="Calibri"/>
                <w:sz w:val="20"/>
                <w:szCs w:val="20"/>
                <w:lang w:val="en-GB" w:eastAsia="en-US"/>
              </w:rPr>
            </w:pPr>
            <w:r>
              <w:rPr>
                <w:rFonts w:eastAsia="Calibri"/>
                <w:sz w:val="20"/>
                <w:szCs w:val="20"/>
                <w:lang w:val="en-GB" w:eastAsia="en-US"/>
              </w:rPr>
              <w:t>Satisfactory</w:t>
            </w:r>
          </w:p>
          <w:p w14:paraId="767B9FCD" w14:textId="77777777" w:rsidR="00EB1316" w:rsidRDefault="00EB1316" w:rsidP="006F161D">
            <w:pPr>
              <w:pStyle w:val="ListParagraph"/>
              <w:numPr>
                <w:ilvl w:val="0"/>
                <w:numId w:val="92"/>
              </w:numPr>
              <w:rPr>
                <w:rFonts w:eastAsia="Calibri"/>
                <w:sz w:val="20"/>
                <w:szCs w:val="20"/>
                <w:lang w:val="en-GB" w:eastAsia="en-US"/>
              </w:rPr>
            </w:pPr>
            <w:r>
              <w:rPr>
                <w:rFonts w:eastAsia="Calibri"/>
                <w:sz w:val="20"/>
                <w:szCs w:val="20"/>
                <w:lang w:val="en-GB" w:eastAsia="en-US"/>
              </w:rPr>
              <w:t>Partially satisfactory</w:t>
            </w:r>
          </w:p>
          <w:p w14:paraId="7FAE6618" w14:textId="77777777" w:rsidR="00EB1316" w:rsidRPr="00BB2D00" w:rsidRDefault="00EB1316" w:rsidP="006F161D">
            <w:pPr>
              <w:pStyle w:val="ListParagraph"/>
              <w:numPr>
                <w:ilvl w:val="0"/>
                <w:numId w:val="92"/>
              </w:numPr>
              <w:rPr>
                <w:rFonts w:eastAsia="Calibri"/>
                <w:sz w:val="20"/>
                <w:szCs w:val="20"/>
                <w:lang w:val="en-GB" w:eastAsia="en-US"/>
              </w:rPr>
            </w:pPr>
            <w:r>
              <w:rPr>
                <w:rFonts w:eastAsia="Calibri"/>
                <w:sz w:val="20"/>
                <w:szCs w:val="20"/>
                <w:lang w:val="en-GB" w:eastAsia="en-US"/>
              </w:rPr>
              <w:t>Unsatisfactory</w:t>
            </w:r>
          </w:p>
        </w:tc>
        <w:tc>
          <w:tcPr>
            <w:tcW w:w="1710" w:type="dxa"/>
            <w:shd w:val="clear" w:color="auto" w:fill="auto"/>
            <w:vAlign w:val="center"/>
          </w:tcPr>
          <w:p w14:paraId="608F92D7" w14:textId="77777777" w:rsidR="00EB1316" w:rsidRPr="001D06AA" w:rsidRDefault="00EB1316" w:rsidP="009C5083">
            <w:pPr>
              <w:spacing w:after="0" w:line="240" w:lineRule="auto"/>
              <w:rPr>
                <w:rFonts w:eastAsia="Calibri"/>
                <w:sz w:val="20"/>
              </w:rPr>
            </w:pPr>
            <w:r w:rsidRPr="00BB2D00">
              <w:rPr>
                <w:rFonts w:ascii="Calibri" w:eastAsia="Calibri" w:hAnsi="Calibri"/>
                <w:sz w:val="20"/>
              </w:rPr>
              <w:t>(average 2011-2013)</w:t>
            </w:r>
          </w:p>
          <w:p w14:paraId="7F012023" w14:textId="77777777" w:rsidR="00EB1316" w:rsidRPr="00BB2D00" w:rsidRDefault="00EB1316" w:rsidP="006F161D">
            <w:pPr>
              <w:pStyle w:val="ListParagraph"/>
              <w:numPr>
                <w:ilvl w:val="0"/>
                <w:numId w:val="93"/>
              </w:numPr>
              <w:jc w:val="both"/>
              <w:rPr>
                <w:rFonts w:eastAsia="Calibri"/>
                <w:sz w:val="20"/>
              </w:rPr>
            </w:pPr>
            <w:r>
              <w:rPr>
                <w:rFonts w:eastAsia="Calibri"/>
                <w:sz w:val="20"/>
              </w:rPr>
              <w:t>35</w:t>
            </w:r>
            <w:r w:rsidRPr="00BB2D00">
              <w:rPr>
                <w:rFonts w:eastAsia="Calibri"/>
                <w:sz w:val="20"/>
              </w:rPr>
              <w:t>%</w:t>
            </w:r>
          </w:p>
          <w:p w14:paraId="693ADD57" w14:textId="77777777" w:rsidR="00EB1316" w:rsidRPr="00BB2D00" w:rsidRDefault="00EB1316" w:rsidP="006F161D">
            <w:pPr>
              <w:pStyle w:val="ListParagraph"/>
              <w:numPr>
                <w:ilvl w:val="0"/>
                <w:numId w:val="93"/>
              </w:numPr>
              <w:jc w:val="both"/>
              <w:rPr>
                <w:rFonts w:eastAsia="Calibri"/>
                <w:sz w:val="20"/>
              </w:rPr>
            </w:pPr>
            <w:r w:rsidRPr="00BB2D00">
              <w:rPr>
                <w:rFonts w:eastAsia="Calibri"/>
                <w:sz w:val="20"/>
              </w:rPr>
              <w:t>58%</w:t>
            </w:r>
          </w:p>
          <w:p w14:paraId="124A51E9" w14:textId="77777777" w:rsidR="00EB1316" w:rsidRPr="005E40C4" w:rsidRDefault="00EB1316" w:rsidP="006F161D">
            <w:pPr>
              <w:pStyle w:val="ListParagraph"/>
              <w:numPr>
                <w:ilvl w:val="0"/>
                <w:numId w:val="93"/>
              </w:numPr>
              <w:jc w:val="both"/>
              <w:rPr>
                <w:rFonts w:eastAsia="Calibri"/>
                <w:sz w:val="20"/>
              </w:rPr>
            </w:pPr>
            <w:r>
              <w:rPr>
                <w:rFonts w:eastAsia="Calibri"/>
                <w:sz w:val="20"/>
              </w:rPr>
              <w:t>7</w:t>
            </w:r>
            <w:r w:rsidRPr="00BB2D00">
              <w:rPr>
                <w:rFonts w:eastAsia="Calibri"/>
                <w:sz w:val="20"/>
              </w:rPr>
              <w:t>%</w:t>
            </w:r>
          </w:p>
        </w:tc>
        <w:tc>
          <w:tcPr>
            <w:tcW w:w="1620" w:type="dxa"/>
            <w:shd w:val="clear" w:color="auto" w:fill="auto"/>
            <w:vAlign w:val="center"/>
          </w:tcPr>
          <w:p w14:paraId="4835226C" w14:textId="77777777" w:rsidR="00EB1316" w:rsidRPr="000B676F" w:rsidRDefault="00EB1316" w:rsidP="009C5083">
            <w:pPr>
              <w:pStyle w:val="ListParagraph"/>
              <w:ind w:left="540"/>
              <w:rPr>
                <w:rFonts w:eastAsia="Calibri"/>
                <w:sz w:val="20"/>
                <w:szCs w:val="18"/>
                <w:lang w:val="en-GB" w:eastAsia="en-US"/>
              </w:rPr>
            </w:pPr>
          </w:p>
          <w:p w14:paraId="39766DB7" w14:textId="77777777" w:rsidR="00EB1316" w:rsidRPr="000B676F" w:rsidRDefault="00EB1316" w:rsidP="009C5083">
            <w:pPr>
              <w:pStyle w:val="ListParagraph"/>
              <w:ind w:left="540"/>
              <w:rPr>
                <w:rFonts w:eastAsia="Calibri"/>
                <w:sz w:val="20"/>
                <w:szCs w:val="18"/>
                <w:lang w:val="en-GB" w:eastAsia="en-US"/>
              </w:rPr>
            </w:pPr>
          </w:p>
          <w:p w14:paraId="0F5BCF37" w14:textId="77777777" w:rsidR="00EB1316" w:rsidRDefault="00EB1316" w:rsidP="006F161D">
            <w:pPr>
              <w:pStyle w:val="ListParagraph"/>
              <w:numPr>
                <w:ilvl w:val="0"/>
                <w:numId w:val="94"/>
              </w:numPr>
              <w:rPr>
                <w:rFonts w:eastAsia="Calibri"/>
                <w:sz w:val="20"/>
                <w:szCs w:val="18"/>
                <w:lang w:val="en-GB" w:eastAsia="en-US"/>
              </w:rPr>
            </w:pPr>
            <w:r>
              <w:rPr>
                <w:rFonts w:eastAsia="Calibri"/>
                <w:sz w:val="20"/>
                <w:szCs w:val="18"/>
                <w:lang w:val="en-GB" w:eastAsia="en-US"/>
              </w:rPr>
              <w:t>&gt;30</w:t>
            </w:r>
            <w:r w:rsidRPr="000B676F">
              <w:rPr>
                <w:rFonts w:eastAsia="Calibri"/>
                <w:sz w:val="20"/>
                <w:szCs w:val="18"/>
                <w:lang w:val="en-GB" w:eastAsia="en-US"/>
              </w:rPr>
              <w:t>%</w:t>
            </w:r>
          </w:p>
          <w:p w14:paraId="50291A44" w14:textId="77777777" w:rsidR="00EB1316" w:rsidRDefault="00EB1316" w:rsidP="006F161D">
            <w:pPr>
              <w:pStyle w:val="ListParagraph"/>
              <w:numPr>
                <w:ilvl w:val="0"/>
                <w:numId w:val="94"/>
              </w:numPr>
              <w:rPr>
                <w:rFonts w:eastAsia="Calibri"/>
                <w:sz w:val="20"/>
                <w:szCs w:val="18"/>
                <w:lang w:val="en-GB" w:eastAsia="en-US"/>
              </w:rPr>
            </w:pPr>
            <w:r w:rsidRPr="000B676F">
              <w:rPr>
                <w:rFonts w:eastAsia="Calibri"/>
                <w:sz w:val="20"/>
                <w:szCs w:val="18"/>
                <w:lang w:val="en-GB" w:eastAsia="en-US"/>
              </w:rPr>
              <w:t>&lt;65%</w:t>
            </w:r>
          </w:p>
          <w:p w14:paraId="53E17FC3" w14:textId="77777777" w:rsidR="00EB1316" w:rsidRPr="00D702B6" w:rsidRDefault="00EB1316" w:rsidP="006F161D">
            <w:pPr>
              <w:pStyle w:val="ListParagraph"/>
              <w:numPr>
                <w:ilvl w:val="0"/>
                <w:numId w:val="94"/>
              </w:numPr>
              <w:rPr>
                <w:rFonts w:eastAsia="Calibri"/>
                <w:sz w:val="20"/>
                <w:szCs w:val="18"/>
                <w:lang w:val="en-GB" w:eastAsia="en-US"/>
              </w:rPr>
            </w:pPr>
            <w:r w:rsidRPr="00D702B6">
              <w:rPr>
                <w:rFonts w:eastAsia="Calibri"/>
                <w:sz w:val="20"/>
                <w:szCs w:val="18"/>
                <w:lang w:val="en-GB" w:eastAsia="en-US"/>
              </w:rPr>
              <w:t>&lt;15%</w:t>
            </w:r>
          </w:p>
        </w:tc>
        <w:tc>
          <w:tcPr>
            <w:tcW w:w="1800" w:type="dxa"/>
            <w:shd w:val="clear" w:color="auto" w:fill="auto"/>
            <w:vAlign w:val="center"/>
          </w:tcPr>
          <w:p w14:paraId="0CEF4C9C" w14:textId="77777777" w:rsidR="00EB1316" w:rsidRPr="00CB4E81" w:rsidRDefault="00EB1316" w:rsidP="009C5083">
            <w:pPr>
              <w:rPr>
                <w:rFonts w:eastAsia="Calibri"/>
                <w:sz w:val="20"/>
                <w:szCs w:val="18"/>
                <w:lang w:val="en-GB" w:eastAsia="en-US"/>
              </w:rPr>
            </w:pPr>
          </w:p>
          <w:p w14:paraId="535ABE4F" w14:textId="77777777" w:rsidR="00EB1316" w:rsidRDefault="00EB1316" w:rsidP="006F161D">
            <w:pPr>
              <w:pStyle w:val="ListParagraph"/>
              <w:numPr>
                <w:ilvl w:val="0"/>
                <w:numId w:val="95"/>
              </w:numPr>
              <w:rPr>
                <w:rFonts w:eastAsia="Calibri"/>
                <w:sz w:val="20"/>
                <w:szCs w:val="18"/>
                <w:lang w:val="en-GB" w:eastAsia="en-US"/>
              </w:rPr>
            </w:pPr>
            <w:r>
              <w:rPr>
                <w:rFonts w:eastAsia="Calibri"/>
                <w:sz w:val="20"/>
                <w:szCs w:val="18"/>
                <w:lang w:val="en-GB" w:eastAsia="en-US"/>
              </w:rPr>
              <w:t>36%</w:t>
            </w:r>
          </w:p>
          <w:p w14:paraId="5B43BB08" w14:textId="77777777" w:rsidR="00EB1316" w:rsidRDefault="00EB1316" w:rsidP="006F161D">
            <w:pPr>
              <w:pStyle w:val="ListParagraph"/>
              <w:numPr>
                <w:ilvl w:val="0"/>
                <w:numId w:val="95"/>
              </w:numPr>
              <w:rPr>
                <w:rFonts w:eastAsia="Calibri"/>
                <w:sz w:val="20"/>
                <w:szCs w:val="18"/>
                <w:lang w:val="en-GB" w:eastAsia="en-US"/>
              </w:rPr>
            </w:pPr>
            <w:r>
              <w:rPr>
                <w:rFonts w:eastAsia="Calibri"/>
                <w:sz w:val="20"/>
                <w:szCs w:val="18"/>
                <w:lang w:val="en-GB" w:eastAsia="en-US"/>
              </w:rPr>
              <w:t>57%</w:t>
            </w:r>
          </w:p>
          <w:p w14:paraId="506B160B" w14:textId="77777777" w:rsidR="00EB1316" w:rsidRPr="00CB4E81" w:rsidRDefault="00EB1316" w:rsidP="006F161D">
            <w:pPr>
              <w:pStyle w:val="ListParagraph"/>
              <w:numPr>
                <w:ilvl w:val="0"/>
                <w:numId w:val="95"/>
              </w:numPr>
              <w:rPr>
                <w:rFonts w:eastAsia="Calibri"/>
                <w:sz w:val="20"/>
                <w:szCs w:val="18"/>
                <w:lang w:val="en-GB" w:eastAsia="en-US"/>
              </w:rPr>
            </w:pPr>
            <w:r w:rsidRPr="00CB4E81">
              <w:rPr>
                <w:rFonts w:eastAsia="Calibri"/>
                <w:sz w:val="20"/>
                <w:szCs w:val="18"/>
                <w:lang w:val="en-GB" w:eastAsia="en-US"/>
              </w:rPr>
              <w:t>7%</w:t>
            </w:r>
          </w:p>
        </w:tc>
        <w:tc>
          <w:tcPr>
            <w:tcW w:w="1710" w:type="dxa"/>
            <w:shd w:val="clear" w:color="auto" w:fill="auto"/>
            <w:vAlign w:val="center"/>
          </w:tcPr>
          <w:p w14:paraId="373992AB" w14:textId="77777777" w:rsidR="00EB1316" w:rsidRDefault="00EB1316" w:rsidP="009C5083">
            <w:pPr>
              <w:pStyle w:val="ListParagraph"/>
              <w:ind w:left="540"/>
              <w:rPr>
                <w:rFonts w:eastAsia="Calibri"/>
                <w:sz w:val="20"/>
                <w:szCs w:val="18"/>
                <w:lang w:val="en-GB" w:eastAsia="en-US"/>
              </w:rPr>
            </w:pPr>
          </w:p>
          <w:p w14:paraId="36BC6876" w14:textId="77777777" w:rsidR="00EB1316" w:rsidRDefault="00EB1316" w:rsidP="009C5083">
            <w:pPr>
              <w:pStyle w:val="ListParagraph"/>
              <w:ind w:left="540"/>
              <w:rPr>
                <w:rFonts w:eastAsia="Calibri"/>
                <w:sz w:val="20"/>
                <w:szCs w:val="18"/>
                <w:lang w:val="en-GB" w:eastAsia="en-US"/>
              </w:rPr>
            </w:pPr>
          </w:p>
          <w:p w14:paraId="75005580" w14:textId="681F72B1" w:rsidR="00EB1316" w:rsidRDefault="00F80A8E" w:rsidP="006F161D">
            <w:pPr>
              <w:pStyle w:val="ListParagraph"/>
              <w:numPr>
                <w:ilvl w:val="0"/>
                <w:numId w:val="96"/>
              </w:numPr>
              <w:rPr>
                <w:rFonts w:eastAsia="Calibri"/>
                <w:sz w:val="20"/>
                <w:szCs w:val="18"/>
                <w:lang w:val="en-GB" w:eastAsia="en-US"/>
              </w:rPr>
            </w:pPr>
            <w:r>
              <w:rPr>
                <w:rFonts w:eastAsia="Calibri"/>
                <w:sz w:val="20"/>
                <w:szCs w:val="18"/>
                <w:lang w:val="en-GB" w:eastAsia="en-US"/>
              </w:rPr>
              <w:t>&gt;</w:t>
            </w:r>
            <w:r w:rsidR="00EB1316">
              <w:rPr>
                <w:rFonts w:eastAsia="Calibri"/>
                <w:sz w:val="20"/>
                <w:szCs w:val="18"/>
                <w:lang w:val="en-GB" w:eastAsia="en-US"/>
              </w:rPr>
              <w:t>30</w:t>
            </w:r>
            <w:r w:rsidR="00EB1316" w:rsidRPr="000B676F">
              <w:rPr>
                <w:rFonts w:eastAsia="Calibri"/>
                <w:sz w:val="20"/>
                <w:szCs w:val="18"/>
                <w:lang w:val="en-GB" w:eastAsia="en-US"/>
              </w:rPr>
              <w:t>%</w:t>
            </w:r>
          </w:p>
          <w:p w14:paraId="28DCF927" w14:textId="77777777" w:rsidR="00EB1316" w:rsidRDefault="00EB1316" w:rsidP="006F161D">
            <w:pPr>
              <w:pStyle w:val="ListParagraph"/>
              <w:numPr>
                <w:ilvl w:val="0"/>
                <w:numId w:val="96"/>
              </w:numPr>
              <w:rPr>
                <w:rFonts w:eastAsia="Calibri"/>
                <w:sz w:val="20"/>
                <w:szCs w:val="18"/>
                <w:lang w:val="en-GB" w:eastAsia="en-US"/>
              </w:rPr>
            </w:pPr>
            <w:r w:rsidRPr="000B676F">
              <w:rPr>
                <w:rFonts w:eastAsia="Calibri"/>
                <w:sz w:val="20"/>
                <w:szCs w:val="18"/>
                <w:lang w:val="en-GB" w:eastAsia="en-US"/>
              </w:rPr>
              <w:t>&lt;65%</w:t>
            </w:r>
          </w:p>
          <w:p w14:paraId="404F0524" w14:textId="77777777" w:rsidR="00EB1316" w:rsidRPr="006E19FA" w:rsidRDefault="00EB1316" w:rsidP="006F161D">
            <w:pPr>
              <w:pStyle w:val="ListParagraph"/>
              <w:numPr>
                <w:ilvl w:val="0"/>
                <w:numId w:val="96"/>
              </w:numPr>
              <w:rPr>
                <w:rFonts w:eastAsia="Calibri"/>
                <w:sz w:val="20"/>
                <w:szCs w:val="18"/>
                <w:lang w:val="en-GB" w:eastAsia="en-US"/>
              </w:rPr>
            </w:pPr>
            <w:r w:rsidRPr="006E19FA">
              <w:rPr>
                <w:rFonts w:eastAsia="Calibri"/>
                <w:sz w:val="20"/>
                <w:szCs w:val="18"/>
                <w:lang w:val="en-GB" w:eastAsia="en-US"/>
              </w:rPr>
              <w:t>&lt;15%</w:t>
            </w:r>
          </w:p>
        </w:tc>
      </w:tr>
      <w:tr w:rsidR="00EB1316" w:rsidRPr="00C7021E" w14:paraId="38166825" w14:textId="77777777" w:rsidTr="009C5083">
        <w:trPr>
          <w:trHeight w:val="350"/>
          <w:jc w:val="center"/>
        </w:trPr>
        <w:tc>
          <w:tcPr>
            <w:tcW w:w="1795" w:type="dxa"/>
            <w:vMerge/>
            <w:shd w:val="clear" w:color="auto" w:fill="auto"/>
            <w:vAlign w:val="center"/>
          </w:tcPr>
          <w:p w14:paraId="33F1B0DE"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vMerge/>
            <w:shd w:val="clear" w:color="auto" w:fill="auto"/>
            <w:vAlign w:val="center"/>
          </w:tcPr>
          <w:p w14:paraId="5A1AF2FD" w14:textId="77777777" w:rsidR="00EB1316" w:rsidRPr="00C7021E" w:rsidRDefault="00EB1316" w:rsidP="009C5083">
            <w:pPr>
              <w:spacing w:after="0" w:line="240" w:lineRule="auto"/>
              <w:rPr>
                <w:rFonts w:eastAsia="Calibri" w:cs="Times New Roman"/>
                <w:b/>
                <w:sz w:val="20"/>
                <w:szCs w:val="20"/>
                <w:lang w:val="en-GB" w:eastAsia="en-US"/>
              </w:rPr>
            </w:pPr>
          </w:p>
        </w:tc>
        <w:tc>
          <w:tcPr>
            <w:tcW w:w="11880" w:type="dxa"/>
            <w:gridSpan w:val="5"/>
            <w:shd w:val="clear" w:color="auto" w:fill="D9D9D9" w:themeFill="background1" w:themeFillShade="D9"/>
            <w:vAlign w:val="center"/>
          </w:tcPr>
          <w:p w14:paraId="56E8B28B" w14:textId="77777777" w:rsidR="00EB1316" w:rsidRPr="00710F4E" w:rsidRDefault="00EB1316" w:rsidP="009C5083">
            <w:pPr>
              <w:pStyle w:val="ListParagraph"/>
              <w:ind w:left="0"/>
              <w:rPr>
                <w:rFonts w:eastAsia="Calibri"/>
                <w:b/>
                <w:sz w:val="18"/>
                <w:szCs w:val="18"/>
                <w:lang w:val="en-GB" w:eastAsia="en-US"/>
              </w:rPr>
            </w:pPr>
            <w:r w:rsidRPr="00710F4E">
              <w:rPr>
                <w:rFonts w:eastAsia="Calibri"/>
                <w:b/>
                <w:sz w:val="18"/>
                <w:szCs w:val="18"/>
                <w:lang w:val="en-GB" w:eastAsia="en-US"/>
              </w:rPr>
              <w:t>Note</w:t>
            </w:r>
            <w:r w:rsidRPr="00710F4E">
              <w:rPr>
                <w:rFonts w:eastAsia="Calibri"/>
                <w:sz w:val="18"/>
                <w:szCs w:val="18"/>
                <w:lang w:val="en-GB" w:eastAsia="en-US"/>
              </w:rPr>
              <w:t xml:space="preserve">: </w:t>
            </w:r>
            <w:r w:rsidRPr="00710F4E">
              <w:rPr>
                <w:rFonts w:eastAsia="Calibri"/>
                <w:sz w:val="18"/>
                <w:szCs w:val="18"/>
              </w:rPr>
              <w:t>This indicator substitute the previous “percentage of UNDP’s programme covered by Office and Audit and Investigation (OAI)’s audit annually” to ensure consistency with indicator 21 measuring UNDP performance (result) rather than UNDP investment (input). UNDP investment in both the Office of Audit and Investigations and the Independent Evaluation Office are included in the annual reporting to the Executive Board by those independent offices.</w:t>
            </w:r>
            <w:r>
              <w:rPr>
                <w:rFonts w:eastAsia="Calibri"/>
                <w:sz w:val="18"/>
                <w:szCs w:val="18"/>
              </w:rPr>
              <w:t xml:space="preserve"> </w:t>
            </w:r>
            <w:r w:rsidRPr="007259A4">
              <w:rPr>
                <w:sz w:val="18"/>
                <w:lang w:val="en-GB"/>
              </w:rPr>
              <w:t>Milestones and targets are set based on industry standards for audits.</w:t>
            </w:r>
          </w:p>
        </w:tc>
      </w:tr>
      <w:tr w:rsidR="00EB1316" w:rsidRPr="00C7021E" w14:paraId="2317BDB8" w14:textId="77777777" w:rsidTr="009C5083">
        <w:trPr>
          <w:trHeight w:val="64"/>
          <w:jc w:val="center"/>
        </w:trPr>
        <w:tc>
          <w:tcPr>
            <w:tcW w:w="1795" w:type="dxa"/>
            <w:vMerge/>
            <w:shd w:val="clear" w:color="auto" w:fill="auto"/>
            <w:vAlign w:val="center"/>
          </w:tcPr>
          <w:p w14:paraId="4EA631A0"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vMerge w:val="restart"/>
            <w:shd w:val="clear" w:color="auto" w:fill="auto"/>
            <w:vAlign w:val="center"/>
          </w:tcPr>
          <w:p w14:paraId="58CAAD53"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2</w:t>
            </w:r>
            <w:r>
              <w:rPr>
                <w:rFonts w:eastAsia="Calibri" w:cs="Times New Roman"/>
                <w:b/>
                <w:sz w:val="20"/>
                <w:szCs w:val="20"/>
                <w:lang w:val="en-GB" w:eastAsia="en-US"/>
              </w:rPr>
              <w:t>1</w:t>
            </w:r>
            <w:r w:rsidRPr="00C7021E">
              <w:rPr>
                <w:rFonts w:eastAsia="Calibri" w:cs="Times New Roman"/>
                <w:b/>
                <w:sz w:val="20"/>
                <w:szCs w:val="20"/>
                <w:lang w:val="en-GB" w:eastAsia="en-US"/>
              </w:rPr>
              <w:t>.</w:t>
            </w:r>
          </w:p>
        </w:tc>
        <w:tc>
          <w:tcPr>
            <w:tcW w:w="5040" w:type="dxa"/>
            <w:shd w:val="clear" w:color="auto" w:fill="auto"/>
            <w:vAlign w:val="center"/>
          </w:tcPr>
          <w:p w14:paraId="72684010" w14:textId="77777777" w:rsidR="00EB1316" w:rsidRPr="00C7021E" w:rsidRDefault="00EB1316" w:rsidP="009C5083">
            <w:pPr>
              <w:spacing w:after="0" w:line="240" w:lineRule="auto"/>
              <w:rPr>
                <w:rFonts w:eastAsia="Calibri" w:cs="Times New Roman"/>
                <w:sz w:val="20"/>
                <w:szCs w:val="20"/>
                <w:lang w:val="en-GB" w:eastAsia="en-US"/>
              </w:rPr>
            </w:pPr>
            <w:r w:rsidRPr="00C7021E">
              <w:rPr>
                <w:rFonts w:eastAsia="Calibri" w:cs="Times New Roman"/>
                <w:sz w:val="20"/>
                <w:szCs w:val="20"/>
                <w:lang w:val="en-GB" w:eastAsia="en-US"/>
              </w:rPr>
              <w:t xml:space="preserve">Percentage of audited expenditures that are unqualified </w:t>
            </w:r>
          </w:p>
        </w:tc>
        <w:tc>
          <w:tcPr>
            <w:tcW w:w="1710" w:type="dxa"/>
            <w:shd w:val="clear" w:color="auto" w:fill="auto"/>
            <w:vAlign w:val="center"/>
          </w:tcPr>
          <w:p w14:paraId="246E89C5" w14:textId="77777777" w:rsidR="00EB1316" w:rsidRPr="00A406D6" w:rsidRDefault="00EB1316" w:rsidP="009C5083">
            <w:pPr>
              <w:spacing w:after="0" w:line="240" w:lineRule="auto"/>
              <w:rPr>
                <w:rFonts w:ascii="Calibri" w:eastAsia="Calibri" w:hAnsi="Calibri"/>
                <w:sz w:val="20"/>
              </w:rPr>
            </w:pPr>
            <w:r w:rsidRPr="00A406D6">
              <w:rPr>
                <w:rFonts w:ascii="Calibri" w:eastAsia="Calibri" w:hAnsi="Calibri"/>
                <w:sz w:val="20"/>
              </w:rPr>
              <w:t>94.2% (2013)</w:t>
            </w:r>
          </w:p>
          <w:p w14:paraId="3FA80A08" w14:textId="77777777" w:rsidR="00EB1316" w:rsidRPr="00A406D6" w:rsidRDefault="00EB1316" w:rsidP="009C5083">
            <w:pPr>
              <w:spacing w:after="0" w:line="240" w:lineRule="auto"/>
              <w:rPr>
                <w:rFonts w:ascii="Calibri" w:eastAsia="Calibri" w:hAnsi="Calibri"/>
                <w:sz w:val="20"/>
              </w:rPr>
            </w:pPr>
            <w:r w:rsidRPr="00A406D6">
              <w:rPr>
                <w:rFonts w:ascii="Calibri" w:eastAsia="Calibri" w:hAnsi="Calibri"/>
                <w:sz w:val="20"/>
              </w:rPr>
              <w:t>97.6% (average 2011-2013)</w:t>
            </w:r>
          </w:p>
        </w:tc>
        <w:tc>
          <w:tcPr>
            <w:tcW w:w="1620" w:type="dxa"/>
            <w:shd w:val="clear" w:color="auto" w:fill="auto"/>
            <w:vAlign w:val="center"/>
          </w:tcPr>
          <w:p w14:paraId="2C95A8FA" w14:textId="77777777" w:rsidR="00EB1316" w:rsidRPr="00A406D6" w:rsidRDefault="00EB1316" w:rsidP="009C5083">
            <w:pPr>
              <w:spacing w:after="0" w:line="240" w:lineRule="auto"/>
              <w:rPr>
                <w:rFonts w:ascii="Calibri" w:eastAsia="Calibri" w:hAnsi="Calibri"/>
                <w:sz w:val="20"/>
              </w:rPr>
            </w:pPr>
            <w:r w:rsidRPr="00A406D6">
              <w:rPr>
                <w:rFonts w:ascii="Calibri" w:eastAsia="Calibri" w:hAnsi="Calibri"/>
                <w:sz w:val="20"/>
              </w:rPr>
              <w:t>≥ 98%</w:t>
            </w:r>
          </w:p>
        </w:tc>
        <w:tc>
          <w:tcPr>
            <w:tcW w:w="1800" w:type="dxa"/>
            <w:shd w:val="clear" w:color="auto" w:fill="auto"/>
            <w:vAlign w:val="center"/>
          </w:tcPr>
          <w:p w14:paraId="04805105" w14:textId="77777777" w:rsidR="00EB1316" w:rsidRPr="00A406D6" w:rsidRDefault="00EB1316" w:rsidP="009C5083">
            <w:pPr>
              <w:spacing w:after="0" w:line="240" w:lineRule="auto"/>
              <w:rPr>
                <w:rFonts w:eastAsia="Calibri" w:cs="Times New Roman"/>
                <w:sz w:val="20"/>
                <w:szCs w:val="18"/>
                <w:lang w:val="en-GB" w:eastAsia="en-US"/>
              </w:rPr>
            </w:pPr>
            <w:r w:rsidRPr="002F41DE">
              <w:rPr>
                <w:rFonts w:eastAsia="Calibri" w:cs="Times New Roman"/>
                <w:sz w:val="20"/>
                <w:szCs w:val="18"/>
                <w:lang w:val="en-GB" w:eastAsia="en-US"/>
              </w:rPr>
              <w:t>95.2%</w:t>
            </w:r>
          </w:p>
        </w:tc>
        <w:tc>
          <w:tcPr>
            <w:tcW w:w="1710" w:type="dxa"/>
            <w:shd w:val="clear" w:color="auto" w:fill="auto"/>
            <w:vAlign w:val="center"/>
          </w:tcPr>
          <w:p w14:paraId="49B0EA42" w14:textId="77777777" w:rsidR="00EB1316" w:rsidRPr="002F41DE" w:rsidRDefault="00EB1316" w:rsidP="009C5083">
            <w:pPr>
              <w:spacing w:after="0" w:line="240" w:lineRule="auto"/>
              <w:rPr>
                <w:rFonts w:eastAsia="Calibri" w:cs="Times New Roman"/>
                <w:sz w:val="20"/>
                <w:szCs w:val="18"/>
                <w:lang w:val="en-GB" w:eastAsia="en-US"/>
              </w:rPr>
            </w:pPr>
            <w:r w:rsidRPr="00A406D6">
              <w:rPr>
                <w:rFonts w:ascii="Calibri" w:eastAsia="Calibri" w:hAnsi="Calibri"/>
                <w:sz w:val="20"/>
              </w:rPr>
              <w:t>≥ 98%</w:t>
            </w:r>
          </w:p>
        </w:tc>
      </w:tr>
      <w:tr w:rsidR="00EB1316" w:rsidRPr="00C7021E" w14:paraId="15ED70FF" w14:textId="77777777" w:rsidTr="009C5083">
        <w:trPr>
          <w:trHeight w:val="64"/>
          <w:jc w:val="center"/>
        </w:trPr>
        <w:tc>
          <w:tcPr>
            <w:tcW w:w="1795" w:type="dxa"/>
            <w:vMerge/>
            <w:shd w:val="clear" w:color="auto" w:fill="auto"/>
            <w:vAlign w:val="center"/>
          </w:tcPr>
          <w:p w14:paraId="60D60A38"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vMerge/>
            <w:shd w:val="clear" w:color="auto" w:fill="auto"/>
            <w:vAlign w:val="center"/>
          </w:tcPr>
          <w:p w14:paraId="0E52E009" w14:textId="77777777" w:rsidR="00EB1316" w:rsidRPr="00C7021E" w:rsidRDefault="00EB1316" w:rsidP="009C5083">
            <w:pPr>
              <w:spacing w:after="0" w:line="240" w:lineRule="auto"/>
              <w:rPr>
                <w:rFonts w:eastAsia="Calibri" w:cs="Times New Roman"/>
                <w:b/>
                <w:sz w:val="20"/>
                <w:szCs w:val="20"/>
                <w:lang w:val="en-GB" w:eastAsia="en-US"/>
              </w:rPr>
            </w:pPr>
          </w:p>
        </w:tc>
        <w:tc>
          <w:tcPr>
            <w:tcW w:w="11880" w:type="dxa"/>
            <w:gridSpan w:val="5"/>
            <w:shd w:val="clear" w:color="auto" w:fill="D9D9D9" w:themeFill="background1" w:themeFillShade="D9"/>
            <w:vAlign w:val="center"/>
          </w:tcPr>
          <w:p w14:paraId="1C697D02" w14:textId="77777777" w:rsidR="00EB1316" w:rsidRPr="00167DD2" w:rsidRDefault="00EB1316" w:rsidP="009C5083">
            <w:pPr>
              <w:spacing w:after="0" w:line="240" w:lineRule="auto"/>
              <w:rPr>
                <w:rFonts w:ascii="Calibri" w:eastAsia="Calibri" w:hAnsi="Calibri"/>
                <w:sz w:val="18"/>
                <w:szCs w:val="18"/>
              </w:rPr>
            </w:pPr>
            <w:r w:rsidRPr="00167DD2">
              <w:rPr>
                <w:rFonts w:ascii="Calibri" w:eastAsia="Calibri" w:hAnsi="Calibri"/>
                <w:sz w:val="18"/>
                <w:szCs w:val="18"/>
              </w:rPr>
              <w:t>Note: The world “expenditures” has been added to ensure the indicator correctly reflects what is measured</w:t>
            </w:r>
            <w:r>
              <w:rPr>
                <w:rFonts w:ascii="Calibri" w:eastAsia="Calibri" w:hAnsi="Calibri"/>
                <w:sz w:val="18"/>
                <w:szCs w:val="18"/>
              </w:rPr>
              <w:t xml:space="preserve">. </w:t>
            </w:r>
            <w:r w:rsidRPr="007259A4">
              <w:rPr>
                <w:sz w:val="18"/>
                <w:lang w:val="en-GB"/>
              </w:rPr>
              <w:t>Milestones and targets are set based on industry standards for audits.</w:t>
            </w:r>
          </w:p>
        </w:tc>
      </w:tr>
      <w:tr w:rsidR="00EB1316" w:rsidRPr="00C7021E" w14:paraId="1CDDED55" w14:textId="77777777" w:rsidTr="009C5083">
        <w:trPr>
          <w:trHeight w:val="989"/>
          <w:jc w:val="center"/>
        </w:trPr>
        <w:tc>
          <w:tcPr>
            <w:tcW w:w="1795" w:type="dxa"/>
            <w:vMerge w:val="restart"/>
            <w:shd w:val="clear" w:color="auto" w:fill="auto"/>
            <w:vAlign w:val="center"/>
          </w:tcPr>
          <w:p w14:paraId="5114B41D" w14:textId="77777777" w:rsidR="00EB1316" w:rsidRPr="00C7021E" w:rsidRDefault="00EB1316" w:rsidP="009C5083">
            <w:pPr>
              <w:spacing w:after="0" w:line="240" w:lineRule="auto"/>
              <w:rPr>
                <w:rFonts w:eastAsia="Calibri" w:cs="Times New Roman"/>
                <w:color w:val="000000"/>
                <w:sz w:val="20"/>
                <w:szCs w:val="20"/>
                <w:lang w:val="en-GB" w:eastAsia="en-US"/>
              </w:rPr>
            </w:pPr>
            <w:r w:rsidRPr="00245A7E">
              <w:rPr>
                <w:rFonts w:eastAsia="Calibri" w:cs="Times New Roman"/>
                <w:b/>
                <w:color w:val="000000"/>
                <w:sz w:val="20"/>
                <w:szCs w:val="20"/>
                <w:lang w:val="en-GB" w:eastAsia="en-US"/>
              </w:rPr>
              <w:t>3.2</w:t>
            </w:r>
            <w:r w:rsidRPr="00C7021E">
              <w:rPr>
                <w:rFonts w:eastAsia="Calibri" w:cs="Times New Roman"/>
                <w:color w:val="000000"/>
                <w:sz w:val="20"/>
                <w:szCs w:val="20"/>
                <w:lang w:val="en-GB" w:eastAsia="en-US"/>
              </w:rPr>
              <w:t xml:space="preserve"> Management</w:t>
            </w:r>
            <w:r w:rsidRPr="00C7021E" w:rsidDel="00F20151">
              <w:rPr>
                <w:rFonts w:eastAsia="Calibri" w:cs="Times New Roman"/>
                <w:sz w:val="20"/>
                <w:szCs w:val="20"/>
                <w:lang w:val="en-GB" w:eastAsia="en-US"/>
              </w:rPr>
              <w:t xml:space="preserve"> </w:t>
            </w:r>
            <w:r w:rsidRPr="00C7021E">
              <w:rPr>
                <w:rFonts w:eastAsia="Calibri" w:cs="Times New Roman"/>
                <w:sz w:val="20"/>
                <w:szCs w:val="20"/>
                <w:lang w:val="en-GB" w:eastAsia="en-US"/>
              </w:rPr>
              <w:t xml:space="preserve">action on evaluation and audit findings </w:t>
            </w:r>
            <w:r w:rsidRPr="00C7021E">
              <w:rPr>
                <w:rFonts w:eastAsia="Calibri" w:cs="Times New Roman"/>
                <w:color w:val="000000"/>
                <w:sz w:val="20"/>
                <w:szCs w:val="20"/>
                <w:lang w:val="en-GB" w:eastAsia="en-US"/>
              </w:rPr>
              <w:t xml:space="preserve">taken </w:t>
            </w:r>
            <w:r w:rsidRPr="00C7021E">
              <w:rPr>
                <w:rFonts w:eastAsia="Calibri" w:cs="Times New Roman"/>
                <w:sz w:val="20"/>
                <w:szCs w:val="20"/>
                <w:lang w:val="en-GB" w:eastAsia="en-US"/>
              </w:rPr>
              <w:t xml:space="preserve">to improve efficiency and effectiveness </w:t>
            </w:r>
          </w:p>
        </w:tc>
        <w:tc>
          <w:tcPr>
            <w:tcW w:w="540" w:type="dxa"/>
            <w:vMerge w:val="restart"/>
            <w:shd w:val="clear" w:color="auto" w:fill="auto"/>
            <w:vAlign w:val="center"/>
          </w:tcPr>
          <w:p w14:paraId="224E8F55"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2</w:t>
            </w:r>
            <w:r>
              <w:rPr>
                <w:rFonts w:eastAsia="Calibri" w:cs="Times New Roman"/>
                <w:b/>
                <w:sz w:val="20"/>
                <w:szCs w:val="20"/>
                <w:lang w:val="en-GB" w:eastAsia="en-US"/>
              </w:rPr>
              <w:t>2</w:t>
            </w:r>
            <w:r w:rsidRPr="00C7021E">
              <w:rPr>
                <w:rFonts w:eastAsia="Calibri" w:cs="Times New Roman"/>
                <w:b/>
                <w:sz w:val="20"/>
                <w:szCs w:val="20"/>
                <w:lang w:val="en-GB" w:eastAsia="en-US"/>
              </w:rPr>
              <w:t>.</w:t>
            </w:r>
          </w:p>
        </w:tc>
        <w:tc>
          <w:tcPr>
            <w:tcW w:w="5040" w:type="dxa"/>
            <w:shd w:val="clear" w:color="auto" w:fill="auto"/>
            <w:vAlign w:val="center"/>
          </w:tcPr>
          <w:p w14:paraId="3ADD7EB4" w14:textId="77777777" w:rsidR="00EB1316" w:rsidRDefault="00EB1316" w:rsidP="009C5083">
            <w:pPr>
              <w:spacing w:after="0" w:line="240" w:lineRule="auto"/>
              <w:rPr>
                <w:rFonts w:eastAsia="Calibri" w:cs="Times New Roman"/>
                <w:color w:val="000000"/>
                <w:sz w:val="20"/>
                <w:szCs w:val="20"/>
                <w:lang w:val="en-GB" w:eastAsia="en-US"/>
              </w:rPr>
            </w:pPr>
            <w:r w:rsidRPr="00C7021E">
              <w:rPr>
                <w:rFonts w:eastAsia="SimSun" w:cs="Times New Roman"/>
                <w:color w:val="000000"/>
                <w:sz w:val="20"/>
                <w:szCs w:val="20"/>
                <w:lang w:val="en-GB" w:eastAsia="zh-CN"/>
              </w:rPr>
              <w:t xml:space="preserve">Implementation rate of agreed </w:t>
            </w:r>
            <w:r w:rsidRPr="00C7021E">
              <w:rPr>
                <w:rFonts w:eastAsia="Calibri" w:cs="Times New Roman"/>
                <w:color w:val="000000"/>
                <w:sz w:val="20"/>
                <w:szCs w:val="20"/>
                <w:lang w:val="en-GB" w:eastAsia="en-US"/>
              </w:rPr>
              <w:t>actions in evaluation management responses</w:t>
            </w:r>
          </w:p>
          <w:p w14:paraId="5E529C86" w14:textId="77777777" w:rsidR="00EB1316" w:rsidRDefault="00EB1316" w:rsidP="006F161D">
            <w:pPr>
              <w:pStyle w:val="ListParagraph"/>
              <w:numPr>
                <w:ilvl w:val="0"/>
                <w:numId w:val="97"/>
              </w:numPr>
              <w:rPr>
                <w:rFonts w:eastAsia="SimSun"/>
                <w:color w:val="000000"/>
                <w:sz w:val="20"/>
                <w:szCs w:val="20"/>
                <w:lang w:val="en-GB" w:eastAsia="zh-CN"/>
              </w:rPr>
            </w:pPr>
            <w:r>
              <w:rPr>
                <w:rFonts w:eastAsia="SimSun"/>
                <w:color w:val="000000"/>
                <w:sz w:val="20"/>
                <w:szCs w:val="20"/>
                <w:lang w:val="en-GB" w:eastAsia="zh-CN"/>
              </w:rPr>
              <w:t>Decentralized evaluations</w:t>
            </w:r>
          </w:p>
          <w:p w14:paraId="224BB86B" w14:textId="77777777" w:rsidR="00EB1316" w:rsidRPr="006D497C" w:rsidRDefault="00EB1316" w:rsidP="006F161D">
            <w:pPr>
              <w:pStyle w:val="ListParagraph"/>
              <w:numPr>
                <w:ilvl w:val="0"/>
                <w:numId w:val="97"/>
              </w:numPr>
              <w:rPr>
                <w:rFonts w:eastAsia="SimSun"/>
                <w:color w:val="000000"/>
                <w:sz w:val="20"/>
                <w:szCs w:val="20"/>
                <w:lang w:val="en-GB" w:eastAsia="zh-CN"/>
              </w:rPr>
            </w:pPr>
            <w:r>
              <w:rPr>
                <w:rFonts w:eastAsia="SimSun"/>
                <w:color w:val="000000"/>
                <w:sz w:val="20"/>
                <w:szCs w:val="20"/>
                <w:lang w:val="en-GB" w:eastAsia="zh-CN"/>
              </w:rPr>
              <w:t>Independent evaluations</w:t>
            </w:r>
          </w:p>
        </w:tc>
        <w:tc>
          <w:tcPr>
            <w:tcW w:w="1710" w:type="dxa"/>
            <w:shd w:val="clear" w:color="auto" w:fill="auto"/>
            <w:vAlign w:val="center"/>
          </w:tcPr>
          <w:p w14:paraId="4DEE9E63" w14:textId="77777777" w:rsidR="00EB1316" w:rsidRDefault="00EB1316" w:rsidP="009C5083">
            <w:pPr>
              <w:spacing w:after="0" w:line="240" w:lineRule="auto"/>
              <w:ind w:right="432"/>
              <w:rPr>
                <w:rFonts w:ascii="Calibri" w:eastAsia="Calibri" w:hAnsi="Calibri"/>
                <w:sz w:val="20"/>
              </w:rPr>
            </w:pPr>
          </w:p>
          <w:p w14:paraId="563F1AAC" w14:textId="77777777" w:rsidR="00EB1316" w:rsidRDefault="00EB1316" w:rsidP="009C5083">
            <w:pPr>
              <w:spacing w:after="0" w:line="240" w:lineRule="auto"/>
              <w:ind w:right="432"/>
              <w:rPr>
                <w:rFonts w:ascii="Calibri" w:eastAsia="Calibri" w:hAnsi="Calibri"/>
                <w:sz w:val="20"/>
              </w:rPr>
            </w:pPr>
          </w:p>
          <w:p w14:paraId="4DEF291A" w14:textId="77777777" w:rsidR="00EB1316" w:rsidRPr="00D702B6" w:rsidRDefault="00EB1316" w:rsidP="006F161D">
            <w:pPr>
              <w:pStyle w:val="ListParagraph"/>
              <w:numPr>
                <w:ilvl w:val="0"/>
                <w:numId w:val="98"/>
              </w:numPr>
              <w:ind w:left="342" w:right="432" w:hanging="180"/>
              <w:rPr>
                <w:rFonts w:eastAsia="Calibri"/>
                <w:sz w:val="20"/>
              </w:rPr>
            </w:pPr>
            <w:r>
              <w:rPr>
                <w:rFonts w:eastAsia="Calibri"/>
                <w:sz w:val="20"/>
              </w:rPr>
              <w:t>68</w:t>
            </w:r>
            <w:r w:rsidRPr="00D702B6">
              <w:rPr>
                <w:rFonts w:eastAsia="Calibri"/>
                <w:sz w:val="20"/>
              </w:rPr>
              <w:t>%</w:t>
            </w:r>
          </w:p>
          <w:p w14:paraId="6B08A482" w14:textId="77777777" w:rsidR="00EB1316" w:rsidRPr="00D702B6" w:rsidRDefault="00EB1316" w:rsidP="006F161D">
            <w:pPr>
              <w:pStyle w:val="ListParagraph"/>
              <w:numPr>
                <w:ilvl w:val="0"/>
                <w:numId w:val="98"/>
              </w:numPr>
              <w:ind w:left="342" w:right="432" w:hanging="180"/>
              <w:rPr>
                <w:rFonts w:eastAsia="Calibri"/>
                <w:sz w:val="20"/>
              </w:rPr>
            </w:pPr>
            <w:r>
              <w:rPr>
                <w:rFonts w:eastAsia="Calibri"/>
                <w:sz w:val="20"/>
              </w:rPr>
              <w:t>80</w:t>
            </w:r>
            <w:r w:rsidRPr="00D702B6">
              <w:rPr>
                <w:rFonts w:eastAsia="Calibri"/>
                <w:sz w:val="20"/>
              </w:rPr>
              <w:t>%</w:t>
            </w:r>
          </w:p>
        </w:tc>
        <w:tc>
          <w:tcPr>
            <w:tcW w:w="1620" w:type="dxa"/>
            <w:shd w:val="clear" w:color="auto" w:fill="auto"/>
            <w:vAlign w:val="center"/>
          </w:tcPr>
          <w:p w14:paraId="459BF5CE" w14:textId="77777777" w:rsidR="00EB1316" w:rsidRDefault="00EB1316" w:rsidP="009C5083">
            <w:pPr>
              <w:spacing w:after="0" w:line="240" w:lineRule="auto"/>
              <w:ind w:right="432"/>
              <w:rPr>
                <w:rFonts w:ascii="Calibri" w:eastAsia="Calibri" w:hAnsi="Calibri"/>
                <w:sz w:val="20"/>
              </w:rPr>
            </w:pPr>
          </w:p>
          <w:p w14:paraId="0B31ACF1" w14:textId="77777777" w:rsidR="00EB1316" w:rsidRDefault="00EB1316" w:rsidP="009C5083">
            <w:pPr>
              <w:spacing w:after="0" w:line="240" w:lineRule="auto"/>
              <w:ind w:right="432"/>
              <w:rPr>
                <w:rFonts w:ascii="Calibri" w:eastAsia="Calibri" w:hAnsi="Calibri"/>
                <w:sz w:val="20"/>
              </w:rPr>
            </w:pPr>
          </w:p>
          <w:p w14:paraId="0BC44982" w14:textId="77777777" w:rsidR="00EB1316" w:rsidRPr="00D702B6" w:rsidRDefault="00EB1316" w:rsidP="006F161D">
            <w:pPr>
              <w:pStyle w:val="ListParagraph"/>
              <w:numPr>
                <w:ilvl w:val="0"/>
                <w:numId w:val="99"/>
              </w:numPr>
              <w:ind w:left="342" w:right="432" w:hanging="180"/>
              <w:rPr>
                <w:rFonts w:eastAsia="Calibri"/>
                <w:sz w:val="20"/>
              </w:rPr>
            </w:pPr>
            <w:r>
              <w:rPr>
                <w:rFonts w:eastAsia="Calibri"/>
                <w:sz w:val="20"/>
              </w:rPr>
              <w:t>74</w:t>
            </w:r>
            <w:r w:rsidRPr="00D702B6">
              <w:rPr>
                <w:rFonts w:eastAsia="Calibri"/>
                <w:sz w:val="20"/>
              </w:rPr>
              <w:t>%</w:t>
            </w:r>
          </w:p>
          <w:p w14:paraId="0444BD4C" w14:textId="77777777" w:rsidR="00EB1316" w:rsidRPr="00D702B6" w:rsidRDefault="00EB1316" w:rsidP="006F161D">
            <w:pPr>
              <w:pStyle w:val="ListParagraph"/>
              <w:numPr>
                <w:ilvl w:val="0"/>
                <w:numId w:val="99"/>
              </w:numPr>
              <w:ind w:left="342" w:hanging="180"/>
              <w:rPr>
                <w:rFonts w:eastAsia="Calibri"/>
                <w:sz w:val="20"/>
              </w:rPr>
            </w:pPr>
            <w:r>
              <w:rPr>
                <w:rFonts w:eastAsia="Calibri"/>
                <w:sz w:val="20"/>
              </w:rPr>
              <w:t>82</w:t>
            </w:r>
            <w:r w:rsidRPr="00D702B6">
              <w:rPr>
                <w:rFonts w:eastAsia="Calibri"/>
                <w:sz w:val="20"/>
              </w:rPr>
              <w:t>%</w:t>
            </w:r>
          </w:p>
        </w:tc>
        <w:tc>
          <w:tcPr>
            <w:tcW w:w="1800" w:type="dxa"/>
            <w:shd w:val="clear" w:color="auto" w:fill="auto"/>
            <w:vAlign w:val="center"/>
          </w:tcPr>
          <w:p w14:paraId="5C1EC182" w14:textId="77777777" w:rsidR="00EB1316" w:rsidRPr="009B0C81" w:rsidRDefault="00EB1316" w:rsidP="009C5083">
            <w:pPr>
              <w:ind w:right="432"/>
              <w:rPr>
                <w:rFonts w:eastAsia="Calibri"/>
                <w:sz w:val="20"/>
                <w:szCs w:val="20"/>
                <w:lang w:val="en-GB" w:eastAsia="en-US"/>
              </w:rPr>
            </w:pPr>
          </w:p>
          <w:p w14:paraId="22F27B35" w14:textId="77777777" w:rsidR="00EB1316" w:rsidRDefault="00EB1316" w:rsidP="006F161D">
            <w:pPr>
              <w:pStyle w:val="ListParagraph"/>
              <w:numPr>
                <w:ilvl w:val="0"/>
                <w:numId w:val="100"/>
              </w:numPr>
              <w:ind w:left="432" w:right="432" w:hanging="270"/>
              <w:rPr>
                <w:rFonts w:eastAsia="Calibri"/>
                <w:sz w:val="20"/>
                <w:szCs w:val="20"/>
                <w:lang w:val="en-GB" w:eastAsia="en-US"/>
              </w:rPr>
            </w:pPr>
            <w:r>
              <w:rPr>
                <w:rFonts w:eastAsia="Calibri"/>
                <w:sz w:val="20"/>
                <w:szCs w:val="20"/>
                <w:lang w:val="en-GB" w:eastAsia="en-US"/>
              </w:rPr>
              <w:t>78%</w:t>
            </w:r>
          </w:p>
          <w:p w14:paraId="4B6D7812" w14:textId="77777777" w:rsidR="00EB1316" w:rsidRPr="009B0C81" w:rsidRDefault="00EB1316" w:rsidP="006F161D">
            <w:pPr>
              <w:pStyle w:val="ListParagraph"/>
              <w:numPr>
                <w:ilvl w:val="0"/>
                <w:numId w:val="100"/>
              </w:numPr>
              <w:ind w:left="432" w:right="432" w:hanging="270"/>
              <w:rPr>
                <w:rFonts w:eastAsia="Calibri"/>
                <w:sz w:val="20"/>
                <w:szCs w:val="20"/>
                <w:lang w:val="en-GB" w:eastAsia="en-US"/>
              </w:rPr>
            </w:pPr>
            <w:r>
              <w:rPr>
                <w:rFonts w:eastAsia="Calibri"/>
                <w:sz w:val="20"/>
                <w:szCs w:val="20"/>
                <w:lang w:val="en-GB" w:eastAsia="en-US"/>
              </w:rPr>
              <w:t>82%</w:t>
            </w:r>
          </w:p>
        </w:tc>
        <w:tc>
          <w:tcPr>
            <w:tcW w:w="1710" w:type="dxa"/>
            <w:shd w:val="clear" w:color="auto" w:fill="auto"/>
            <w:vAlign w:val="center"/>
          </w:tcPr>
          <w:p w14:paraId="41A41FE2" w14:textId="77777777" w:rsidR="00EB1316" w:rsidRPr="000035C6" w:rsidRDefault="00EB1316" w:rsidP="009C5083">
            <w:pPr>
              <w:ind w:right="432"/>
              <w:rPr>
                <w:rFonts w:eastAsia="Calibri"/>
                <w:sz w:val="20"/>
                <w:szCs w:val="20"/>
                <w:lang w:val="en-GB" w:eastAsia="en-US"/>
              </w:rPr>
            </w:pPr>
          </w:p>
          <w:p w14:paraId="5067F6AB" w14:textId="77777777" w:rsidR="00EB1316" w:rsidRPr="000035C6" w:rsidRDefault="00EB1316" w:rsidP="006F161D">
            <w:pPr>
              <w:pStyle w:val="ListParagraph"/>
              <w:numPr>
                <w:ilvl w:val="0"/>
                <w:numId w:val="101"/>
              </w:numPr>
              <w:ind w:left="252" w:right="432" w:hanging="180"/>
              <w:rPr>
                <w:rFonts w:eastAsia="Calibri"/>
                <w:sz w:val="20"/>
                <w:szCs w:val="20"/>
                <w:lang w:val="en-GB" w:eastAsia="en-US"/>
              </w:rPr>
            </w:pPr>
            <w:r w:rsidRPr="000035C6">
              <w:rPr>
                <w:rFonts w:eastAsia="Calibri"/>
                <w:sz w:val="20"/>
                <w:szCs w:val="20"/>
                <w:lang w:val="en-GB" w:eastAsia="en-US"/>
              </w:rPr>
              <w:t>&gt;95%</w:t>
            </w:r>
          </w:p>
          <w:p w14:paraId="3F6EE898" w14:textId="77777777" w:rsidR="00EB1316" w:rsidRPr="000035C6" w:rsidRDefault="00EB1316" w:rsidP="006F161D">
            <w:pPr>
              <w:pStyle w:val="ListParagraph"/>
              <w:numPr>
                <w:ilvl w:val="0"/>
                <w:numId w:val="101"/>
              </w:numPr>
              <w:ind w:left="252" w:right="432" w:hanging="180"/>
              <w:rPr>
                <w:rFonts w:eastAsia="Calibri"/>
                <w:sz w:val="20"/>
                <w:szCs w:val="20"/>
                <w:lang w:val="en-GB" w:eastAsia="en-US"/>
              </w:rPr>
            </w:pPr>
            <w:r w:rsidRPr="000035C6">
              <w:rPr>
                <w:rFonts w:eastAsia="Calibri"/>
                <w:sz w:val="20"/>
                <w:szCs w:val="20"/>
                <w:lang w:val="en-GB" w:eastAsia="en-US"/>
              </w:rPr>
              <w:t>&gt;95%</w:t>
            </w:r>
          </w:p>
        </w:tc>
      </w:tr>
      <w:tr w:rsidR="00EB1316" w:rsidRPr="00C7021E" w14:paraId="057490FB" w14:textId="77777777" w:rsidTr="009C5083">
        <w:trPr>
          <w:trHeight w:val="647"/>
          <w:jc w:val="center"/>
        </w:trPr>
        <w:tc>
          <w:tcPr>
            <w:tcW w:w="1795" w:type="dxa"/>
            <w:vMerge/>
            <w:shd w:val="clear" w:color="auto" w:fill="auto"/>
            <w:vAlign w:val="center"/>
          </w:tcPr>
          <w:p w14:paraId="08E68EC1" w14:textId="77777777" w:rsidR="00EB1316" w:rsidRPr="00C7021E" w:rsidRDefault="00EB1316" w:rsidP="009C5083">
            <w:pPr>
              <w:spacing w:after="0" w:line="240" w:lineRule="auto"/>
              <w:rPr>
                <w:rFonts w:eastAsia="Calibri" w:cs="Times New Roman"/>
                <w:color w:val="000000"/>
                <w:sz w:val="20"/>
                <w:szCs w:val="20"/>
                <w:lang w:val="en-GB" w:eastAsia="en-US"/>
              </w:rPr>
            </w:pPr>
          </w:p>
        </w:tc>
        <w:tc>
          <w:tcPr>
            <w:tcW w:w="540" w:type="dxa"/>
            <w:vMerge/>
            <w:shd w:val="clear" w:color="auto" w:fill="EAF1DD" w:themeFill="accent3" w:themeFillTint="33"/>
            <w:vAlign w:val="center"/>
          </w:tcPr>
          <w:p w14:paraId="0FFF306C" w14:textId="77777777" w:rsidR="00EB1316" w:rsidRPr="00C7021E" w:rsidRDefault="00EB1316" w:rsidP="009C5083">
            <w:pPr>
              <w:spacing w:after="0" w:line="240" w:lineRule="auto"/>
              <w:rPr>
                <w:rFonts w:eastAsia="Calibri" w:cs="Times New Roman"/>
                <w:b/>
                <w:sz w:val="20"/>
                <w:szCs w:val="20"/>
                <w:lang w:val="en-GB" w:eastAsia="en-US"/>
              </w:rPr>
            </w:pPr>
          </w:p>
        </w:tc>
        <w:tc>
          <w:tcPr>
            <w:tcW w:w="11880" w:type="dxa"/>
            <w:gridSpan w:val="5"/>
            <w:shd w:val="clear" w:color="auto" w:fill="D9D9D9" w:themeFill="background1" w:themeFillShade="D9"/>
            <w:vAlign w:val="center"/>
          </w:tcPr>
          <w:p w14:paraId="4BF15C73" w14:textId="77777777" w:rsidR="00EB1316" w:rsidRPr="00383F95" w:rsidRDefault="00EB1316" w:rsidP="009C5083">
            <w:pPr>
              <w:spacing w:after="0" w:line="240" w:lineRule="auto"/>
              <w:rPr>
                <w:rFonts w:ascii="Calibri" w:eastAsia="MS Mincho" w:hAnsi="Calibri" w:cs="Arial Unicode MS"/>
                <w:b/>
                <w:bCs/>
                <w:sz w:val="18"/>
                <w:szCs w:val="18"/>
              </w:rPr>
            </w:pPr>
            <w:r w:rsidRPr="00383F95">
              <w:rPr>
                <w:rFonts w:ascii="Calibri" w:eastAsia="MS Mincho" w:hAnsi="Calibri" w:cs="Arial Unicode MS"/>
                <w:b/>
                <w:bCs/>
                <w:sz w:val="18"/>
                <w:szCs w:val="18"/>
              </w:rPr>
              <w:t>Note</w:t>
            </w:r>
            <w:r w:rsidRPr="00383F95">
              <w:rPr>
                <w:rFonts w:ascii="Calibri" w:eastAsia="MS Mincho" w:hAnsi="Calibri" w:cs="Arial Unicode MS"/>
                <w:sz w:val="18"/>
                <w:szCs w:val="18"/>
              </w:rPr>
              <w:t>: The data source of this indicator is the Evaluations Resources Centre. The implementation rate is calculated as follows: total number of management responses which are “completed”, “on-going” and “initiated” divided by the number of total key actions excluding those are “no longer applicable”.</w:t>
            </w:r>
            <w:r>
              <w:rPr>
                <w:rFonts w:ascii="Calibri" w:eastAsia="MS Mincho" w:hAnsi="Calibri" w:cs="Arial Unicode MS"/>
                <w:sz w:val="18"/>
                <w:szCs w:val="18"/>
              </w:rPr>
              <w:t xml:space="preserve"> Baseline and milestones were adjusted compared to what previously reported because the formula used in 2013 included only management responses which are “completed” and “on-going” but not “initiated.”</w:t>
            </w:r>
          </w:p>
        </w:tc>
      </w:tr>
      <w:tr w:rsidR="00EB1316" w:rsidRPr="00C7021E" w14:paraId="40ABBD8B" w14:textId="77777777" w:rsidTr="009C5083">
        <w:trPr>
          <w:trHeight w:val="732"/>
          <w:jc w:val="center"/>
        </w:trPr>
        <w:tc>
          <w:tcPr>
            <w:tcW w:w="1795" w:type="dxa"/>
            <w:vMerge/>
            <w:shd w:val="clear" w:color="auto" w:fill="auto"/>
            <w:vAlign w:val="center"/>
          </w:tcPr>
          <w:p w14:paraId="63EAA18E" w14:textId="77777777" w:rsidR="00EB1316" w:rsidRPr="00C7021E" w:rsidRDefault="00EB1316" w:rsidP="009C5083">
            <w:pPr>
              <w:spacing w:after="0" w:line="240" w:lineRule="auto"/>
              <w:rPr>
                <w:rFonts w:eastAsia="Calibri" w:cs="Times New Roman"/>
                <w:color w:val="000000"/>
                <w:sz w:val="20"/>
                <w:szCs w:val="20"/>
                <w:lang w:val="en-GB" w:eastAsia="en-US"/>
              </w:rPr>
            </w:pPr>
          </w:p>
        </w:tc>
        <w:tc>
          <w:tcPr>
            <w:tcW w:w="540" w:type="dxa"/>
            <w:vMerge w:val="restart"/>
            <w:shd w:val="clear" w:color="auto" w:fill="auto"/>
            <w:vAlign w:val="center"/>
          </w:tcPr>
          <w:p w14:paraId="3B44C384"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2</w:t>
            </w:r>
            <w:r>
              <w:rPr>
                <w:rFonts w:eastAsia="Calibri" w:cs="Times New Roman"/>
                <w:b/>
                <w:sz w:val="20"/>
                <w:szCs w:val="20"/>
                <w:lang w:val="en-GB" w:eastAsia="en-US"/>
              </w:rPr>
              <w:t>3</w:t>
            </w:r>
            <w:r w:rsidRPr="00C7021E">
              <w:rPr>
                <w:rFonts w:eastAsia="Calibri" w:cs="Times New Roman"/>
                <w:b/>
                <w:sz w:val="20"/>
                <w:szCs w:val="20"/>
                <w:lang w:val="en-GB" w:eastAsia="en-US"/>
              </w:rPr>
              <w:t>.</w:t>
            </w:r>
          </w:p>
        </w:tc>
        <w:tc>
          <w:tcPr>
            <w:tcW w:w="5040" w:type="dxa"/>
            <w:shd w:val="clear" w:color="auto" w:fill="auto"/>
            <w:vAlign w:val="center"/>
          </w:tcPr>
          <w:p w14:paraId="580D6D41" w14:textId="77777777" w:rsidR="00EB1316" w:rsidRPr="00C7021E" w:rsidRDefault="00EB1316" w:rsidP="009C5083">
            <w:pPr>
              <w:spacing w:after="0" w:line="240" w:lineRule="auto"/>
              <w:rPr>
                <w:rFonts w:eastAsia="Calibri" w:cs="Times New Roman"/>
                <w:color w:val="000000"/>
                <w:sz w:val="20"/>
                <w:szCs w:val="20"/>
                <w:lang w:val="en-GB" w:eastAsia="en-US"/>
              </w:rPr>
            </w:pPr>
            <w:r w:rsidRPr="00C7021E">
              <w:rPr>
                <w:rFonts w:eastAsia="Calibri" w:cs="Times New Roman"/>
                <w:color w:val="000000"/>
                <w:sz w:val="20"/>
                <w:szCs w:val="20"/>
                <w:lang w:val="en-GB" w:eastAsia="en-US"/>
              </w:rPr>
              <w:t>Rate of implementation of agreed upon:</w:t>
            </w:r>
          </w:p>
          <w:p w14:paraId="16252956" w14:textId="77777777" w:rsidR="00EB1316" w:rsidRPr="00AF14C3" w:rsidRDefault="00EB1316" w:rsidP="009C5083">
            <w:pPr>
              <w:numPr>
                <w:ilvl w:val="1"/>
                <w:numId w:val="6"/>
              </w:numPr>
              <w:spacing w:after="0" w:line="240" w:lineRule="auto"/>
              <w:ind w:left="252" w:hanging="252"/>
              <w:rPr>
                <w:rFonts w:eastAsia="Calibri" w:cs="Times New Roman"/>
                <w:color w:val="000000"/>
                <w:sz w:val="20"/>
                <w:szCs w:val="20"/>
                <w:lang w:val="en-GB" w:eastAsia="en-US"/>
              </w:rPr>
            </w:pPr>
            <w:r w:rsidRPr="00AF14C3">
              <w:rPr>
                <w:rFonts w:eastAsia="Calibri" w:cs="Times New Roman"/>
                <w:color w:val="000000"/>
                <w:sz w:val="20"/>
                <w:szCs w:val="20"/>
                <w:u w:val="single"/>
                <w:lang w:val="en-GB" w:eastAsia="en-US"/>
              </w:rPr>
              <w:t>internal</w:t>
            </w:r>
            <w:r w:rsidRPr="00AF14C3">
              <w:rPr>
                <w:rFonts w:eastAsia="Calibri" w:cs="Times New Roman"/>
                <w:color w:val="000000"/>
                <w:sz w:val="20"/>
                <w:szCs w:val="20"/>
                <w:lang w:val="en-GB" w:eastAsia="en-US"/>
              </w:rPr>
              <w:t xml:space="preserve"> audit recommendations </w:t>
            </w:r>
          </w:p>
          <w:p w14:paraId="2AAF901A" w14:textId="77777777" w:rsidR="00EB1316" w:rsidRPr="00C7021E" w:rsidRDefault="00EB1316" w:rsidP="009C5083">
            <w:pPr>
              <w:numPr>
                <w:ilvl w:val="1"/>
                <w:numId w:val="6"/>
              </w:numPr>
              <w:spacing w:after="0" w:line="240" w:lineRule="auto"/>
              <w:ind w:left="252" w:hanging="252"/>
              <w:rPr>
                <w:rFonts w:eastAsia="Calibri" w:cs="Times New Roman"/>
                <w:color w:val="000000"/>
                <w:sz w:val="20"/>
                <w:szCs w:val="20"/>
                <w:lang w:val="en-GB" w:eastAsia="en-US"/>
              </w:rPr>
            </w:pPr>
            <w:r w:rsidRPr="00C7021E">
              <w:rPr>
                <w:rFonts w:eastAsia="Calibri" w:cs="Times New Roman"/>
                <w:color w:val="000000"/>
                <w:sz w:val="20"/>
                <w:szCs w:val="20"/>
                <w:u w:val="single"/>
                <w:lang w:val="en-GB" w:eastAsia="en-US"/>
              </w:rPr>
              <w:t>external</w:t>
            </w:r>
            <w:r w:rsidRPr="00047714">
              <w:rPr>
                <w:rFonts w:eastAsia="Calibri" w:cs="Times New Roman"/>
                <w:color w:val="000000"/>
                <w:sz w:val="20"/>
                <w:szCs w:val="20"/>
                <w:lang w:val="en-GB" w:eastAsia="en-US"/>
              </w:rPr>
              <w:t xml:space="preserve"> audit recommendations (UN Board of Auditors)</w:t>
            </w:r>
          </w:p>
        </w:tc>
        <w:tc>
          <w:tcPr>
            <w:tcW w:w="1710" w:type="dxa"/>
            <w:shd w:val="clear" w:color="auto" w:fill="auto"/>
            <w:vAlign w:val="center"/>
          </w:tcPr>
          <w:p w14:paraId="2C37F057" w14:textId="77777777" w:rsidR="00EB1316" w:rsidRDefault="00EB1316" w:rsidP="009C5083">
            <w:pPr>
              <w:spacing w:after="0" w:line="240" w:lineRule="auto"/>
              <w:rPr>
                <w:rFonts w:ascii="Calibri" w:eastAsia="Calibri" w:hAnsi="Calibri"/>
                <w:iCs/>
                <w:sz w:val="20"/>
              </w:rPr>
            </w:pPr>
          </w:p>
          <w:p w14:paraId="790C0A9A" w14:textId="77777777" w:rsidR="00EB1316" w:rsidRPr="009B6658" w:rsidRDefault="00EB1316" w:rsidP="006F161D">
            <w:pPr>
              <w:pStyle w:val="ListParagraph"/>
              <w:numPr>
                <w:ilvl w:val="0"/>
                <w:numId w:val="68"/>
              </w:numPr>
              <w:ind w:left="342"/>
              <w:rPr>
                <w:rFonts w:eastAsia="Calibri"/>
                <w:iCs/>
                <w:sz w:val="20"/>
              </w:rPr>
            </w:pPr>
            <w:r w:rsidRPr="009B6658">
              <w:rPr>
                <w:rFonts w:eastAsia="Calibri"/>
                <w:iCs/>
                <w:sz w:val="20"/>
              </w:rPr>
              <w:t>88%</w:t>
            </w:r>
          </w:p>
          <w:p w14:paraId="5DFF9D58" w14:textId="77777777" w:rsidR="00EB1316" w:rsidRPr="009B6658" w:rsidRDefault="00EB1316" w:rsidP="006F161D">
            <w:pPr>
              <w:pStyle w:val="ListParagraph"/>
              <w:numPr>
                <w:ilvl w:val="0"/>
                <w:numId w:val="68"/>
              </w:numPr>
              <w:ind w:left="342"/>
              <w:rPr>
                <w:rFonts w:eastAsia="Calibri"/>
                <w:sz w:val="20"/>
              </w:rPr>
            </w:pPr>
            <w:r w:rsidRPr="009B6658">
              <w:rPr>
                <w:rFonts w:eastAsia="Calibri"/>
                <w:sz w:val="20"/>
              </w:rPr>
              <w:t>80%</w:t>
            </w:r>
          </w:p>
        </w:tc>
        <w:tc>
          <w:tcPr>
            <w:tcW w:w="1620" w:type="dxa"/>
            <w:shd w:val="clear" w:color="auto" w:fill="auto"/>
            <w:vAlign w:val="center"/>
          </w:tcPr>
          <w:p w14:paraId="32442C49" w14:textId="77777777" w:rsidR="00EB1316" w:rsidRDefault="00EB1316" w:rsidP="009C5083">
            <w:pPr>
              <w:spacing w:after="0" w:line="240" w:lineRule="auto"/>
              <w:rPr>
                <w:rFonts w:ascii="Calibri" w:eastAsia="Calibri" w:hAnsi="Calibri"/>
                <w:sz w:val="20"/>
              </w:rPr>
            </w:pPr>
          </w:p>
          <w:p w14:paraId="7C63B4E6" w14:textId="77777777" w:rsidR="00EB1316" w:rsidRPr="009B6658" w:rsidRDefault="00EB1316" w:rsidP="006F161D">
            <w:pPr>
              <w:pStyle w:val="ListParagraph"/>
              <w:numPr>
                <w:ilvl w:val="0"/>
                <w:numId w:val="69"/>
              </w:numPr>
              <w:ind w:left="342" w:hanging="342"/>
              <w:rPr>
                <w:rFonts w:eastAsia="Calibri"/>
                <w:sz w:val="20"/>
              </w:rPr>
            </w:pPr>
            <w:r w:rsidRPr="009B6658">
              <w:rPr>
                <w:rFonts w:eastAsia="Calibri"/>
                <w:sz w:val="20"/>
              </w:rPr>
              <w:t>≥ 85%</w:t>
            </w:r>
          </w:p>
          <w:p w14:paraId="181FC73B" w14:textId="77777777" w:rsidR="00EB1316" w:rsidRPr="009B6658" w:rsidRDefault="00EB1316" w:rsidP="006F161D">
            <w:pPr>
              <w:pStyle w:val="ListParagraph"/>
              <w:numPr>
                <w:ilvl w:val="0"/>
                <w:numId w:val="69"/>
              </w:numPr>
              <w:ind w:left="342" w:hanging="342"/>
              <w:rPr>
                <w:rFonts w:eastAsia="Calibri"/>
                <w:sz w:val="20"/>
              </w:rPr>
            </w:pPr>
            <w:r w:rsidRPr="009B6658">
              <w:rPr>
                <w:rFonts w:eastAsia="Calibri"/>
                <w:sz w:val="20"/>
              </w:rPr>
              <w:t>85%</w:t>
            </w:r>
          </w:p>
        </w:tc>
        <w:tc>
          <w:tcPr>
            <w:tcW w:w="1800" w:type="dxa"/>
            <w:shd w:val="clear" w:color="auto" w:fill="auto"/>
            <w:vAlign w:val="center"/>
          </w:tcPr>
          <w:p w14:paraId="162AD6A9" w14:textId="77777777" w:rsidR="00EB1316" w:rsidRPr="002F41DE" w:rsidRDefault="00EB1316" w:rsidP="009C5083">
            <w:pPr>
              <w:spacing w:after="0" w:line="240" w:lineRule="auto"/>
              <w:rPr>
                <w:rFonts w:ascii="Calibri" w:eastAsia="Calibri" w:hAnsi="Calibri"/>
                <w:sz w:val="20"/>
              </w:rPr>
            </w:pPr>
          </w:p>
          <w:p w14:paraId="0479DC07" w14:textId="77777777" w:rsidR="00EB1316" w:rsidRDefault="00EB1316" w:rsidP="009C5083">
            <w:pPr>
              <w:spacing w:after="0" w:line="240" w:lineRule="auto"/>
              <w:ind w:left="162" w:right="77" w:hanging="180"/>
              <w:rPr>
                <w:rFonts w:ascii="Calibri" w:eastAsia="Calibri" w:hAnsi="Calibri"/>
                <w:sz w:val="20"/>
              </w:rPr>
            </w:pPr>
            <w:r w:rsidRPr="005D30BC">
              <w:rPr>
                <w:rFonts w:ascii="Calibri" w:eastAsia="Calibri" w:hAnsi="Calibri"/>
                <w:sz w:val="20"/>
              </w:rPr>
              <w:t>a.</w:t>
            </w:r>
            <w:r w:rsidRPr="005D30BC">
              <w:rPr>
                <w:rFonts w:ascii="Calibri" w:eastAsia="Calibri" w:hAnsi="Calibri"/>
                <w:sz w:val="20"/>
              </w:rPr>
              <w:tab/>
              <w:t>81%</w:t>
            </w:r>
          </w:p>
          <w:p w14:paraId="51FAA8B9" w14:textId="77777777" w:rsidR="00EB1316" w:rsidRPr="000F6B88" w:rsidRDefault="00EB1316" w:rsidP="009C5083">
            <w:pPr>
              <w:spacing w:after="0" w:line="240" w:lineRule="auto"/>
              <w:ind w:left="252" w:right="77" w:hanging="270"/>
              <w:rPr>
                <w:rFonts w:ascii="Calibri" w:eastAsia="Calibri" w:hAnsi="Calibri"/>
                <w:sz w:val="20"/>
              </w:rPr>
            </w:pPr>
            <w:r>
              <w:rPr>
                <w:rFonts w:ascii="Calibri" w:eastAsia="Calibri" w:hAnsi="Calibri"/>
                <w:sz w:val="20"/>
              </w:rPr>
              <w:t xml:space="preserve">b. </w:t>
            </w:r>
            <w:r w:rsidRPr="0051758B">
              <w:rPr>
                <w:rFonts w:ascii="Calibri" w:eastAsia="Calibri" w:hAnsi="Calibri"/>
                <w:sz w:val="20"/>
              </w:rPr>
              <w:t>96</w:t>
            </w:r>
            <w:r w:rsidRPr="00AF14C3">
              <w:rPr>
                <w:rFonts w:ascii="Calibri" w:eastAsia="Calibri" w:hAnsi="Calibri"/>
                <w:sz w:val="20"/>
              </w:rPr>
              <w:t>%</w:t>
            </w:r>
          </w:p>
        </w:tc>
        <w:tc>
          <w:tcPr>
            <w:tcW w:w="1710" w:type="dxa"/>
            <w:shd w:val="clear" w:color="auto" w:fill="auto"/>
            <w:vAlign w:val="center"/>
          </w:tcPr>
          <w:p w14:paraId="1827932E" w14:textId="77777777" w:rsidR="00EB1316" w:rsidRDefault="00EB1316" w:rsidP="009C5083">
            <w:pPr>
              <w:spacing w:after="0" w:line="240" w:lineRule="auto"/>
              <w:ind w:left="72" w:right="162"/>
              <w:rPr>
                <w:rFonts w:ascii="Calibri" w:eastAsia="Calibri" w:hAnsi="Calibri"/>
                <w:sz w:val="20"/>
              </w:rPr>
            </w:pPr>
          </w:p>
          <w:p w14:paraId="41461A9C" w14:textId="77777777" w:rsidR="00EB1316" w:rsidRPr="00E33F0E" w:rsidRDefault="00EB1316" w:rsidP="009C5083">
            <w:pPr>
              <w:spacing w:after="0" w:line="240" w:lineRule="auto"/>
              <w:ind w:left="72" w:right="162"/>
              <w:rPr>
                <w:rFonts w:ascii="Calibri" w:eastAsia="Calibri" w:hAnsi="Calibri"/>
                <w:sz w:val="20"/>
              </w:rPr>
            </w:pPr>
            <w:r>
              <w:rPr>
                <w:rFonts w:ascii="Calibri" w:eastAsia="Calibri" w:hAnsi="Calibri"/>
                <w:sz w:val="20"/>
              </w:rPr>
              <w:t xml:space="preserve">a. </w:t>
            </w:r>
            <w:r w:rsidRPr="00E33F0E">
              <w:rPr>
                <w:rFonts w:ascii="Calibri" w:eastAsia="Calibri" w:hAnsi="Calibri" w:hint="cs"/>
                <w:sz w:val="20"/>
              </w:rPr>
              <w:t>≥</w:t>
            </w:r>
            <w:r w:rsidRPr="00E33F0E">
              <w:rPr>
                <w:rFonts w:ascii="Calibri" w:eastAsia="Calibri" w:hAnsi="Calibri"/>
                <w:sz w:val="20"/>
              </w:rPr>
              <w:t xml:space="preserve"> 85%</w:t>
            </w:r>
          </w:p>
          <w:p w14:paraId="3977B6C7" w14:textId="77777777" w:rsidR="00EB1316" w:rsidRPr="002F41DE" w:rsidRDefault="00EB1316" w:rsidP="009C5083">
            <w:pPr>
              <w:spacing w:after="0" w:line="240" w:lineRule="auto"/>
              <w:ind w:left="72" w:right="162"/>
              <w:rPr>
                <w:rFonts w:ascii="Calibri" w:eastAsia="Calibri" w:hAnsi="Calibri"/>
                <w:sz w:val="20"/>
              </w:rPr>
            </w:pPr>
            <w:r>
              <w:rPr>
                <w:rFonts w:ascii="Calibri" w:eastAsia="Calibri" w:hAnsi="Calibri"/>
                <w:sz w:val="20"/>
              </w:rPr>
              <w:t>b.</w:t>
            </w:r>
            <w:r w:rsidRPr="00E33F0E">
              <w:rPr>
                <w:rFonts w:ascii="Calibri" w:eastAsia="Calibri" w:hAnsi="Calibri"/>
                <w:sz w:val="20"/>
              </w:rPr>
              <w:t>85%</w:t>
            </w:r>
          </w:p>
        </w:tc>
      </w:tr>
      <w:tr w:rsidR="00EB1316" w:rsidRPr="00C7021E" w14:paraId="369AAC77" w14:textId="77777777" w:rsidTr="009C5083">
        <w:trPr>
          <w:trHeight w:val="467"/>
          <w:jc w:val="center"/>
        </w:trPr>
        <w:tc>
          <w:tcPr>
            <w:tcW w:w="1795" w:type="dxa"/>
            <w:vMerge/>
            <w:shd w:val="clear" w:color="auto" w:fill="auto"/>
            <w:vAlign w:val="center"/>
          </w:tcPr>
          <w:p w14:paraId="179361C1" w14:textId="77777777" w:rsidR="00EB1316" w:rsidRPr="00C7021E" w:rsidRDefault="00EB1316" w:rsidP="009C5083">
            <w:pPr>
              <w:spacing w:after="0" w:line="240" w:lineRule="auto"/>
              <w:rPr>
                <w:rFonts w:eastAsia="Calibri" w:cs="Times New Roman"/>
                <w:color w:val="000000"/>
                <w:sz w:val="20"/>
                <w:szCs w:val="20"/>
                <w:lang w:val="en-GB" w:eastAsia="en-US"/>
              </w:rPr>
            </w:pPr>
          </w:p>
        </w:tc>
        <w:tc>
          <w:tcPr>
            <w:tcW w:w="540" w:type="dxa"/>
            <w:vMerge/>
            <w:shd w:val="clear" w:color="auto" w:fill="FFFFFF" w:themeFill="background1"/>
            <w:vAlign w:val="center"/>
          </w:tcPr>
          <w:p w14:paraId="0C19DDF1" w14:textId="77777777" w:rsidR="00EB1316" w:rsidRPr="00C7021E" w:rsidRDefault="00EB1316" w:rsidP="009C5083">
            <w:pPr>
              <w:spacing w:after="0" w:line="240" w:lineRule="auto"/>
              <w:rPr>
                <w:rFonts w:eastAsia="Calibri" w:cs="Times New Roman"/>
                <w:b/>
                <w:sz w:val="20"/>
                <w:szCs w:val="20"/>
                <w:lang w:val="en-GB" w:eastAsia="en-US"/>
              </w:rPr>
            </w:pPr>
          </w:p>
        </w:tc>
        <w:tc>
          <w:tcPr>
            <w:tcW w:w="11880" w:type="dxa"/>
            <w:gridSpan w:val="5"/>
            <w:shd w:val="clear" w:color="auto" w:fill="D9D9D9" w:themeFill="background1" w:themeFillShade="D9"/>
            <w:vAlign w:val="center"/>
          </w:tcPr>
          <w:p w14:paraId="57641C33" w14:textId="77777777" w:rsidR="00EB1316" w:rsidRPr="00047714" w:rsidRDefault="00EB1316" w:rsidP="009C5083">
            <w:pPr>
              <w:spacing w:after="0" w:line="240" w:lineRule="auto"/>
              <w:rPr>
                <w:rFonts w:ascii="Calibri" w:eastAsia="Calibri" w:hAnsi="Calibri"/>
                <w:b/>
                <w:sz w:val="18"/>
                <w:szCs w:val="18"/>
              </w:rPr>
            </w:pPr>
            <w:r w:rsidRPr="00047714">
              <w:rPr>
                <w:rFonts w:ascii="Calibri" w:eastAsia="Calibri" w:hAnsi="Calibri"/>
                <w:b/>
                <w:sz w:val="18"/>
                <w:szCs w:val="18"/>
              </w:rPr>
              <w:t>Note</w:t>
            </w:r>
            <w:r w:rsidRPr="00047714">
              <w:rPr>
                <w:rFonts w:ascii="Calibri" w:eastAsia="Calibri" w:hAnsi="Calibri"/>
                <w:sz w:val="18"/>
                <w:szCs w:val="18"/>
              </w:rPr>
              <w:t xml:space="preserve">: The indicator </w:t>
            </w:r>
            <w:r>
              <w:rPr>
                <w:rFonts w:ascii="Calibri" w:eastAsia="Calibri" w:hAnsi="Calibri"/>
                <w:sz w:val="18"/>
                <w:szCs w:val="18"/>
              </w:rPr>
              <w:t>was disaggregated since</w:t>
            </w:r>
            <w:r w:rsidRPr="00047714">
              <w:rPr>
                <w:rFonts w:ascii="Calibri" w:eastAsia="Calibri" w:hAnsi="Calibri"/>
                <w:sz w:val="18"/>
                <w:szCs w:val="18"/>
              </w:rPr>
              <w:t xml:space="preserve"> tracking of the implementation of audit recommendations is done separately by OAI for internal audits and by BOM for external audits.</w:t>
            </w:r>
            <w:r>
              <w:rPr>
                <w:rFonts w:ascii="Calibri" w:eastAsia="Calibri" w:hAnsi="Calibri"/>
                <w:sz w:val="18"/>
                <w:szCs w:val="18"/>
              </w:rPr>
              <w:t xml:space="preserve"> </w:t>
            </w:r>
            <w:r w:rsidRPr="007259A4">
              <w:rPr>
                <w:sz w:val="18"/>
                <w:lang w:val="en-GB"/>
              </w:rPr>
              <w:t>Milestones and targets are set based on industry standards for audits.</w:t>
            </w:r>
          </w:p>
        </w:tc>
      </w:tr>
    </w:tbl>
    <w:p w14:paraId="66D72632" w14:textId="77777777" w:rsidR="00EB1316" w:rsidRDefault="00EB1316" w:rsidP="00EB1316">
      <w:pPr>
        <w:spacing w:after="0" w:line="240" w:lineRule="auto"/>
        <w:rPr>
          <w:rFonts w:eastAsia="Calibri" w:cs="Times New Roman"/>
          <w:sz w:val="16"/>
          <w:szCs w:val="16"/>
          <w:lang w:eastAsia="en-US"/>
        </w:rPr>
      </w:pPr>
    </w:p>
    <w:p w14:paraId="66E14B9D" w14:textId="77777777" w:rsidR="00EB1316" w:rsidRDefault="00EB1316" w:rsidP="00EB1316">
      <w:pPr>
        <w:spacing w:after="0" w:line="240" w:lineRule="auto"/>
        <w:rPr>
          <w:rFonts w:eastAsia="Calibri" w:cs="Times New Roman"/>
          <w:sz w:val="16"/>
          <w:szCs w:val="16"/>
          <w:lang w:eastAsia="en-US"/>
        </w:rPr>
      </w:pPr>
    </w:p>
    <w:p w14:paraId="6C1EC51C" w14:textId="77777777" w:rsidR="00EB1316" w:rsidRDefault="00EB1316" w:rsidP="00EB1316">
      <w:pPr>
        <w:spacing w:after="0" w:line="240" w:lineRule="auto"/>
        <w:rPr>
          <w:rFonts w:eastAsia="Calibri" w:cs="Times New Roman"/>
          <w:sz w:val="16"/>
          <w:szCs w:val="16"/>
          <w:lang w:eastAsia="en-US"/>
        </w:rPr>
      </w:pPr>
    </w:p>
    <w:tbl>
      <w:tblPr>
        <w:tblW w:w="14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540"/>
        <w:gridCol w:w="4950"/>
        <w:gridCol w:w="1710"/>
        <w:gridCol w:w="1620"/>
        <w:gridCol w:w="1800"/>
        <w:gridCol w:w="1800"/>
      </w:tblGrid>
      <w:tr w:rsidR="00EB1316" w:rsidRPr="00C7021E" w14:paraId="14BC077C" w14:textId="77777777" w:rsidTr="009C5083">
        <w:trPr>
          <w:trHeight w:val="269"/>
          <w:jc w:val="center"/>
        </w:trPr>
        <w:tc>
          <w:tcPr>
            <w:tcW w:w="14305" w:type="dxa"/>
            <w:gridSpan w:val="7"/>
            <w:shd w:val="clear" w:color="auto" w:fill="F2F2F2"/>
            <w:vAlign w:val="center"/>
          </w:tcPr>
          <w:p w14:paraId="737CC5C5" w14:textId="77777777" w:rsidR="00EB1316" w:rsidRPr="00C7021E" w:rsidRDefault="00EB1316" w:rsidP="009C5083">
            <w:pPr>
              <w:spacing w:after="0" w:line="240" w:lineRule="auto"/>
              <w:rPr>
                <w:rFonts w:eastAsia="Calibri" w:cs="Times New Roman"/>
                <w:b/>
                <w:sz w:val="24"/>
                <w:szCs w:val="24"/>
                <w:lang w:eastAsia="en-US"/>
              </w:rPr>
            </w:pPr>
            <w:r w:rsidRPr="00C7021E">
              <w:rPr>
                <w:rFonts w:eastAsia="Calibri" w:cs="Times New Roman"/>
                <w:b/>
                <w:sz w:val="24"/>
                <w:szCs w:val="24"/>
                <w:lang w:eastAsia="en-US"/>
              </w:rPr>
              <w:t>Making UNDP a more open, adaptable and agile institution</w:t>
            </w:r>
          </w:p>
        </w:tc>
      </w:tr>
      <w:tr w:rsidR="00EB1316" w:rsidRPr="00C7021E" w14:paraId="70335CB9" w14:textId="77777777" w:rsidTr="009C5083">
        <w:trPr>
          <w:trHeight w:val="350"/>
          <w:jc w:val="center"/>
        </w:trPr>
        <w:tc>
          <w:tcPr>
            <w:tcW w:w="14305" w:type="dxa"/>
            <w:gridSpan w:val="7"/>
            <w:shd w:val="clear" w:color="auto" w:fill="00B050"/>
            <w:vAlign w:val="center"/>
          </w:tcPr>
          <w:p w14:paraId="0C77EFB3" w14:textId="77777777" w:rsidR="00EB1316" w:rsidRPr="00C7021E" w:rsidRDefault="00EB1316" w:rsidP="009C5083">
            <w:pPr>
              <w:spacing w:after="0" w:line="240" w:lineRule="auto"/>
              <w:rPr>
                <w:rFonts w:eastAsia="Times New Roman" w:cs="Times New Roman"/>
                <w:b/>
                <w:color w:val="FFFFFF"/>
                <w:sz w:val="20"/>
                <w:szCs w:val="20"/>
                <w:shd w:val="clear" w:color="auto" w:fill="00B050"/>
                <w:lang w:val="en-GB" w:eastAsia="en-US"/>
              </w:rPr>
            </w:pPr>
            <w:r w:rsidRPr="00C7021E">
              <w:rPr>
                <w:rFonts w:eastAsia="Times New Roman" w:cs="Times New Roman"/>
                <w:b/>
                <w:color w:val="FFFFFF"/>
                <w:sz w:val="20"/>
                <w:szCs w:val="20"/>
                <w:shd w:val="clear" w:color="auto" w:fill="00B050"/>
                <w:lang w:val="en-GB" w:eastAsia="en-US"/>
              </w:rPr>
              <w:t>[cost classification: management functional clusters]</w:t>
            </w:r>
            <w:r w:rsidRPr="00C7021E">
              <w:rPr>
                <w:rFonts w:eastAsia="Times New Roman" w:cs="Times New Roman"/>
                <w:color w:val="FFFFFF"/>
                <w:sz w:val="20"/>
                <w:szCs w:val="20"/>
                <w:shd w:val="clear" w:color="auto" w:fill="00B050"/>
                <w:lang w:val="en-GB" w:eastAsia="en-US"/>
              </w:rPr>
              <w:t xml:space="preserve"> </w:t>
            </w:r>
            <w:r w:rsidRPr="00C7021E">
              <w:rPr>
                <w:rFonts w:eastAsia="Calibri" w:cs="Times New Roman"/>
                <w:color w:val="FFFFFF"/>
                <w:sz w:val="20"/>
                <w:szCs w:val="20"/>
                <w:shd w:val="clear" w:color="auto" w:fill="00B050"/>
                <w:lang w:eastAsia="en-US"/>
              </w:rPr>
              <w:t xml:space="preserve">4. </w:t>
            </w:r>
            <w:r w:rsidRPr="00C7021E">
              <w:rPr>
                <w:rFonts w:eastAsia="Calibri" w:cs="Times New Roman"/>
                <w:b/>
                <w:color w:val="FFFFFF"/>
                <w:sz w:val="20"/>
                <w:szCs w:val="20"/>
                <w:lang w:eastAsia="en-US"/>
              </w:rPr>
              <w:t xml:space="preserve">LEADERSHIP AND CORPORATE DIRECTION  </w:t>
            </w:r>
          </w:p>
        </w:tc>
      </w:tr>
      <w:tr w:rsidR="00EB1316" w:rsidRPr="00C7021E" w14:paraId="580FECCF" w14:textId="77777777" w:rsidTr="009C5083">
        <w:trPr>
          <w:trHeight w:val="278"/>
          <w:jc w:val="center"/>
        </w:trPr>
        <w:tc>
          <w:tcPr>
            <w:tcW w:w="1885" w:type="dxa"/>
            <w:shd w:val="clear" w:color="auto" w:fill="DBE5F1" w:themeFill="accent1" w:themeFillTint="33"/>
            <w:vAlign w:val="center"/>
          </w:tcPr>
          <w:p w14:paraId="7D7915F8" w14:textId="77777777" w:rsidR="00EB1316" w:rsidRPr="00C7021E" w:rsidRDefault="00EB1316" w:rsidP="009C5083">
            <w:pPr>
              <w:spacing w:after="0" w:line="240" w:lineRule="auto"/>
              <w:rPr>
                <w:rFonts w:eastAsia="Calibri" w:cs="Times New Roman"/>
                <w:b/>
                <w:sz w:val="20"/>
                <w:szCs w:val="20"/>
                <w:lang w:eastAsia="en-US"/>
              </w:rPr>
            </w:pPr>
            <w:r w:rsidRPr="00C7021E">
              <w:rPr>
                <w:rFonts w:eastAsia="Calibri" w:cs="Times New Roman"/>
                <w:b/>
                <w:sz w:val="20"/>
                <w:szCs w:val="20"/>
                <w:lang w:eastAsia="en-US"/>
              </w:rPr>
              <w:t>Results statement:</w:t>
            </w:r>
          </w:p>
        </w:tc>
        <w:tc>
          <w:tcPr>
            <w:tcW w:w="540" w:type="dxa"/>
            <w:shd w:val="clear" w:color="auto" w:fill="DBE5F1" w:themeFill="accent1" w:themeFillTint="33"/>
            <w:vAlign w:val="center"/>
          </w:tcPr>
          <w:p w14:paraId="294CD989" w14:textId="77777777" w:rsidR="00EB1316" w:rsidRPr="00C7021E" w:rsidRDefault="00EB1316" w:rsidP="009C5083">
            <w:pPr>
              <w:spacing w:after="0" w:line="240" w:lineRule="auto"/>
              <w:rPr>
                <w:rFonts w:eastAsia="Calibri" w:cs="Times New Roman"/>
                <w:b/>
                <w:sz w:val="20"/>
                <w:szCs w:val="20"/>
                <w:lang w:eastAsia="en-US"/>
              </w:rPr>
            </w:pPr>
            <w:r w:rsidRPr="00C7021E">
              <w:rPr>
                <w:rFonts w:eastAsia="Calibri" w:cs="Times New Roman"/>
                <w:b/>
                <w:sz w:val="20"/>
                <w:szCs w:val="20"/>
                <w:lang w:eastAsia="en-US"/>
              </w:rPr>
              <w:t>No.</w:t>
            </w:r>
          </w:p>
        </w:tc>
        <w:tc>
          <w:tcPr>
            <w:tcW w:w="4950" w:type="dxa"/>
            <w:shd w:val="clear" w:color="auto" w:fill="DBE5F1" w:themeFill="accent1" w:themeFillTint="33"/>
            <w:vAlign w:val="center"/>
          </w:tcPr>
          <w:p w14:paraId="04421BCA" w14:textId="77777777" w:rsidR="00EB1316" w:rsidRPr="00C7021E" w:rsidRDefault="00EB1316" w:rsidP="009C5083">
            <w:pPr>
              <w:spacing w:after="0" w:line="240" w:lineRule="auto"/>
              <w:rPr>
                <w:rFonts w:eastAsia="Calibri" w:cs="Times New Roman"/>
                <w:b/>
                <w:sz w:val="20"/>
                <w:szCs w:val="20"/>
                <w:lang w:eastAsia="en-US"/>
              </w:rPr>
            </w:pPr>
            <w:r w:rsidRPr="00C7021E">
              <w:rPr>
                <w:rFonts w:eastAsia="Calibri" w:cs="Times New Roman"/>
                <w:b/>
                <w:sz w:val="20"/>
                <w:szCs w:val="20"/>
                <w:lang w:eastAsia="en-US"/>
              </w:rPr>
              <w:t>Indicator</w:t>
            </w:r>
          </w:p>
        </w:tc>
        <w:tc>
          <w:tcPr>
            <w:tcW w:w="1710" w:type="dxa"/>
            <w:shd w:val="clear" w:color="auto" w:fill="DBE5F1" w:themeFill="accent1" w:themeFillTint="33"/>
            <w:vAlign w:val="center"/>
          </w:tcPr>
          <w:p w14:paraId="7730BEA4" w14:textId="77777777" w:rsidR="00EB1316" w:rsidRPr="00C7021E" w:rsidRDefault="00EB1316" w:rsidP="009C5083">
            <w:pPr>
              <w:spacing w:after="0" w:line="240" w:lineRule="auto"/>
              <w:jc w:val="center"/>
              <w:rPr>
                <w:rFonts w:eastAsia="Calibri" w:cs="Times New Roman"/>
                <w:b/>
                <w:sz w:val="20"/>
                <w:szCs w:val="20"/>
                <w:lang w:eastAsia="en-US"/>
              </w:rPr>
            </w:pPr>
            <w:r w:rsidRPr="00C7021E">
              <w:rPr>
                <w:rFonts w:eastAsia="Calibri" w:cs="Times New Roman"/>
                <w:b/>
                <w:sz w:val="20"/>
                <w:szCs w:val="20"/>
                <w:lang w:eastAsia="en-US"/>
              </w:rPr>
              <w:t>Baseline</w:t>
            </w:r>
            <w:r>
              <w:rPr>
                <w:rFonts w:eastAsia="Calibri" w:cs="Times New Roman"/>
                <w:b/>
                <w:sz w:val="20"/>
                <w:szCs w:val="20"/>
                <w:lang w:eastAsia="en-US"/>
              </w:rPr>
              <w:t xml:space="preserve"> </w:t>
            </w:r>
            <w:r w:rsidRPr="003D185C">
              <w:rPr>
                <w:rFonts w:eastAsia="Calibri" w:cs="Times New Roman"/>
                <w:sz w:val="20"/>
                <w:szCs w:val="20"/>
                <w:lang w:eastAsia="en-US"/>
              </w:rPr>
              <w:t>2013</w:t>
            </w:r>
          </w:p>
        </w:tc>
        <w:tc>
          <w:tcPr>
            <w:tcW w:w="1620" w:type="dxa"/>
            <w:shd w:val="clear" w:color="auto" w:fill="DBE5F1" w:themeFill="accent1" w:themeFillTint="33"/>
            <w:vAlign w:val="center"/>
          </w:tcPr>
          <w:p w14:paraId="240E8481" w14:textId="77777777" w:rsidR="00EB1316" w:rsidRPr="00C7021E" w:rsidRDefault="00EB1316" w:rsidP="009C5083">
            <w:pPr>
              <w:spacing w:after="0" w:line="240" w:lineRule="auto"/>
              <w:jc w:val="center"/>
              <w:rPr>
                <w:rFonts w:eastAsia="Calibri" w:cs="Times New Roman"/>
                <w:b/>
                <w:sz w:val="20"/>
                <w:szCs w:val="20"/>
                <w:lang w:eastAsia="en-US"/>
              </w:rPr>
            </w:pPr>
            <w:r>
              <w:rPr>
                <w:rFonts w:eastAsia="Calibri" w:cs="Times New Roman"/>
                <w:b/>
                <w:sz w:val="20"/>
                <w:szCs w:val="20"/>
                <w:lang w:eastAsia="en-US"/>
              </w:rPr>
              <w:t xml:space="preserve">Milestones </w:t>
            </w:r>
            <w:r w:rsidRPr="003D185C">
              <w:rPr>
                <w:rFonts w:eastAsia="Calibri" w:cs="Times New Roman"/>
                <w:sz w:val="20"/>
                <w:szCs w:val="20"/>
                <w:lang w:eastAsia="en-US"/>
              </w:rPr>
              <w:t>2014</w:t>
            </w:r>
          </w:p>
        </w:tc>
        <w:tc>
          <w:tcPr>
            <w:tcW w:w="1800" w:type="dxa"/>
            <w:shd w:val="clear" w:color="auto" w:fill="DBE5F1" w:themeFill="accent1" w:themeFillTint="33"/>
            <w:vAlign w:val="center"/>
          </w:tcPr>
          <w:p w14:paraId="5BFE0421" w14:textId="77777777" w:rsidR="00EB1316" w:rsidRPr="00C7021E" w:rsidRDefault="00EB1316" w:rsidP="009C5083">
            <w:pPr>
              <w:spacing w:after="0" w:line="240" w:lineRule="auto"/>
              <w:jc w:val="center"/>
              <w:rPr>
                <w:rFonts w:eastAsia="Calibri" w:cs="Times New Roman"/>
                <w:b/>
                <w:sz w:val="20"/>
                <w:szCs w:val="20"/>
                <w:lang w:eastAsia="en-US"/>
              </w:rPr>
            </w:pPr>
            <w:r>
              <w:rPr>
                <w:rFonts w:eastAsia="Calibri" w:cs="Times New Roman"/>
                <w:b/>
                <w:sz w:val="20"/>
                <w:szCs w:val="20"/>
                <w:lang w:eastAsia="en-US"/>
              </w:rPr>
              <w:t>Actual 2014</w:t>
            </w:r>
          </w:p>
        </w:tc>
        <w:tc>
          <w:tcPr>
            <w:tcW w:w="1800" w:type="dxa"/>
            <w:shd w:val="clear" w:color="auto" w:fill="DBE5F1" w:themeFill="accent1" w:themeFillTint="33"/>
            <w:vAlign w:val="center"/>
          </w:tcPr>
          <w:p w14:paraId="3AF159D4" w14:textId="77777777" w:rsidR="00EB1316" w:rsidRDefault="00EB1316" w:rsidP="009C5083">
            <w:pPr>
              <w:spacing w:after="0" w:line="240" w:lineRule="auto"/>
              <w:jc w:val="center"/>
              <w:rPr>
                <w:rFonts w:eastAsia="Calibri" w:cs="Times New Roman"/>
                <w:b/>
                <w:sz w:val="20"/>
                <w:szCs w:val="20"/>
                <w:lang w:eastAsia="en-US"/>
              </w:rPr>
            </w:pPr>
            <w:r>
              <w:rPr>
                <w:rFonts w:eastAsia="Calibri" w:cs="Times New Roman"/>
                <w:b/>
                <w:sz w:val="20"/>
                <w:szCs w:val="20"/>
                <w:lang w:eastAsia="en-US"/>
              </w:rPr>
              <w:t>Target 2017</w:t>
            </w:r>
          </w:p>
        </w:tc>
      </w:tr>
      <w:tr w:rsidR="00EB1316" w:rsidRPr="00C7021E" w14:paraId="4B6E7637" w14:textId="77777777" w:rsidTr="009C5083">
        <w:trPr>
          <w:trHeight w:val="530"/>
          <w:jc w:val="center"/>
        </w:trPr>
        <w:tc>
          <w:tcPr>
            <w:tcW w:w="1885" w:type="dxa"/>
            <w:vMerge w:val="restart"/>
            <w:shd w:val="clear" w:color="auto" w:fill="auto"/>
            <w:vAlign w:val="center"/>
          </w:tcPr>
          <w:p w14:paraId="75FCB662" w14:textId="77777777" w:rsidR="00EB1316" w:rsidRPr="00C7021E" w:rsidRDefault="00EB1316" w:rsidP="009C5083">
            <w:pPr>
              <w:spacing w:after="0" w:line="240" w:lineRule="auto"/>
              <w:rPr>
                <w:rFonts w:eastAsia="Calibri" w:cs="Times New Roman"/>
                <w:sz w:val="20"/>
                <w:szCs w:val="20"/>
                <w:lang w:eastAsia="en-US"/>
              </w:rPr>
            </w:pPr>
            <w:r w:rsidRPr="00245A7E">
              <w:rPr>
                <w:rFonts w:eastAsia="Calibri" w:cs="Times New Roman"/>
                <w:b/>
                <w:sz w:val="20"/>
                <w:szCs w:val="20"/>
                <w:lang w:eastAsia="en-US"/>
              </w:rPr>
              <w:t>4.1</w:t>
            </w:r>
            <w:r w:rsidRPr="00C7021E">
              <w:rPr>
                <w:rFonts w:eastAsia="Calibri" w:cs="Times New Roman"/>
                <w:sz w:val="20"/>
                <w:szCs w:val="20"/>
                <w:lang w:eastAsia="en-US"/>
              </w:rPr>
              <w:t xml:space="preserve"> UNDP leaders foster a working environment in which staff are engaged, leading to improved performance and a smooth transition to the new Strategic Plan</w:t>
            </w:r>
          </w:p>
        </w:tc>
        <w:tc>
          <w:tcPr>
            <w:tcW w:w="540" w:type="dxa"/>
            <w:shd w:val="clear" w:color="auto" w:fill="auto"/>
            <w:vAlign w:val="center"/>
          </w:tcPr>
          <w:p w14:paraId="7AEDD119" w14:textId="77777777" w:rsidR="00EB1316" w:rsidRPr="00C7021E" w:rsidRDefault="00EB1316" w:rsidP="009C5083">
            <w:pPr>
              <w:spacing w:after="0" w:line="240" w:lineRule="auto"/>
              <w:rPr>
                <w:rFonts w:eastAsia="Calibri" w:cs="Times New Roman"/>
                <w:b/>
                <w:sz w:val="20"/>
                <w:szCs w:val="20"/>
                <w:lang w:eastAsia="en-US"/>
              </w:rPr>
            </w:pPr>
            <w:r w:rsidRPr="00C7021E">
              <w:rPr>
                <w:rFonts w:eastAsia="Calibri" w:cs="Times New Roman"/>
                <w:b/>
                <w:sz w:val="20"/>
                <w:szCs w:val="20"/>
                <w:lang w:eastAsia="en-US"/>
              </w:rPr>
              <w:t>2</w:t>
            </w:r>
            <w:r>
              <w:rPr>
                <w:rFonts w:eastAsia="Calibri" w:cs="Times New Roman"/>
                <w:b/>
                <w:sz w:val="20"/>
                <w:szCs w:val="20"/>
                <w:lang w:eastAsia="en-US"/>
              </w:rPr>
              <w:t>4</w:t>
            </w:r>
            <w:r w:rsidRPr="00C7021E">
              <w:rPr>
                <w:rFonts w:eastAsia="Calibri" w:cs="Times New Roman"/>
                <w:b/>
                <w:sz w:val="20"/>
                <w:szCs w:val="20"/>
                <w:lang w:eastAsia="en-US"/>
              </w:rPr>
              <w:t>.</w:t>
            </w:r>
          </w:p>
        </w:tc>
        <w:tc>
          <w:tcPr>
            <w:tcW w:w="4950" w:type="dxa"/>
            <w:shd w:val="clear" w:color="auto" w:fill="auto"/>
            <w:vAlign w:val="center"/>
          </w:tcPr>
          <w:p w14:paraId="107BA3E5" w14:textId="77777777" w:rsidR="00EB1316" w:rsidRPr="00C7021E" w:rsidRDefault="00EB1316" w:rsidP="009C5083">
            <w:pPr>
              <w:spacing w:after="0" w:line="240" w:lineRule="auto"/>
              <w:rPr>
                <w:rFonts w:eastAsia="Calibri" w:cs="Times New Roman"/>
                <w:sz w:val="20"/>
                <w:szCs w:val="20"/>
                <w:lang w:eastAsia="en-US"/>
              </w:rPr>
            </w:pPr>
            <w:r w:rsidRPr="00C7021E">
              <w:rPr>
                <w:rFonts w:eastAsia="Calibri" w:cs="Times New Roman"/>
                <w:sz w:val="20"/>
                <w:szCs w:val="20"/>
                <w:lang w:val="en-GB" w:eastAsia="en-US"/>
              </w:rPr>
              <w:t>Percentage of all staff surveyed who expressed confidence in leadership and direction</w:t>
            </w:r>
          </w:p>
        </w:tc>
        <w:tc>
          <w:tcPr>
            <w:tcW w:w="1710" w:type="dxa"/>
            <w:shd w:val="clear" w:color="auto" w:fill="auto"/>
            <w:vAlign w:val="center"/>
          </w:tcPr>
          <w:p w14:paraId="724B4CC0" w14:textId="77777777" w:rsidR="00EB1316" w:rsidRPr="00E76535" w:rsidRDefault="00EB1316" w:rsidP="009C5083">
            <w:pPr>
              <w:spacing w:after="0"/>
              <w:jc w:val="center"/>
              <w:rPr>
                <w:sz w:val="20"/>
              </w:rPr>
            </w:pPr>
            <w:r>
              <w:rPr>
                <w:sz w:val="20"/>
              </w:rPr>
              <w:t>71%</w:t>
            </w:r>
          </w:p>
        </w:tc>
        <w:tc>
          <w:tcPr>
            <w:tcW w:w="1620" w:type="dxa"/>
            <w:shd w:val="clear" w:color="auto" w:fill="auto"/>
            <w:vAlign w:val="center"/>
          </w:tcPr>
          <w:p w14:paraId="4DCC434E" w14:textId="77777777" w:rsidR="00EB1316" w:rsidRPr="00507658" w:rsidRDefault="00EB1316" w:rsidP="009C5083">
            <w:pPr>
              <w:spacing w:after="0" w:line="240" w:lineRule="auto"/>
              <w:jc w:val="center"/>
              <w:rPr>
                <w:rFonts w:eastAsia="Times New Roman" w:cs="Times New Roman"/>
                <w:sz w:val="20"/>
                <w:szCs w:val="20"/>
                <w:lang w:val="en-GB" w:eastAsia="en-US"/>
              </w:rPr>
            </w:pPr>
            <w:r w:rsidRPr="00E76535">
              <w:rPr>
                <w:sz w:val="20"/>
              </w:rPr>
              <w:t>71%</w:t>
            </w:r>
          </w:p>
        </w:tc>
        <w:tc>
          <w:tcPr>
            <w:tcW w:w="1800" w:type="dxa"/>
            <w:shd w:val="clear" w:color="auto" w:fill="auto"/>
            <w:vAlign w:val="center"/>
          </w:tcPr>
          <w:p w14:paraId="303EF45C" w14:textId="77777777" w:rsidR="00EB1316" w:rsidRPr="007E71C5" w:rsidRDefault="00EB1316" w:rsidP="009C5083">
            <w:pPr>
              <w:spacing w:after="0"/>
              <w:jc w:val="center"/>
              <w:rPr>
                <w:sz w:val="20"/>
              </w:rPr>
            </w:pPr>
            <w:r w:rsidRPr="007E71C5">
              <w:rPr>
                <w:sz w:val="20"/>
              </w:rPr>
              <w:t>70%</w:t>
            </w:r>
          </w:p>
        </w:tc>
        <w:tc>
          <w:tcPr>
            <w:tcW w:w="1800" w:type="dxa"/>
            <w:shd w:val="clear" w:color="auto" w:fill="auto"/>
            <w:vAlign w:val="center"/>
          </w:tcPr>
          <w:p w14:paraId="7A312BE9" w14:textId="77777777" w:rsidR="00EB1316" w:rsidRPr="007E71C5" w:rsidRDefault="00EB1316" w:rsidP="009C5083">
            <w:pPr>
              <w:spacing w:after="0"/>
              <w:jc w:val="center"/>
              <w:rPr>
                <w:sz w:val="20"/>
              </w:rPr>
            </w:pPr>
            <w:r>
              <w:rPr>
                <w:sz w:val="20"/>
              </w:rPr>
              <w:t>76</w:t>
            </w:r>
          </w:p>
        </w:tc>
      </w:tr>
      <w:tr w:rsidR="00EB1316" w:rsidRPr="00C7021E" w14:paraId="70BD0838" w14:textId="77777777" w:rsidTr="009C5083">
        <w:trPr>
          <w:trHeight w:val="386"/>
          <w:jc w:val="center"/>
        </w:trPr>
        <w:tc>
          <w:tcPr>
            <w:tcW w:w="1885" w:type="dxa"/>
            <w:vMerge/>
            <w:shd w:val="clear" w:color="auto" w:fill="auto"/>
            <w:vAlign w:val="center"/>
          </w:tcPr>
          <w:p w14:paraId="67B9FD76" w14:textId="77777777" w:rsidR="00EB1316" w:rsidRPr="00C7021E" w:rsidRDefault="00EB1316" w:rsidP="009C5083">
            <w:pPr>
              <w:spacing w:after="0" w:line="240" w:lineRule="auto"/>
              <w:rPr>
                <w:rFonts w:eastAsia="Calibri" w:cs="Times New Roman"/>
                <w:sz w:val="20"/>
                <w:szCs w:val="20"/>
                <w:lang w:eastAsia="en-US"/>
              </w:rPr>
            </w:pPr>
          </w:p>
        </w:tc>
        <w:tc>
          <w:tcPr>
            <w:tcW w:w="540" w:type="dxa"/>
            <w:shd w:val="clear" w:color="auto" w:fill="auto"/>
            <w:vAlign w:val="center"/>
          </w:tcPr>
          <w:p w14:paraId="653D7DC5" w14:textId="77777777" w:rsidR="00EB1316" w:rsidRPr="00C7021E" w:rsidRDefault="00EB1316" w:rsidP="009C5083">
            <w:pPr>
              <w:spacing w:after="0" w:line="240" w:lineRule="auto"/>
              <w:rPr>
                <w:rFonts w:eastAsia="Calibri" w:cs="Times New Roman"/>
                <w:b/>
                <w:sz w:val="20"/>
                <w:szCs w:val="20"/>
                <w:lang w:eastAsia="en-US"/>
              </w:rPr>
            </w:pPr>
            <w:r w:rsidRPr="00C7021E">
              <w:rPr>
                <w:rFonts w:eastAsia="Calibri" w:cs="Times New Roman"/>
                <w:b/>
                <w:sz w:val="20"/>
                <w:szCs w:val="20"/>
                <w:lang w:eastAsia="en-US"/>
              </w:rPr>
              <w:t>2</w:t>
            </w:r>
            <w:r>
              <w:rPr>
                <w:rFonts w:eastAsia="Calibri" w:cs="Times New Roman"/>
                <w:b/>
                <w:sz w:val="20"/>
                <w:szCs w:val="20"/>
                <w:lang w:eastAsia="en-US"/>
              </w:rPr>
              <w:t>5</w:t>
            </w:r>
            <w:r w:rsidRPr="00C7021E">
              <w:rPr>
                <w:rFonts w:eastAsia="Calibri" w:cs="Times New Roman"/>
                <w:b/>
                <w:sz w:val="20"/>
                <w:szCs w:val="20"/>
                <w:lang w:eastAsia="en-US"/>
              </w:rPr>
              <w:t>.</w:t>
            </w:r>
          </w:p>
        </w:tc>
        <w:tc>
          <w:tcPr>
            <w:tcW w:w="4950" w:type="dxa"/>
            <w:shd w:val="clear" w:color="auto" w:fill="auto"/>
            <w:vAlign w:val="center"/>
          </w:tcPr>
          <w:p w14:paraId="030EC99C" w14:textId="77777777" w:rsidR="00EB1316" w:rsidRPr="00C7021E" w:rsidRDefault="00EB1316" w:rsidP="009C5083">
            <w:pPr>
              <w:spacing w:after="0" w:line="240" w:lineRule="auto"/>
              <w:rPr>
                <w:rFonts w:eastAsia="Calibri" w:cs="Times New Roman"/>
                <w:sz w:val="20"/>
                <w:szCs w:val="20"/>
                <w:lang w:eastAsia="en-US"/>
              </w:rPr>
            </w:pPr>
            <w:r w:rsidRPr="00C7021E">
              <w:rPr>
                <w:rFonts w:eastAsia="Calibri" w:cs="Times New Roman"/>
                <w:sz w:val="20"/>
                <w:szCs w:val="20"/>
                <w:lang w:eastAsia="en-US"/>
              </w:rPr>
              <w:t>Percentage of all staff surveyed who feel empowered in their job</w:t>
            </w:r>
          </w:p>
        </w:tc>
        <w:tc>
          <w:tcPr>
            <w:tcW w:w="1710" w:type="dxa"/>
            <w:shd w:val="clear" w:color="auto" w:fill="auto"/>
            <w:vAlign w:val="center"/>
          </w:tcPr>
          <w:p w14:paraId="69590D62" w14:textId="77777777" w:rsidR="00EB1316" w:rsidRPr="00E76535" w:rsidRDefault="00EB1316" w:rsidP="009C5083">
            <w:pPr>
              <w:spacing w:after="0"/>
              <w:jc w:val="center"/>
              <w:rPr>
                <w:rFonts w:ascii="Calibri" w:eastAsia="Calibri" w:hAnsi="Calibri"/>
                <w:sz w:val="20"/>
              </w:rPr>
            </w:pPr>
            <w:r>
              <w:rPr>
                <w:sz w:val="20"/>
                <w:szCs w:val="20"/>
              </w:rPr>
              <w:t>57%</w:t>
            </w:r>
          </w:p>
        </w:tc>
        <w:tc>
          <w:tcPr>
            <w:tcW w:w="1620" w:type="dxa"/>
            <w:shd w:val="clear" w:color="auto" w:fill="auto"/>
            <w:vAlign w:val="center"/>
          </w:tcPr>
          <w:p w14:paraId="18634CC9" w14:textId="77777777" w:rsidR="00EB1316" w:rsidRPr="00B46A92" w:rsidRDefault="00EB1316" w:rsidP="009C5083">
            <w:pPr>
              <w:spacing w:after="0" w:line="240" w:lineRule="auto"/>
              <w:jc w:val="center"/>
              <w:rPr>
                <w:rFonts w:eastAsia="Calibri" w:cs="Times New Roman"/>
                <w:sz w:val="20"/>
                <w:szCs w:val="20"/>
                <w:highlight w:val="yellow"/>
                <w:lang w:eastAsia="en-US"/>
              </w:rPr>
            </w:pPr>
            <w:r>
              <w:rPr>
                <w:sz w:val="20"/>
                <w:szCs w:val="20"/>
              </w:rPr>
              <w:t>57%</w:t>
            </w:r>
          </w:p>
        </w:tc>
        <w:tc>
          <w:tcPr>
            <w:tcW w:w="1800" w:type="dxa"/>
            <w:shd w:val="clear" w:color="auto" w:fill="auto"/>
            <w:vAlign w:val="center"/>
          </w:tcPr>
          <w:p w14:paraId="34857FE1" w14:textId="77777777" w:rsidR="00EB1316" w:rsidRPr="007E71C5" w:rsidRDefault="00EB1316" w:rsidP="009C5083">
            <w:pPr>
              <w:spacing w:after="0"/>
              <w:jc w:val="center"/>
              <w:rPr>
                <w:sz w:val="20"/>
              </w:rPr>
            </w:pPr>
            <w:r w:rsidRPr="007E71C5">
              <w:rPr>
                <w:sz w:val="20"/>
              </w:rPr>
              <w:t>56%</w:t>
            </w:r>
          </w:p>
        </w:tc>
        <w:tc>
          <w:tcPr>
            <w:tcW w:w="1800" w:type="dxa"/>
            <w:shd w:val="clear" w:color="auto" w:fill="auto"/>
            <w:vAlign w:val="center"/>
          </w:tcPr>
          <w:p w14:paraId="0087B1CF" w14:textId="77777777" w:rsidR="00EB1316" w:rsidRPr="007E71C5" w:rsidRDefault="00EB1316" w:rsidP="009C5083">
            <w:pPr>
              <w:spacing w:after="0"/>
              <w:jc w:val="center"/>
              <w:rPr>
                <w:sz w:val="20"/>
              </w:rPr>
            </w:pPr>
            <w:r>
              <w:rPr>
                <w:sz w:val="20"/>
              </w:rPr>
              <w:t>65%</w:t>
            </w:r>
          </w:p>
        </w:tc>
      </w:tr>
      <w:tr w:rsidR="00EB1316" w:rsidRPr="00C7021E" w14:paraId="07FE7B16" w14:textId="77777777" w:rsidTr="009C5083">
        <w:trPr>
          <w:trHeight w:val="422"/>
          <w:jc w:val="center"/>
        </w:trPr>
        <w:tc>
          <w:tcPr>
            <w:tcW w:w="1885" w:type="dxa"/>
            <w:vMerge/>
            <w:shd w:val="clear" w:color="auto" w:fill="auto"/>
            <w:vAlign w:val="center"/>
          </w:tcPr>
          <w:p w14:paraId="1EF14B20" w14:textId="77777777" w:rsidR="00EB1316" w:rsidRPr="00C7021E" w:rsidRDefault="00EB1316" w:rsidP="009C5083">
            <w:pPr>
              <w:spacing w:after="0" w:line="240" w:lineRule="auto"/>
              <w:rPr>
                <w:rFonts w:eastAsia="Calibri" w:cs="Times New Roman"/>
                <w:sz w:val="20"/>
                <w:szCs w:val="20"/>
                <w:lang w:eastAsia="en-US"/>
              </w:rPr>
            </w:pPr>
          </w:p>
        </w:tc>
        <w:tc>
          <w:tcPr>
            <w:tcW w:w="540" w:type="dxa"/>
            <w:vMerge w:val="restart"/>
            <w:shd w:val="clear" w:color="auto" w:fill="auto"/>
            <w:vAlign w:val="center"/>
          </w:tcPr>
          <w:p w14:paraId="29DBD687" w14:textId="77777777" w:rsidR="00EB1316" w:rsidRPr="00C7021E" w:rsidRDefault="00EB1316" w:rsidP="009C5083">
            <w:pPr>
              <w:spacing w:after="0" w:line="240" w:lineRule="auto"/>
              <w:rPr>
                <w:rFonts w:eastAsia="Calibri" w:cs="Times New Roman"/>
                <w:b/>
                <w:sz w:val="20"/>
                <w:szCs w:val="20"/>
                <w:lang w:eastAsia="en-US"/>
              </w:rPr>
            </w:pPr>
            <w:r>
              <w:rPr>
                <w:rFonts w:eastAsia="Calibri" w:cs="Times New Roman"/>
                <w:b/>
                <w:sz w:val="20"/>
                <w:szCs w:val="20"/>
                <w:lang w:eastAsia="en-US"/>
              </w:rPr>
              <w:t>26.</w:t>
            </w:r>
          </w:p>
        </w:tc>
        <w:tc>
          <w:tcPr>
            <w:tcW w:w="4950" w:type="dxa"/>
            <w:shd w:val="clear" w:color="auto" w:fill="auto"/>
            <w:vAlign w:val="center"/>
          </w:tcPr>
          <w:p w14:paraId="71C1D2F4" w14:textId="77777777" w:rsidR="00EB1316" w:rsidRPr="00C7021E" w:rsidRDefault="00EB1316" w:rsidP="009C5083">
            <w:pPr>
              <w:spacing w:after="0" w:line="240" w:lineRule="auto"/>
              <w:rPr>
                <w:rFonts w:eastAsia="Calibri" w:cs="Times New Roman"/>
                <w:sz w:val="20"/>
                <w:szCs w:val="20"/>
                <w:lang w:eastAsia="en-US"/>
              </w:rPr>
            </w:pPr>
            <w:r>
              <w:rPr>
                <w:rFonts w:eastAsia="Calibri" w:cs="Times New Roman"/>
                <w:sz w:val="20"/>
                <w:szCs w:val="20"/>
                <w:lang w:eastAsia="en-US"/>
              </w:rPr>
              <w:t>Staff engagement index</w:t>
            </w:r>
          </w:p>
        </w:tc>
        <w:tc>
          <w:tcPr>
            <w:tcW w:w="1710" w:type="dxa"/>
            <w:shd w:val="clear" w:color="auto" w:fill="auto"/>
            <w:vAlign w:val="center"/>
          </w:tcPr>
          <w:p w14:paraId="33C6D9A5" w14:textId="77777777" w:rsidR="00EB1316" w:rsidRPr="00E76535" w:rsidRDefault="00EB1316" w:rsidP="009C5083">
            <w:pPr>
              <w:spacing w:after="0" w:line="240" w:lineRule="auto"/>
              <w:jc w:val="center"/>
              <w:rPr>
                <w:rFonts w:ascii="Calibri" w:eastAsia="Calibri" w:hAnsi="Calibri"/>
                <w:sz w:val="20"/>
              </w:rPr>
            </w:pPr>
            <w:r>
              <w:rPr>
                <w:sz w:val="20"/>
                <w:szCs w:val="20"/>
              </w:rPr>
              <w:t>72%</w:t>
            </w:r>
          </w:p>
        </w:tc>
        <w:tc>
          <w:tcPr>
            <w:tcW w:w="1620" w:type="dxa"/>
            <w:shd w:val="clear" w:color="auto" w:fill="auto"/>
            <w:vAlign w:val="center"/>
          </w:tcPr>
          <w:p w14:paraId="6E986448" w14:textId="77777777" w:rsidR="00EB1316" w:rsidRPr="00B46A92" w:rsidRDefault="00EB1316" w:rsidP="009C5083">
            <w:pPr>
              <w:spacing w:after="0" w:line="240" w:lineRule="auto"/>
              <w:jc w:val="center"/>
              <w:rPr>
                <w:rFonts w:eastAsia="Calibri" w:cs="Times New Roman"/>
                <w:sz w:val="20"/>
                <w:szCs w:val="20"/>
                <w:highlight w:val="yellow"/>
                <w:lang w:eastAsia="en-US"/>
              </w:rPr>
            </w:pPr>
            <w:r>
              <w:rPr>
                <w:sz w:val="20"/>
                <w:szCs w:val="20"/>
              </w:rPr>
              <w:t>72%</w:t>
            </w:r>
          </w:p>
        </w:tc>
        <w:tc>
          <w:tcPr>
            <w:tcW w:w="1800" w:type="dxa"/>
            <w:shd w:val="clear" w:color="auto" w:fill="auto"/>
            <w:vAlign w:val="center"/>
          </w:tcPr>
          <w:p w14:paraId="674C1A16" w14:textId="77777777" w:rsidR="00EB1316" w:rsidRPr="007E71C5" w:rsidRDefault="00EB1316" w:rsidP="009C5083">
            <w:pPr>
              <w:spacing w:after="0" w:line="240" w:lineRule="auto"/>
              <w:jc w:val="center"/>
              <w:rPr>
                <w:rFonts w:ascii="Calibri" w:eastAsia="Calibri" w:hAnsi="Calibri"/>
                <w:sz w:val="20"/>
              </w:rPr>
            </w:pPr>
            <w:r w:rsidRPr="007E71C5">
              <w:rPr>
                <w:sz w:val="20"/>
              </w:rPr>
              <w:t>71%</w:t>
            </w:r>
          </w:p>
        </w:tc>
        <w:tc>
          <w:tcPr>
            <w:tcW w:w="1800" w:type="dxa"/>
            <w:shd w:val="clear" w:color="auto" w:fill="auto"/>
            <w:vAlign w:val="center"/>
          </w:tcPr>
          <w:p w14:paraId="6D91A89D" w14:textId="77777777" w:rsidR="00EB1316" w:rsidRPr="007E71C5" w:rsidRDefault="00EB1316" w:rsidP="009C5083">
            <w:pPr>
              <w:spacing w:after="0" w:line="240" w:lineRule="auto"/>
              <w:jc w:val="center"/>
              <w:rPr>
                <w:sz w:val="20"/>
              </w:rPr>
            </w:pPr>
            <w:r w:rsidRPr="00E33F0E">
              <w:rPr>
                <w:sz w:val="20"/>
              </w:rPr>
              <w:t>76%</w:t>
            </w:r>
          </w:p>
        </w:tc>
      </w:tr>
      <w:tr w:rsidR="00EB1316" w:rsidRPr="00C7021E" w14:paraId="607F1CA5" w14:textId="77777777" w:rsidTr="009C5083">
        <w:trPr>
          <w:trHeight w:val="413"/>
          <w:jc w:val="center"/>
        </w:trPr>
        <w:tc>
          <w:tcPr>
            <w:tcW w:w="1885" w:type="dxa"/>
            <w:vMerge/>
            <w:shd w:val="clear" w:color="auto" w:fill="auto"/>
            <w:vAlign w:val="center"/>
          </w:tcPr>
          <w:p w14:paraId="48C4ABC5" w14:textId="77777777" w:rsidR="00EB1316" w:rsidRPr="00C7021E" w:rsidRDefault="00EB1316" w:rsidP="009C5083">
            <w:pPr>
              <w:spacing w:after="0" w:line="240" w:lineRule="auto"/>
              <w:rPr>
                <w:rFonts w:eastAsia="Calibri" w:cs="Times New Roman"/>
                <w:sz w:val="20"/>
                <w:szCs w:val="20"/>
                <w:lang w:eastAsia="en-US"/>
              </w:rPr>
            </w:pPr>
          </w:p>
        </w:tc>
        <w:tc>
          <w:tcPr>
            <w:tcW w:w="540" w:type="dxa"/>
            <w:vMerge/>
            <w:shd w:val="clear" w:color="auto" w:fill="auto"/>
            <w:vAlign w:val="center"/>
          </w:tcPr>
          <w:p w14:paraId="3BFE87EC" w14:textId="77777777" w:rsidR="00EB1316" w:rsidRDefault="00EB1316" w:rsidP="009C5083">
            <w:pPr>
              <w:spacing w:after="0" w:line="240" w:lineRule="auto"/>
              <w:rPr>
                <w:rFonts w:eastAsia="Calibri" w:cs="Times New Roman"/>
                <w:b/>
                <w:sz w:val="20"/>
                <w:szCs w:val="20"/>
                <w:lang w:eastAsia="en-US"/>
              </w:rPr>
            </w:pPr>
          </w:p>
        </w:tc>
        <w:tc>
          <w:tcPr>
            <w:tcW w:w="11880" w:type="dxa"/>
            <w:gridSpan w:val="5"/>
            <w:shd w:val="clear" w:color="auto" w:fill="D9D9D9" w:themeFill="background1" w:themeFillShade="D9"/>
            <w:vAlign w:val="center"/>
          </w:tcPr>
          <w:p w14:paraId="2EB13D08" w14:textId="77777777" w:rsidR="00EB1316" w:rsidRPr="00085FA6" w:rsidRDefault="00EB1316" w:rsidP="009C5083">
            <w:pPr>
              <w:spacing w:after="0" w:line="240" w:lineRule="auto"/>
              <w:rPr>
                <w:rFonts w:ascii="Calibri" w:eastAsia="Calibri" w:hAnsi="Calibri"/>
                <w:b/>
                <w:sz w:val="18"/>
                <w:szCs w:val="18"/>
              </w:rPr>
            </w:pPr>
            <w:r w:rsidRPr="00085FA6">
              <w:rPr>
                <w:rFonts w:ascii="Calibri" w:eastAsia="Calibri" w:hAnsi="Calibri"/>
                <w:b/>
                <w:sz w:val="18"/>
                <w:szCs w:val="18"/>
              </w:rPr>
              <w:t>Note</w:t>
            </w:r>
            <w:r w:rsidRPr="00085FA6">
              <w:rPr>
                <w:rFonts w:ascii="Calibri" w:eastAsia="Calibri" w:hAnsi="Calibri"/>
                <w:sz w:val="18"/>
                <w:szCs w:val="18"/>
              </w:rPr>
              <w:t>: Calculated based on G</w:t>
            </w:r>
            <w:r>
              <w:rPr>
                <w:rFonts w:ascii="Calibri" w:eastAsia="Calibri" w:hAnsi="Calibri"/>
                <w:sz w:val="18"/>
                <w:szCs w:val="18"/>
              </w:rPr>
              <w:t xml:space="preserve">lobal </w:t>
            </w:r>
            <w:r w:rsidRPr="00085FA6">
              <w:rPr>
                <w:rFonts w:ascii="Calibri" w:eastAsia="Calibri" w:hAnsi="Calibri"/>
                <w:sz w:val="18"/>
                <w:szCs w:val="18"/>
              </w:rPr>
              <w:t>S</w:t>
            </w:r>
            <w:r>
              <w:rPr>
                <w:rFonts w:ascii="Calibri" w:eastAsia="Calibri" w:hAnsi="Calibri"/>
                <w:sz w:val="18"/>
                <w:szCs w:val="18"/>
              </w:rPr>
              <w:t xml:space="preserve">taff </w:t>
            </w:r>
            <w:r w:rsidRPr="00085FA6">
              <w:rPr>
                <w:rFonts w:ascii="Calibri" w:eastAsia="Calibri" w:hAnsi="Calibri"/>
                <w:sz w:val="18"/>
                <w:szCs w:val="18"/>
              </w:rPr>
              <w:t>S</w:t>
            </w:r>
            <w:r>
              <w:rPr>
                <w:rFonts w:ascii="Calibri" w:eastAsia="Calibri" w:hAnsi="Calibri"/>
                <w:sz w:val="18"/>
                <w:szCs w:val="18"/>
              </w:rPr>
              <w:t>urvey (GSS)</w:t>
            </w:r>
            <w:r w:rsidRPr="00085FA6">
              <w:rPr>
                <w:rFonts w:ascii="Calibri" w:eastAsia="Calibri" w:hAnsi="Calibri"/>
                <w:sz w:val="18"/>
                <w:szCs w:val="18"/>
              </w:rPr>
              <w:t xml:space="preserve"> questions on: UNDP as an organization to work for; treating staff with respect; being proud to work with UNDP; inspiration to work; and intention to stay</w:t>
            </w:r>
            <w:r>
              <w:rPr>
                <w:rFonts w:ascii="Calibri" w:eastAsia="Calibri" w:hAnsi="Calibri"/>
                <w:sz w:val="18"/>
                <w:szCs w:val="18"/>
              </w:rPr>
              <w:t>.</w:t>
            </w:r>
          </w:p>
        </w:tc>
      </w:tr>
      <w:tr w:rsidR="00EB1316" w:rsidRPr="00C7021E" w14:paraId="623B0345" w14:textId="77777777" w:rsidTr="009C5083">
        <w:trPr>
          <w:trHeight w:val="557"/>
          <w:jc w:val="center"/>
        </w:trPr>
        <w:tc>
          <w:tcPr>
            <w:tcW w:w="1885" w:type="dxa"/>
            <w:vMerge/>
            <w:shd w:val="clear" w:color="auto" w:fill="auto"/>
            <w:vAlign w:val="center"/>
          </w:tcPr>
          <w:p w14:paraId="077ABD63" w14:textId="77777777" w:rsidR="00EB1316" w:rsidRPr="00C7021E" w:rsidRDefault="00EB1316" w:rsidP="009C5083">
            <w:pPr>
              <w:spacing w:after="0" w:line="240" w:lineRule="auto"/>
              <w:rPr>
                <w:rFonts w:eastAsia="Calibri" w:cs="Times New Roman"/>
                <w:sz w:val="20"/>
                <w:szCs w:val="20"/>
                <w:lang w:eastAsia="en-US"/>
              </w:rPr>
            </w:pPr>
          </w:p>
        </w:tc>
        <w:tc>
          <w:tcPr>
            <w:tcW w:w="540" w:type="dxa"/>
            <w:vMerge w:val="restart"/>
            <w:shd w:val="clear" w:color="auto" w:fill="auto"/>
            <w:vAlign w:val="center"/>
          </w:tcPr>
          <w:p w14:paraId="0AC03178" w14:textId="77777777" w:rsidR="00EB1316" w:rsidRPr="00C7021E" w:rsidRDefault="00EB1316" w:rsidP="009C5083">
            <w:pPr>
              <w:spacing w:after="0" w:line="240" w:lineRule="auto"/>
              <w:rPr>
                <w:rFonts w:eastAsia="Calibri" w:cs="Times New Roman"/>
                <w:b/>
                <w:sz w:val="20"/>
                <w:szCs w:val="20"/>
                <w:lang w:eastAsia="en-US"/>
              </w:rPr>
            </w:pPr>
            <w:r w:rsidRPr="00C7021E">
              <w:rPr>
                <w:rFonts w:eastAsia="Calibri" w:cs="Times New Roman"/>
                <w:b/>
                <w:sz w:val="20"/>
                <w:szCs w:val="20"/>
                <w:lang w:eastAsia="en-US"/>
              </w:rPr>
              <w:t>2</w:t>
            </w:r>
            <w:r>
              <w:rPr>
                <w:rFonts w:eastAsia="Calibri" w:cs="Times New Roman"/>
                <w:b/>
                <w:sz w:val="20"/>
                <w:szCs w:val="20"/>
                <w:lang w:eastAsia="en-US"/>
              </w:rPr>
              <w:t>7</w:t>
            </w:r>
            <w:r w:rsidRPr="00C7021E">
              <w:rPr>
                <w:rFonts w:eastAsia="Calibri" w:cs="Times New Roman"/>
                <w:b/>
                <w:sz w:val="20"/>
                <w:szCs w:val="20"/>
                <w:lang w:eastAsia="en-US"/>
              </w:rPr>
              <w:t>.</w:t>
            </w:r>
          </w:p>
        </w:tc>
        <w:tc>
          <w:tcPr>
            <w:tcW w:w="4950" w:type="dxa"/>
            <w:shd w:val="clear" w:color="auto" w:fill="auto"/>
            <w:vAlign w:val="center"/>
          </w:tcPr>
          <w:p w14:paraId="0A368C68" w14:textId="77777777" w:rsidR="00EB1316" w:rsidRPr="00C7021E" w:rsidRDefault="00EB1316" w:rsidP="009C5083">
            <w:pPr>
              <w:spacing w:after="0" w:line="240" w:lineRule="auto"/>
              <w:rPr>
                <w:rFonts w:eastAsia="Calibri" w:cs="Times New Roman"/>
                <w:color w:val="C00000"/>
                <w:sz w:val="20"/>
                <w:szCs w:val="20"/>
                <w:lang w:eastAsia="en-US"/>
              </w:rPr>
            </w:pPr>
            <w:r w:rsidRPr="00C7021E">
              <w:rPr>
                <w:rFonts w:eastAsia="Calibri" w:cs="Times New Roman"/>
                <w:sz w:val="20"/>
                <w:szCs w:val="20"/>
                <w:lang w:eastAsia="en-US"/>
              </w:rPr>
              <w:t>Percentage of project outputs that are aligned to corporate outcomes</w:t>
            </w:r>
          </w:p>
        </w:tc>
        <w:tc>
          <w:tcPr>
            <w:tcW w:w="1710" w:type="dxa"/>
            <w:shd w:val="clear" w:color="auto" w:fill="auto"/>
            <w:vAlign w:val="center"/>
          </w:tcPr>
          <w:p w14:paraId="69B53404" w14:textId="77777777" w:rsidR="00EB1316" w:rsidRPr="00E76535" w:rsidRDefault="00EB1316" w:rsidP="009C5083">
            <w:pPr>
              <w:spacing w:after="0" w:line="240" w:lineRule="auto"/>
              <w:jc w:val="center"/>
              <w:rPr>
                <w:rFonts w:ascii="Calibri" w:eastAsia="Calibri" w:hAnsi="Calibri"/>
                <w:sz w:val="20"/>
              </w:rPr>
            </w:pPr>
            <w:r>
              <w:rPr>
                <w:rFonts w:ascii="Calibri" w:eastAsia="Calibri" w:hAnsi="Calibri"/>
                <w:sz w:val="20"/>
              </w:rPr>
              <w:t>81.3%</w:t>
            </w:r>
          </w:p>
        </w:tc>
        <w:tc>
          <w:tcPr>
            <w:tcW w:w="1620" w:type="dxa"/>
            <w:shd w:val="clear" w:color="auto" w:fill="auto"/>
            <w:vAlign w:val="center"/>
          </w:tcPr>
          <w:p w14:paraId="67996D2B" w14:textId="77777777" w:rsidR="00EB1316" w:rsidRPr="00B46A92" w:rsidRDefault="00EB1316" w:rsidP="009C5083">
            <w:pPr>
              <w:spacing w:after="0" w:line="240" w:lineRule="auto"/>
              <w:jc w:val="center"/>
              <w:rPr>
                <w:rFonts w:eastAsia="Calibri" w:cs="Times New Roman"/>
                <w:sz w:val="20"/>
                <w:szCs w:val="20"/>
                <w:highlight w:val="yellow"/>
                <w:lang w:eastAsia="en-US"/>
              </w:rPr>
            </w:pPr>
            <w:r>
              <w:rPr>
                <w:rFonts w:ascii="Calibri" w:eastAsia="Calibri" w:hAnsi="Calibri"/>
                <w:sz w:val="20"/>
              </w:rPr>
              <w:t>86.3</w:t>
            </w:r>
            <w:r w:rsidRPr="00E76535">
              <w:rPr>
                <w:rFonts w:ascii="Calibri" w:eastAsia="Calibri" w:hAnsi="Calibri"/>
                <w:sz w:val="20"/>
              </w:rPr>
              <w:t>%</w:t>
            </w:r>
          </w:p>
        </w:tc>
        <w:tc>
          <w:tcPr>
            <w:tcW w:w="1800" w:type="dxa"/>
            <w:shd w:val="clear" w:color="auto" w:fill="auto"/>
            <w:vAlign w:val="center"/>
          </w:tcPr>
          <w:p w14:paraId="03FE0429" w14:textId="77777777" w:rsidR="00EB1316" w:rsidRPr="00E76535" w:rsidRDefault="00EB1316" w:rsidP="009C5083">
            <w:pPr>
              <w:tabs>
                <w:tab w:val="left" w:pos="350"/>
                <w:tab w:val="center" w:pos="655"/>
              </w:tabs>
              <w:spacing w:after="0" w:line="240" w:lineRule="auto"/>
              <w:jc w:val="center"/>
              <w:rPr>
                <w:rFonts w:ascii="Calibri" w:eastAsia="Calibri" w:hAnsi="Calibri"/>
                <w:sz w:val="20"/>
              </w:rPr>
            </w:pPr>
            <w:r w:rsidRPr="005608B7">
              <w:rPr>
                <w:rFonts w:ascii="Calibri" w:eastAsia="Calibri" w:hAnsi="Calibri"/>
                <w:sz w:val="20"/>
              </w:rPr>
              <w:t>88.3%</w:t>
            </w:r>
          </w:p>
        </w:tc>
        <w:tc>
          <w:tcPr>
            <w:tcW w:w="1800" w:type="dxa"/>
            <w:shd w:val="clear" w:color="auto" w:fill="auto"/>
            <w:vAlign w:val="center"/>
          </w:tcPr>
          <w:p w14:paraId="42F23DD6" w14:textId="77777777" w:rsidR="00EB1316" w:rsidRPr="005608B7" w:rsidRDefault="00EB1316" w:rsidP="009C5083">
            <w:pPr>
              <w:tabs>
                <w:tab w:val="left" w:pos="350"/>
                <w:tab w:val="center" w:pos="655"/>
              </w:tabs>
              <w:spacing w:after="0" w:line="240" w:lineRule="auto"/>
              <w:jc w:val="center"/>
              <w:rPr>
                <w:rFonts w:ascii="Calibri" w:eastAsia="Calibri" w:hAnsi="Calibri"/>
                <w:sz w:val="20"/>
              </w:rPr>
            </w:pPr>
            <w:r w:rsidRPr="00E76535">
              <w:rPr>
                <w:rFonts w:ascii="Calibri" w:eastAsia="Calibri" w:hAnsi="Calibri"/>
                <w:sz w:val="20"/>
              </w:rPr>
              <w:t>90%</w:t>
            </w:r>
          </w:p>
        </w:tc>
      </w:tr>
      <w:tr w:rsidR="00EB1316" w:rsidRPr="00C7021E" w14:paraId="71D5B91A" w14:textId="77777777" w:rsidTr="009C5083">
        <w:trPr>
          <w:trHeight w:val="332"/>
          <w:jc w:val="center"/>
        </w:trPr>
        <w:tc>
          <w:tcPr>
            <w:tcW w:w="1885" w:type="dxa"/>
            <w:vMerge/>
            <w:shd w:val="clear" w:color="auto" w:fill="auto"/>
            <w:vAlign w:val="center"/>
          </w:tcPr>
          <w:p w14:paraId="0CF967AE" w14:textId="77777777" w:rsidR="00EB1316" w:rsidRPr="00C7021E" w:rsidRDefault="00EB1316" w:rsidP="009C5083">
            <w:pPr>
              <w:spacing w:after="0" w:line="240" w:lineRule="auto"/>
              <w:rPr>
                <w:rFonts w:eastAsia="Calibri" w:cs="Times New Roman"/>
                <w:sz w:val="20"/>
                <w:szCs w:val="20"/>
                <w:lang w:eastAsia="en-US"/>
              </w:rPr>
            </w:pPr>
          </w:p>
        </w:tc>
        <w:tc>
          <w:tcPr>
            <w:tcW w:w="540" w:type="dxa"/>
            <w:vMerge/>
            <w:shd w:val="clear" w:color="auto" w:fill="auto"/>
            <w:vAlign w:val="center"/>
          </w:tcPr>
          <w:p w14:paraId="570B2A1E" w14:textId="77777777" w:rsidR="00EB1316" w:rsidRPr="00C7021E" w:rsidRDefault="00EB1316" w:rsidP="009C5083">
            <w:pPr>
              <w:spacing w:after="0" w:line="240" w:lineRule="auto"/>
              <w:rPr>
                <w:rFonts w:eastAsia="Calibri" w:cs="Times New Roman"/>
                <w:b/>
                <w:sz w:val="20"/>
                <w:szCs w:val="20"/>
                <w:lang w:eastAsia="en-US"/>
              </w:rPr>
            </w:pPr>
          </w:p>
        </w:tc>
        <w:tc>
          <w:tcPr>
            <w:tcW w:w="11880" w:type="dxa"/>
            <w:gridSpan w:val="5"/>
            <w:shd w:val="clear" w:color="auto" w:fill="D9D9D9" w:themeFill="background1" w:themeFillShade="D9"/>
            <w:vAlign w:val="center"/>
          </w:tcPr>
          <w:p w14:paraId="625BABAB" w14:textId="77777777" w:rsidR="00EB1316" w:rsidRPr="00283381" w:rsidRDefault="00EB1316" w:rsidP="009C5083">
            <w:pPr>
              <w:spacing w:after="0" w:line="240" w:lineRule="auto"/>
              <w:rPr>
                <w:rFonts w:ascii="Calibri" w:eastAsia="Calibri" w:hAnsi="Calibri"/>
                <w:b/>
                <w:sz w:val="18"/>
                <w:szCs w:val="18"/>
              </w:rPr>
            </w:pPr>
            <w:r w:rsidRPr="00283381">
              <w:rPr>
                <w:rFonts w:ascii="Calibri" w:eastAsia="Calibri" w:hAnsi="Calibri"/>
                <w:b/>
                <w:sz w:val="18"/>
                <w:szCs w:val="18"/>
              </w:rPr>
              <w:t>Note</w:t>
            </w:r>
            <w:r w:rsidRPr="00283381">
              <w:rPr>
                <w:rFonts w:ascii="Calibri" w:eastAsia="Calibri" w:hAnsi="Calibri"/>
                <w:sz w:val="18"/>
                <w:szCs w:val="18"/>
              </w:rPr>
              <w:t xml:space="preserve">: </w:t>
            </w:r>
            <w:r w:rsidRPr="00965655">
              <w:rPr>
                <w:sz w:val="18"/>
                <w:lang w:val="en-GB"/>
              </w:rPr>
              <w:t xml:space="preserve">The indicator captures ongoing development outputs managed by headquarters units and country offices that are linked to the Strategic Plan </w:t>
            </w:r>
            <w:r>
              <w:rPr>
                <w:sz w:val="18"/>
                <w:lang w:val="en-GB"/>
              </w:rPr>
              <w:t>outcomes/outputs</w:t>
            </w:r>
            <w:r w:rsidRPr="00B50E27">
              <w:rPr>
                <w:sz w:val="18"/>
                <w:lang w:val="en-GB"/>
              </w:rPr>
              <w:t>.</w:t>
            </w:r>
            <w:r>
              <w:rPr>
                <w:sz w:val="18"/>
                <w:lang w:val="en-GB"/>
              </w:rPr>
              <w:t xml:space="preserve"> </w:t>
            </w:r>
          </w:p>
        </w:tc>
      </w:tr>
    </w:tbl>
    <w:p w14:paraId="2F2B0F8F" w14:textId="77777777" w:rsidR="00EB1316" w:rsidRDefault="00EB1316" w:rsidP="00EB1316">
      <w:pPr>
        <w:spacing w:after="0" w:line="240" w:lineRule="auto"/>
        <w:rPr>
          <w:rFonts w:eastAsia="Calibri" w:cs="Times New Roman"/>
          <w:sz w:val="16"/>
          <w:szCs w:val="16"/>
          <w:lang w:eastAsia="en-US"/>
        </w:rPr>
      </w:pPr>
    </w:p>
    <w:p w14:paraId="2200B732" w14:textId="77777777" w:rsidR="00EB1316" w:rsidRDefault="00EB1316" w:rsidP="00EB1316">
      <w:pPr>
        <w:spacing w:after="0" w:line="240" w:lineRule="auto"/>
        <w:rPr>
          <w:rFonts w:eastAsia="Calibri" w:cs="Times New Roman"/>
          <w:sz w:val="16"/>
          <w:szCs w:val="16"/>
          <w:lang w:eastAsia="en-US"/>
        </w:rPr>
      </w:pPr>
    </w:p>
    <w:p w14:paraId="1080AF44" w14:textId="77777777" w:rsidR="00EB1316" w:rsidRDefault="00EB1316" w:rsidP="00EB1316">
      <w:pPr>
        <w:spacing w:after="0" w:line="240" w:lineRule="auto"/>
        <w:rPr>
          <w:rFonts w:eastAsia="Calibri" w:cs="Times New Roman"/>
          <w:sz w:val="16"/>
          <w:szCs w:val="16"/>
          <w:lang w:eastAsia="en-US"/>
        </w:rPr>
      </w:pPr>
    </w:p>
    <w:p w14:paraId="33D07CBA" w14:textId="77777777" w:rsidR="00EB1316" w:rsidRDefault="00EB1316" w:rsidP="00EB1316">
      <w:pPr>
        <w:spacing w:after="0" w:line="240" w:lineRule="auto"/>
        <w:rPr>
          <w:rFonts w:eastAsia="Calibri" w:cs="Times New Roman"/>
          <w:sz w:val="16"/>
          <w:szCs w:val="16"/>
          <w:lang w:eastAsia="en-US"/>
        </w:rPr>
      </w:pPr>
    </w:p>
    <w:tbl>
      <w:tblPr>
        <w:tblW w:w="14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540"/>
        <w:gridCol w:w="4950"/>
        <w:gridCol w:w="1710"/>
        <w:gridCol w:w="1620"/>
        <w:gridCol w:w="1800"/>
        <w:gridCol w:w="1800"/>
      </w:tblGrid>
      <w:tr w:rsidR="00EB1316" w:rsidRPr="00C7021E" w14:paraId="1E2BB1E7" w14:textId="77777777" w:rsidTr="009C5083">
        <w:trPr>
          <w:trHeight w:val="269"/>
          <w:jc w:val="center"/>
        </w:trPr>
        <w:tc>
          <w:tcPr>
            <w:tcW w:w="14305" w:type="dxa"/>
            <w:gridSpan w:val="7"/>
            <w:shd w:val="clear" w:color="auto" w:fill="F2F2F2"/>
            <w:vAlign w:val="center"/>
          </w:tcPr>
          <w:p w14:paraId="604DA7D0" w14:textId="77777777" w:rsidR="00EB1316" w:rsidRPr="00C7021E" w:rsidRDefault="00EB1316" w:rsidP="009C5083">
            <w:pPr>
              <w:spacing w:after="0" w:line="240" w:lineRule="auto"/>
              <w:rPr>
                <w:rFonts w:eastAsia="Calibri" w:cs="Times New Roman"/>
                <w:b/>
                <w:sz w:val="24"/>
                <w:szCs w:val="24"/>
                <w:lang w:val="en-GB" w:eastAsia="en-US"/>
              </w:rPr>
            </w:pPr>
            <w:r w:rsidRPr="00C7021E">
              <w:rPr>
                <w:rFonts w:eastAsia="Calibri" w:cs="Times New Roman"/>
                <w:b/>
                <w:sz w:val="24"/>
                <w:szCs w:val="24"/>
                <w:lang w:val="en-GB" w:eastAsia="en-US"/>
              </w:rPr>
              <w:t>Improved management of financial and human resources in pursuit of results</w:t>
            </w:r>
          </w:p>
        </w:tc>
      </w:tr>
      <w:tr w:rsidR="00EB1316" w:rsidRPr="00C7021E" w14:paraId="04B75E90" w14:textId="77777777" w:rsidTr="009C5083">
        <w:trPr>
          <w:trHeight w:val="341"/>
          <w:jc w:val="center"/>
        </w:trPr>
        <w:tc>
          <w:tcPr>
            <w:tcW w:w="14305" w:type="dxa"/>
            <w:gridSpan w:val="7"/>
            <w:shd w:val="clear" w:color="auto" w:fill="00B050"/>
            <w:vAlign w:val="center"/>
          </w:tcPr>
          <w:p w14:paraId="0D54AE82" w14:textId="77777777" w:rsidR="00EB1316" w:rsidRPr="00C7021E" w:rsidRDefault="00EB1316" w:rsidP="009C5083">
            <w:pPr>
              <w:spacing w:after="0" w:line="240" w:lineRule="auto"/>
              <w:rPr>
                <w:rFonts w:eastAsia="Times New Roman" w:cs="Times New Roman"/>
                <w:b/>
                <w:color w:val="FFFFFF"/>
                <w:sz w:val="20"/>
                <w:szCs w:val="20"/>
                <w:shd w:val="clear" w:color="auto" w:fill="00B050"/>
                <w:lang w:val="en-GB" w:eastAsia="en-US"/>
              </w:rPr>
            </w:pPr>
            <w:r w:rsidRPr="00C7021E">
              <w:rPr>
                <w:rFonts w:eastAsia="Times New Roman" w:cs="Times New Roman"/>
                <w:b/>
                <w:color w:val="FFFFFF"/>
                <w:sz w:val="20"/>
                <w:szCs w:val="20"/>
                <w:shd w:val="clear" w:color="auto" w:fill="00B050"/>
                <w:lang w:val="en-GB" w:eastAsia="en-US"/>
              </w:rPr>
              <w:t>[cost classification: management functional clusters]</w:t>
            </w:r>
            <w:r w:rsidRPr="00C7021E">
              <w:rPr>
                <w:rFonts w:eastAsia="Times New Roman" w:cs="Times New Roman"/>
                <w:color w:val="FFFFFF"/>
                <w:sz w:val="20"/>
                <w:szCs w:val="20"/>
                <w:shd w:val="clear" w:color="auto" w:fill="00B050"/>
                <w:lang w:val="en-GB" w:eastAsia="en-US"/>
              </w:rPr>
              <w:t xml:space="preserve"> </w:t>
            </w:r>
            <w:r w:rsidRPr="00C7021E">
              <w:rPr>
                <w:rFonts w:eastAsia="Calibri" w:cs="Times New Roman"/>
                <w:color w:val="FFFFFF"/>
                <w:sz w:val="20"/>
                <w:szCs w:val="20"/>
                <w:shd w:val="clear" w:color="auto" w:fill="00B050"/>
                <w:lang w:val="en-GB" w:eastAsia="en-US"/>
              </w:rPr>
              <w:t xml:space="preserve">5. </w:t>
            </w:r>
            <w:r w:rsidRPr="00C7021E">
              <w:rPr>
                <w:rFonts w:eastAsia="Calibri" w:cs="Times New Roman"/>
                <w:b/>
                <w:color w:val="FFFFFF"/>
                <w:sz w:val="20"/>
                <w:szCs w:val="20"/>
                <w:lang w:val="en-GB" w:eastAsia="en-US"/>
              </w:rPr>
              <w:t xml:space="preserve">CORPORATE FINANCIAL, ICT AND ADMINISTRATIVE MANAGEMENT </w:t>
            </w:r>
          </w:p>
        </w:tc>
      </w:tr>
      <w:tr w:rsidR="00EB1316" w:rsidRPr="00C7021E" w14:paraId="232B5E5B" w14:textId="77777777" w:rsidTr="009C5083">
        <w:trPr>
          <w:trHeight w:val="350"/>
          <w:jc w:val="center"/>
        </w:trPr>
        <w:tc>
          <w:tcPr>
            <w:tcW w:w="1885" w:type="dxa"/>
            <w:shd w:val="clear" w:color="auto" w:fill="DBE5F1" w:themeFill="accent1" w:themeFillTint="33"/>
            <w:vAlign w:val="center"/>
          </w:tcPr>
          <w:p w14:paraId="09B369AC"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Results statement:</w:t>
            </w:r>
          </w:p>
        </w:tc>
        <w:tc>
          <w:tcPr>
            <w:tcW w:w="540" w:type="dxa"/>
            <w:shd w:val="clear" w:color="auto" w:fill="DBE5F1" w:themeFill="accent1" w:themeFillTint="33"/>
            <w:vAlign w:val="center"/>
          </w:tcPr>
          <w:p w14:paraId="42E9972B"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No.</w:t>
            </w:r>
          </w:p>
        </w:tc>
        <w:tc>
          <w:tcPr>
            <w:tcW w:w="4950" w:type="dxa"/>
            <w:shd w:val="clear" w:color="auto" w:fill="DBE5F1" w:themeFill="accent1" w:themeFillTint="33"/>
            <w:vAlign w:val="center"/>
          </w:tcPr>
          <w:p w14:paraId="1659227E"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Indicator</w:t>
            </w:r>
          </w:p>
        </w:tc>
        <w:tc>
          <w:tcPr>
            <w:tcW w:w="1710" w:type="dxa"/>
            <w:shd w:val="clear" w:color="auto" w:fill="DBE5F1" w:themeFill="accent1" w:themeFillTint="33"/>
            <w:vAlign w:val="center"/>
          </w:tcPr>
          <w:p w14:paraId="748CF564" w14:textId="77777777" w:rsidR="00EB1316" w:rsidRPr="00C7021E" w:rsidRDefault="00EB1316" w:rsidP="009C5083">
            <w:pPr>
              <w:spacing w:after="0" w:line="240" w:lineRule="auto"/>
              <w:jc w:val="center"/>
              <w:rPr>
                <w:rFonts w:eastAsia="Calibri" w:cs="Times New Roman"/>
                <w:b/>
                <w:sz w:val="20"/>
                <w:szCs w:val="20"/>
                <w:lang w:val="en-GB" w:eastAsia="en-US"/>
              </w:rPr>
            </w:pPr>
            <w:r w:rsidRPr="00C7021E">
              <w:rPr>
                <w:rFonts w:eastAsia="Calibri" w:cs="Times New Roman"/>
                <w:b/>
                <w:sz w:val="20"/>
                <w:szCs w:val="20"/>
                <w:lang w:val="en-GB" w:eastAsia="en-US"/>
              </w:rPr>
              <w:t>Baseline</w:t>
            </w:r>
            <w:r>
              <w:rPr>
                <w:rFonts w:eastAsia="Calibri" w:cs="Times New Roman"/>
                <w:b/>
                <w:sz w:val="20"/>
                <w:szCs w:val="20"/>
                <w:lang w:val="en-GB" w:eastAsia="en-US"/>
              </w:rPr>
              <w:t xml:space="preserve"> </w:t>
            </w:r>
            <w:r w:rsidRPr="003D185C">
              <w:rPr>
                <w:rFonts w:eastAsia="Calibri" w:cs="Times New Roman"/>
                <w:sz w:val="20"/>
                <w:szCs w:val="20"/>
                <w:lang w:val="en-GB" w:eastAsia="en-US"/>
              </w:rPr>
              <w:t>2013</w:t>
            </w:r>
          </w:p>
        </w:tc>
        <w:tc>
          <w:tcPr>
            <w:tcW w:w="1620" w:type="dxa"/>
            <w:shd w:val="clear" w:color="auto" w:fill="DBE5F1" w:themeFill="accent1" w:themeFillTint="33"/>
            <w:vAlign w:val="center"/>
          </w:tcPr>
          <w:p w14:paraId="5EAEF151" w14:textId="77777777" w:rsidR="00EB1316" w:rsidRPr="00C7021E" w:rsidRDefault="00EB1316" w:rsidP="009C5083">
            <w:pPr>
              <w:spacing w:after="0" w:line="240" w:lineRule="auto"/>
              <w:jc w:val="center"/>
              <w:rPr>
                <w:rFonts w:eastAsia="Calibri" w:cs="Times New Roman"/>
                <w:b/>
                <w:sz w:val="20"/>
                <w:szCs w:val="20"/>
                <w:lang w:val="en-GB" w:eastAsia="en-US"/>
              </w:rPr>
            </w:pPr>
            <w:r>
              <w:rPr>
                <w:rFonts w:eastAsia="Calibri" w:cs="Times New Roman"/>
                <w:b/>
                <w:sz w:val="20"/>
                <w:szCs w:val="20"/>
                <w:lang w:val="en-GB" w:eastAsia="en-US"/>
              </w:rPr>
              <w:t xml:space="preserve">Milestones </w:t>
            </w:r>
            <w:r w:rsidRPr="003D185C">
              <w:rPr>
                <w:rFonts w:eastAsia="Calibri" w:cs="Times New Roman"/>
                <w:sz w:val="20"/>
                <w:szCs w:val="20"/>
                <w:lang w:val="en-GB" w:eastAsia="en-US"/>
              </w:rPr>
              <w:t>2014</w:t>
            </w:r>
          </w:p>
        </w:tc>
        <w:tc>
          <w:tcPr>
            <w:tcW w:w="1800" w:type="dxa"/>
            <w:shd w:val="clear" w:color="auto" w:fill="DBE5F1" w:themeFill="accent1" w:themeFillTint="33"/>
            <w:vAlign w:val="center"/>
          </w:tcPr>
          <w:p w14:paraId="786C9128" w14:textId="77777777" w:rsidR="00EB1316" w:rsidRPr="00C7021E" w:rsidRDefault="00EB1316" w:rsidP="009C5083">
            <w:pPr>
              <w:spacing w:after="0" w:line="240" w:lineRule="auto"/>
              <w:jc w:val="center"/>
              <w:rPr>
                <w:rFonts w:eastAsia="Calibri" w:cs="Times New Roman"/>
                <w:b/>
                <w:sz w:val="20"/>
                <w:szCs w:val="20"/>
                <w:lang w:val="en-GB" w:eastAsia="en-US"/>
              </w:rPr>
            </w:pPr>
            <w:r>
              <w:rPr>
                <w:rFonts w:eastAsia="Calibri" w:cs="Times New Roman"/>
                <w:b/>
                <w:sz w:val="20"/>
                <w:szCs w:val="20"/>
                <w:lang w:val="en-GB" w:eastAsia="en-US"/>
              </w:rPr>
              <w:t>Actual 2014</w:t>
            </w:r>
          </w:p>
        </w:tc>
        <w:tc>
          <w:tcPr>
            <w:tcW w:w="1800" w:type="dxa"/>
            <w:shd w:val="clear" w:color="auto" w:fill="DBE5F1" w:themeFill="accent1" w:themeFillTint="33"/>
            <w:vAlign w:val="center"/>
          </w:tcPr>
          <w:p w14:paraId="78099879" w14:textId="77777777" w:rsidR="00EB1316" w:rsidRDefault="00EB1316" w:rsidP="009C5083">
            <w:pPr>
              <w:spacing w:after="0" w:line="240" w:lineRule="auto"/>
              <w:jc w:val="center"/>
              <w:rPr>
                <w:rFonts w:eastAsia="Calibri" w:cs="Times New Roman"/>
                <w:b/>
                <w:sz w:val="20"/>
                <w:szCs w:val="20"/>
                <w:lang w:val="en-GB" w:eastAsia="en-US"/>
              </w:rPr>
            </w:pPr>
            <w:r>
              <w:rPr>
                <w:rFonts w:eastAsia="Calibri" w:cs="Times New Roman"/>
                <w:b/>
                <w:sz w:val="20"/>
                <w:szCs w:val="20"/>
                <w:lang w:val="en-GB" w:eastAsia="en-US"/>
              </w:rPr>
              <w:t>Target 2017</w:t>
            </w:r>
          </w:p>
        </w:tc>
      </w:tr>
      <w:tr w:rsidR="00EB1316" w:rsidRPr="00C7021E" w14:paraId="7D4A6BB3" w14:textId="77777777" w:rsidTr="009C5083">
        <w:trPr>
          <w:trHeight w:val="539"/>
          <w:jc w:val="center"/>
        </w:trPr>
        <w:tc>
          <w:tcPr>
            <w:tcW w:w="1885" w:type="dxa"/>
            <w:vMerge w:val="restart"/>
            <w:shd w:val="clear" w:color="auto" w:fill="FFFFFF"/>
            <w:vAlign w:val="center"/>
          </w:tcPr>
          <w:p w14:paraId="51CFA166" w14:textId="77777777" w:rsidR="00EB1316" w:rsidRPr="00C7021E" w:rsidRDefault="00EB1316" w:rsidP="009C5083">
            <w:pPr>
              <w:spacing w:after="0" w:line="240" w:lineRule="auto"/>
              <w:rPr>
                <w:rFonts w:eastAsia="Calibri" w:cs="Times New Roman"/>
                <w:sz w:val="20"/>
                <w:szCs w:val="20"/>
                <w:lang w:eastAsia="en-US"/>
              </w:rPr>
            </w:pPr>
            <w:r w:rsidRPr="00245A7E">
              <w:rPr>
                <w:rFonts w:eastAsia="Calibri" w:cs="Times New Roman"/>
                <w:b/>
                <w:sz w:val="20"/>
                <w:szCs w:val="20"/>
                <w:lang w:eastAsia="en-US"/>
              </w:rPr>
              <w:t>5.1</w:t>
            </w:r>
            <w:r w:rsidRPr="00C7021E">
              <w:rPr>
                <w:rFonts w:eastAsia="Calibri" w:cs="Times New Roman"/>
                <w:sz w:val="20"/>
                <w:szCs w:val="20"/>
                <w:lang w:eastAsia="en-US"/>
              </w:rPr>
              <w:t xml:space="preserve"> UNDP policies and procedures  fit for purpose to enable staff to carry out their jobs effectively</w:t>
            </w:r>
          </w:p>
        </w:tc>
        <w:tc>
          <w:tcPr>
            <w:tcW w:w="540" w:type="dxa"/>
            <w:vMerge w:val="restart"/>
            <w:shd w:val="clear" w:color="auto" w:fill="FFFFFF" w:themeFill="background1"/>
            <w:vAlign w:val="center"/>
          </w:tcPr>
          <w:p w14:paraId="256FA5D1" w14:textId="77777777" w:rsidR="00EB1316" w:rsidRPr="00C7021E" w:rsidRDefault="00EB1316" w:rsidP="009C5083">
            <w:pPr>
              <w:spacing w:after="0" w:line="240" w:lineRule="auto"/>
              <w:rPr>
                <w:rFonts w:eastAsia="Calibri" w:cs="Times New Roman"/>
                <w:b/>
                <w:sz w:val="20"/>
                <w:szCs w:val="20"/>
                <w:lang w:eastAsia="en-US"/>
              </w:rPr>
            </w:pPr>
            <w:r w:rsidRPr="00C7021E">
              <w:rPr>
                <w:rFonts w:eastAsia="Calibri" w:cs="Times New Roman"/>
                <w:b/>
                <w:sz w:val="20"/>
                <w:szCs w:val="20"/>
                <w:lang w:eastAsia="en-US"/>
              </w:rPr>
              <w:t>2</w:t>
            </w:r>
            <w:r>
              <w:rPr>
                <w:rFonts w:eastAsia="Calibri" w:cs="Times New Roman"/>
                <w:b/>
                <w:sz w:val="20"/>
                <w:szCs w:val="20"/>
                <w:lang w:eastAsia="en-US"/>
              </w:rPr>
              <w:t>8</w:t>
            </w:r>
            <w:r w:rsidRPr="00C7021E">
              <w:rPr>
                <w:rFonts w:eastAsia="Calibri" w:cs="Times New Roman"/>
                <w:b/>
                <w:sz w:val="20"/>
                <w:szCs w:val="20"/>
                <w:lang w:eastAsia="en-US"/>
              </w:rPr>
              <w:t>.</w:t>
            </w:r>
          </w:p>
        </w:tc>
        <w:tc>
          <w:tcPr>
            <w:tcW w:w="4950" w:type="dxa"/>
            <w:shd w:val="clear" w:color="auto" w:fill="FFFFFF" w:themeFill="background1"/>
            <w:vAlign w:val="center"/>
          </w:tcPr>
          <w:p w14:paraId="4738FBA5" w14:textId="77777777" w:rsidR="00EB1316" w:rsidRPr="00C7021E" w:rsidRDefault="00EB1316" w:rsidP="009C5083">
            <w:pPr>
              <w:spacing w:after="0" w:line="240" w:lineRule="auto"/>
              <w:rPr>
                <w:rFonts w:eastAsia="SimSun" w:cs="Times New Roman"/>
                <w:sz w:val="20"/>
                <w:szCs w:val="20"/>
                <w:lang w:eastAsia="zh-CN"/>
              </w:rPr>
            </w:pPr>
            <w:r w:rsidRPr="00C7021E">
              <w:rPr>
                <w:rFonts w:eastAsia="Calibri" w:cs="Times New Roman"/>
                <w:sz w:val="20"/>
                <w:szCs w:val="20"/>
                <w:lang w:eastAsia="en-US"/>
              </w:rPr>
              <w:t>Percentage of UNDP staff surveyed who report satisfa</w:t>
            </w:r>
            <w:r>
              <w:rPr>
                <w:rFonts w:eastAsia="Calibri" w:cs="Times New Roman"/>
                <w:sz w:val="20"/>
                <w:szCs w:val="20"/>
                <w:lang w:eastAsia="en-US"/>
              </w:rPr>
              <w:t xml:space="preserve">ction with </w:t>
            </w:r>
            <w:r w:rsidRPr="00C7021E">
              <w:rPr>
                <w:rFonts w:eastAsia="SimSun" w:cs="Times New Roman"/>
                <w:sz w:val="20"/>
                <w:szCs w:val="20"/>
                <w:lang w:eastAsia="zh-CN"/>
              </w:rPr>
              <w:t>UNDP management services</w:t>
            </w:r>
          </w:p>
        </w:tc>
        <w:tc>
          <w:tcPr>
            <w:tcW w:w="1710" w:type="dxa"/>
            <w:shd w:val="clear" w:color="auto" w:fill="FFFFFF" w:themeFill="background1"/>
            <w:vAlign w:val="center"/>
          </w:tcPr>
          <w:p w14:paraId="701AD609" w14:textId="77777777" w:rsidR="00EB1316" w:rsidRPr="00F07706" w:rsidRDefault="00EB1316" w:rsidP="009C5083">
            <w:pPr>
              <w:spacing w:after="0"/>
              <w:jc w:val="center"/>
              <w:rPr>
                <w:rFonts w:ascii="Calibri" w:eastAsia="Calibri" w:hAnsi="Calibri"/>
                <w:sz w:val="20"/>
              </w:rPr>
            </w:pPr>
            <w:r>
              <w:rPr>
                <w:rFonts w:ascii="Calibri" w:eastAsia="Calibri" w:hAnsi="Calibri"/>
                <w:sz w:val="20"/>
              </w:rPr>
              <w:t>71% (2012)</w:t>
            </w:r>
          </w:p>
        </w:tc>
        <w:tc>
          <w:tcPr>
            <w:tcW w:w="1620" w:type="dxa"/>
            <w:shd w:val="clear" w:color="auto" w:fill="FFFFFF" w:themeFill="background1"/>
            <w:vAlign w:val="center"/>
          </w:tcPr>
          <w:p w14:paraId="50920317" w14:textId="77777777" w:rsidR="00EB1316" w:rsidRPr="00F07706" w:rsidRDefault="00EB1316" w:rsidP="009C5083">
            <w:pPr>
              <w:spacing w:after="0"/>
              <w:jc w:val="center"/>
              <w:rPr>
                <w:rFonts w:ascii="Calibri" w:eastAsia="Calibri" w:hAnsi="Calibri"/>
                <w:sz w:val="20"/>
              </w:rPr>
            </w:pPr>
            <w:r>
              <w:rPr>
                <w:rFonts w:ascii="Calibri" w:eastAsia="Calibri" w:hAnsi="Calibri"/>
                <w:sz w:val="20"/>
              </w:rPr>
              <w:t>TBD</w:t>
            </w:r>
          </w:p>
        </w:tc>
        <w:tc>
          <w:tcPr>
            <w:tcW w:w="1800" w:type="dxa"/>
            <w:shd w:val="clear" w:color="auto" w:fill="FFFFFF" w:themeFill="background1"/>
            <w:vAlign w:val="center"/>
          </w:tcPr>
          <w:p w14:paraId="0C8D71E2" w14:textId="77777777" w:rsidR="00EB1316" w:rsidRPr="00F07706" w:rsidRDefault="00EB1316" w:rsidP="009C5083">
            <w:pPr>
              <w:spacing w:after="0"/>
              <w:jc w:val="center"/>
              <w:rPr>
                <w:rFonts w:ascii="Calibri" w:eastAsia="Calibri" w:hAnsi="Calibri"/>
                <w:sz w:val="20"/>
              </w:rPr>
            </w:pPr>
            <w:r>
              <w:rPr>
                <w:rFonts w:ascii="Calibri" w:eastAsia="Calibri" w:hAnsi="Calibri"/>
                <w:sz w:val="20"/>
              </w:rPr>
              <w:t>Not available</w:t>
            </w:r>
          </w:p>
        </w:tc>
        <w:tc>
          <w:tcPr>
            <w:tcW w:w="1800" w:type="dxa"/>
            <w:shd w:val="clear" w:color="auto" w:fill="FFFFFF" w:themeFill="background1"/>
            <w:vAlign w:val="center"/>
          </w:tcPr>
          <w:p w14:paraId="2956AD7D" w14:textId="77777777" w:rsidR="00EB1316" w:rsidRDefault="00EB1316" w:rsidP="009C5083">
            <w:pPr>
              <w:spacing w:after="0"/>
              <w:jc w:val="center"/>
              <w:rPr>
                <w:rFonts w:ascii="Calibri" w:eastAsia="Calibri" w:hAnsi="Calibri"/>
                <w:sz w:val="20"/>
              </w:rPr>
            </w:pPr>
            <w:r w:rsidRPr="00C01ED2">
              <w:rPr>
                <w:rFonts w:ascii="Calibri" w:eastAsia="Calibri" w:hAnsi="Calibri"/>
                <w:sz w:val="20"/>
              </w:rPr>
              <w:t>80%</w:t>
            </w:r>
          </w:p>
        </w:tc>
      </w:tr>
      <w:tr w:rsidR="00EB1316" w:rsidRPr="00C7021E" w14:paraId="63177666" w14:textId="77777777" w:rsidTr="009C5083">
        <w:trPr>
          <w:trHeight w:val="539"/>
          <w:jc w:val="center"/>
        </w:trPr>
        <w:tc>
          <w:tcPr>
            <w:tcW w:w="1885" w:type="dxa"/>
            <w:vMerge/>
            <w:shd w:val="clear" w:color="auto" w:fill="FFFFFF"/>
            <w:vAlign w:val="center"/>
          </w:tcPr>
          <w:p w14:paraId="2B12A352" w14:textId="77777777" w:rsidR="00EB1316" w:rsidRPr="00245A7E" w:rsidRDefault="00EB1316" w:rsidP="009C5083">
            <w:pPr>
              <w:spacing w:after="0" w:line="240" w:lineRule="auto"/>
              <w:rPr>
                <w:rFonts w:eastAsia="Calibri" w:cs="Times New Roman"/>
                <w:b/>
                <w:sz w:val="20"/>
                <w:szCs w:val="20"/>
                <w:lang w:eastAsia="en-US"/>
              </w:rPr>
            </w:pPr>
          </w:p>
        </w:tc>
        <w:tc>
          <w:tcPr>
            <w:tcW w:w="540" w:type="dxa"/>
            <w:vMerge/>
            <w:shd w:val="clear" w:color="auto" w:fill="FFFFFF" w:themeFill="background1"/>
            <w:vAlign w:val="center"/>
          </w:tcPr>
          <w:p w14:paraId="05104CD8" w14:textId="77777777" w:rsidR="00EB1316" w:rsidRPr="00C7021E" w:rsidRDefault="00EB1316" w:rsidP="009C5083">
            <w:pPr>
              <w:spacing w:after="0" w:line="240" w:lineRule="auto"/>
              <w:rPr>
                <w:rFonts w:eastAsia="Calibri" w:cs="Times New Roman"/>
                <w:b/>
                <w:sz w:val="20"/>
                <w:szCs w:val="20"/>
                <w:lang w:eastAsia="en-US"/>
              </w:rPr>
            </w:pPr>
          </w:p>
        </w:tc>
        <w:tc>
          <w:tcPr>
            <w:tcW w:w="11880" w:type="dxa"/>
            <w:gridSpan w:val="5"/>
            <w:shd w:val="clear" w:color="auto" w:fill="D9D9D9" w:themeFill="background1" w:themeFillShade="D9"/>
            <w:vAlign w:val="center"/>
          </w:tcPr>
          <w:p w14:paraId="5D60BBF4" w14:textId="77777777" w:rsidR="00EB1316" w:rsidRPr="00F75014" w:rsidRDefault="00EB1316" w:rsidP="009C5083">
            <w:pPr>
              <w:spacing w:after="0" w:line="240" w:lineRule="auto"/>
              <w:rPr>
                <w:rFonts w:ascii="Calibri" w:eastAsia="Calibri" w:hAnsi="Calibri"/>
                <w:b/>
                <w:sz w:val="18"/>
                <w:szCs w:val="18"/>
              </w:rPr>
            </w:pPr>
            <w:r w:rsidRPr="00F75014">
              <w:rPr>
                <w:rFonts w:ascii="Calibri" w:eastAsia="Calibri" w:hAnsi="Calibri"/>
                <w:b/>
                <w:sz w:val="18"/>
                <w:szCs w:val="18"/>
              </w:rPr>
              <w:t>Note</w:t>
            </w:r>
            <w:r w:rsidRPr="00F75014">
              <w:rPr>
                <w:rFonts w:ascii="Calibri" w:eastAsia="Calibri" w:hAnsi="Calibri"/>
                <w:sz w:val="18"/>
                <w:szCs w:val="18"/>
              </w:rPr>
              <w:t xml:space="preserve">: </w:t>
            </w:r>
            <w:r>
              <w:rPr>
                <w:sz w:val="18"/>
                <w:szCs w:val="18"/>
              </w:rPr>
              <w:t>2012 data from the most recent Products and Services Survey (PSS) is used as baseline. The Products and Services Survey methodology is being revised and the indicator will be calculated in 2015</w:t>
            </w:r>
            <w:r>
              <w:rPr>
                <w:rFonts w:ascii="Calibri" w:eastAsia="Calibri" w:hAnsi="Calibri"/>
                <w:sz w:val="18"/>
                <w:szCs w:val="18"/>
              </w:rPr>
              <w:t>.</w:t>
            </w:r>
          </w:p>
        </w:tc>
      </w:tr>
      <w:tr w:rsidR="00EB1316" w:rsidRPr="00C7021E" w14:paraId="18249A04" w14:textId="77777777" w:rsidTr="009C5083">
        <w:trPr>
          <w:trHeight w:val="512"/>
          <w:jc w:val="center"/>
        </w:trPr>
        <w:tc>
          <w:tcPr>
            <w:tcW w:w="1885" w:type="dxa"/>
            <w:vMerge/>
            <w:shd w:val="clear" w:color="auto" w:fill="auto"/>
            <w:vAlign w:val="center"/>
          </w:tcPr>
          <w:p w14:paraId="16262370"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shd w:val="clear" w:color="auto" w:fill="auto"/>
            <w:vAlign w:val="center"/>
          </w:tcPr>
          <w:p w14:paraId="502A473E" w14:textId="77777777" w:rsidR="00EB1316" w:rsidRPr="00C7021E" w:rsidDel="00A77E0C" w:rsidRDefault="00EB1316" w:rsidP="009C5083">
            <w:pPr>
              <w:spacing w:after="0" w:line="240" w:lineRule="auto"/>
              <w:rPr>
                <w:rFonts w:eastAsia="Calibri" w:cs="Times New Roman"/>
                <w:b/>
                <w:sz w:val="20"/>
                <w:szCs w:val="20"/>
                <w:lang w:val="en-GB" w:eastAsia="en-US"/>
              </w:rPr>
            </w:pPr>
            <w:r>
              <w:rPr>
                <w:rFonts w:eastAsia="Calibri" w:cs="Times New Roman"/>
                <w:b/>
                <w:sz w:val="20"/>
                <w:szCs w:val="20"/>
                <w:lang w:val="en-GB" w:eastAsia="en-US"/>
              </w:rPr>
              <w:t>29</w:t>
            </w:r>
            <w:r w:rsidRPr="00C7021E">
              <w:rPr>
                <w:rFonts w:eastAsia="Calibri" w:cs="Times New Roman"/>
                <w:b/>
                <w:sz w:val="20"/>
                <w:szCs w:val="20"/>
                <w:lang w:val="en-GB" w:eastAsia="en-US"/>
              </w:rPr>
              <w:t>.</w:t>
            </w:r>
          </w:p>
        </w:tc>
        <w:tc>
          <w:tcPr>
            <w:tcW w:w="4950" w:type="dxa"/>
            <w:shd w:val="clear" w:color="auto" w:fill="auto"/>
            <w:vAlign w:val="center"/>
          </w:tcPr>
          <w:p w14:paraId="00FC0146" w14:textId="77777777" w:rsidR="00EB1316" w:rsidRPr="00C7021E" w:rsidRDefault="00EB1316" w:rsidP="009C5083">
            <w:pPr>
              <w:spacing w:after="0" w:line="240" w:lineRule="auto"/>
              <w:rPr>
                <w:rFonts w:eastAsia="Calibri" w:cs="Times New Roman"/>
                <w:sz w:val="20"/>
                <w:szCs w:val="20"/>
                <w:lang w:val="en-GB" w:eastAsia="en-US"/>
              </w:rPr>
            </w:pPr>
            <w:r w:rsidRPr="00C7021E">
              <w:rPr>
                <w:rFonts w:eastAsia="Calibri" w:cs="Times New Roman"/>
                <w:sz w:val="20"/>
                <w:szCs w:val="20"/>
                <w:lang w:val="en-GB" w:eastAsia="en-US"/>
              </w:rPr>
              <w:t>Percentage of total UNDP expenditure related to management activities (Management Efficiency Ratio)</w:t>
            </w:r>
          </w:p>
        </w:tc>
        <w:tc>
          <w:tcPr>
            <w:tcW w:w="1710" w:type="dxa"/>
            <w:shd w:val="clear" w:color="auto" w:fill="auto"/>
            <w:vAlign w:val="center"/>
          </w:tcPr>
          <w:p w14:paraId="5EC9958C" w14:textId="77777777" w:rsidR="00EB1316" w:rsidRPr="00F07706" w:rsidRDefault="00EB1316" w:rsidP="009C5083">
            <w:pPr>
              <w:spacing w:after="0"/>
              <w:jc w:val="center"/>
              <w:rPr>
                <w:rFonts w:ascii="Calibri" w:eastAsia="Calibri" w:hAnsi="Calibri"/>
                <w:sz w:val="20"/>
              </w:rPr>
            </w:pPr>
            <w:r>
              <w:rPr>
                <w:sz w:val="20"/>
                <w:szCs w:val="20"/>
              </w:rPr>
              <w:t>8.44%</w:t>
            </w:r>
          </w:p>
        </w:tc>
        <w:tc>
          <w:tcPr>
            <w:tcW w:w="1620" w:type="dxa"/>
            <w:shd w:val="clear" w:color="auto" w:fill="auto"/>
            <w:vAlign w:val="center"/>
          </w:tcPr>
          <w:p w14:paraId="767B01C3" w14:textId="77777777" w:rsidR="00EB1316" w:rsidRPr="000B5A86" w:rsidRDefault="00EB1316" w:rsidP="009C5083">
            <w:pPr>
              <w:spacing w:after="0"/>
              <w:jc w:val="center"/>
              <w:rPr>
                <w:rFonts w:ascii="Calibri" w:eastAsia="Calibri" w:hAnsi="Calibri"/>
                <w:sz w:val="20"/>
                <w:highlight w:val="yellow"/>
              </w:rPr>
            </w:pPr>
            <w:r>
              <w:rPr>
                <w:sz w:val="20"/>
                <w:szCs w:val="20"/>
              </w:rPr>
              <w:t>8.2%</w:t>
            </w:r>
          </w:p>
        </w:tc>
        <w:tc>
          <w:tcPr>
            <w:tcW w:w="1800" w:type="dxa"/>
            <w:shd w:val="clear" w:color="auto" w:fill="auto"/>
            <w:vAlign w:val="center"/>
          </w:tcPr>
          <w:p w14:paraId="67FF7C57" w14:textId="77777777" w:rsidR="00EB1316" w:rsidRPr="007E71C5" w:rsidRDefault="00EB1316" w:rsidP="009C5083">
            <w:pPr>
              <w:spacing w:after="0"/>
              <w:jc w:val="center"/>
              <w:rPr>
                <w:rFonts w:ascii="Calibri" w:eastAsia="Calibri" w:hAnsi="Calibri"/>
                <w:sz w:val="20"/>
              </w:rPr>
            </w:pPr>
            <w:r w:rsidRPr="007E71C5">
              <w:rPr>
                <w:rFonts w:ascii="Calibri" w:eastAsia="Calibri" w:hAnsi="Calibri"/>
                <w:sz w:val="20"/>
              </w:rPr>
              <w:t>8.29%</w:t>
            </w:r>
          </w:p>
        </w:tc>
        <w:tc>
          <w:tcPr>
            <w:tcW w:w="1800" w:type="dxa"/>
            <w:shd w:val="clear" w:color="auto" w:fill="auto"/>
            <w:vAlign w:val="center"/>
          </w:tcPr>
          <w:p w14:paraId="4F520207" w14:textId="77777777" w:rsidR="00EB1316" w:rsidRPr="007E71C5" w:rsidRDefault="00EB1316" w:rsidP="009C5083">
            <w:pPr>
              <w:spacing w:after="0"/>
              <w:jc w:val="center"/>
              <w:rPr>
                <w:rFonts w:ascii="Calibri" w:eastAsia="Calibri" w:hAnsi="Calibri"/>
                <w:sz w:val="20"/>
              </w:rPr>
            </w:pPr>
            <w:r>
              <w:rPr>
                <w:rFonts w:ascii="Calibri" w:eastAsia="Calibri" w:hAnsi="Calibri"/>
                <w:sz w:val="20"/>
              </w:rPr>
              <w:t>8.1%</w:t>
            </w:r>
          </w:p>
        </w:tc>
      </w:tr>
      <w:tr w:rsidR="00EB1316" w:rsidRPr="00C7021E" w14:paraId="0DA0053F" w14:textId="77777777" w:rsidTr="009C5083">
        <w:trPr>
          <w:trHeight w:val="458"/>
          <w:jc w:val="center"/>
        </w:trPr>
        <w:tc>
          <w:tcPr>
            <w:tcW w:w="1885" w:type="dxa"/>
            <w:vMerge/>
            <w:shd w:val="clear" w:color="auto" w:fill="auto"/>
            <w:vAlign w:val="center"/>
          </w:tcPr>
          <w:p w14:paraId="4F354C44"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shd w:val="clear" w:color="auto" w:fill="auto"/>
            <w:vAlign w:val="center"/>
          </w:tcPr>
          <w:p w14:paraId="4ABBAB1D"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3</w:t>
            </w:r>
            <w:r>
              <w:rPr>
                <w:rFonts w:eastAsia="Calibri" w:cs="Times New Roman"/>
                <w:b/>
                <w:sz w:val="20"/>
                <w:szCs w:val="20"/>
                <w:lang w:val="en-GB" w:eastAsia="en-US"/>
              </w:rPr>
              <w:t>0</w:t>
            </w:r>
            <w:r w:rsidRPr="00C7021E">
              <w:rPr>
                <w:rFonts w:eastAsia="Calibri" w:cs="Times New Roman"/>
                <w:b/>
                <w:sz w:val="20"/>
                <w:szCs w:val="20"/>
                <w:lang w:val="en-GB" w:eastAsia="en-US"/>
              </w:rPr>
              <w:t>.</w:t>
            </w:r>
          </w:p>
        </w:tc>
        <w:tc>
          <w:tcPr>
            <w:tcW w:w="4950" w:type="dxa"/>
            <w:shd w:val="clear" w:color="auto" w:fill="auto"/>
            <w:vAlign w:val="center"/>
          </w:tcPr>
          <w:p w14:paraId="1CA04C48" w14:textId="77777777" w:rsidR="00EB1316" w:rsidRPr="00C7021E" w:rsidRDefault="00EB1316" w:rsidP="009C5083">
            <w:pPr>
              <w:spacing w:after="0" w:line="240" w:lineRule="auto"/>
              <w:rPr>
                <w:rFonts w:eastAsia="Calibri" w:cs="Times New Roman"/>
                <w:sz w:val="20"/>
                <w:szCs w:val="20"/>
                <w:lang w:val="en-GB" w:eastAsia="en-US"/>
              </w:rPr>
            </w:pPr>
            <w:r w:rsidRPr="00C7021E">
              <w:rPr>
                <w:rFonts w:eastAsia="Calibri" w:cs="Times New Roman"/>
                <w:sz w:val="20"/>
                <w:szCs w:val="20"/>
                <w:lang w:val="en-GB" w:eastAsia="en-US"/>
              </w:rPr>
              <w:t>Percentage of total UNDP expenditure on management activities spent on travel costs</w:t>
            </w:r>
          </w:p>
        </w:tc>
        <w:tc>
          <w:tcPr>
            <w:tcW w:w="1710" w:type="dxa"/>
            <w:shd w:val="clear" w:color="auto" w:fill="auto"/>
            <w:vAlign w:val="center"/>
          </w:tcPr>
          <w:p w14:paraId="4C9B2A57" w14:textId="77777777" w:rsidR="00EB1316" w:rsidRPr="00F07706" w:rsidRDefault="00EB1316" w:rsidP="009C5083">
            <w:pPr>
              <w:spacing w:after="0"/>
              <w:jc w:val="center"/>
              <w:rPr>
                <w:rFonts w:ascii="Calibri" w:eastAsia="Calibri" w:hAnsi="Calibri"/>
                <w:sz w:val="20"/>
              </w:rPr>
            </w:pPr>
            <w:r>
              <w:rPr>
                <w:sz w:val="20"/>
                <w:szCs w:val="20"/>
              </w:rPr>
              <w:t>3.3%</w:t>
            </w:r>
          </w:p>
        </w:tc>
        <w:tc>
          <w:tcPr>
            <w:tcW w:w="1620" w:type="dxa"/>
            <w:shd w:val="clear" w:color="auto" w:fill="auto"/>
            <w:vAlign w:val="center"/>
          </w:tcPr>
          <w:p w14:paraId="77B430AE" w14:textId="77777777" w:rsidR="00EB1316" w:rsidRPr="002704F7" w:rsidRDefault="00EB1316" w:rsidP="009C5083">
            <w:pPr>
              <w:spacing w:after="0"/>
              <w:jc w:val="center"/>
              <w:rPr>
                <w:rFonts w:ascii="Calibri" w:eastAsia="Calibri" w:hAnsi="Calibri"/>
                <w:sz w:val="20"/>
              </w:rPr>
            </w:pPr>
            <w:r>
              <w:rPr>
                <w:sz w:val="20"/>
                <w:szCs w:val="20"/>
              </w:rPr>
              <w:t>3.3%</w:t>
            </w:r>
          </w:p>
        </w:tc>
        <w:tc>
          <w:tcPr>
            <w:tcW w:w="1800" w:type="dxa"/>
            <w:shd w:val="clear" w:color="auto" w:fill="auto"/>
            <w:vAlign w:val="center"/>
          </w:tcPr>
          <w:p w14:paraId="56BC84B0" w14:textId="77777777" w:rsidR="00EB1316" w:rsidRPr="007E71C5" w:rsidRDefault="00EB1316" w:rsidP="009C5083">
            <w:pPr>
              <w:spacing w:after="0"/>
              <w:jc w:val="center"/>
              <w:rPr>
                <w:rFonts w:ascii="Calibri" w:eastAsia="Calibri" w:hAnsi="Calibri"/>
                <w:sz w:val="20"/>
              </w:rPr>
            </w:pPr>
            <w:r w:rsidRPr="007E71C5">
              <w:rPr>
                <w:rFonts w:ascii="Calibri" w:eastAsia="Calibri" w:hAnsi="Calibri"/>
                <w:sz w:val="20"/>
              </w:rPr>
              <w:t>3.5%</w:t>
            </w:r>
          </w:p>
        </w:tc>
        <w:tc>
          <w:tcPr>
            <w:tcW w:w="1800" w:type="dxa"/>
            <w:shd w:val="clear" w:color="auto" w:fill="auto"/>
            <w:vAlign w:val="center"/>
          </w:tcPr>
          <w:p w14:paraId="193B28FC" w14:textId="77777777" w:rsidR="00EB1316" w:rsidRPr="007E71C5" w:rsidRDefault="00EB1316" w:rsidP="009C5083">
            <w:pPr>
              <w:spacing w:after="0"/>
              <w:jc w:val="center"/>
              <w:rPr>
                <w:rFonts w:ascii="Calibri" w:eastAsia="Calibri" w:hAnsi="Calibri"/>
                <w:sz w:val="20"/>
              </w:rPr>
            </w:pPr>
            <w:r w:rsidRPr="00657E7D">
              <w:rPr>
                <w:rFonts w:ascii="Calibri" w:eastAsia="Calibri" w:hAnsi="Calibri"/>
                <w:sz w:val="20"/>
              </w:rPr>
              <w:t>3.0%</w:t>
            </w:r>
          </w:p>
        </w:tc>
      </w:tr>
    </w:tbl>
    <w:p w14:paraId="4EF5F01E" w14:textId="77777777" w:rsidR="00EB1316" w:rsidRDefault="00EB1316" w:rsidP="00EB1316">
      <w:pPr>
        <w:spacing w:after="0" w:line="240" w:lineRule="auto"/>
        <w:rPr>
          <w:rFonts w:eastAsia="Calibri" w:cs="Times New Roman"/>
          <w:sz w:val="16"/>
          <w:szCs w:val="16"/>
          <w:lang w:eastAsia="en-US"/>
        </w:rPr>
      </w:pPr>
    </w:p>
    <w:p w14:paraId="4C098B82" w14:textId="77777777" w:rsidR="00EB1316" w:rsidRDefault="00EB1316" w:rsidP="00EB1316">
      <w:pPr>
        <w:spacing w:after="0" w:line="240" w:lineRule="auto"/>
        <w:rPr>
          <w:rFonts w:eastAsia="Calibri" w:cs="Times New Roman"/>
          <w:sz w:val="16"/>
          <w:szCs w:val="16"/>
          <w:lang w:eastAsia="en-US"/>
        </w:rPr>
      </w:pPr>
    </w:p>
    <w:p w14:paraId="2539E78D" w14:textId="77777777" w:rsidR="00EB1316" w:rsidRDefault="00EB1316" w:rsidP="00EB1316">
      <w:pPr>
        <w:spacing w:after="0" w:line="240" w:lineRule="auto"/>
        <w:rPr>
          <w:rFonts w:eastAsia="Calibri" w:cs="Times New Roman"/>
          <w:sz w:val="16"/>
          <w:szCs w:val="16"/>
          <w:lang w:eastAsia="en-US"/>
        </w:rPr>
      </w:pPr>
    </w:p>
    <w:p w14:paraId="3974C039" w14:textId="77777777" w:rsidR="00EB1316" w:rsidRDefault="00EB1316" w:rsidP="00EB1316">
      <w:pPr>
        <w:spacing w:after="0" w:line="240" w:lineRule="auto"/>
        <w:rPr>
          <w:rFonts w:eastAsia="Calibri" w:cs="Times New Roman"/>
          <w:sz w:val="16"/>
          <w:szCs w:val="16"/>
          <w:lang w:eastAsia="en-US"/>
        </w:rPr>
      </w:pPr>
    </w:p>
    <w:p w14:paraId="4EFF26CB" w14:textId="77777777" w:rsidR="00EB1316" w:rsidRDefault="00EB1316" w:rsidP="00EB1316">
      <w:pPr>
        <w:spacing w:after="0" w:line="240" w:lineRule="auto"/>
        <w:rPr>
          <w:rFonts w:eastAsia="Calibri" w:cs="Times New Roman"/>
          <w:sz w:val="16"/>
          <w:szCs w:val="16"/>
          <w:lang w:eastAsia="en-US"/>
        </w:rPr>
      </w:pPr>
    </w:p>
    <w:p w14:paraId="2D801CA7" w14:textId="77777777" w:rsidR="00EB1316" w:rsidRDefault="00EB1316" w:rsidP="00EB1316">
      <w:pPr>
        <w:spacing w:after="0" w:line="240" w:lineRule="auto"/>
        <w:rPr>
          <w:rFonts w:eastAsia="Calibri" w:cs="Times New Roman"/>
          <w:sz w:val="16"/>
          <w:szCs w:val="16"/>
          <w:lang w:eastAsia="en-US"/>
        </w:rPr>
      </w:pPr>
    </w:p>
    <w:p w14:paraId="26D80384" w14:textId="77777777" w:rsidR="00EB1316" w:rsidRDefault="00EB1316" w:rsidP="00EB1316">
      <w:pPr>
        <w:spacing w:after="0" w:line="240" w:lineRule="auto"/>
        <w:rPr>
          <w:rFonts w:eastAsia="Calibri" w:cs="Times New Roman"/>
          <w:sz w:val="16"/>
          <w:szCs w:val="16"/>
          <w:lang w:eastAsia="en-US"/>
        </w:rPr>
      </w:pPr>
    </w:p>
    <w:p w14:paraId="480BB86B" w14:textId="77777777" w:rsidR="00EB1316" w:rsidRDefault="00EB1316" w:rsidP="00EB1316">
      <w:pPr>
        <w:spacing w:after="0" w:line="240" w:lineRule="auto"/>
        <w:rPr>
          <w:rFonts w:eastAsia="Calibri" w:cs="Times New Roman"/>
          <w:sz w:val="16"/>
          <w:szCs w:val="16"/>
          <w:lang w:eastAsia="en-US"/>
        </w:rPr>
      </w:pPr>
    </w:p>
    <w:p w14:paraId="04AEB612" w14:textId="77777777" w:rsidR="00EB1316" w:rsidRDefault="00EB1316" w:rsidP="00EB1316">
      <w:pPr>
        <w:spacing w:after="0" w:line="240" w:lineRule="auto"/>
        <w:rPr>
          <w:rFonts w:eastAsia="Calibri" w:cs="Times New Roman"/>
          <w:sz w:val="16"/>
          <w:szCs w:val="16"/>
          <w:lang w:eastAsia="en-US"/>
        </w:rPr>
      </w:pPr>
    </w:p>
    <w:p w14:paraId="3D8B71CF" w14:textId="77777777" w:rsidR="00EB1316" w:rsidRDefault="00EB1316" w:rsidP="00EB1316">
      <w:pPr>
        <w:spacing w:after="0" w:line="240" w:lineRule="auto"/>
        <w:rPr>
          <w:rFonts w:eastAsia="Calibri" w:cs="Times New Roman"/>
          <w:sz w:val="16"/>
          <w:szCs w:val="16"/>
          <w:lang w:eastAsia="en-US"/>
        </w:rPr>
      </w:pPr>
    </w:p>
    <w:p w14:paraId="2999DE8E" w14:textId="77777777" w:rsidR="00EB1316" w:rsidRDefault="00EB1316" w:rsidP="00EB1316">
      <w:pPr>
        <w:spacing w:after="0" w:line="240" w:lineRule="auto"/>
        <w:rPr>
          <w:rFonts w:eastAsia="Calibri" w:cs="Times New Roman"/>
          <w:sz w:val="16"/>
          <w:szCs w:val="16"/>
          <w:lang w:eastAsia="en-US"/>
        </w:rPr>
      </w:pPr>
    </w:p>
    <w:p w14:paraId="0EFBA496" w14:textId="77777777" w:rsidR="00EB1316" w:rsidRDefault="00EB1316" w:rsidP="00EB1316">
      <w:pPr>
        <w:spacing w:after="0" w:line="240" w:lineRule="auto"/>
        <w:rPr>
          <w:rFonts w:eastAsia="Calibri" w:cs="Times New Roman"/>
          <w:sz w:val="16"/>
          <w:szCs w:val="16"/>
          <w:lang w:eastAsia="en-US"/>
        </w:rPr>
      </w:pPr>
    </w:p>
    <w:p w14:paraId="66E5CE67" w14:textId="77777777" w:rsidR="00EB1316" w:rsidRDefault="00EB1316" w:rsidP="00EB1316">
      <w:pPr>
        <w:spacing w:after="0" w:line="240" w:lineRule="auto"/>
        <w:rPr>
          <w:rFonts w:eastAsia="Calibri" w:cs="Times New Roman"/>
          <w:sz w:val="16"/>
          <w:szCs w:val="16"/>
          <w:lang w:eastAsia="en-US"/>
        </w:rPr>
      </w:pPr>
    </w:p>
    <w:p w14:paraId="192C434D" w14:textId="77777777" w:rsidR="00EB1316" w:rsidRDefault="00EB1316" w:rsidP="00EB1316">
      <w:pPr>
        <w:spacing w:after="0" w:line="240" w:lineRule="auto"/>
        <w:rPr>
          <w:rFonts w:eastAsia="Calibri" w:cs="Times New Roman"/>
          <w:sz w:val="16"/>
          <w:szCs w:val="16"/>
          <w:lang w:eastAsia="en-US"/>
        </w:rPr>
      </w:pPr>
    </w:p>
    <w:p w14:paraId="521E9A71" w14:textId="77777777" w:rsidR="00EB1316" w:rsidRDefault="00EB1316" w:rsidP="00EB1316">
      <w:pPr>
        <w:spacing w:after="0" w:line="240" w:lineRule="auto"/>
        <w:rPr>
          <w:rFonts w:eastAsia="Calibri" w:cs="Times New Roman"/>
          <w:sz w:val="16"/>
          <w:szCs w:val="16"/>
          <w:lang w:eastAsia="en-US"/>
        </w:rPr>
      </w:pPr>
    </w:p>
    <w:tbl>
      <w:tblPr>
        <w:tblW w:w="14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540"/>
        <w:gridCol w:w="4950"/>
        <w:gridCol w:w="1710"/>
        <w:gridCol w:w="1620"/>
        <w:gridCol w:w="1800"/>
        <w:gridCol w:w="1800"/>
      </w:tblGrid>
      <w:tr w:rsidR="00EB1316" w:rsidRPr="00C7021E" w14:paraId="5A3E196B" w14:textId="77777777" w:rsidTr="009C5083">
        <w:trPr>
          <w:tblHeader/>
          <w:jc w:val="center"/>
        </w:trPr>
        <w:tc>
          <w:tcPr>
            <w:tcW w:w="14305" w:type="dxa"/>
            <w:gridSpan w:val="7"/>
            <w:shd w:val="clear" w:color="auto" w:fill="00B050"/>
            <w:vAlign w:val="center"/>
          </w:tcPr>
          <w:p w14:paraId="7B17C71A" w14:textId="77777777" w:rsidR="00EB1316" w:rsidRPr="00C7021E" w:rsidRDefault="00EB1316" w:rsidP="009C5083">
            <w:pPr>
              <w:spacing w:after="0" w:line="240" w:lineRule="auto"/>
              <w:rPr>
                <w:rFonts w:eastAsia="Times New Roman" w:cs="Times New Roman"/>
                <w:b/>
                <w:color w:val="FFFFFF"/>
                <w:sz w:val="20"/>
                <w:szCs w:val="20"/>
                <w:shd w:val="clear" w:color="auto" w:fill="00B050"/>
                <w:lang w:val="en-GB" w:eastAsia="en-US"/>
              </w:rPr>
            </w:pPr>
            <w:r w:rsidRPr="00C7021E">
              <w:rPr>
                <w:rFonts w:eastAsia="Times New Roman" w:cs="Times New Roman"/>
                <w:b/>
                <w:color w:val="FFFFFF"/>
                <w:sz w:val="20"/>
                <w:szCs w:val="20"/>
                <w:shd w:val="clear" w:color="auto" w:fill="00B050"/>
                <w:lang w:val="en-GB" w:eastAsia="en-US"/>
              </w:rPr>
              <w:t>[cost classification: management functional clusters]</w:t>
            </w:r>
            <w:r w:rsidRPr="00C7021E">
              <w:rPr>
                <w:rFonts w:eastAsia="Times New Roman" w:cs="Times New Roman"/>
                <w:color w:val="FFFFFF"/>
                <w:sz w:val="20"/>
                <w:szCs w:val="20"/>
                <w:shd w:val="clear" w:color="auto" w:fill="00B050"/>
                <w:lang w:val="en-GB" w:eastAsia="en-US"/>
              </w:rPr>
              <w:t xml:space="preserve"> </w:t>
            </w:r>
            <w:r w:rsidRPr="00C7021E">
              <w:rPr>
                <w:rFonts w:eastAsia="Calibri" w:cs="Times New Roman"/>
                <w:sz w:val="20"/>
                <w:szCs w:val="20"/>
                <w:lang w:val="en-GB" w:eastAsia="en-US"/>
              </w:rPr>
              <w:br w:type="page"/>
            </w:r>
            <w:r w:rsidRPr="00C7021E">
              <w:rPr>
                <w:rFonts w:eastAsia="Calibri" w:cs="Times New Roman"/>
                <w:color w:val="FFFFFF"/>
                <w:sz w:val="20"/>
                <w:szCs w:val="20"/>
                <w:shd w:val="clear" w:color="auto" w:fill="00B050"/>
                <w:lang w:val="en-GB" w:eastAsia="en-US"/>
              </w:rPr>
              <w:t xml:space="preserve">6. </w:t>
            </w:r>
            <w:r w:rsidRPr="00C7021E">
              <w:rPr>
                <w:rFonts w:eastAsia="Calibri" w:cs="Times New Roman"/>
                <w:b/>
                <w:color w:val="FFFFFF"/>
                <w:sz w:val="20"/>
                <w:szCs w:val="20"/>
                <w:lang w:val="en-GB" w:eastAsia="en-US"/>
              </w:rPr>
              <w:t xml:space="preserve">CORPORATE HUMAN RESOURCES MANAGEMENT </w:t>
            </w:r>
          </w:p>
        </w:tc>
      </w:tr>
      <w:tr w:rsidR="00EB1316" w:rsidRPr="00C7021E" w14:paraId="5C8A1C85" w14:textId="77777777" w:rsidTr="009C5083">
        <w:trPr>
          <w:cantSplit/>
          <w:trHeight w:val="350"/>
          <w:tblHeader/>
          <w:jc w:val="center"/>
        </w:trPr>
        <w:tc>
          <w:tcPr>
            <w:tcW w:w="1885" w:type="dxa"/>
            <w:shd w:val="clear" w:color="auto" w:fill="DBE5F1" w:themeFill="accent1" w:themeFillTint="33"/>
            <w:vAlign w:val="center"/>
          </w:tcPr>
          <w:p w14:paraId="1B620A25"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Results statement:</w:t>
            </w:r>
          </w:p>
        </w:tc>
        <w:tc>
          <w:tcPr>
            <w:tcW w:w="540" w:type="dxa"/>
            <w:shd w:val="clear" w:color="auto" w:fill="DBE5F1" w:themeFill="accent1" w:themeFillTint="33"/>
            <w:vAlign w:val="center"/>
          </w:tcPr>
          <w:p w14:paraId="1B2BF2FA"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No.</w:t>
            </w:r>
          </w:p>
        </w:tc>
        <w:tc>
          <w:tcPr>
            <w:tcW w:w="4950" w:type="dxa"/>
            <w:shd w:val="clear" w:color="auto" w:fill="DBE5F1" w:themeFill="accent1" w:themeFillTint="33"/>
            <w:vAlign w:val="center"/>
          </w:tcPr>
          <w:p w14:paraId="001529E1"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Indicator</w:t>
            </w:r>
          </w:p>
        </w:tc>
        <w:tc>
          <w:tcPr>
            <w:tcW w:w="1710" w:type="dxa"/>
            <w:shd w:val="clear" w:color="auto" w:fill="DBE5F1" w:themeFill="accent1" w:themeFillTint="33"/>
            <w:vAlign w:val="center"/>
          </w:tcPr>
          <w:p w14:paraId="46F45409" w14:textId="77777777" w:rsidR="00EB1316" w:rsidRPr="00C7021E" w:rsidRDefault="00EB1316" w:rsidP="009C5083">
            <w:pPr>
              <w:spacing w:after="0" w:line="240" w:lineRule="auto"/>
              <w:jc w:val="center"/>
              <w:rPr>
                <w:rFonts w:eastAsia="Calibri" w:cs="Times New Roman"/>
                <w:b/>
                <w:sz w:val="20"/>
                <w:szCs w:val="20"/>
                <w:lang w:val="en-GB" w:eastAsia="en-US"/>
              </w:rPr>
            </w:pPr>
            <w:r w:rsidRPr="00C7021E">
              <w:rPr>
                <w:rFonts w:eastAsia="Calibri" w:cs="Times New Roman"/>
                <w:b/>
                <w:sz w:val="20"/>
                <w:szCs w:val="20"/>
                <w:lang w:val="en-GB" w:eastAsia="en-US"/>
              </w:rPr>
              <w:t>Baseline</w:t>
            </w:r>
            <w:r>
              <w:rPr>
                <w:rFonts w:eastAsia="Calibri" w:cs="Times New Roman"/>
                <w:b/>
                <w:sz w:val="20"/>
                <w:szCs w:val="20"/>
                <w:lang w:val="en-GB" w:eastAsia="en-US"/>
              </w:rPr>
              <w:t xml:space="preserve"> </w:t>
            </w:r>
            <w:r w:rsidRPr="003D185C">
              <w:rPr>
                <w:rFonts w:eastAsia="Calibri" w:cs="Times New Roman"/>
                <w:sz w:val="20"/>
                <w:szCs w:val="20"/>
                <w:lang w:val="en-GB" w:eastAsia="en-US"/>
              </w:rPr>
              <w:t>2013</w:t>
            </w:r>
          </w:p>
        </w:tc>
        <w:tc>
          <w:tcPr>
            <w:tcW w:w="1620" w:type="dxa"/>
            <w:shd w:val="clear" w:color="auto" w:fill="DBE5F1" w:themeFill="accent1" w:themeFillTint="33"/>
            <w:vAlign w:val="center"/>
          </w:tcPr>
          <w:p w14:paraId="2648B90F" w14:textId="77777777" w:rsidR="00EB1316" w:rsidRPr="00C7021E" w:rsidRDefault="00EB1316" w:rsidP="009C5083">
            <w:pPr>
              <w:spacing w:after="0" w:line="240" w:lineRule="auto"/>
              <w:jc w:val="center"/>
              <w:rPr>
                <w:rFonts w:eastAsia="Calibri" w:cs="Times New Roman"/>
                <w:b/>
                <w:sz w:val="20"/>
                <w:szCs w:val="20"/>
                <w:lang w:val="en-GB" w:eastAsia="en-US"/>
              </w:rPr>
            </w:pPr>
            <w:r>
              <w:rPr>
                <w:rFonts w:eastAsia="Calibri" w:cs="Times New Roman"/>
                <w:b/>
                <w:sz w:val="20"/>
                <w:szCs w:val="20"/>
                <w:lang w:val="en-GB" w:eastAsia="en-US"/>
              </w:rPr>
              <w:t xml:space="preserve">Milestones </w:t>
            </w:r>
            <w:r w:rsidRPr="003D185C">
              <w:rPr>
                <w:rFonts w:eastAsia="Calibri" w:cs="Times New Roman"/>
                <w:sz w:val="20"/>
                <w:szCs w:val="20"/>
                <w:lang w:val="en-GB" w:eastAsia="en-US"/>
              </w:rPr>
              <w:t>2014</w:t>
            </w:r>
          </w:p>
        </w:tc>
        <w:tc>
          <w:tcPr>
            <w:tcW w:w="1800" w:type="dxa"/>
            <w:shd w:val="clear" w:color="auto" w:fill="DBE5F1" w:themeFill="accent1" w:themeFillTint="33"/>
            <w:vAlign w:val="center"/>
          </w:tcPr>
          <w:p w14:paraId="4EF0491E" w14:textId="77777777" w:rsidR="00EB1316" w:rsidRPr="00C7021E" w:rsidRDefault="00EB1316" w:rsidP="009C5083">
            <w:pPr>
              <w:spacing w:after="0" w:line="240" w:lineRule="auto"/>
              <w:jc w:val="center"/>
              <w:rPr>
                <w:rFonts w:eastAsia="Calibri" w:cs="Times New Roman"/>
                <w:b/>
                <w:sz w:val="20"/>
                <w:szCs w:val="20"/>
                <w:lang w:val="en-GB" w:eastAsia="en-US"/>
              </w:rPr>
            </w:pPr>
            <w:r>
              <w:rPr>
                <w:rFonts w:eastAsia="Calibri" w:cs="Times New Roman"/>
                <w:b/>
                <w:sz w:val="20"/>
                <w:szCs w:val="20"/>
                <w:lang w:val="en-GB" w:eastAsia="en-US"/>
              </w:rPr>
              <w:t>Actual 2014</w:t>
            </w:r>
          </w:p>
        </w:tc>
        <w:tc>
          <w:tcPr>
            <w:tcW w:w="1800" w:type="dxa"/>
            <w:shd w:val="clear" w:color="auto" w:fill="DBE5F1" w:themeFill="accent1" w:themeFillTint="33"/>
            <w:vAlign w:val="center"/>
          </w:tcPr>
          <w:p w14:paraId="7331E77A" w14:textId="77777777" w:rsidR="00EB1316" w:rsidRDefault="00EB1316" w:rsidP="009C5083">
            <w:pPr>
              <w:spacing w:after="0" w:line="240" w:lineRule="auto"/>
              <w:jc w:val="center"/>
              <w:rPr>
                <w:rFonts w:eastAsia="Calibri" w:cs="Times New Roman"/>
                <w:b/>
                <w:sz w:val="20"/>
                <w:szCs w:val="20"/>
                <w:lang w:val="en-GB" w:eastAsia="en-US"/>
              </w:rPr>
            </w:pPr>
            <w:r>
              <w:rPr>
                <w:rFonts w:eastAsia="Calibri" w:cs="Times New Roman"/>
                <w:b/>
                <w:sz w:val="20"/>
                <w:szCs w:val="20"/>
                <w:lang w:val="en-GB" w:eastAsia="en-US"/>
              </w:rPr>
              <w:t>Target 2017</w:t>
            </w:r>
          </w:p>
        </w:tc>
      </w:tr>
      <w:tr w:rsidR="00EB1316" w:rsidRPr="00C7021E" w14:paraId="37199434" w14:textId="77777777" w:rsidTr="009C5083">
        <w:trPr>
          <w:trHeight w:val="575"/>
          <w:jc w:val="center"/>
        </w:trPr>
        <w:tc>
          <w:tcPr>
            <w:tcW w:w="1885" w:type="dxa"/>
            <w:vMerge w:val="restart"/>
            <w:shd w:val="clear" w:color="auto" w:fill="FFFFFF"/>
            <w:vAlign w:val="center"/>
          </w:tcPr>
          <w:p w14:paraId="3974F50E" w14:textId="77777777" w:rsidR="00EB1316" w:rsidRPr="00C7021E" w:rsidRDefault="00EB1316" w:rsidP="009C5083">
            <w:pPr>
              <w:spacing w:after="0" w:line="240" w:lineRule="auto"/>
              <w:rPr>
                <w:rFonts w:eastAsia="Calibri" w:cs="Times New Roman"/>
                <w:sz w:val="20"/>
                <w:szCs w:val="20"/>
                <w:lang w:val="en-GB" w:eastAsia="en-US"/>
              </w:rPr>
            </w:pPr>
            <w:r w:rsidRPr="00245A7E">
              <w:rPr>
                <w:rFonts w:eastAsia="Calibri" w:cs="Times New Roman"/>
                <w:b/>
                <w:sz w:val="20"/>
                <w:szCs w:val="20"/>
                <w:lang w:val="en-GB" w:eastAsia="en-US"/>
              </w:rPr>
              <w:t>6.1</w:t>
            </w:r>
            <w:r w:rsidRPr="00C7021E">
              <w:rPr>
                <w:rFonts w:eastAsia="Calibri" w:cs="Times New Roman"/>
                <w:sz w:val="20"/>
                <w:szCs w:val="20"/>
                <w:lang w:val="en-GB" w:eastAsia="en-US"/>
              </w:rPr>
              <w:t xml:space="preserve"> UNDP equipped to attract, develop and retain a talented and diversified workforce</w:t>
            </w:r>
          </w:p>
        </w:tc>
        <w:tc>
          <w:tcPr>
            <w:tcW w:w="540" w:type="dxa"/>
            <w:vMerge w:val="restart"/>
            <w:shd w:val="clear" w:color="auto" w:fill="auto"/>
          </w:tcPr>
          <w:p w14:paraId="56E9F2A6"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3</w:t>
            </w:r>
            <w:r>
              <w:rPr>
                <w:rFonts w:eastAsia="Calibri" w:cs="Times New Roman"/>
                <w:b/>
                <w:sz w:val="20"/>
                <w:szCs w:val="20"/>
                <w:lang w:val="en-GB" w:eastAsia="en-US"/>
              </w:rPr>
              <w:t>1</w:t>
            </w:r>
            <w:r w:rsidRPr="00C7021E">
              <w:rPr>
                <w:rFonts w:eastAsia="Calibri" w:cs="Times New Roman"/>
                <w:b/>
                <w:sz w:val="20"/>
                <w:szCs w:val="20"/>
                <w:lang w:val="en-GB" w:eastAsia="en-US"/>
              </w:rPr>
              <w:t>.</w:t>
            </w:r>
          </w:p>
        </w:tc>
        <w:tc>
          <w:tcPr>
            <w:tcW w:w="4950" w:type="dxa"/>
            <w:shd w:val="clear" w:color="auto" w:fill="auto"/>
          </w:tcPr>
          <w:p w14:paraId="680EBEF7" w14:textId="77777777" w:rsidR="00EB1316" w:rsidRDefault="00EB1316" w:rsidP="009C5083">
            <w:pPr>
              <w:spacing w:after="0" w:line="240" w:lineRule="auto"/>
              <w:rPr>
                <w:rFonts w:eastAsia="Calibri" w:cs="Times New Roman"/>
                <w:sz w:val="20"/>
                <w:szCs w:val="20"/>
                <w:lang w:val="en-GB" w:eastAsia="en-US"/>
              </w:rPr>
            </w:pPr>
            <w:r w:rsidRPr="00C7021E">
              <w:rPr>
                <w:rFonts w:eastAsia="Calibri" w:cs="Times New Roman"/>
                <w:sz w:val="20"/>
                <w:szCs w:val="20"/>
                <w:lang w:val="en-GB" w:eastAsia="en-US"/>
              </w:rPr>
              <w:t>Average time taken to fill eligible vacanc</w:t>
            </w:r>
            <w:r>
              <w:rPr>
                <w:rFonts w:eastAsia="Calibri" w:cs="Times New Roman"/>
                <w:sz w:val="20"/>
                <w:szCs w:val="20"/>
                <w:lang w:val="en-GB" w:eastAsia="en-US"/>
              </w:rPr>
              <w:t>ies across specified categories</w:t>
            </w:r>
          </w:p>
          <w:p w14:paraId="18C102D1" w14:textId="77777777" w:rsidR="00EB1316" w:rsidRDefault="00EB1316" w:rsidP="006F161D">
            <w:pPr>
              <w:pStyle w:val="ListParagraph"/>
              <w:numPr>
                <w:ilvl w:val="0"/>
                <w:numId w:val="102"/>
              </w:numPr>
              <w:rPr>
                <w:sz w:val="20"/>
                <w:szCs w:val="20"/>
              </w:rPr>
            </w:pPr>
            <w:r w:rsidRPr="007C37D8">
              <w:rPr>
                <w:sz w:val="20"/>
                <w:szCs w:val="20"/>
              </w:rPr>
              <w:t>Candidate Pools</w:t>
            </w:r>
          </w:p>
          <w:p w14:paraId="3F95D3C8" w14:textId="77777777" w:rsidR="00EB1316" w:rsidRPr="007C37D8" w:rsidRDefault="00EB1316" w:rsidP="006F161D">
            <w:pPr>
              <w:pStyle w:val="ListParagraph"/>
              <w:numPr>
                <w:ilvl w:val="0"/>
                <w:numId w:val="102"/>
              </w:numPr>
              <w:rPr>
                <w:rFonts w:eastAsia="Calibri"/>
                <w:sz w:val="20"/>
                <w:szCs w:val="20"/>
                <w:lang w:val="en-GB" w:eastAsia="en-US"/>
              </w:rPr>
            </w:pPr>
            <w:r w:rsidRPr="007C37D8">
              <w:rPr>
                <w:sz w:val="20"/>
                <w:szCs w:val="20"/>
              </w:rPr>
              <w:t>RRs/RCs</w:t>
            </w:r>
          </w:p>
        </w:tc>
        <w:tc>
          <w:tcPr>
            <w:tcW w:w="1710" w:type="dxa"/>
            <w:shd w:val="clear" w:color="auto" w:fill="auto"/>
            <w:vAlign w:val="center"/>
          </w:tcPr>
          <w:p w14:paraId="71EA80E9" w14:textId="77777777" w:rsidR="00EB1316" w:rsidRDefault="00EB1316" w:rsidP="009C5083">
            <w:pPr>
              <w:pStyle w:val="ListParagraph"/>
              <w:tabs>
                <w:tab w:val="left" w:pos="246"/>
                <w:tab w:val="left" w:pos="593"/>
              </w:tabs>
              <w:ind w:left="252"/>
              <w:rPr>
                <w:sz w:val="20"/>
                <w:szCs w:val="20"/>
              </w:rPr>
            </w:pPr>
          </w:p>
          <w:p w14:paraId="4C606201" w14:textId="77777777" w:rsidR="00EB1316" w:rsidRDefault="00EB1316" w:rsidP="009C5083">
            <w:pPr>
              <w:pStyle w:val="ListParagraph"/>
              <w:tabs>
                <w:tab w:val="left" w:pos="246"/>
                <w:tab w:val="left" w:pos="593"/>
              </w:tabs>
              <w:ind w:left="252"/>
              <w:rPr>
                <w:sz w:val="20"/>
                <w:szCs w:val="20"/>
              </w:rPr>
            </w:pPr>
          </w:p>
          <w:p w14:paraId="289CA7D7" w14:textId="77777777" w:rsidR="00EB1316" w:rsidRPr="0094486C" w:rsidRDefault="00EB1316" w:rsidP="006F161D">
            <w:pPr>
              <w:pStyle w:val="ListParagraph"/>
              <w:numPr>
                <w:ilvl w:val="0"/>
                <w:numId w:val="103"/>
              </w:numPr>
              <w:tabs>
                <w:tab w:val="left" w:pos="162"/>
                <w:tab w:val="left" w:pos="593"/>
              </w:tabs>
              <w:ind w:left="252" w:hanging="180"/>
              <w:rPr>
                <w:sz w:val="20"/>
                <w:szCs w:val="20"/>
              </w:rPr>
            </w:pPr>
            <w:r w:rsidRPr="0094486C">
              <w:rPr>
                <w:sz w:val="20"/>
                <w:szCs w:val="20"/>
              </w:rPr>
              <w:t>20 working days</w:t>
            </w:r>
          </w:p>
          <w:p w14:paraId="1CDFB707" w14:textId="77777777" w:rsidR="00EB1316" w:rsidRPr="0094486C" w:rsidRDefault="00EB1316" w:rsidP="006F161D">
            <w:pPr>
              <w:pStyle w:val="ListParagraph"/>
              <w:numPr>
                <w:ilvl w:val="0"/>
                <w:numId w:val="103"/>
              </w:numPr>
              <w:tabs>
                <w:tab w:val="left" w:pos="162"/>
                <w:tab w:val="left" w:pos="593"/>
              </w:tabs>
              <w:ind w:left="252" w:hanging="180"/>
              <w:rPr>
                <w:sz w:val="20"/>
                <w:szCs w:val="20"/>
              </w:rPr>
            </w:pPr>
            <w:r w:rsidRPr="0094486C">
              <w:rPr>
                <w:sz w:val="20"/>
                <w:szCs w:val="20"/>
              </w:rPr>
              <w:t>11 weeks</w:t>
            </w:r>
          </w:p>
        </w:tc>
        <w:tc>
          <w:tcPr>
            <w:tcW w:w="1620" w:type="dxa"/>
            <w:shd w:val="clear" w:color="auto" w:fill="auto"/>
          </w:tcPr>
          <w:p w14:paraId="4D7D4BCD" w14:textId="77777777" w:rsidR="00EB1316" w:rsidRDefault="00EB1316" w:rsidP="009C5083">
            <w:pPr>
              <w:pStyle w:val="ListParagraph"/>
              <w:ind w:left="162"/>
              <w:rPr>
                <w:sz w:val="20"/>
                <w:szCs w:val="20"/>
              </w:rPr>
            </w:pPr>
          </w:p>
          <w:p w14:paraId="5AD1E385" w14:textId="77777777" w:rsidR="00EB1316" w:rsidRDefault="00EB1316" w:rsidP="009C5083">
            <w:pPr>
              <w:pStyle w:val="ListParagraph"/>
              <w:ind w:left="162"/>
              <w:rPr>
                <w:sz w:val="20"/>
                <w:szCs w:val="20"/>
              </w:rPr>
            </w:pPr>
          </w:p>
          <w:p w14:paraId="41123C4F" w14:textId="77777777" w:rsidR="00EB1316" w:rsidRDefault="00EB1316" w:rsidP="006F161D">
            <w:pPr>
              <w:pStyle w:val="ListParagraph"/>
              <w:numPr>
                <w:ilvl w:val="0"/>
                <w:numId w:val="104"/>
              </w:numPr>
              <w:ind w:left="432" w:hanging="270"/>
              <w:rPr>
                <w:sz w:val="20"/>
                <w:szCs w:val="20"/>
              </w:rPr>
            </w:pPr>
            <w:r>
              <w:rPr>
                <w:sz w:val="20"/>
                <w:szCs w:val="20"/>
              </w:rPr>
              <w:t>&lt; 1 month</w:t>
            </w:r>
          </w:p>
          <w:p w14:paraId="73A0781D" w14:textId="77777777" w:rsidR="00EB1316" w:rsidRPr="0094486C" w:rsidRDefault="00EB1316" w:rsidP="006F161D">
            <w:pPr>
              <w:pStyle w:val="ListParagraph"/>
              <w:numPr>
                <w:ilvl w:val="0"/>
                <w:numId w:val="104"/>
              </w:numPr>
              <w:ind w:left="432" w:hanging="270"/>
              <w:rPr>
                <w:sz w:val="20"/>
                <w:szCs w:val="20"/>
              </w:rPr>
            </w:pPr>
            <w:r w:rsidRPr="0094486C">
              <w:rPr>
                <w:sz w:val="20"/>
                <w:szCs w:val="20"/>
              </w:rPr>
              <w:t>≤11 weeks</w:t>
            </w:r>
          </w:p>
        </w:tc>
        <w:tc>
          <w:tcPr>
            <w:tcW w:w="1800" w:type="dxa"/>
            <w:shd w:val="clear" w:color="auto" w:fill="auto"/>
          </w:tcPr>
          <w:p w14:paraId="6E2CF36F" w14:textId="77777777" w:rsidR="00EB1316" w:rsidRDefault="00EB1316" w:rsidP="009C5083">
            <w:pPr>
              <w:pStyle w:val="ListParagraph"/>
              <w:tabs>
                <w:tab w:val="left" w:pos="246"/>
                <w:tab w:val="left" w:pos="593"/>
              </w:tabs>
              <w:ind w:left="252"/>
              <w:rPr>
                <w:sz w:val="20"/>
                <w:szCs w:val="20"/>
                <w:lang w:val="en-GB"/>
              </w:rPr>
            </w:pPr>
          </w:p>
          <w:p w14:paraId="4D83CFC0" w14:textId="77777777" w:rsidR="00EB1316" w:rsidRDefault="00EB1316" w:rsidP="009C5083">
            <w:pPr>
              <w:pStyle w:val="ListParagraph"/>
              <w:tabs>
                <w:tab w:val="left" w:pos="246"/>
                <w:tab w:val="left" w:pos="593"/>
              </w:tabs>
              <w:ind w:left="252"/>
              <w:rPr>
                <w:sz w:val="20"/>
                <w:szCs w:val="20"/>
                <w:lang w:val="en-GB"/>
              </w:rPr>
            </w:pPr>
          </w:p>
          <w:p w14:paraId="54C5DE47" w14:textId="77777777" w:rsidR="00EB1316" w:rsidRDefault="00EB1316" w:rsidP="006F161D">
            <w:pPr>
              <w:pStyle w:val="ListParagraph"/>
              <w:numPr>
                <w:ilvl w:val="0"/>
                <w:numId w:val="105"/>
              </w:numPr>
              <w:tabs>
                <w:tab w:val="left" w:pos="246"/>
                <w:tab w:val="left" w:pos="593"/>
              </w:tabs>
              <w:ind w:hanging="810"/>
              <w:rPr>
                <w:sz w:val="20"/>
                <w:szCs w:val="20"/>
                <w:lang w:val="en-GB"/>
              </w:rPr>
            </w:pPr>
            <w:r w:rsidRPr="00BF0CCD">
              <w:rPr>
                <w:sz w:val="20"/>
                <w:szCs w:val="20"/>
                <w:lang w:val="en-GB"/>
              </w:rPr>
              <w:t>20 working days</w:t>
            </w:r>
          </w:p>
          <w:p w14:paraId="45ED285A" w14:textId="77777777" w:rsidR="00EB1316" w:rsidRPr="0094486C" w:rsidRDefault="00EB1316" w:rsidP="006F161D">
            <w:pPr>
              <w:pStyle w:val="ListParagraph"/>
              <w:numPr>
                <w:ilvl w:val="0"/>
                <w:numId w:val="105"/>
              </w:numPr>
              <w:tabs>
                <w:tab w:val="left" w:pos="246"/>
                <w:tab w:val="left" w:pos="593"/>
              </w:tabs>
              <w:ind w:hanging="810"/>
              <w:rPr>
                <w:sz w:val="20"/>
                <w:szCs w:val="20"/>
              </w:rPr>
            </w:pPr>
            <w:r w:rsidRPr="00BF0CCD">
              <w:rPr>
                <w:sz w:val="20"/>
                <w:szCs w:val="20"/>
                <w:lang w:val="en-GB"/>
              </w:rPr>
              <w:t>9 weeks </w:t>
            </w:r>
          </w:p>
        </w:tc>
        <w:tc>
          <w:tcPr>
            <w:tcW w:w="1800" w:type="dxa"/>
            <w:shd w:val="clear" w:color="auto" w:fill="auto"/>
          </w:tcPr>
          <w:p w14:paraId="3631E760" w14:textId="77777777" w:rsidR="00EB1316" w:rsidRPr="009D1909" w:rsidRDefault="00EB1316" w:rsidP="009C5083">
            <w:pPr>
              <w:tabs>
                <w:tab w:val="left" w:pos="246"/>
                <w:tab w:val="left" w:pos="593"/>
              </w:tabs>
              <w:rPr>
                <w:sz w:val="20"/>
                <w:szCs w:val="20"/>
              </w:rPr>
            </w:pPr>
          </w:p>
          <w:p w14:paraId="3386302F" w14:textId="77777777" w:rsidR="00EB1316" w:rsidRPr="00967995" w:rsidRDefault="00EB1316" w:rsidP="006F161D">
            <w:pPr>
              <w:pStyle w:val="ListParagraph"/>
              <w:numPr>
                <w:ilvl w:val="0"/>
                <w:numId w:val="106"/>
              </w:numPr>
              <w:tabs>
                <w:tab w:val="left" w:pos="246"/>
                <w:tab w:val="left" w:pos="593"/>
              </w:tabs>
              <w:ind w:hanging="558"/>
              <w:rPr>
                <w:sz w:val="20"/>
                <w:szCs w:val="20"/>
              </w:rPr>
            </w:pPr>
            <w:r w:rsidRPr="00967995">
              <w:rPr>
                <w:sz w:val="20"/>
                <w:szCs w:val="20"/>
              </w:rPr>
              <w:t>&lt; 1 month</w:t>
            </w:r>
          </w:p>
          <w:p w14:paraId="3DF33A8A" w14:textId="77777777" w:rsidR="00EB1316" w:rsidRPr="00967995" w:rsidRDefault="00EB1316" w:rsidP="006F161D">
            <w:pPr>
              <w:pStyle w:val="ListParagraph"/>
              <w:numPr>
                <w:ilvl w:val="0"/>
                <w:numId w:val="106"/>
              </w:numPr>
              <w:tabs>
                <w:tab w:val="left" w:pos="246"/>
                <w:tab w:val="left" w:pos="593"/>
              </w:tabs>
              <w:ind w:hanging="558"/>
              <w:rPr>
                <w:sz w:val="20"/>
                <w:szCs w:val="20"/>
              </w:rPr>
            </w:pPr>
            <w:r w:rsidRPr="00967995">
              <w:rPr>
                <w:sz w:val="20"/>
                <w:szCs w:val="20"/>
              </w:rPr>
              <w:t>≤11 weeks</w:t>
            </w:r>
          </w:p>
        </w:tc>
      </w:tr>
      <w:tr w:rsidR="00EB1316" w:rsidRPr="005D1EBC" w14:paraId="7E6D6A91" w14:textId="77777777" w:rsidTr="009C5083">
        <w:trPr>
          <w:trHeight w:val="494"/>
          <w:jc w:val="center"/>
        </w:trPr>
        <w:tc>
          <w:tcPr>
            <w:tcW w:w="1885" w:type="dxa"/>
            <w:vMerge/>
            <w:shd w:val="clear" w:color="auto" w:fill="D9D9D9" w:themeFill="background1" w:themeFillShade="D9"/>
            <w:vAlign w:val="center"/>
          </w:tcPr>
          <w:p w14:paraId="6B576116" w14:textId="77777777" w:rsidR="00EB1316" w:rsidRPr="005D1EBC" w:rsidRDefault="00EB1316" w:rsidP="009C5083">
            <w:pPr>
              <w:spacing w:after="0" w:line="240" w:lineRule="auto"/>
              <w:rPr>
                <w:rFonts w:eastAsia="Calibri" w:cs="Times New Roman"/>
                <w:b/>
                <w:sz w:val="18"/>
                <w:szCs w:val="18"/>
                <w:lang w:val="en-GB" w:eastAsia="en-US"/>
              </w:rPr>
            </w:pPr>
          </w:p>
        </w:tc>
        <w:tc>
          <w:tcPr>
            <w:tcW w:w="540" w:type="dxa"/>
            <w:vMerge/>
            <w:shd w:val="clear" w:color="auto" w:fill="D9D9D9" w:themeFill="background1" w:themeFillShade="D9"/>
          </w:tcPr>
          <w:p w14:paraId="12346CCD" w14:textId="77777777" w:rsidR="00EB1316" w:rsidRPr="005D1EBC" w:rsidRDefault="00EB1316" w:rsidP="009C5083">
            <w:pPr>
              <w:spacing w:after="0" w:line="240" w:lineRule="auto"/>
              <w:rPr>
                <w:rFonts w:eastAsia="Calibri" w:cs="Times New Roman"/>
                <w:b/>
                <w:sz w:val="18"/>
                <w:szCs w:val="18"/>
                <w:lang w:val="en-GB" w:eastAsia="en-US"/>
              </w:rPr>
            </w:pPr>
          </w:p>
        </w:tc>
        <w:tc>
          <w:tcPr>
            <w:tcW w:w="11880" w:type="dxa"/>
            <w:gridSpan w:val="5"/>
            <w:shd w:val="clear" w:color="auto" w:fill="D9D9D9" w:themeFill="background1" w:themeFillShade="D9"/>
          </w:tcPr>
          <w:p w14:paraId="003EA5DB" w14:textId="77777777" w:rsidR="00EB1316" w:rsidRDefault="00EB1316" w:rsidP="009C5083">
            <w:pPr>
              <w:spacing w:after="0" w:line="240" w:lineRule="auto"/>
              <w:rPr>
                <w:b/>
                <w:bCs/>
                <w:sz w:val="18"/>
                <w:szCs w:val="18"/>
              </w:rPr>
            </w:pPr>
            <w:r>
              <w:rPr>
                <w:b/>
                <w:bCs/>
                <w:sz w:val="18"/>
                <w:szCs w:val="18"/>
              </w:rPr>
              <w:t>Note</w:t>
            </w:r>
            <w:r>
              <w:rPr>
                <w:sz w:val="18"/>
                <w:szCs w:val="18"/>
              </w:rPr>
              <w:t xml:space="preserve">: </w:t>
            </w:r>
            <w:r>
              <w:rPr>
                <w:i/>
                <w:iCs/>
                <w:sz w:val="18"/>
                <w:szCs w:val="18"/>
              </w:rPr>
              <w:t>Average time taken to fill</w:t>
            </w:r>
            <w:r>
              <w:rPr>
                <w:sz w:val="18"/>
                <w:szCs w:val="18"/>
              </w:rPr>
              <w:t xml:space="preserve"> refers to the period ranging from vacancy announcement to candidate notification of selection. The additional category of </w:t>
            </w:r>
            <w:r>
              <w:rPr>
                <w:i/>
                <w:iCs/>
                <w:sz w:val="18"/>
                <w:szCs w:val="18"/>
              </w:rPr>
              <w:t>International Professional FTA</w:t>
            </w:r>
            <w:r>
              <w:rPr>
                <w:sz w:val="18"/>
                <w:szCs w:val="18"/>
              </w:rPr>
              <w:t xml:space="preserve"> posts which require clearance by the Compliance Review Board in New York, will be added in next IRRF submissions. </w:t>
            </w:r>
          </w:p>
        </w:tc>
      </w:tr>
      <w:tr w:rsidR="00EB1316" w:rsidRPr="00C7021E" w14:paraId="0BF7A8C0" w14:textId="77777777" w:rsidTr="009C5083">
        <w:trPr>
          <w:trHeight w:val="701"/>
          <w:jc w:val="center"/>
        </w:trPr>
        <w:tc>
          <w:tcPr>
            <w:tcW w:w="1885" w:type="dxa"/>
            <w:vMerge/>
            <w:shd w:val="clear" w:color="auto" w:fill="FFFFFF"/>
            <w:vAlign w:val="center"/>
          </w:tcPr>
          <w:p w14:paraId="469E3CBB"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shd w:val="clear" w:color="auto" w:fill="auto"/>
          </w:tcPr>
          <w:p w14:paraId="3F8CA421"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3</w:t>
            </w:r>
            <w:r>
              <w:rPr>
                <w:rFonts w:eastAsia="Calibri" w:cs="Times New Roman"/>
                <w:b/>
                <w:sz w:val="20"/>
                <w:szCs w:val="20"/>
                <w:lang w:val="en-GB" w:eastAsia="en-US"/>
              </w:rPr>
              <w:t>2</w:t>
            </w:r>
            <w:r w:rsidRPr="00C7021E">
              <w:rPr>
                <w:rFonts w:eastAsia="Calibri" w:cs="Times New Roman"/>
                <w:b/>
                <w:sz w:val="20"/>
                <w:szCs w:val="20"/>
                <w:lang w:val="en-GB" w:eastAsia="en-US"/>
              </w:rPr>
              <w:t>.</w:t>
            </w:r>
          </w:p>
        </w:tc>
        <w:tc>
          <w:tcPr>
            <w:tcW w:w="4950" w:type="dxa"/>
            <w:shd w:val="clear" w:color="auto" w:fill="auto"/>
          </w:tcPr>
          <w:p w14:paraId="118169CC" w14:textId="77777777" w:rsidR="00EB1316" w:rsidRPr="00C7021E" w:rsidRDefault="00EB1316" w:rsidP="009C5083">
            <w:pPr>
              <w:spacing w:after="0" w:line="240" w:lineRule="auto"/>
              <w:rPr>
                <w:rFonts w:eastAsia="Calibri" w:cs="Times New Roman"/>
                <w:sz w:val="20"/>
                <w:szCs w:val="20"/>
                <w:lang w:val="en-GB" w:eastAsia="en-US"/>
              </w:rPr>
            </w:pPr>
            <w:r w:rsidRPr="00C7021E">
              <w:rPr>
                <w:rFonts w:eastAsia="Calibri" w:cs="Times New Roman"/>
                <w:sz w:val="20"/>
                <w:szCs w:val="20"/>
                <w:lang w:val="en-GB" w:eastAsia="en-US"/>
              </w:rPr>
              <w:t>Percentage of staff who are female</w:t>
            </w:r>
            <w:r>
              <w:rPr>
                <w:rFonts w:eastAsia="Calibri" w:cs="Times New Roman"/>
                <w:sz w:val="20"/>
                <w:szCs w:val="20"/>
                <w:lang w:val="en-GB" w:eastAsia="en-US"/>
              </w:rPr>
              <w:t xml:space="preserve"> </w:t>
            </w:r>
            <w:r w:rsidRPr="00C7021E">
              <w:rPr>
                <w:rFonts w:eastAsia="Calibri" w:cs="Times New Roman"/>
                <w:b/>
                <w:sz w:val="20"/>
                <w:szCs w:val="20"/>
                <w:lang w:val="en-GB" w:eastAsia="en-US"/>
              </w:rPr>
              <w:t>(QCPR related indicator)</w:t>
            </w:r>
            <w:r w:rsidRPr="00C7021E">
              <w:rPr>
                <w:rFonts w:eastAsia="Calibri" w:cs="Times New Roman"/>
                <w:sz w:val="20"/>
                <w:szCs w:val="20"/>
                <w:lang w:val="en-GB" w:eastAsia="en-US"/>
              </w:rPr>
              <w:t>:</w:t>
            </w:r>
          </w:p>
          <w:p w14:paraId="2CC4687D" w14:textId="77777777" w:rsidR="00EB1316" w:rsidRPr="00C7021E" w:rsidRDefault="00EB1316" w:rsidP="006F161D">
            <w:pPr>
              <w:numPr>
                <w:ilvl w:val="0"/>
                <w:numId w:val="9"/>
              </w:numPr>
              <w:spacing w:after="0" w:line="240" w:lineRule="auto"/>
              <w:contextualSpacing/>
              <w:rPr>
                <w:rFonts w:eastAsia="Calibri" w:cs="Times New Roman"/>
                <w:sz w:val="20"/>
                <w:szCs w:val="20"/>
                <w:lang w:val="en-GB" w:eastAsia="en-US"/>
              </w:rPr>
            </w:pPr>
            <w:r w:rsidRPr="00C7021E">
              <w:rPr>
                <w:rFonts w:eastAsia="Calibri" w:cs="Times New Roman"/>
                <w:sz w:val="20"/>
                <w:szCs w:val="20"/>
                <w:lang w:val="en-GB" w:eastAsia="en-US"/>
              </w:rPr>
              <w:t>At all levels</w:t>
            </w:r>
          </w:p>
          <w:p w14:paraId="05E951CA" w14:textId="77777777" w:rsidR="00EB1316" w:rsidRPr="00C7021E" w:rsidRDefault="00EB1316" w:rsidP="006F161D">
            <w:pPr>
              <w:numPr>
                <w:ilvl w:val="0"/>
                <w:numId w:val="9"/>
              </w:numPr>
              <w:spacing w:after="0" w:line="240" w:lineRule="auto"/>
              <w:contextualSpacing/>
              <w:rPr>
                <w:rFonts w:eastAsia="Calibri" w:cs="Times New Roman"/>
                <w:sz w:val="20"/>
                <w:szCs w:val="20"/>
                <w:lang w:val="en-GB" w:eastAsia="en-US"/>
              </w:rPr>
            </w:pPr>
            <w:r w:rsidRPr="00C7021E">
              <w:rPr>
                <w:rFonts w:eastAsia="Calibri" w:cs="Times New Roman"/>
                <w:sz w:val="20"/>
                <w:szCs w:val="20"/>
                <w:lang w:val="en-GB" w:eastAsia="en-US"/>
              </w:rPr>
              <w:t>P4-P5</w:t>
            </w:r>
          </w:p>
          <w:p w14:paraId="62F365B5" w14:textId="77777777" w:rsidR="00EB1316" w:rsidRPr="00C7021E" w:rsidRDefault="00EB1316" w:rsidP="006F161D">
            <w:pPr>
              <w:numPr>
                <w:ilvl w:val="0"/>
                <w:numId w:val="9"/>
              </w:numPr>
              <w:spacing w:after="0" w:line="240" w:lineRule="auto"/>
              <w:contextualSpacing/>
              <w:rPr>
                <w:rFonts w:eastAsia="Calibri" w:cs="Times New Roman"/>
                <w:sz w:val="20"/>
                <w:szCs w:val="20"/>
                <w:lang w:val="en-GB" w:eastAsia="en-US"/>
              </w:rPr>
            </w:pPr>
            <w:r w:rsidRPr="00C7021E">
              <w:rPr>
                <w:rFonts w:eastAsia="Calibri" w:cs="Times New Roman"/>
                <w:sz w:val="20"/>
                <w:szCs w:val="20"/>
                <w:lang w:val="en-GB" w:eastAsia="en-US"/>
              </w:rPr>
              <w:t>D1 and above</w:t>
            </w:r>
          </w:p>
        </w:tc>
        <w:tc>
          <w:tcPr>
            <w:tcW w:w="1710" w:type="dxa"/>
            <w:shd w:val="clear" w:color="auto" w:fill="auto"/>
            <w:vAlign w:val="bottom"/>
          </w:tcPr>
          <w:p w14:paraId="2E91BADB" w14:textId="77777777" w:rsidR="00EB1316" w:rsidRDefault="00EB1316" w:rsidP="006F161D">
            <w:pPr>
              <w:numPr>
                <w:ilvl w:val="0"/>
                <w:numId w:val="56"/>
              </w:numPr>
              <w:spacing w:after="0" w:line="240" w:lineRule="auto"/>
              <w:rPr>
                <w:sz w:val="20"/>
                <w:szCs w:val="20"/>
              </w:rPr>
            </w:pPr>
            <w:r>
              <w:rPr>
                <w:sz w:val="20"/>
                <w:szCs w:val="20"/>
              </w:rPr>
              <w:t>42%</w:t>
            </w:r>
          </w:p>
          <w:p w14:paraId="27BA1ED4" w14:textId="77777777" w:rsidR="00EB1316" w:rsidRDefault="00EB1316" w:rsidP="006F161D">
            <w:pPr>
              <w:numPr>
                <w:ilvl w:val="0"/>
                <w:numId w:val="56"/>
              </w:numPr>
              <w:spacing w:after="0" w:line="240" w:lineRule="auto"/>
              <w:rPr>
                <w:sz w:val="20"/>
                <w:szCs w:val="20"/>
              </w:rPr>
            </w:pPr>
            <w:r>
              <w:rPr>
                <w:sz w:val="20"/>
                <w:szCs w:val="20"/>
              </w:rPr>
              <w:t>38%</w:t>
            </w:r>
          </w:p>
          <w:p w14:paraId="2A3D787E" w14:textId="77777777" w:rsidR="00EB1316" w:rsidRPr="00867958" w:rsidRDefault="00EB1316" w:rsidP="006F161D">
            <w:pPr>
              <w:pStyle w:val="ListParagraph"/>
              <w:numPr>
                <w:ilvl w:val="0"/>
                <w:numId w:val="44"/>
              </w:numPr>
              <w:tabs>
                <w:tab w:val="left" w:pos="246"/>
                <w:tab w:val="left" w:pos="593"/>
              </w:tabs>
              <w:rPr>
                <w:sz w:val="20"/>
                <w:szCs w:val="20"/>
              </w:rPr>
            </w:pPr>
            <w:r>
              <w:rPr>
                <w:sz w:val="20"/>
                <w:szCs w:val="20"/>
              </w:rPr>
              <w:t>36%</w:t>
            </w:r>
          </w:p>
        </w:tc>
        <w:tc>
          <w:tcPr>
            <w:tcW w:w="1620" w:type="dxa"/>
            <w:shd w:val="clear" w:color="auto" w:fill="auto"/>
            <w:vAlign w:val="bottom"/>
          </w:tcPr>
          <w:p w14:paraId="13444C92" w14:textId="77777777" w:rsidR="00EB1316" w:rsidRDefault="00EB1316" w:rsidP="006F161D">
            <w:pPr>
              <w:numPr>
                <w:ilvl w:val="0"/>
                <w:numId w:val="45"/>
              </w:numPr>
              <w:spacing w:after="0" w:line="240" w:lineRule="auto"/>
              <w:rPr>
                <w:sz w:val="20"/>
                <w:szCs w:val="20"/>
              </w:rPr>
            </w:pPr>
            <w:r>
              <w:rPr>
                <w:sz w:val="20"/>
                <w:szCs w:val="20"/>
              </w:rPr>
              <w:t>45%</w:t>
            </w:r>
          </w:p>
          <w:p w14:paraId="3E3A4BDD" w14:textId="77777777" w:rsidR="00EB1316" w:rsidRDefault="00EB1316" w:rsidP="006F161D">
            <w:pPr>
              <w:numPr>
                <w:ilvl w:val="0"/>
                <w:numId w:val="45"/>
              </w:numPr>
              <w:spacing w:after="0" w:line="240" w:lineRule="auto"/>
              <w:rPr>
                <w:sz w:val="20"/>
                <w:szCs w:val="20"/>
              </w:rPr>
            </w:pPr>
            <w:r>
              <w:rPr>
                <w:sz w:val="20"/>
                <w:szCs w:val="20"/>
              </w:rPr>
              <w:t>40%</w:t>
            </w:r>
          </w:p>
          <w:p w14:paraId="5D7D3A6B" w14:textId="77777777" w:rsidR="00EB1316" w:rsidRPr="008A2BFB" w:rsidRDefault="00EB1316" w:rsidP="006F161D">
            <w:pPr>
              <w:numPr>
                <w:ilvl w:val="0"/>
                <w:numId w:val="45"/>
              </w:numPr>
              <w:spacing w:after="0" w:line="240" w:lineRule="auto"/>
              <w:rPr>
                <w:sz w:val="20"/>
                <w:szCs w:val="20"/>
              </w:rPr>
            </w:pPr>
            <w:r w:rsidRPr="008A2BFB">
              <w:rPr>
                <w:sz w:val="20"/>
                <w:szCs w:val="20"/>
              </w:rPr>
              <w:t>38%</w:t>
            </w:r>
          </w:p>
        </w:tc>
        <w:tc>
          <w:tcPr>
            <w:tcW w:w="1800" w:type="dxa"/>
            <w:shd w:val="clear" w:color="auto" w:fill="auto"/>
            <w:vAlign w:val="bottom"/>
          </w:tcPr>
          <w:p w14:paraId="2837129C" w14:textId="77777777" w:rsidR="00EB1316" w:rsidRPr="00536123" w:rsidRDefault="00EB1316" w:rsidP="006F161D">
            <w:pPr>
              <w:pStyle w:val="ListParagraph"/>
              <w:numPr>
                <w:ilvl w:val="0"/>
                <w:numId w:val="71"/>
              </w:numPr>
              <w:tabs>
                <w:tab w:val="left" w:pos="342"/>
                <w:tab w:val="left" w:pos="432"/>
              </w:tabs>
              <w:ind w:left="972" w:hanging="990"/>
              <w:rPr>
                <w:rFonts w:eastAsia="Calibri"/>
                <w:sz w:val="20"/>
                <w:szCs w:val="18"/>
                <w:lang w:val="en-GB" w:eastAsia="en-US"/>
              </w:rPr>
            </w:pPr>
            <w:r w:rsidRPr="00536123">
              <w:rPr>
                <w:rFonts w:eastAsia="Calibri"/>
                <w:sz w:val="20"/>
                <w:szCs w:val="18"/>
                <w:lang w:val="en-GB" w:eastAsia="en-US"/>
              </w:rPr>
              <w:t>42%</w:t>
            </w:r>
          </w:p>
          <w:p w14:paraId="63D1A830" w14:textId="77777777" w:rsidR="00EB1316" w:rsidRPr="00536123" w:rsidRDefault="00EB1316" w:rsidP="006F161D">
            <w:pPr>
              <w:pStyle w:val="ListParagraph"/>
              <w:numPr>
                <w:ilvl w:val="0"/>
                <w:numId w:val="71"/>
              </w:numPr>
              <w:tabs>
                <w:tab w:val="left" w:pos="342"/>
                <w:tab w:val="left" w:pos="432"/>
              </w:tabs>
              <w:ind w:left="972" w:hanging="990"/>
              <w:rPr>
                <w:rFonts w:eastAsia="Calibri"/>
                <w:sz w:val="20"/>
                <w:szCs w:val="18"/>
                <w:lang w:val="en-GB" w:eastAsia="en-US"/>
              </w:rPr>
            </w:pPr>
            <w:r w:rsidRPr="00536123">
              <w:rPr>
                <w:rFonts w:eastAsia="Calibri"/>
                <w:sz w:val="20"/>
                <w:szCs w:val="18"/>
                <w:lang w:val="en-GB" w:eastAsia="en-US"/>
              </w:rPr>
              <w:t>39%</w:t>
            </w:r>
          </w:p>
          <w:p w14:paraId="7D2E1825" w14:textId="77777777" w:rsidR="00EB1316" w:rsidRPr="00E53973" w:rsidRDefault="00EB1316" w:rsidP="006F161D">
            <w:pPr>
              <w:pStyle w:val="ListParagraph"/>
              <w:numPr>
                <w:ilvl w:val="0"/>
                <w:numId w:val="71"/>
              </w:numPr>
              <w:tabs>
                <w:tab w:val="left" w:pos="342"/>
                <w:tab w:val="left" w:pos="432"/>
              </w:tabs>
              <w:ind w:left="972" w:hanging="990"/>
              <w:rPr>
                <w:rFonts w:eastAsia="Calibri"/>
                <w:sz w:val="20"/>
                <w:szCs w:val="18"/>
                <w:lang w:val="en-GB" w:eastAsia="en-US"/>
              </w:rPr>
            </w:pPr>
            <w:r w:rsidRPr="00536123">
              <w:rPr>
                <w:rFonts w:eastAsia="Calibri"/>
                <w:sz w:val="20"/>
                <w:szCs w:val="18"/>
                <w:lang w:val="en-GB" w:eastAsia="en-US"/>
              </w:rPr>
              <w:t>36%</w:t>
            </w:r>
          </w:p>
        </w:tc>
        <w:tc>
          <w:tcPr>
            <w:tcW w:w="1800" w:type="dxa"/>
            <w:shd w:val="clear" w:color="auto" w:fill="auto"/>
          </w:tcPr>
          <w:p w14:paraId="6C61340E" w14:textId="77777777" w:rsidR="00EB1316" w:rsidRPr="00723FD1" w:rsidRDefault="00EB1316" w:rsidP="009C5083">
            <w:pPr>
              <w:tabs>
                <w:tab w:val="left" w:pos="342"/>
                <w:tab w:val="left" w:pos="432"/>
              </w:tabs>
              <w:rPr>
                <w:rFonts w:eastAsia="Calibri"/>
                <w:sz w:val="20"/>
                <w:szCs w:val="18"/>
                <w:lang w:val="en-GB" w:eastAsia="en-US"/>
              </w:rPr>
            </w:pPr>
          </w:p>
          <w:p w14:paraId="6816FD96" w14:textId="77777777" w:rsidR="00EB1316" w:rsidRPr="009D1909" w:rsidRDefault="00EB1316" w:rsidP="006F161D">
            <w:pPr>
              <w:pStyle w:val="ListParagraph"/>
              <w:numPr>
                <w:ilvl w:val="0"/>
                <w:numId w:val="75"/>
              </w:numPr>
              <w:tabs>
                <w:tab w:val="left" w:pos="342"/>
                <w:tab w:val="left" w:pos="432"/>
              </w:tabs>
              <w:ind w:hanging="1080"/>
              <w:rPr>
                <w:rFonts w:eastAsia="Calibri"/>
                <w:sz w:val="20"/>
                <w:szCs w:val="18"/>
                <w:lang w:val="en-GB" w:eastAsia="en-US"/>
              </w:rPr>
            </w:pPr>
            <w:r w:rsidRPr="009D1909">
              <w:rPr>
                <w:rFonts w:eastAsia="Calibri"/>
                <w:sz w:val="20"/>
                <w:szCs w:val="18"/>
                <w:lang w:val="en-GB" w:eastAsia="en-US"/>
              </w:rPr>
              <w:t>50%</w:t>
            </w:r>
          </w:p>
          <w:p w14:paraId="550B511C" w14:textId="77777777" w:rsidR="00EB1316" w:rsidRPr="009D1909" w:rsidRDefault="00EB1316" w:rsidP="006F161D">
            <w:pPr>
              <w:pStyle w:val="ListParagraph"/>
              <w:numPr>
                <w:ilvl w:val="0"/>
                <w:numId w:val="75"/>
              </w:numPr>
              <w:tabs>
                <w:tab w:val="left" w:pos="342"/>
                <w:tab w:val="left" w:pos="432"/>
              </w:tabs>
              <w:ind w:hanging="1080"/>
              <w:rPr>
                <w:rFonts w:eastAsia="Calibri"/>
                <w:sz w:val="20"/>
                <w:szCs w:val="18"/>
                <w:lang w:val="en-GB" w:eastAsia="en-US"/>
              </w:rPr>
            </w:pPr>
            <w:r w:rsidRPr="009D1909">
              <w:rPr>
                <w:rFonts w:eastAsia="Calibri"/>
                <w:sz w:val="20"/>
                <w:szCs w:val="18"/>
                <w:lang w:val="en-GB" w:eastAsia="en-US"/>
              </w:rPr>
              <w:t>50%</w:t>
            </w:r>
          </w:p>
          <w:p w14:paraId="2E339569" w14:textId="77777777" w:rsidR="00EB1316" w:rsidRPr="00536123" w:rsidRDefault="00EB1316" w:rsidP="006F161D">
            <w:pPr>
              <w:pStyle w:val="ListParagraph"/>
              <w:numPr>
                <w:ilvl w:val="0"/>
                <w:numId w:val="75"/>
              </w:numPr>
              <w:tabs>
                <w:tab w:val="left" w:pos="342"/>
                <w:tab w:val="left" w:pos="432"/>
              </w:tabs>
              <w:ind w:hanging="1080"/>
              <w:rPr>
                <w:rFonts w:eastAsia="Calibri"/>
                <w:sz w:val="20"/>
                <w:szCs w:val="18"/>
                <w:lang w:val="en-GB" w:eastAsia="en-US"/>
              </w:rPr>
            </w:pPr>
            <w:r w:rsidRPr="009D1909">
              <w:rPr>
                <w:rFonts w:eastAsia="Calibri"/>
                <w:sz w:val="20"/>
                <w:szCs w:val="18"/>
                <w:lang w:val="en-GB" w:eastAsia="en-US"/>
              </w:rPr>
              <w:t>50%</w:t>
            </w:r>
          </w:p>
        </w:tc>
      </w:tr>
      <w:tr w:rsidR="00EB1316" w:rsidRPr="00C7021E" w14:paraId="21B0F570" w14:textId="77777777" w:rsidTr="009C5083">
        <w:trPr>
          <w:trHeight w:val="64"/>
          <w:jc w:val="center"/>
        </w:trPr>
        <w:tc>
          <w:tcPr>
            <w:tcW w:w="1885" w:type="dxa"/>
            <w:vMerge/>
            <w:shd w:val="clear" w:color="auto" w:fill="E5DFEC"/>
            <w:vAlign w:val="center"/>
          </w:tcPr>
          <w:p w14:paraId="37118BCB"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shd w:val="clear" w:color="auto" w:fill="auto"/>
          </w:tcPr>
          <w:p w14:paraId="372CAD82" w14:textId="77777777" w:rsidR="00EB1316" w:rsidRPr="00C7021E" w:rsidDel="00A77E0C"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3</w:t>
            </w:r>
            <w:r>
              <w:rPr>
                <w:rFonts w:eastAsia="Calibri" w:cs="Times New Roman"/>
                <w:b/>
                <w:sz w:val="20"/>
                <w:szCs w:val="20"/>
                <w:lang w:val="en-GB" w:eastAsia="en-US"/>
              </w:rPr>
              <w:t>3</w:t>
            </w:r>
            <w:r w:rsidRPr="00C7021E">
              <w:rPr>
                <w:rFonts w:eastAsia="Calibri" w:cs="Times New Roman"/>
                <w:b/>
                <w:sz w:val="20"/>
                <w:szCs w:val="20"/>
                <w:lang w:val="en-GB" w:eastAsia="en-US"/>
              </w:rPr>
              <w:t>.</w:t>
            </w:r>
          </w:p>
        </w:tc>
        <w:tc>
          <w:tcPr>
            <w:tcW w:w="4950" w:type="dxa"/>
            <w:shd w:val="clear" w:color="auto" w:fill="auto"/>
          </w:tcPr>
          <w:p w14:paraId="480927FF" w14:textId="77777777" w:rsidR="00EB1316" w:rsidRPr="00C7021E" w:rsidRDefault="00EB1316" w:rsidP="009C5083">
            <w:pPr>
              <w:spacing w:after="0" w:line="240" w:lineRule="auto"/>
              <w:contextualSpacing/>
              <w:rPr>
                <w:rFonts w:eastAsia="Calibri" w:cs="Times New Roman"/>
                <w:sz w:val="20"/>
                <w:szCs w:val="20"/>
                <w:lang w:val="en-GB" w:eastAsia="en-US"/>
              </w:rPr>
            </w:pPr>
            <w:r w:rsidRPr="00C7021E">
              <w:rPr>
                <w:rFonts w:eastAsia="Calibri" w:cs="Times New Roman"/>
                <w:sz w:val="20"/>
                <w:szCs w:val="20"/>
                <w:lang w:val="en-GB" w:eastAsia="en-US"/>
              </w:rPr>
              <w:t>Percentage of annual performance management and development (PMD) processes completed on time.</w:t>
            </w:r>
          </w:p>
        </w:tc>
        <w:tc>
          <w:tcPr>
            <w:tcW w:w="1710" w:type="dxa"/>
            <w:shd w:val="clear" w:color="auto" w:fill="auto"/>
            <w:vAlign w:val="center"/>
          </w:tcPr>
          <w:p w14:paraId="22503E53" w14:textId="77777777" w:rsidR="00EB1316" w:rsidRPr="00633219" w:rsidRDefault="00EB1316" w:rsidP="009C5083">
            <w:pPr>
              <w:spacing w:after="0" w:line="240" w:lineRule="auto"/>
              <w:jc w:val="center"/>
              <w:rPr>
                <w:rFonts w:ascii="Calibri" w:eastAsia="Calibri" w:hAnsi="Calibri"/>
                <w:sz w:val="20"/>
              </w:rPr>
            </w:pPr>
            <w:r>
              <w:rPr>
                <w:sz w:val="20"/>
                <w:szCs w:val="20"/>
              </w:rPr>
              <w:t>64.7%</w:t>
            </w:r>
          </w:p>
        </w:tc>
        <w:tc>
          <w:tcPr>
            <w:tcW w:w="1620" w:type="dxa"/>
            <w:shd w:val="clear" w:color="auto" w:fill="auto"/>
            <w:vAlign w:val="center"/>
          </w:tcPr>
          <w:p w14:paraId="7B73C413" w14:textId="77777777" w:rsidR="00EB1316" w:rsidRPr="00633219" w:rsidRDefault="00EB1316" w:rsidP="009C5083">
            <w:pPr>
              <w:spacing w:after="0" w:line="240" w:lineRule="auto"/>
              <w:jc w:val="center"/>
              <w:rPr>
                <w:rFonts w:ascii="Calibri" w:eastAsia="Calibri" w:hAnsi="Calibri"/>
                <w:sz w:val="20"/>
                <w:highlight w:val="yellow"/>
              </w:rPr>
            </w:pPr>
            <w:r>
              <w:rPr>
                <w:sz w:val="20"/>
                <w:szCs w:val="20"/>
              </w:rPr>
              <w:t>75%</w:t>
            </w:r>
          </w:p>
        </w:tc>
        <w:tc>
          <w:tcPr>
            <w:tcW w:w="1800" w:type="dxa"/>
            <w:shd w:val="clear" w:color="auto" w:fill="auto"/>
            <w:vAlign w:val="center"/>
          </w:tcPr>
          <w:p w14:paraId="23360983" w14:textId="77777777" w:rsidR="00EB1316" w:rsidRPr="00297F20" w:rsidRDefault="00EB1316" w:rsidP="009C5083">
            <w:pPr>
              <w:spacing w:after="0" w:line="240" w:lineRule="auto"/>
              <w:jc w:val="center"/>
              <w:rPr>
                <w:rFonts w:eastAsia="Calibri" w:cs="Times New Roman"/>
                <w:sz w:val="20"/>
                <w:szCs w:val="20"/>
                <w:lang w:val="en-GB" w:eastAsia="en-US"/>
              </w:rPr>
            </w:pPr>
            <w:r w:rsidRPr="00297F20">
              <w:rPr>
                <w:rFonts w:eastAsia="Calibri" w:cs="Times New Roman"/>
                <w:sz w:val="20"/>
                <w:szCs w:val="20"/>
                <w:lang w:val="en-GB" w:eastAsia="en-US"/>
              </w:rPr>
              <w:t xml:space="preserve">38.66% </w:t>
            </w:r>
          </w:p>
          <w:p w14:paraId="6B179CC3" w14:textId="77777777" w:rsidR="00EB1316" w:rsidRPr="00633219" w:rsidRDefault="00EB1316" w:rsidP="009C5083">
            <w:pPr>
              <w:spacing w:after="0" w:line="240" w:lineRule="auto"/>
              <w:jc w:val="center"/>
              <w:rPr>
                <w:rFonts w:eastAsia="Calibri" w:cs="Times New Roman"/>
                <w:sz w:val="20"/>
                <w:szCs w:val="20"/>
                <w:lang w:val="en-GB" w:eastAsia="en-US"/>
              </w:rPr>
            </w:pPr>
            <w:r w:rsidRPr="00297F20">
              <w:rPr>
                <w:rFonts w:eastAsia="Calibri" w:cs="Times New Roman"/>
                <w:sz w:val="20"/>
                <w:szCs w:val="20"/>
                <w:lang w:val="en-GB" w:eastAsia="en-US"/>
              </w:rPr>
              <w:t xml:space="preserve">(45.31% - </w:t>
            </w:r>
            <w:r>
              <w:rPr>
                <w:rFonts w:eastAsia="Calibri" w:cs="Times New Roman"/>
                <w:sz w:val="20"/>
                <w:szCs w:val="20"/>
                <w:lang w:val="en-GB" w:eastAsia="en-US"/>
              </w:rPr>
              <w:t>on A</w:t>
            </w:r>
            <w:r w:rsidRPr="00297F20">
              <w:rPr>
                <w:rFonts w:eastAsia="Calibri" w:cs="Times New Roman"/>
                <w:sz w:val="20"/>
                <w:szCs w:val="20"/>
                <w:lang w:val="en-GB" w:eastAsia="en-US"/>
              </w:rPr>
              <w:t>pril 1</w:t>
            </w:r>
            <w:r>
              <w:rPr>
                <w:rFonts w:eastAsia="Calibri" w:cs="Times New Roman"/>
                <w:sz w:val="20"/>
                <w:szCs w:val="20"/>
                <w:lang w:val="en-GB" w:eastAsia="en-US"/>
              </w:rPr>
              <w:t xml:space="preserve"> 2015</w:t>
            </w:r>
            <w:r w:rsidRPr="00297F20">
              <w:rPr>
                <w:rFonts w:eastAsia="Calibri" w:cs="Times New Roman"/>
                <w:sz w:val="20"/>
                <w:szCs w:val="20"/>
                <w:lang w:val="en-GB" w:eastAsia="en-US"/>
              </w:rPr>
              <w:t>)</w:t>
            </w:r>
          </w:p>
        </w:tc>
        <w:tc>
          <w:tcPr>
            <w:tcW w:w="1800" w:type="dxa"/>
            <w:shd w:val="clear" w:color="auto" w:fill="auto"/>
            <w:vAlign w:val="center"/>
          </w:tcPr>
          <w:p w14:paraId="03E5CB32" w14:textId="77777777" w:rsidR="00EB1316" w:rsidRPr="00297F20" w:rsidRDefault="00EB1316" w:rsidP="009C5083">
            <w:pPr>
              <w:spacing w:after="0" w:line="240" w:lineRule="auto"/>
              <w:jc w:val="center"/>
              <w:rPr>
                <w:rFonts w:eastAsia="Calibri" w:cs="Times New Roman"/>
                <w:sz w:val="20"/>
                <w:szCs w:val="20"/>
                <w:lang w:val="en-GB" w:eastAsia="en-US"/>
              </w:rPr>
            </w:pPr>
            <w:r w:rsidRPr="00723FD1">
              <w:rPr>
                <w:rFonts w:eastAsia="Calibri" w:cs="Times New Roman"/>
                <w:sz w:val="20"/>
                <w:szCs w:val="20"/>
                <w:lang w:eastAsia="en-US"/>
              </w:rPr>
              <w:t>85%</w:t>
            </w:r>
          </w:p>
        </w:tc>
      </w:tr>
    </w:tbl>
    <w:p w14:paraId="1CC48CFA" w14:textId="77777777" w:rsidR="00EB1316" w:rsidRDefault="00EB1316" w:rsidP="00EB1316">
      <w:pPr>
        <w:spacing w:after="0" w:line="240" w:lineRule="auto"/>
        <w:rPr>
          <w:rFonts w:eastAsia="Calibri" w:cs="Times New Roman"/>
          <w:sz w:val="16"/>
          <w:szCs w:val="16"/>
          <w:lang w:eastAsia="en-US"/>
        </w:rPr>
      </w:pPr>
    </w:p>
    <w:p w14:paraId="3B610AA4" w14:textId="77777777" w:rsidR="00EB1316" w:rsidRDefault="00EB1316" w:rsidP="00EB1316">
      <w:pPr>
        <w:spacing w:after="0" w:line="240" w:lineRule="auto"/>
        <w:rPr>
          <w:rFonts w:eastAsia="Calibri" w:cs="Times New Roman"/>
          <w:sz w:val="16"/>
          <w:szCs w:val="16"/>
          <w:lang w:eastAsia="en-US"/>
        </w:rPr>
      </w:pPr>
    </w:p>
    <w:p w14:paraId="14E21BC9" w14:textId="77777777" w:rsidR="00EB1316" w:rsidRDefault="00EB1316" w:rsidP="00EB1316">
      <w:pPr>
        <w:spacing w:after="0" w:line="240" w:lineRule="auto"/>
        <w:rPr>
          <w:rFonts w:eastAsia="Calibri" w:cs="Times New Roman"/>
          <w:sz w:val="16"/>
          <w:szCs w:val="16"/>
          <w:lang w:eastAsia="en-US"/>
        </w:rPr>
      </w:pPr>
    </w:p>
    <w:p w14:paraId="41509834" w14:textId="77777777" w:rsidR="00EB1316" w:rsidRDefault="00EB1316" w:rsidP="00EB1316">
      <w:pPr>
        <w:spacing w:after="0" w:line="240" w:lineRule="auto"/>
        <w:rPr>
          <w:rFonts w:eastAsia="Calibri" w:cs="Times New Roman"/>
          <w:sz w:val="16"/>
          <w:szCs w:val="16"/>
          <w:lang w:eastAsia="en-US"/>
        </w:rPr>
      </w:pPr>
    </w:p>
    <w:p w14:paraId="4BEBE6D8" w14:textId="77777777" w:rsidR="00EB1316" w:rsidRDefault="00EB1316" w:rsidP="00EB1316">
      <w:pPr>
        <w:spacing w:after="0" w:line="240" w:lineRule="auto"/>
        <w:rPr>
          <w:rFonts w:eastAsia="Calibri" w:cs="Times New Roman"/>
          <w:sz w:val="16"/>
          <w:szCs w:val="16"/>
          <w:lang w:eastAsia="en-US"/>
        </w:rPr>
      </w:pPr>
    </w:p>
    <w:p w14:paraId="3403D226" w14:textId="77777777" w:rsidR="00EB1316" w:rsidRDefault="00EB1316" w:rsidP="00EB1316">
      <w:pPr>
        <w:spacing w:after="0" w:line="240" w:lineRule="auto"/>
        <w:rPr>
          <w:rFonts w:eastAsia="Calibri" w:cs="Times New Roman"/>
          <w:sz w:val="16"/>
          <w:szCs w:val="16"/>
          <w:lang w:eastAsia="en-US"/>
        </w:rPr>
      </w:pPr>
    </w:p>
    <w:p w14:paraId="11A1C1F1" w14:textId="77777777" w:rsidR="00EB1316" w:rsidRPr="00C7021E" w:rsidRDefault="00EB1316" w:rsidP="00EB1316">
      <w:pPr>
        <w:spacing w:after="0" w:line="240" w:lineRule="auto"/>
        <w:rPr>
          <w:rFonts w:eastAsia="Calibri" w:cs="Times New Roman"/>
          <w:sz w:val="16"/>
          <w:szCs w:val="16"/>
          <w:lang w:eastAsia="en-US"/>
        </w:rPr>
      </w:pPr>
    </w:p>
    <w:tbl>
      <w:tblPr>
        <w:tblW w:w="14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540"/>
        <w:gridCol w:w="4950"/>
        <w:gridCol w:w="1710"/>
        <w:gridCol w:w="1620"/>
        <w:gridCol w:w="1800"/>
        <w:gridCol w:w="1800"/>
      </w:tblGrid>
      <w:tr w:rsidR="00EB1316" w:rsidRPr="00C7021E" w14:paraId="7D64532D" w14:textId="77777777" w:rsidTr="009C5083">
        <w:trPr>
          <w:trHeight w:val="386"/>
          <w:tblHeader/>
          <w:jc w:val="center"/>
        </w:trPr>
        <w:tc>
          <w:tcPr>
            <w:tcW w:w="14305" w:type="dxa"/>
            <w:gridSpan w:val="7"/>
            <w:shd w:val="clear" w:color="auto" w:fill="F2F2F2"/>
            <w:vAlign w:val="center"/>
          </w:tcPr>
          <w:p w14:paraId="0599EEA1" w14:textId="77777777" w:rsidR="00EB1316" w:rsidRPr="00C7021E" w:rsidRDefault="00EB1316" w:rsidP="009C5083">
            <w:pPr>
              <w:spacing w:after="0" w:line="240" w:lineRule="auto"/>
              <w:rPr>
                <w:rFonts w:eastAsia="Calibri" w:cs="Times New Roman"/>
                <w:b/>
                <w:sz w:val="24"/>
                <w:szCs w:val="24"/>
                <w:lang w:val="en-GB" w:eastAsia="en-US"/>
              </w:rPr>
            </w:pPr>
            <w:r w:rsidRPr="00C7021E">
              <w:rPr>
                <w:rFonts w:eastAsia="Calibri" w:cs="Times New Roman"/>
                <w:b/>
                <w:sz w:val="24"/>
                <w:szCs w:val="24"/>
                <w:lang w:val="en-GB" w:eastAsia="en-US"/>
              </w:rPr>
              <w:t>Improved management of financial and human resources in pursuit of results</w:t>
            </w:r>
          </w:p>
        </w:tc>
      </w:tr>
      <w:tr w:rsidR="00EB1316" w:rsidRPr="00C7021E" w14:paraId="524BDB6F" w14:textId="77777777" w:rsidTr="009C5083">
        <w:trPr>
          <w:trHeight w:val="341"/>
          <w:tblHeader/>
          <w:jc w:val="center"/>
        </w:trPr>
        <w:tc>
          <w:tcPr>
            <w:tcW w:w="14305" w:type="dxa"/>
            <w:gridSpan w:val="7"/>
            <w:shd w:val="clear" w:color="auto" w:fill="00B050"/>
            <w:vAlign w:val="center"/>
          </w:tcPr>
          <w:p w14:paraId="0CD7EA80" w14:textId="77777777" w:rsidR="00EB1316" w:rsidRPr="00C7021E" w:rsidRDefault="00EB1316" w:rsidP="009C5083">
            <w:pPr>
              <w:spacing w:after="0" w:line="240" w:lineRule="auto"/>
              <w:rPr>
                <w:rFonts w:eastAsia="Times New Roman" w:cs="Times New Roman"/>
                <w:b/>
                <w:color w:val="FFFFFF"/>
                <w:sz w:val="20"/>
                <w:szCs w:val="20"/>
                <w:shd w:val="clear" w:color="auto" w:fill="00B050"/>
                <w:lang w:val="en-GB" w:eastAsia="en-US"/>
              </w:rPr>
            </w:pPr>
            <w:r w:rsidRPr="00C7021E">
              <w:rPr>
                <w:rFonts w:eastAsia="Times New Roman" w:cs="Times New Roman"/>
                <w:b/>
                <w:color w:val="FFFFFF"/>
                <w:sz w:val="20"/>
                <w:szCs w:val="20"/>
                <w:shd w:val="clear" w:color="auto" w:fill="00B050"/>
                <w:lang w:val="en-GB" w:eastAsia="en-US"/>
              </w:rPr>
              <w:t>[cost classification: management functional clusters]</w:t>
            </w:r>
            <w:r w:rsidRPr="00C7021E">
              <w:rPr>
                <w:rFonts w:eastAsia="Times New Roman" w:cs="Times New Roman"/>
                <w:color w:val="FFFFFF"/>
                <w:sz w:val="20"/>
                <w:szCs w:val="20"/>
                <w:shd w:val="clear" w:color="auto" w:fill="00B050"/>
                <w:lang w:val="en-GB" w:eastAsia="en-US"/>
              </w:rPr>
              <w:t xml:space="preserve"> </w:t>
            </w:r>
            <w:r w:rsidRPr="00C7021E">
              <w:rPr>
                <w:rFonts w:eastAsia="Calibri" w:cs="Times New Roman"/>
                <w:color w:val="FFFFFF"/>
                <w:sz w:val="20"/>
                <w:szCs w:val="20"/>
                <w:shd w:val="clear" w:color="auto" w:fill="00B050"/>
                <w:lang w:val="en-GB" w:eastAsia="en-US"/>
              </w:rPr>
              <w:t xml:space="preserve">7. </w:t>
            </w:r>
            <w:r w:rsidRPr="00C7021E">
              <w:rPr>
                <w:rFonts w:eastAsia="Calibri" w:cs="Times New Roman"/>
                <w:b/>
                <w:color w:val="FFFFFF"/>
                <w:sz w:val="20"/>
                <w:szCs w:val="20"/>
                <w:lang w:val="en-GB" w:eastAsia="en-US"/>
              </w:rPr>
              <w:t xml:space="preserve">CORPORATE EXTERNAL RELATIONS AND PARTNERSHIPS, COMMUNICATIONS AND RESOURCE MOBILIZATION </w:t>
            </w:r>
          </w:p>
        </w:tc>
      </w:tr>
      <w:tr w:rsidR="00EB1316" w:rsidRPr="00C7021E" w14:paraId="66AE9F91" w14:textId="77777777" w:rsidTr="009C5083">
        <w:trPr>
          <w:trHeight w:val="350"/>
          <w:tblHeader/>
          <w:jc w:val="center"/>
        </w:trPr>
        <w:tc>
          <w:tcPr>
            <w:tcW w:w="1885" w:type="dxa"/>
            <w:shd w:val="clear" w:color="auto" w:fill="DBE5F1" w:themeFill="accent1" w:themeFillTint="33"/>
            <w:vAlign w:val="center"/>
          </w:tcPr>
          <w:p w14:paraId="432E0E3C"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Results statement:</w:t>
            </w:r>
          </w:p>
        </w:tc>
        <w:tc>
          <w:tcPr>
            <w:tcW w:w="540" w:type="dxa"/>
            <w:shd w:val="clear" w:color="auto" w:fill="DBE5F1" w:themeFill="accent1" w:themeFillTint="33"/>
            <w:vAlign w:val="center"/>
          </w:tcPr>
          <w:p w14:paraId="58E4F6A0"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No.</w:t>
            </w:r>
          </w:p>
        </w:tc>
        <w:tc>
          <w:tcPr>
            <w:tcW w:w="4950" w:type="dxa"/>
            <w:shd w:val="clear" w:color="auto" w:fill="DBE5F1" w:themeFill="accent1" w:themeFillTint="33"/>
            <w:vAlign w:val="center"/>
          </w:tcPr>
          <w:p w14:paraId="62D6485E"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Indicator</w:t>
            </w:r>
          </w:p>
        </w:tc>
        <w:tc>
          <w:tcPr>
            <w:tcW w:w="1710" w:type="dxa"/>
            <w:shd w:val="clear" w:color="auto" w:fill="DBE5F1" w:themeFill="accent1" w:themeFillTint="33"/>
            <w:vAlign w:val="center"/>
          </w:tcPr>
          <w:p w14:paraId="51A31BBC" w14:textId="77777777" w:rsidR="00EB1316" w:rsidRPr="00C7021E" w:rsidRDefault="00EB1316" w:rsidP="009C5083">
            <w:pPr>
              <w:spacing w:after="0" w:line="240" w:lineRule="auto"/>
              <w:jc w:val="center"/>
              <w:rPr>
                <w:rFonts w:eastAsia="Calibri" w:cs="Times New Roman"/>
                <w:b/>
                <w:sz w:val="20"/>
                <w:szCs w:val="20"/>
                <w:lang w:val="en-GB" w:eastAsia="en-US"/>
              </w:rPr>
            </w:pPr>
            <w:r w:rsidRPr="00C7021E">
              <w:rPr>
                <w:rFonts w:eastAsia="Calibri" w:cs="Times New Roman"/>
                <w:b/>
                <w:sz w:val="20"/>
                <w:szCs w:val="20"/>
                <w:lang w:val="en-GB" w:eastAsia="en-US"/>
              </w:rPr>
              <w:t>Baseline</w:t>
            </w:r>
            <w:r>
              <w:rPr>
                <w:rFonts w:eastAsia="Calibri" w:cs="Times New Roman"/>
                <w:b/>
                <w:sz w:val="20"/>
                <w:szCs w:val="20"/>
                <w:lang w:val="en-GB" w:eastAsia="en-US"/>
              </w:rPr>
              <w:t xml:space="preserve"> </w:t>
            </w:r>
            <w:r w:rsidRPr="003D185C">
              <w:rPr>
                <w:rFonts w:eastAsia="Calibri" w:cs="Times New Roman"/>
                <w:sz w:val="20"/>
                <w:szCs w:val="20"/>
                <w:lang w:val="en-GB" w:eastAsia="en-US"/>
              </w:rPr>
              <w:t>2013</w:t>
            </w:r>
          </w:p>
        </w:tc>
        <w:tc>
          <w:tcPr>
            <w:tcW w:w="1620" w:type="dxa"/>
            <w:shd w:val="clear" w:color="auto" w:fill="DBE5F1" w:themeFill="accent1" w:themeFillTint="33"/>
            <w:vAlign w:val="center"/>
          </w:tcPr>
          <w:p w14:paraId="796BD01D" w14:textId="77777777" w:rsidR="00EB1316" w:rsidRPr="00C7021E" w:rsidRDefault="00EB1316" w:rsidP="009C5083">
            <w:pPr>
              <w:spacing w:after="0" w:line="240" w:lineRule="auto"/>
              <w:jc w:val="center"/>
              <w:rPr>
                <w:rFonts w:eastAsia="Calibri" w:cs="Times New Roman"/>
                <w:b/>
                <w:sz w:val="20"/>
                <w:szCs w:val="20"/>
                <w:lang w:val="en-GB" w:eastAsia="en-US"/>
              </w:rPr>
            </w:pPr>
            <w:r>
              <w:rPr>
                <w:rFonts w:eastAsia="Calibri" w:cs="Times New Roman"/>
                <w:b/>
                <w:sz w:val="20"/>
                <w:szCs w:val="20"/>
                <w:lang w:val="en-GB" w:eastAsia="en-US"/>
              </w:rPr>
              <w:t xml:space="preserve">Milestones </w:t>
            </w:r>
            <w:r w:rsidRPr="003D185C">
              <w:rPr>
                <w:rFonts w:eastAsia="Calibri" w:cs="Times New Roman"/>
                <w:sz w:val="20"/>
                <w:szCs w:val="20"/>
                <w:lang w:val="en-GB" w:eastAsia="en-US"/>
              </w:rPr>
              <w:t>2014</w:t>
            </w:r>
          </w:p>
        </w:tc>
        <w:tc>
          <w:tcPr>
            <w:tcW w:w="1800" w:type="dxa"/>
            <w:shd w:val="clear" w:color="auto" w:fill="DBE5F1" w:themeFill="accent1" w:themeFillTint="33"/>
            <w:vAlign w:val="center"/>
          </w:tcPr>
          <w:p w14:paraId="381BDA0D" w14:textId="77777777" w:rsidR="00EB1316" w:rsidRPr="00C7021E" w:rsidRDefault="00EB1316" w:rsidP="009C5083">
            <w:pPr>
              <w:spacing w:after="0" w:line="240" w:lineRule="auto"/>
              <w:jc w:val="center"/>
              <w:rPr>
                <w:rFonts w:eastAsia="Calibri" w:cs="Times New Roman"/>
                <w:b/>
                <w:sz w:val="20"/>
                <w:szCs w:val="20"/>
                <w:lang w:val="en-GB" w:eastAsia="en-US"/>
              </w:rPr>
            </w:pPr>
            <w:r>
              <w:rPr>
                <w:rFonts w:eastAsia="Calibri" w:cs="Times New Roman"/>
                <w:b/>
                <w:sz w:val="20"/>
                <w:szCs w:val="20"/>
                <w:lang w:val="en-GB" w:eastAsia="en-US"/>
              </w:rPr>
              <w:t>Actual 2014</w:t>
            </w:r>
            <w:r>
              <w:rPr>
                <w:rFonts w:eastAsia="Calibri" w:cs="Times New Roman"/>
                <w:sz w:val="20"/>
                <w:szCs w:val="20"/>
                <w:lang w:val="en-GB" w:eastAsia="en-US"/>
              </w:rPr>
              <w:t xml:space="preserve"> </w:t>
            </w:r>
          </w:p>
        </w:tc>
        <w:tc>
          <w:tcPr>
            <w:tcW w:w="1800" w:type="dxa"/>
            <w:shd w:val="clear" w:color="auto" w:fill="DBE5F1" w:themeFill="accent1" w:themeFillTint="33"/>
            <w:vAlign w:val="center"/>
          </w:tcPr>
          <w:p w14:paraId="1F8905C2" w14:textId="77777777" w:rsidR="00EB1316" w:rsidRDefault="00EB1316" w:rsidP="009C5083">
            <w:pPr>
              <w:spacing w:after="0" w:line="240" w:lineRule="auto"/>
              <w:jc w:val="center"/>
              <w:rPr>
                <w:rFonts w:eastAsia="Calibri" w:cs="Times New Roman"/>
                <w:b/>
                <w:sz w:val="20"/>
                <w:szCs w:val="20"/>
                <w:lang w:val="en-GB" w:eastAsia="en-US"/>
              </w:rPr>
            </w:pPr>
            <w:r>
              <w:rPr>
                <w:rFonts w:eastAsia="Calibri" w:cs="Times New Roman"/>
                <w:b/>
                <w:sz w:val="20"/>
                <w:szCs w:val="20"/>
                <w:lang w:val="en-GB" w:eastAsia="en-US"/>
              </w:rPr>
              <w:t>Target 2017</w:t>
            </w:r>
          </w:p>
        </w:tc>
      </w:tr>
      <w:tr w:rsidR="00EB1316" w:rsidRPr="00C7021E" w14:paraId="49C4CEA1" w14:textId="77777777" w:rsidTr="009C5083">
        <w:trPr>
          <w:jc w:val="center"/>
        </w:trPr>
        <w:tc>
          <w:tcPr>
            <w:tcW w:w="1885" w:type="dxa"/>
            <w:vMerge w:val="restart"/>
            <w:shd w:val="clear" w:color="auto" w:fill="FFFFFF"/>
            <w:vAlign w:val="center"/>
          </w:tcPr>
          <w:p w14:paraId="542C7170" w14:textId="77777777" w:rsidR="00EB1316" w:rsidRPr="00C7021E" w:rsidRDefault="00EB1316" w:rsidP="009C5083">
            <w:pPr>
              <w:spacing w:after="0" w:line="240" w:lineRule="auto"/>
              <w:rPr>
                <w:rFonts w:eastAsia="Calibri" w:cs="Times New Roman"/>
                <w:sz w:val="20"/>
                <w:szCs w:val="20"/>
                <w:lang w:val="en-GB" w:eastAsia="en-US"/>
              </w:rPr>
            </w:pPr>
            <w:r w:rsidRPr="00245A7E">
              <w:rPr>
                <w:rFonts w:eastAsia="Calibri" w:cs="Times New Roman"/>
                <w:b/>
                <w:sz w:val="20"/>
                <w:szCs w:val="20"/>
                <w:lang w:val="en-GB" w:eastAsia="en-US"/>
              </w:rPr>
              <w:t>7.1</w:t>
            </w:r>
            <w:r w:rsidRPr="00C7021E">
              <w:rPr>
                <w:rFonts w:eastAsia="Calibri" w:cs="Times New Roman"/>
                <w:sz w:val="20"/>
                <w:szCs w:val="20"/>
                <w:lang w:val="en-GB" w:eastAsia="en-US"/>
              </w:rPr>
              <w:t xml:space="preserve"> Effective support for the Executive Board </w:t>
            </w:r>
            <w:r w:rsidRPr="00C7021E">
              <w:rPr>
                <w:rFonts w:eastAsia="Calibri" w:cs="Times New Roman"/>
                <w:color w:val="000000"/>
                <w:sz w:val="20"/>
                <w:szCs w:val="20"/>
                <w:lang w:val="en-GB" w:eastAsia="en-US"/>
              </w:rPr>
              <w:t>provided</w:t>
            </w:r>
            <w:r w:rsidRPr="00C7021E">
              <w:rPr>
                <w:rFonts w:eastAsia="Calibri" w:cs="Times New Roman"/>
                <w:sz w:val="20"/>
                <w:szCs w:val="20"/>
                <w:lang w:val="en-GB" w:eastAsia="en-US"/>
              </w:rPr>
              <w:t xml:space="preserve"> to enable oversight</w:t>
            </w:r>
          </w:p>
        </w:tc>
        <w:tc>
          <w:tcPr>
            <w:tcW w:w="540" w:type="dxa"/>
            <w:vMerge w:val="restart"/>
            <w:shd w:val="clear" w:color="auto" w:fill="auto"/>
            <w:vAlign w:val="center"/>
          </w:tcPr>
          <w:p w14:paraId="4808C7E1"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3</w:t>
            </w:r>
            <w:r>
              <w:rPr>
                <w:rFonts w:eastAsia="Calibri" w:cs="Times New Roman"/>
                <w:b/>
                <w:sz w:val="20"/>
                <w:szCs w:val="20"/>
                <w:lang w:val="en-GB" w:eastAsia="en-US"/>
              </w:rPr>
              <w:t>4</w:t>
            </w:r>
            <w:r w:rsidRPr="00C7021E">
              <w:rPr>
                <w:rFonts w:eastAsia="Calibri" w:cs="Times New Roman"/>
                <w:b/>
                <w:sz w:val="20"/>
                <w:szCs w:val="20"/>
                <w:lang w:val="en-GB" w:eastAsia="en-US"/>
              </w:rPr>
              <w:t>.</w:t>
            </w:r>
          </w:p>
        </w:tc>
        <w:tc>
          <w:tcPr>
            <w:tcW w:w="4950" w:type="dxa"/>
            <w:shd w:val="clear" w:color="auto" w:fill="auto"/>
            <w:vAlign w:val="center"/>
          </w:tcPr>
          <w:p w14:paraId="13E8D5B0" w14:textId="77777777" w:rsidR="00EB1316" w:rsidRPr="00C7021E" w:rsidRDefault="00EB1316" w:rsidP="009C5083">
            <w:pPr>
              <w:spacing w:after="0" w:line="240" w:lineRule="auto"/>
              <w:rPr>
                <w:rFonts w:eastAsia="Calibri" w:cs="Times New Roman"/>
                <w:color w:val="000000"/>
                <w:sz w:val="20"/>
                <w:szCs w:val="20"/>
                <w:lang w:val="en-GB" w:eastAsia="en-US"/>
              </w:rPr>
            </w:pPr>
            <w:r w:rsidRPr="00C7021E">
              <w:rPr>
                <w:rFonts w:eastAsia="Calibri" w:cs="Times New Roman"/>
                <w:color w:val="000000"/>
                <w:sz w:val="20"/>
                <w:szCs w:val="20"/>
                <w:lang w:val="en-GB" w:eastAsia="en-US"/>
              </w:rPr>
              <w:t>Percentage of Executive Board members</w:t>
            </w:r>
            <w:r w:rsidRPr="00C7021E" w:rsidDel="00CD6D27">
              <w:rPr>
                <w:rFonts w:eastAsia="Calibri" w:cs="Times New Roman"/>
                <w:color w:val="000000"/>
                <w:sz w:val="20"/>
                <w:szCs w:val="20"/>
                <w:lang w:val="en-GB" w:eastAsia="en-US"/>
              </w:rPr>
              <w:t xml:space="preserve"> </w:t>
            </w:r>
            <w:r w:rsidRPr="00C7021E">
              <w:rPr>
                <w:rFonts w:eastAsia="Calibri" w:cs="Times New Roman"/>
                <w:color w:val="000000"/>
                <w:sz w:val="20"/>
                <w:szCs w:val="20"/>
                <w:lang w:val="en-GB" w:eastAsia="en-US"/>
              </w:rPr>
              <w:t>who report satisfaction with UNDP support services</w:t>
            </w:r>
          </w:p>
        </w:tc>
        <w:tc>
          <w:tcPr>
            <w:tcW w:w="1710" w:type="dxa"/>
            <w:shd w:val="clear" w:color="auto" w:fill="auto"/>
            <w:vAlign w:val="center"/>
          </w:tcPr>
          <w:p w14:paraId="665A7755" w14:textId="77777777" w:rsidR="00EB1316" w:rsidRPr="00BB2D00" w:rsidRDefault="00EB1316" w:rsidP="009C5083">
            <w:pPr>
              <w:spacing w:after="0"/>
              <w:jc w:val="center"/>
              <w:rPr>
                <w:rFonts w:ascii="Calibri" w:eastAsia="Calibri" w:hAnsi="Calibri"/>
                <w:sz w:val="20"/>
              </w:rPr>
            </w:pPr>
            <w:r w:rsidRPr="006238AB">
              <w:rPr>
                <w:rFonts w:ascii="Calibri" w:eastAsia="Calibri" w:hAnsi="Calibri"/>
                <w:sz w:val="20"/>
              </w:rPr>
              <w:t>80.25%</w:t>
            </w:r>
            <w:r>
              <w:rPr>
                <w:rFonts w:ascii="Calibri" w:eastAsia="Calibri" w:hAnsi="Calibri"/>
                <w:sz w:val="20"/>
              </w:rPr>
              <w:t xml:space="preserve"> (2015)</w:t>
            </w:r>
          </w:p>
        </w:tc>
        <w:tc>
          <w:tcPr>
            <w:tcW w:w="1620" w:type="dxa"/>
            <w:shd w:val="clear" w:color="auto" w:fill="auto"/>
            <w:vAlign w:val="center"/>
          </w:tcPr>
          <w:p w14:paraId="37A0F323" w14:textId="77777777" w:rsidR="00EB1316" w:rsidRPr="00BB2D00" w:rsidRDefault="00EB1316" w:rsidP="009C5083">
            <w:pPr>
              <w:spacing w:after="0"/>
              <w:jc w:val="center"/>
              <w:rPr>
                <w:rFonts w:ascii="Calibri" w:eastAsia="Calibri" w:hAnsi="Calibri"/>
                <w:sz w:val="20"/>
              </w:rPr>
            </w:pPr>
            <w:r w:rsidRPr="00BB2D00">
              <w:rPr>
                <w:rFonts w:ascii="Calibri" w:eastAsia="Calibri" w:hAnsi="Calibri"/>
                <w:sz w:val="20"/>
              </w:rPr>
              <w:t>TBD</w:t>
            </w:r>
          </w:p>
        </w:tc>
        <w:tc>
          <w:tcPr>
            <w:tcW w:w="1800" w:type="dxa"/>
            <w:shd w:val="clear" w:color="auto" w:fill="auto"/>
            <w:vAlign w:val="center"/>
          </w:tcPr>
          <w:p w14:paraId="349C57D6" w14:textId="77777777" w:rsidR="00EB1316" w:rsidRPr="00BB2D00" w:rsidRDefault="00EB1316" w:rsidP="009C5083">
            <w:pPr>
              <w:spacing w:after="0"/>
              <w:jc w:val="center"/>
              <w:rPr>
                <w:rFonts w:ascii="Calibri" w:eastAsia="Calibri" w:hAnsi="Calibri"/>
                <w:sz w:val="20"/>
              </w:rPr>
            </w:pPr>
            <w:r w:rsidRPr="006238AB">
              <w:rPr>
                <w:rFonts w:ascii="Calibri" w:eastAsia="Calibri" w:hAnsi="Calibri"/>
                <w:sz w:val="20"/>
              </w:rPr>
              <w:t>80.25%</w:t>
            </w:r>
          </w:p>
        </w:tc>
        <w:tc>
          <w:tcPr>
            <w:tcW w:w="1800" w:type="dxa"/>
            <w:shd w:val="clear" w:color="auto" w:fill="auto"/>
            <w:vAlign w:val="center"/>
          </w:tcPr>
          <w:p w14:paraId="6CE28993" w14:textId="77777777" w:rsidR="00EB1316" w:rsidRPr="00BB2D00" w:rsidRDefault="00EB1316" w:rsidP="009C5083">
            <w:pPr>
              <w:spacing w:after="0"/>
              <w:jc w:val="center"/>
              <w:rPr>
                <w:rFonts w:ascii="Calibri" w:eastAsia="Calibri" w:hAnsi="Calibri"/>
                <w:sz w:val="20"/>
              </w:rPr>
            </w:pPr>
            <w:r>
              <w:rPr>
                <w:rFonts w:ascii="Calibri" w:eastAsia="Calibri" w:hAnsi="Calibri"/>
                <w:sz w:val="20"/>
              </w:rPr>
              <w:t>TBD</w:t>
            </w:r>
          </w:p>
        </w:tc>
      </w:tr>
      <w:tr w:rsidR="00EB1316" w:rsidRPr="00C7021E" w14:paraId="2AC10D9C" w14:textId="77777777" w:rsidTr="009C5083">
        <w:trPr>
          <w:trHeight w:val="296"/>
          <w:jc w:val="center"/>
        </w:trPr>
        <w:tc>
          <w:tcPr>
            <w:tcW w:w="1885" w:type="dxa"/>
            <w:vMerge/>
            <w:shd w:val="clear" w:color="auto" w:fill="FFFFFF"/>
            <w:vAlign w:val="center"/>
          </w:tcPr>
          <w:p w14:paraId="1E37C4A4" w14:textId="77777777" w:rsidR="00EB1316" w:rsidRPr="00245A7E" w:rsidRDefault="00EB1316" w:rsidP="009C5083">
            <w:pPr>
              <w:spacing w:after="0" w:line="240" w:lineRule="auto"/>
              <w:rPr>
                <w:rFonts w:eastAsia="Calibri" w:cs="Times New Roman"/>
                <w:b/>
                <w:sz w:val="20"/>
                <w:szCs w:val="20"/>
                <w:lang w:val="en-GB" w:eastAsia="en-US"/>
              </w:rPr>
            </w:pPr>
          </w:p>
        </w:tc>
        <w:tc>
          <w:tcPr>
            <w:tcW w:w="540" w:type="dxa"/>
            <w:vMerge/>
            <w:shd w:val="clear" w:color="auto" w:fill="FFFFFF"/>
            <w:vAlign w:val="center"/>
          </w:tcPr>
          <w:p w14:paraId="5C7F8C5C" w14:textId="77777777" w:rsidR="00EB1316" w:rsidRPr="00C7021E" w:rsidRDefault="00EB1316" w:rsidP="009C5083">
            <w:pPr>
              <w:spacing w:after="0" w:line="240" w:lineRule="auto"/>
              <w:rPr>
                <w:rFonts w:eastAsia="Calibri" w:cs="Times New Roman"/>
                <w:b/>
                <w:sz w:val="20"/>
                <w:szCs w:val="20"/>
                <w:lang w:val="en-GB" w:eastAsia="en-US"/>
              </w:rPr>
            </w:pPr>
          </w:p>
        </w:tc>
        <w:tc>
          <w:tcPr>
            <w:tcW w:w="11880" w:type="dxa"/>
            <w:gridSpan w:val="5"/>
            <w:shd w:val="clear" w:color="auto" w:fill="D9D9D9" w:themeFill="background1" w:themeFillShade="D9"/>
            <w:vAlign w:val="center"/>
          </w:tcPr>
          <w:p w14:paraId="24389BE3" w14:textId="77777777" w:rsidR="00EB1316" w:rsidRPr="006F08A9" w:rsidRDefault="00EB1316" w:rsidP="009C5083">
            <w:pPr>
              <w:spacing w:after="0" w:line="240" w:lineRule="auto"/>
              <w:rPr>
                <w:rFonts w:ascii="Calibri" w:eastAsia="Calibri" w:hAnsi="Calibri"/>
                <w:b/>
                <w:sz w:val="18"/>
                <w:szCs w:val="18"/>
              </w:rPr>
            </w:pPr>
            <w:r w:rsidRPr="006F08A9">
              <w:rPr>
                <w:rFonts w:ascii="Calibri" w:eastAsia="Calibri" w:hAnsi="Calibri"/>
                <w:b/>
                <w:sz w:val="18"/>
                <w:szCs w:val="18"/>
              </w:rPr>
              <w:t>Note</w:t>
            </w:r>
            <w:r w:rsidRPr="006F08A9">
              <w:rPr>
                <w:rFonts w:ascii="Calibri" w:eastAsia="Calibri" w:hAnsi="Calibri"/>
                <w:sz w:val="18"/>
                <w:szCs w:val="18"/>
              </w:rPr>
              <w:t xml:space="preserve">: UNDP </w:t>
            </w:r>
            <w:r>
              <w:rPr>
                <w:rFonts w:ascii="Calibri" w:eastAsia="Calibri" w:hAnsi="Calibri"/>
                <w:sz w:val="18"/>
                <w:szCs w:val="18"/>
              </w:rPr>
              <w:t>surveyed EB members’ satisfaction with UNDP support services for the first time in</w:t>
            </w:r>
            <w:r w:rsidRPr="006F08A9">
              <w:rPr>
                <w:rFonts w:ascii="Calibri" w:eastAsia="Calibri" w:hAnsi="Calibri"/>
                <w:sz w:val="18"/>
                <w:szCs w:val="18"/>
              </w:rPr>
              <w:t xml:space="preserve"> 201</w:t>
            </w:r>
            <w:r>
              <w:rPr>
                <w:rFonts w:ascii="Calibri" w:eastAsia="Calibri" w:hAnsi="Calibri"/>
                <w:sz w:val="18"/>
                <w:szCs w:val="18"/>
              </w:rPr>
              <w:t xml:space="preserve">5. The survey obtained a total of 11 responses. In future iterations of the survey, UNDP will try to enhance participation. The results represent satisfaction with support provided during the previous year, and thus it is considered the actual for 2014. </w:t>
            </w:r>
          </w:p>
        </w:tc>
      </w:tr>
      <w:tr w:rsidR="00EB1316" w:rsidRPr="00C7021E" w14:paraId="0A0BAF2B" w14:textId="77777777" w:rsidTr="009C5083">
        <w:trPr>
          <w:trHeight w:val="1133"/>
          <w:jc w:val="center"/>
        </w:trPr>
        <w:tc>
          <w:tcPr>
            <w:tcW w:w="1885" w:type="dxa"/>
            <w:vMerge w:val="restart"/>
            <w:shd w:val="clear" w:color="auto" w:fill="FFFFFF"/>
            <w:vAlign w:val="center"/>
          </w:tcPr>
          <w:p w14:paraId="4B33F1B6" w14:textId="77777777" w:rsidR="00EB1316" w:rsidRPr="00C7021E" w:rsidRDefault="00EB1316" w:rsidP="009C5083">
            <w:pPr>
              <w:spacing w:after="0" w:line="240" w:lineRule="auto"/>
              <w:rPr>
                <w:rFonts w:eastAsia="Calibri" w:cs="Times New Roman"/>
                <w:color w:val="000000"/>
                <w:sz w:val="20"/>
                <w:szCs w:val="20"/>
                <w:lang w:val="en-GB" w:eastAsia="en-US"/>
              </w:rPr>
            </w:pPr>
            <w:r w:rsidRPr="00245A7E">
              <w:rPr>
                <w:rFonts w:eastAsia="Calibri" w:cs="Times New Roman"/>
                <w:b/>
                <w:sz w:val="20"/>
                <w:szCs w:val="20"/>
                <w:lang w:val="en-GB" w:eastAsia="en-US"/>
              </w:rPr>
              <w:t>7.2</w:t>
            </w:r>
            <w:r w:rsidRPr="00C7021E">
              <w:rPr>
                <w:rFonts w:eastAsia="Calibri" w:cs="Times New Roman"/>
                <w:sz w:val="20"/>
                <w:szCs w:val="20"/>
                <w:lang w:val="en-GB" w:eastAsia="en-US"/>
              </w:rPr>
              <w:t xml:space="preserve"> UNDP </w:t>
            </w:r>
            <w:r w:rsidRPr="00C7021E">
              <w:rPr>
                <w:rFonts w:eastAsia="Calibri" w:cs="Times New Roman"/>
                <w:color w:val="000000"/>
                <w:sz w:val="20"/>
                <w:szCs w:val="20"/>
                <w:lang w:val="en-GB" w:eastAsia="en-US"/>
              </w:rPr>
              <w:t>recognized</w:t>
            </w:r>
            <w:r w:rsidRPr="00C7021E">
              <w:rPr>
                <w:rFonts w:eastAsia="Calibri" w:cs="Times New Roman"/>
                <w:sz w:val="20"/>
                <w:szCs w:val="20"/>
                <w:lang w:val="en-GB" w:eastAsia="en-US"/>
              </w:rPr>
              <w:t xml:space="preserve"> as a development partner </w:t>
            </w:r>
            <w:r>
              <w:rPr>
                <w:rFonts w:eastAsia="Calibri" w:cs="Times New Roman"/>
                <w:color w:val="000000"/>
                <w:sz w:val="20"/>
                <w:szCs w:val="20"/>
                <w:lang w:val="en-GB" w:eastAsia="en-US"/>
              </w:rPr>
              <w:t>of choice by its partners</w:t>
            </w:r>
          </w:p>
        </w:tc>
        <w:tc>
          <w:tcPr>
            <w:tcW w:w="540" w:type="dxa"/>
            <w:vMerge w:val="restart"/>
            <w:shd w:val="clear" w:color="auto" w:fill="auto"/>
            <w:vAlign w:val="center"/>
          </w:tcPr>
          <w:p w14:paraId="22CCBD5E" w14:textId="77777777" w:rsidR="00EB1316" w:rsidRPr="00C7021E" w:rsidRDefault="00EB1316" w:rsidP="009C5083">
            <w:pPr>
              <w:spacing w:after="0" w:line="240" w:lineRule="auto"/>
              <w:rPr>
                <w:rFonts w:eastAsia="Calibri" w:cs="Times New Roman"/>
                <w:b/>
                <w:sz w:val="20"/>
                <w:szCs w:val="20"/>
                <w:lang w:val="en-GB" w:eastAsia="en-US"/>
              </w:rPr>
            </w:pPr>
            <w:r>
              <w:rPr>
                <w:rFonts w:eastAsia="Calibri" w:cs="Times New Roman"/>
                <w:b/>
                <w:sz w:val="20"/>
                <w:szCs w:val="20"/>
                <w:lang w:val="en-GB" w:eastAsia="en-US"/>
              </w:rPr>
              <w:t>35</w:t>
            </w:r>
            <w:r w:rsidRPr="00C7021E">
              <w:rPr>
                <w:rFonts w:eastAsia="Calibri" w:cs="Times New Roman"/>
                <w:b/>
                <w:sz w:val="20"/>
                <w:szCs w:val="20"/>
                <w:lang w:val="en-GB" w:eastAsia="en-US"/>
              </w:rPr>
              <w:t>.</w:t>
            </w:r>
          </w:p>
        </w:tc>
        <w:tc>
          <w:tcPr>
            <w:tcW w:w="4950" w:type="dxa"/>
            <w:vMerge w:val="restart"/>
            <w:shd w:val="clear" w:color="auto" w:fill="auto"/>
            <w:vAlign w:val="center"/>
          </w:tcPr>
          <w:p w14:paraId="2389885B" w14:textId="77777777" w:rsidR="00EB1316" w:rsidRPr="00FF7205" w:rsidRDefault="00EB1316" w:rsidP="009C5083">
            <w:pPr>
              <w:spacing w:after="0" w:line="240" w:lineRule="auto"/>
              <w:rPr>
                <w:rFonts w:eastAsia="Calibri" w:cs="Times New Roman"/>
                <w:b/>
                <w:sz w:val="20"/>
                <w:szCs w:val="20"/>
                <w:lang w:eastAsia="en-US"/>
              </w:rPr>
            </w:pPr>
            <w:r w:rsidRPr="00C7021E">
              <w:rPr>
                <w:rFonts w:eastAsia="Calibri" w:cs="Times New Roman"/>
                <w:sz w:val="20"/>
                <w:szCs w:val="20"/>
                <w:lang w:val="en-GB" w:eastAsia="en-US"/>
              </w:rPr>
              <w:t xml:space="preserve">Size and trend in funding from government and other non-government partners (including international financial institutions, regional development banks, civil society, private sector). </w:t>
            </w:r>
            <w:r w:rsidRPr="00C7021E">
              <w:rPr>
                <w:rFonts w:eastAsia="Calibri" w:cs="Times New Roman"/>
                <w:b/>
                <w:sz w:val="20"/>
                <w:szCs w:val="20"/>
                <w:lang w:eastAsia="en-US"/>
              </w:rPr>
              <w:t>[COMMON QCPR INDICATOR]</w:t>
            </w:r>
          </w:p>
        </w:tc>
        <w:tc>
          <w:tcPr>
            <w:tcW w:w="1710" w:type="dxa"/>
            <w:shd w:val="clear" w:color="auto" w:fill="auto"/>
            <w:vAlign w:val="center"/>
          </w:tcPr>
          <w:p w14:paraId="6E40D04A" w14:textId="77777777" w:rsidR="00EB1316" w:rsidRPr="006922CE" w:rsidRDefault="00EB1316" w:rsidP="009C5083">
            <w:pPr>
              <w:spacing w:after="0" w:line="240" w:lineRule="auto"/>
              <w:rPr>
                <w:sz w:val="20"/>
                <w:szCs w:val="20"/>
              </w:rPr>
            </w:pPr>
            <w:r w:rsidRPr="006922CE">
              <w:rPr>
                <w:sz w:val="20"/>
                <w:szCs w:val="20"/>
                <w:u w:val="single"/>
              </w:rPr>
              <w:t>Total</w:t>
            </w:r>
          </w:p>
          <w:p w14:paraId="4783A0CA" w14:textId="77777777" w:rsidR="00EB1316" w:rsidRPr="006922CE" w:rsidRDefault="00EB1316" w:rsidP="009C5083">
            <w:pPr>
              <w:spacing w:after="0" w:line="240" w:lineRule="auto"/>
              <w:rPr>
                <w:sz w:val="20"/>
                <w:szCs w:val="20"/>
              </w:rPr>
            </w:pPr>
            <w:r w:rsidRPr="006922CE">
              <w:rPr>
                <w:sz w:val="20"/>
                <w:szCs w:val="20"/>
              </w:rPr>
              <w:t>$4</w:t>
            </w:r>
            <w:r>
              <w:rPr>
                <w:sz w:val="20"/>
                <w:szCs w:val="20"/>
              </w:rPr>
              <w:t>.</w:t>
            </w:r>
            <w:r w:rsidRPr="006922CE">
              <w:rPr>
                <w:sz w:val="20"/>
                <w:szCs w:val="20"/>
              </w:rPr>
              <w:t>692</w:t>
            </w:r>
            <w:r>
              <w:rPr>
                <w:sz w:val="20"/>
                <w:szCs w:val="20"/>
              </w:rPr>
              <w:t>b</w:t>
            </w:r>
            <w:r w:rsidRPr="006922CE">
              <w:rPr>
                <w:sz w:val="20"/>
                <w:szCs w:val="20"/>
              </w:rPr>
              <w:t xml:space="preserve"> </w:t>
            </w:r>
          </w:p>
        </w:tc>
        <w:tc>
          <w:tcPr>
            <w:tcW w:w="1620" w:type="dxa"/>
            <w:shd w:val="clear" w:color="auto" w:fill="auto"/>
            <w:vAlign w:val="center"/>
          </w:tcPr>
          <w:p w14:paraId="1FBC539B" w14:textId="77777777" w:rsidR="00EB1316" w:rsidRPr="009B0405" w:rsidRDefault="00EB1316" w:rsidP="009C5083">
            <w:pPr>
              <w:spacing w:after="0" w:line="240" w:lineRule="auto"/>
              <w:rPr>
                <w:sz w:val="20"/>
                <w:szCs w:val="20"/>
              </w:rPr>
            </w:pPr>
            <w:r w:rsidRPr="009B0405">
              <w:rPr>
                <w:sz w:val="20"/>
                <w:szCs w:val="20"/>
                <w:u w:val="single"/>
              </w:rPr>
              <w:t>Total</w:t>
            </w:r>
          </w:p>
          <w:p w14:paraId="16E01C34" w14:textId="77777777" w:rsidR="00EB1316" w:rsidRDefault="00EB1316" w:rsidP="009C5083">
            <w:pPr>
              <w:spacing w:after="0" w:line="240" w:lineRule="auto"/>
              <w:rPr>
                <w:sz w:val="20"/>
                <w:szCs w:val="20"/>
              </w:rPr>
            </w:pPr>
            <w:r>
              <w:rPr>
                <w:sz w:val="20"/>
                <w:szCs w:val="20"/>
              </w:rPr>
              <w:t>$4.751.5b</w:t>
            </w:r>
          </w:p>
          <w:p w14:paraId="2EA6C7E4" w14:textId="77777777" w:rsidR="00EB1316" w:rsidRPr="00453D2C" w:rsidRDefault="00EB1316" w:rsidP="009C5083">
            <w:pPr>
              <w:spacing w:after="0" w:line="240" w:lineRule="auto"/>
              <w:rPr>
                <w:sz w:val="20"/>
                <w:szCs w:val="20"/>
                <w:highlight w:val="green"/>
              </w:rPr>
            </w:pPr>
            <w:r w:rsidRPr="009B0405">
              <w:rPr>
                <w:sz w:val="20"/>
                <w:szCs w:val="20"/>
              </w:rPr>
              <w:t>(1.3% increase from 2013)</w:t>
            </w:r>
          </w:p>
        </w:tc>
        <w:tc>
          <w:tcPr>
            <w:tcW w:w="1800" w:type="dxa"/>
            <w:shd w:val="clear" w:color="auto" w:fill="auto"/>
            <w:vAlign w:val="center"/>
          </w:tcPr>
          <w:p w14:paraId="4F4F36DE" w14:textId="77777777" w:rsidR="00EB1316" w:rsidRPr="00E4454D" w:rsidRDefault="00EB1316" w:rsidP="009C5083">
            <w:pPr>
              <w:spacing w:after="0" w:line="240" w:lineRule="auto"/>
              <w:rPr>
                <w:sz w:val="20"/>
                <w:szCs w:val="20"/>
                <w:u w:val="single"/>
              </w:rPr>
            </w:pPr>
            <w:r w:rsidRPr="00E4454D">
              <w:rPr>
                <w:sz w:val="20"/>
                <w:szCs w:val="20"/>
                <w:u w:val="single"/>
              </w:rPr>
              <w:t>Total</w:t>
            </w:r>
          </w:p>
          <w:p w14:paraId="2CF8AF9A" w14:textId="77777777" w:rsidR="00EB1316" w:rsidRPr="00453D2C" w:rsidRDefault="00EB1316" w:rsidP="009C5083">
            <w:pPr>
              <w:spacing w:after="0" w:line="240" w:lineRule="auto"/>
              <w:rPr>
                <w:sz w:val="20"/>
                <w:szCs w:val="20"/>
                <w:highlight w:val="green"/>
              </w:rPr>
            </w:pPr>
            <w:r w:rsidRPr="00E4454D">
              <w:rPr>
                <w:sz w:val="20"/>
                <w:szCs w:val="20"/>
              </w:rPr>
              <w:t>$4</w:t>
            </w:r>
            <w:r>
              <w:rPr>
                <w:sz w:val="20"/>
                <w:szCs w:val="20"/>
              </w:rPr>
              <w:t>.</w:t>
            </w:r>
            <w:r w:rsidRPr="00E4454D">
              <w:rPr>
                <w:sz w:val="20"/>
                <w:szCs w:val="20"/>
              </w:rPr>
              <w:t>58</w:t>
            </w:r>
            <w:r w:rsidRPr="00B64AAB">
              <w:rPr>
                <w:sz w:val="20"/>
                <w:szCs w:val="20"/>
              </w:rPr>
              <w:t>8</w:t>
            </w:r>
            <w:r w:rsidRPr="00E4454D">
              <w:rPr>
                <w:sz w:val="20"/>
                <w:szCs w:val="20"/>
              </w:rPr>
              <w:t>b (2% decrease from 2013)</w:t>
            </w:r>
          </w:p>
        </w:tc>
        <w:tc>
          <w:tcPr>
            <w:tcW w:w="1800" w:type="dxa"/>
            <w:shd w:val="clear" w:color="auto" w:fill="auto"/>
            <w:vAlign w:val="center"/>
          </w:tcPr>
          <w:p w14:paraId="5B756F53" w14:textId="77777777" w:rsidR="00EB1316" w:rsidRPr="00F8063A" w:rsidRDefault="00EB1316" w:rsidP="009C5083">
            <w:pPr>
              <w:spacing w:after="0" w:line="240" w:lineRule="auto"/>
              <w:rPr>
                <w:sz w:val="20"/>
                <w:szCs w:val="20"/>
                <w:u w:val="single"/>
              </w:rPr>
            </w:pPr>
            <w:r w:rsidRPr="00F8063A">
              <w:rPr>
                <w:sz w:val="20"/>
                <w:szCs w:val="20"/>
                <w:u w:val="single"/>
              </w:rPr>
              <w:t>Total</w:t>
            </w:r>
          </w:p>
          <w:p w14:paraId="433CAED3" w14:textId="77777777" w:rsidR="00EB1316" w:rsidRPr="00E4454D" w:rsidRDefault="00EB1316" w:rsidP="009C5083">
            <w:pPr>
              <w:spacing w:after="0" w:line="240" w:lineRule="auto"/>
              <w:rPr>
                <w:sz w:val="20"/>
                <w:szCs w:val="20"/>
                <w:u w:val="single"/>
              </w:rPr>
            </w:pPr>
            <w:r>
              <w:rPr>
                <w:sz w:val="20"/>
                <w:szCs w:val="20"/>
                <w:u w:val="single"/>
              </w:rPr>
              <w:t>$4.928b</w:t>
            </w:r>
          </w:p>
        </w:tc>
      </w:tr>
      <w:tr w:rsidR="00EB1316" w:rsidRPr="00C7021E" w14:paraId="3CD06DF2" w14:textId="77777777" w:rsidTr="009C5083">
        <w:trPr>
          <w:trHeight w:val="1340"/>
          <w:jc w:val="center"/>
        </w:trPr>
        <w:tc>
          <w:tcPr>
            <w:tcW w:w="1885" w:type="dxa"/>
            <w:vMerge/>
            <w:shd w:val="clear" w:color="auto" w:fill="FFFFFF"/>
            <w:vAlign w:val="center"/>
          </w:tcPr>
          <w:p w14:paraId="7D4BC847" w14:textId="77777777" w:rsidR="00EB1316" w:rsidRPr="00245A7E" w:rsidRDefault="00EB1316" w:rsidP="009C5083">
            <w:pPr>
              <w:spacing w:after="0" w:line="240" w:lineRule="auto"/>
              <w:rPr>
                <w:rFonts w:eastAsia="Calibri" w:cs="Times New Roman"/>
                <w:b/>
                <w:sz w:val="20"/>
                <w:szCs w:val="20"/>
                <w:lang w:val="en-GB" w:eastAsia="en-US"/>
              </w:rPr>
            </w:pPr>
          </w:p>
        </w:tc>
        <w:tc>
          <w:tcPr>
            <w:tcW w:w="540" w:type="dxa"/>
            <w:vMerge/>
            <w:shd w:val="clear" w:color="auto" w:fill="auto"/>
            <w:vAlign w:val="center"/>
          </w:tcPr>
          <w:p w14:paraId="5F4F4CD1" w14:textId="77777777" w:rsidR="00EB1316" w:rsidRPr="00C7021E" w:rsidRDefault="00EB1316" w:rsidP="009C5083">
            <w:pPr>
              <w:spacing w:after="0" w:line="240" w:lineRule="auto"/>
              <w:rPr>
                <w:rFonts w:eastAsia="Calibri" w:cs="Times New Roman"/>
                <w:b/>
                <w:sz w:val="20"/>
                <w:szCs w:val="20"/>
                <w:lang w:val="en-GB" w:eastAsia="en-US"/>
              </w:rPr>
            </w:pPr>
          </w:p>
        </w:tc>
        <w:tc>
          <w:tcPr>
            <w:tcW w:w="4950" w:type="dxa"/>
            <w:vMerge/>
            <w:shd w:val="clear" w:color="auto" w:fill="auto"/>
            <w:vAlign w:val="center"/>
          </w:tcPr>
          <w:p w14:paraId="0042E60A" w14:textId="77777777" w:rsidR="00EB1316" w:rsidRPr="00C7021E" w:rsidRDefault="00EB1316" w:rsidP="009C5083">
            <w:pPr>
              <w:spacing w:after="0" w:line="240" w:lineRule="auto"/>
              <w:rPr>
                <w:rFonts w:eastAsia="Calibri" w:cs="Times New Roman"/>
                <w:sz w:val="20"/>
                <w:szCs w:val="20"/>
                <w:lang w:val="en-GB" w:eastAsia="en-US"/>
              </w:rPr>
            </w:pPr>
          </w:p>
        </w:tc>
        <w:tc>
          <w:tcPr>
            <w:tcW w:w="1710" w:type="dxa"/>
            <w:shd w:val="clear" w:color="auto" w:fill="auto"/>
            <w:vAlign w:val="center"/>
          </w:tcPr>
          <w:p w14:paraId="217FC7A1" w14:textId="77777777" w:rsidR="00EB1316" w:rsidRPr="006922CE" w:rsidRDefault="00EB1316" w:rsidP="009C5083">
            <w:pPr>
              <w:spacing w:after="0" w:line="240" w:lineRule="auto"/>
              <w:rPr>
                <w:sz w:val="20"/>
                <w:szCs w:val="20"/>
                <w:u w:val="single"/>
              </w:rPr>
            </w:pPr>
            <w:r w:rsidRPr="006922CE">
              <w:rPr>
                <w:sz w:val="20"/>
                <w:szCs w:val="20"/>
                <w:u w:val="single"/>
              </w:rPr>
              <w:t>Regular Resources</w:t>
            </w:r>
          </w:p>
          <w:p w14:paraId="3E1A3598" w14:textId="77777777" w:rsidR="00EB1316" w:rsidRPr="006922CE" w:rsidRDefault="00EB1316" w:rsidP="009C5083">
            <w:pPr>
              <w:spacing w:after="0" w:line="240" w:lineRule="auto"/>
              <w:rPr>
                <w:sz w:val="20"/>
                <w:szCs w:val="20"/>
              </w:rPr>
            </w:pPr>
            <w:r>
              <w:rPr>
                <w:sz w:val="20"/>
                <w:szCs w:val="20"/>
              </w:rPr>
              <w:t>$896m</w:t>
            </w:r>
          </w:p>
        </w:tc>
        <w:tc>
          <w:tcPr>
            <w:tcW w:w="1620" w:type="dxa"/>
            <w:shd w:val="clear" w:color="auto" w:fill="auto"/>
            <w:vAlign w:val="center"/>
          </w:tcPr>
          <w:p w14:paraId="0E86E2BC" w14:textId="77777777" w:rsidR="00EB1316" w:rsidRPr="009B0405" w:rsidRDefault="00EB1316" w:rsidP="009C5083">
            <w:pPr>
              <w:spacing w:after="0" w:line="240" w:lineRule="auto"/>
              <w:rPr>
                <w:sz w:val="20"/>
                <w:szCs w:val="20"/>
              </w:rPr>
            </w:pPr>
            <w:r w:rsidRPr="009B0405">
              <w:rPr>
                <w:sz w:val="20"/>
                <w:szCs w:val="20"/>
                <w:u w:val="single"/>
              </w:rPr>
              <w:t>Regular Resources</w:t>
            </w:r>
          </w:p>
          <w:p w14:paraId="67B509F4" w14:textId="77777777" w:rsidR="00EB1316" w:rsidRDefault="00EB1316" w:rsidP="009C5083">
            <w:pPr>
              <w:spacing w:after="0" w:line="240" w:lineRule="auto"/>
              <w:rPr>
                <w:sz w:val="20"/>
                <w:szCs w:val="20"/>
              </w:rPr>
            </w:pPr>
            <w:r w:rsidRPr="009B0405">
              <w:rPr>
                <w:sz w:val="20"/>
                <w:szCs w:val="20"/>
              </w:rPr>
              <w:t>$875</w:t>
            </w:r>
            <w:r>
              <w:rPr>
                <w:sz w:val="20"/>
                <w:szCs w:val="20"/>
              </w:rPr>
              <w:t>m</w:t>
            </w:r>
          </w:p>
          <w:p w14:paraId="274BD6AB" w14:textId="77777777" w:rsidR="00EB1316" w:rsidRPr="00453D2C" w:rsidRDefault="00EB1316" w:rsidP="009C5083">
            <w:pPr>
              <w:spacing w:after="0" w:line="240" w:lineRule="auto"/>
              <w:rPr>
                <w:sz w:val="20"/>
                <w:szCs w:val="20"/>
              </w:rPr>
            </w:pPr>
            <w:r w:rsidRPr="009B0405">
              <w:rPr>
                <w:sz w:val="20"/>
                <w:szCs w:val="20"/>
              </w:rPr>
              <w:t>(2.3% decrease from 2013)</w:t>
            </w:r>
          </w:p>
        </w:tc>
        <w:tc>
          <w:tcPr>
            <w:tcW w:w="1800" w:type="dxa"/>
            <w:shd w:val="clear" w:color="auto" w:fill="auto"/>
            <w:vAlign w:val="center"/>
          </w:tcPr>
          <w:p w14:paraId="23772FB8" w14:textId="77777777" w:rsidR="00EB1316" w:rsidRPr="00E4454D" w:rsidRDefault="00EB1316" w:rsidP="009C5083">
            <w:pPr>
              <w:spacing w:after="0" w:line="240" w:lineRule="auto"/>
              <w:rPr>
                <w:sz w:val="20"/>
                <w:szCs w:val="20"/>
              </w:rPr>
            </w:pPr>
            <w:r w:rsidRPr="00E4454D">
              <w:rPr>
                <w:sz w:val="20"/>
                <w:szCs w:val="20"/>
                <w:u w:val="single"/>
              </w:rPr>
              <w:t>Regular Resources</w:t>
            </w:r>
          </w:p>
          <w:p w14:paraId="2E6E7844" w14:textId="77777777" w:rsidR="00EB1316" w:rsidRPr="00453D2C" w:rsidRDefault="00EB1316" w:rsidP="009C5083">
            <w:pPr>
              <w:spacing w:after="0" w:line="240" w:lineRule="auto"/>
              <w:rPr>
                <w:sz w:val="20"/>
                <w:szCs w:val="20"/>
              </w:rPr>
            </w:pPr>
            <w:r w:rsidRPr="00E4454D">
              <w:rPr>
                <w:sz w:val="20"/>
                <w:szCs w:val="20"/>
              </w:rPr>
              <w:t>$793m (11.4% decrease from 2013)</w:t>
            </w:r>
          </w:p>
        </w:tc>
        <w:tc>
          <w:tcPr>
            <w:tcW w:w="1800" w:type="dxa"/>
            <w:shd w:val="clear" w:color="auto" w:fill="auto"/>
            <w:vAlign w:val="center"/>
          </w:tcPr>
          <w:p w14:paraId="5F089B0C" w14:textId="77777777" w:rsidR="00EB1316" w:rsidRPr="00F8063A" w:rsidRDefault="00EB1316" w:rsidP="009C5083">
            <w:pPr>
              <w:spacing w:after="0" w:line="240" w:lineRule="auto"/>
              <w:rPr>
                <w:sz w:val="20"/>
                <w:szCs w:val="20"/>
                <w:u w:val="single"/>
              </w:rPr>
            </w:pPr>
            <w:r w:rsidRPr="00F8063A">
              <w:rPr>
                <w:sz w:val="20"/>
                <w:szCs w:val="20"/>
                <w:u w:val="single"/>
              </w:rPr>
              <w:t>Regular Resources</w:t>
            </w:r>
          </w:p>
          <w:p w14:paraId="68310D19" w14:textId="77777777" w:rsidR="00EB1316" w:rsidRPr="00E4454D" w:rsidRDefault="00EB1316" w:rsidP="009C5083">
            <w:pPr>
              <w:spacing w:after="0" w:line="240" w:lineRule="auto"/>
              <w:rPr>
                <w:sz w:val="20"/>
                <w:szCs w:val="20"/>
                <w:u w:val="single"/>
              </w:rPr>
            </w:pPr>
            <w:r>
              <w:rPr>
                <w:sz w:val="20"/>
                <w:szCs w:val="20"/>
                <w:u w:val="single"/>
              </w:rPr>
              <w:t>$925m</w:t>
            </w:r>
          </w:p>
        </w:tc>
      </w:tr>
      <w:tr w:rsidR="00EB1316" w:rsidRPr="00C7021E" w14:paraId="48C60446" w14:textId="77777777" w:rsidTr="009C5083">
        <w:trPr>
          <w:trHeight w:val="365"/>
          <w:jc w:val="center"/>
        </w:trPr>
        <w:tc>
          <w:tcPr>
            <w:tcW w:w="1885" w:type="dxa"/>
            <w:vMerge/>
            <w:shd w:val="clear" w:color="auto" w:fill="FFFFFF"/>
            <w:vAlign w:val="center"/>
          </w:tcPr>
          <w:p w14:paraId="2316AC0A" w14:textId="77777777" w:rsidR="00EB1316" w:rsidRPr="00245A7E" w:rsidRDefault="00EB1316" w:rsidP="009C5083">
            <w:pPr>
              <w:spacing w:after="0" w:line="240" w:lineRule="auto"/>
              <w:rPr>
                <w:rFonts w:eastAsia="Calibri" w:cs="Times New Roman"/>
                <w:b/>
                <w:sz w:val="20"/>
                <w:szCs w:val="20"/>
                <w:lang w:val="en-GB" w:eastAsia="en-US"/>
              </w:rPr>
            </w:pPr>
          </w:p>
        </w:tc>
        <w:tc>
          <w:tcPr>
            <w:tcW w:w="540" w:type="dxa"/>
            <w:vMerge/>
            <w:shd w:val="clear" w:color="auto" w:fill="auto"/>
            <w:vAlign w:val="center"/>
          </w:tcPr>
          <w:p w14:paraId="37D2CE48" w14:textId="77777777" w:rsidR="00EB1316" w:rsidRPr="00C7021E" w:rsidRDefault="00EB1316" w:rsidP="009C5083">
            <w:pPr>
              <w:spacing w:after="0" w:line="240" w:lineRule="auto"/>
              <w:rPr>
                <w:rFonts w:eastAsia="Calibri" w:cs="Times New Roman"/>
                <w:b/>
                <w:sz w:val="20"/>
                <w:szCs w:val="20"/>
                <w:lang w:val="en-GB" w:eastAsia="en-US"/>
              </w:rPr>
            </w:pPr>
          </w:p>
        </w:tc>
        <w:tc>
          <w:tcPr>
            <w:tcW w:w="4950" w:type="dxa"/>
            <w:vMerge/>
            <w:shd w:val="clear" w:color="auto" w:fill="auto"/>
            <w:vAlign w:val="center"/>
          </w:tcPr>
          <w:p w14:paraId="2D40610C" w14:textId="77777777" w:rsidR="00EB1316" w:rsidRPr="00C7021E" w:rsidRDefault="00EB1316" w:rsidP="009C5083">
            <w:pPr>
              <w:spacing w:after="0" w:line="240" w:lineRule="auto"/>
              <w:rPr>
                <w:rFonts w:eastAsia="Calibri" w:cs="Times New Roman"/>
                <w:sz w:val="20"/>
                <w:szCs w:val="20"/>
                <w:lang w:val="en-GB" w:eastAsia="en-US"/>
              </w:rPr>
            </w:pPr>
          </w:p>
        </w:tc>
        <w:tc>
          <w:tcPr>
            <w:tcW w:w="1710" w:type="dxa"/>
            <w:shd w:val="clear" w:color="auto" w:fill="auto"/>
            <w:vAlign w:val="center"/>
          </w:tcPr>
          <w:p w14:paraId="19D7C860" w14:textId="77777777" w:rsidR="00EB1316" w:rsidRPr="006922CE" w:rsidRDefault="00EB1316" w:rsidP="009C5083">
            <w:pPr>
              <w:spacing w:after="0" w:line="240" w:lineRule="auto"/>
              <w:rPr>
                <w:color w:val="000000" w:themeColor="text1"/>
                <w:sz w:val="20"/>
                <w:szCs w:val="20"/>
                <w:u w:val="single"/>
              </w:rPr>
            </w:pPr>
            <w:r w:rsidRPr="006922CE">
              <w:rPr>
                <w:color w:val="000000" w:themeColor="text1"/>
                <w:sz w:val="20"/>
                <w:szCs w:val="20"/>
                <w:u w:val="single"/>
              </w:rPr>
              <w:t>Other Resources (Government)</w:t>
            </w:r>
          </w:p>
          <w:p w14:paraId="062EDB80" w14:textId="77777777" w:rsidR="00EB1316" w:rsidRPr="006922CE" w:rsidRDefault="00EB1316" w:rsidP="009C5083">
            <w:pPr>
              <w:spacing w:after="0" w:line="240" w:lineRule="auto"/>
              <w:rPr>
                <w:color w:val="000000" w:themeColor="text1"/>
                <w:sz w:val="20"/>
                <w:szCs w:val="20"/>
              </w:rPr>
            </w:pPr>
            <w:r w:rsidRPr="006922CE">
              <w:rPr>
                <w:color w:val="000000" w:themeColor="text1"/>
                <w:sz w:val="20"/>
                <w:szCs w:val="20"/>
              </w:rPr>
              <w:t>$1</w:t>
            </w:r>
            <w:r>
              <w:rPr>
                <w:color w:val="000000" w:themeColor="text1"/>
                <w:sz w:val="20"/>
                <w:szCs w:val="20"/>
              </w:rPr>
              <w:t>.</w:t>
            </w:r>
            <w:r w:rsidRPr="006922CE">
              <w:rPr>
                <w:color w:val="000000" w:themeColor="text1"/>
                <w:sz w:val="20"/>
                <w:szCs w:val="20"/>
              </w:rPr>
              <w:t>311</w:t>
            </w:r>
            <w:r>
              <w:rPr>
                <w:color w:val="000000" w:themeColor="text1"/>
                <w:sz w:val="20"/>
                <w:szCs w:val="20"/>
              </w:rPr>
              <w:t>b</w:t>
            </w:r>
          </w:p>
        </w:tc>
        <w:tc>
          <w:tcPr>
            <w:tcW w:w="1620" w:type="dxa"/>
            <w:vMerge w:val="restart"/>
            <w:shd w:val="clear" w:color="auto" w:fill="auto"/>
            <w:vAlign w:val="center"/>
          </w:tcPr>
          <w:p w14:paraId="4EA7820F" w14:textId="77777777" w:rsidR="00EB1316" w:rsidRPr="009B0405" w:rsidRDefault="00EB1316" w:rsidP="009C5083">
            <w:pPr>
              <w:spacing w:after="0" w:line="240" w:lineRule="auto"/>
              <w:rPr>
                <w:sz w:val="20"/>
                <w:szCs w:val="20"/>
              </w:rPr>
            </w:pPr>
            <w:r w:rsidRPr="009B0405">
              <w:rPr>
                <w:sz w:val="20"/>
                <w:szCs w:val="20"/>
                <w:u w:val="single"/>
              </w:rPr>
              <w:t>Other Resources (government and non-government partners)</w:t>
            </w:r>
          </w:p>
          <w:p w14:paraId="0B355B02" w14:textId="77777777" w:rsidR="00EB1316" w:rsidRDefault="00EB1316" w:rsidP="009C5083">
            <w:pPr>
              <w:spacing w:after="0" w:line="240" w:lineRule="auto"/>
              <w:rPr>
                <w:sz w:val="20"/>
                <w:szCs w:val="20"/>
              </w:rPr>
            </w:pPr>
            <w:r w:rsidRPr="009B0405">
              <w:rPr>
                <w:sz w:val="20"/>
                <w:szCs w:val="20"/>
              </w:rPr>
              <w:t>$3</w:t>
            </w:r>
            <w:r>
              <w:rPr>
                <w:sz w:val="20"/>
                <w:szCs w:val="20"/>
              </w:rPr>
              <w:t>.</w:t>
            </w:r>
            <w:r w:rsidRPr="009B0405">
              <w:rPr>
                <w:sz w:val="20"/>
                <w:szCs w:val="20"/>
              </w:rPr>
              <w:t>126.5</w:t>
            </w:r>
            <w:r>
              <w:rPr>
                <w:sz w:val="20"/>
                <w:szCs w:val="20"/>
              </w:rPr>
              <w:t>b</w:t>
            </w:r>
          </w:p>
          <w:p w14:paraId="18F1223D" w14:textId="77777777" w:rsidR="00EB1316" w:rsidRPr="00845E7F" w:rsidRDefault="00EB1316" w:rsidP="009C5083">
            <w:pPr>
              <w:spacing w:after="0" w:line="240" w:lineRule="auto"/>
              <w:rPr>
                <w:sz w:val="20"/>
                <w:szCs w:val="20"/>
                <w:u w:val="single"/>
              </w:rPr>
            </w:pPr>
            <w:r w:rsidRPr="009B0405">
              <w:rPr>
                <w:sz w:val="20"/>
                <w:szCs w:val="20"/>
              </w:rPr>
              <w:t>(14.3% increase from 2013)</w:t>
            </w:r>
          </w:p>
        </w:tc>
        <w:tc>
          <w:tcPr>
            <w:tcW w:w="1800" w:type="dxa"/>
            <w:vMerge w:val="restart"/>
            <w:shd w:val="clear" w:color="auto" w:fill="auto"/>
            <w:vAlign w:val="center"/>
          </w:tcPr>
          <w:p w14:paraId="75BB2EB6" w14:textId="77777777" w:rsidR="00EB1316" w:rsidRDefault="00EB1316" w:rsidP="009C5083">
            <w:pPr>
              <w:spacing w:after="0" w:line="240" w:lineRule="auto"/>
              <w:rPr>
                <w:sz w:val="20"/>
                <w:szCs w:val="20"/>
                <w:u w:val="single"/>
              </w:rPr>
            </w:pPr>
            <w:r w:rsidRPr="00875DE6">
              <w:rPr>
                <w:sz w:val="20"/>
                <w:szCs w:val="20"/>
                <w:u w:val="single"/>
              </w:rPr>
              <w:t>Other Resources (government and non-government partners)</w:t>
            </w:r>
          </w:p>
          <w:p w14:paraId="28FBF0EF" w14:textId="77777777" w:rsidR="00EB1316" w:rsidRPr="00875DE6" w:rsidRDefault="00EB1316" w:rsidP="009C5083">
            <w:pPr>
              <w:spacing w:after="0" w:line="240" w:lineRule="auto"/>
              <w:rPr>
                <w:sz w:val="20"/>
                <w:szCs w:val="20"/>
              </w:rPr>
            </w:pPr>
            <w:r w:rsidRPr="00875DE6">
              <w:rPr>
                <w:sz w:val="20"/>
                <w:szCs w:val="20"/>
              </w:rPr>
              <w:t>$2</w:t>
            </w:r>
            <w:r>
              <w:rPr>
                <w:sz w:val="20"/>
                <w:szCs w:val="20"/>
              </w:rPr>
              <w:t>.</w:t>
            </w:r>
            <w:r w:rsidRPr="00875DE6">
              <w:rPr>
                <w:sz w:val="20"/>
                <w:szCs w:val="20"/>
              </w:rPr>
              <w:t>9</w:t>
            </w:r>
            <w:r>
              <w:rPr>
                <w:sz w:val="20"/>
                <w:szCs w:val="20"/>
              </w:rPr>
              <w:t>44</w:t>
            </w:r>
            <w:r w:rsidRPr="00875DE6">
              <w:rPr>
                <w:sz w:val="20"/>
                <w:szCs w:val="20"/>
              </w:rPr>
              <w:t>b (7.3% increase from 2013)</w:t>
            </w:r>
          </w:p>
        </w:tc>
        <w:tc>
          <w:tcPr>
            <w:tcW w:w="1800" w:type="dxa"/>
            <w:vMerge w:val="restart"/>
            <w:shd w:val="clear" w:color="auto" w:fill="auto"/>
            <w:vAlign w:val="center"/>
          </w:tcPr>
          <w:p w14:paraId="6456BB31" w14:textId="77777777" w:rsidR="00EB1316" w:rsidRPr="00F8063A" w:rsidRDefault="00EB1316" w:rsidP="009C5083">
            <w:pPr>
              <w:spacing w:after="0" w:line="240" w:lineRule="auto"/>
              <w:rPr>
                <w:sz w:val="20"/>
                <w:szCs w:val="20"/>
                <w:u w:val="single"/>
              </w:rPr>
            </w:pPr>
            <w:r w:rsidRPr="00F8063A">
              <w:rPr>
                <w:sz w:val="20"/>
                <w:szCs w:val="20"/>
                <w:u w:val="single"/>
              </w:rPr>
              <w:t>Other Resources (government and non-government partners)</w:t>
            </w:r>
          </w:p>
          <w:p w14:paraId="6E5833BE" w14:textId="77777777" w:rsidR="00EB1316" w:rsidRPr="00875DE6" w:rsidRDefault="00EB1316" w:rsidP="009C5083">
            <w:pPr>
              <w:spacing w:after="0" w:line="240" w:lineRule="auto"/>
              <w:rPr>
                <w:sz w:val="20"/>
                <w:szCs w:val="20"/>
                <w:u w:val="single"/>
              </w:rPr>
            </w:pPr>
            <w:r>
              <w:rPr>
                <w:sz w:val="20"/>
                <w:szCs w:val="20"/>
                <w:u w:val="single"/>
              </w:rPr>
              <w:t>$3.253m</w:t>
            </w:r>
          </w:p>
        </w:tc>
      </w:tr>
      <w:tr w:rsidR="00EB1316" w:rsidRPr="00C7021E" w14:paraId="50AEF15A" w14:textId="77777777" w:rsidTr="009C5083">
        <w:trPr>
          <w:trHeight w:val="1853"/>
          <w:jc w:val="center"/>
        </w:trPr>
        <w:tc>
          <w:tcPr>
            <w:tcW w:w="1885" w:type="dxa"/>
            <w:vMerge/>
            <w:shd w:val="clear" w:color="auto" w:fill="FFFFFF"/>
            <w:vAlign w:val="center"/>
          </w:tcPr>
          <w:p w14:paraId="6F9EBBD5" w14:textId="77777777" w:rsidR="00EB1316" w:rsidRPr="00245A7E" w:rsidRDefault="00EB1316" w:rsidP="009C5083">
            <w:pPr>
              <w:spacing w:after="0" w:line="240" w:lineRule="auto"/>
              <w:rPr>
                <w:rFonts w:eastAsia="Calibri" w:cs="Times New Roman"/>
                <w:b/>
                <w:sz w:val="20"/>
                <w:szCs w:val="20"/>
                <w:lang w:val="en-GB" w:eastAsia="en-US"/>
              </w:rPr>
            </w:pPr>
          </w:p>
        </w:tc>
        <w:tc>
          <w:tcPr>
            <w:tcW w:w="540" w:type="dxa"/>
            <w:vMerge/>
            <w:shd w:val="clear" w:color="auto" w:fill="FFFFFF"/>
            <w:vAlign w:val="center"/>
          </w:tcPr>
          <w:p w14:paraId="3798C261" w14:textId="77777777" w:rsidR="00EB1316" w:rsidRPr="00C7021E" w:rsidRDefault="00EB1316" w:rsidP="009C5083">
            <w:pPr>
              <w:spacing w:after="0" w:line="240" w:lineRule="auto"/>
              <w:rPr>
                <w:rFonts w:eastAsia="Calibri" w:cs="Times New Roman"/>
                <w:b/>
                <w:sz w:val="20"/>
                <w:szCs w:val="20"/>
                <w:lang w:val="en-GB" w:eastAsia="en-US"/>
              </w:rPr>
            </w:pPr>
          </w:p>
        </w:tc>
        <w:tc>
          <w:tcPr>
            <w:tcW w:w="4950" w:type="dxa"/>
            <w:vMerge/>
            <w:shd w:val="clear" w:color="auto" w:fill="auto"/>
            <w:vAlign w:val="center"/>
          </w:tcPr>
          <w:p w14:paraId="7A65E192" w14:textId="77777777" w:rsidR="00EB1316" w:rsidRPr="00C7021E" w:rsidRDefault="00EB1316" w:rsidP="009C5083">
            <w:pPr>
              <w:spacing w:after="0" w:line="240" w:lineRule="auto"/>
              <w:rPr>
                <w:rFonts w:eastAsia="Calibri" w:cs="Times New Roman"/>
                <w:sz w:val="20"/>
                <w:szCs w:val="20"/>
                <w:lang w:val="en-GB" w:eastAsia="en-US"/>
              </w:rPr>
            </w:pPr>
          </w:p>
        </w:tc>
        <w:tc>
          <w:tcPr>
            <w:tcW w:w="1710" w:type="dxa"/>
            <w:shd w:val="clear" w:color="auto" w:fill="auto"/>
            <w:vAlign w:val="center"/>
          </w:tcPr>
          <w:p w14:paraId="318B922E" w14:textId="77777777" w:rsidR="00EB1316" w:rsidRPr="005D30BC" w:rsidRDefault="00EB1316" w:rsidP="009C5083">
            <w:pPr>
              <w:spacing w:after="0" w:line="240" w:lineRule="auto"/>
              <w:rPr>
                <w:color w:val="000000" w:themeColor="text1"/>
                <w:sz w:val="20"/>
                <w:szCs w:val="20"/>
                <w:u w:val="single"/>
              </w:rPr>
            </w:pPr>
            <w:r w:rsidRPr="005D30BC">
              <w:rPr>
                <w:color w:val="000000" w:themeColor="text1"/>
                <w:sz w:val="20"/>
                <w:szCs w:val="20"/>
                <w:u w:val="single"/>
              </w:rPr>
              <w:t xml:space="preserve">Other Resources </w:t>
            </w:r>
          </w:p>
          <w:p w14:paraId="5273B72A" w14:textId="77777777" w:rsidR="00EB1316" w:rsidRPr="005D30BC" w:rsidRDefault="00EB1316" w:rsidP="009C5083">
            <w:pPr>
              <w:spacing w:after="0" w:line="240" w:lineRule="auto"/>
              <w:rPr>
                <w:color w:val="000000" w:themeColor="text1"/>
                <w:sz w:val="20"/>
                <w:szCs w:val="20"/>
                <w:u w:val="single"/>
              </w:rPr>
            </w:pPr>
            <w:r w:rsidRPr="005D30BC">
              <w:rPr>
                <w:color w:val="000000" w:themeColor="text1"/>
                <w:sz w:val="20"/>
                <w:szCs w:val="20"/>
                <w:u w:val="single"/>
              </w:rPr>
              <w:t xml:space="preserve">(Non-government) </w:t>
            </w:r>
          </w:p>
          <w:p w14:paraId="3C46B8E6" w14:textId="77777777" w:rsidR="00EB1316" w:rsidRPr="005D30BC" w:rsidRDefault="00EB1316" w:rsidP="009C5083">
            <w:pPr>
              <w:spacing w:after="0" w:line="240" w:lineRule="auto"/>
              <w:rPr>
                <w:color w:val="000000" w:themeColor="text1"/>
                <w:sz w:val="20"/>
                <w:szCs w:val="20"/>
              </w:rPr>
            </w:pPr>
            <w:r>
              <w:rPr>
                <w:color w:val="000000" w:themeColor="text1"/>
                <w:sz w:val="20"/>
                <w:szCs w:val="20"/>
              </w:rPr>
              <w:t xml:space="preserve">Multilateral partners: </w:t>
            </w:r>
            <w:r w:rsidRPr="005D30BC">
              <w:rPr>
                <w:color w:val="000000" w:themeColor="text1"/>
                <w:sz w:val="20"/>
                <w:szCs w:val="20"/>
              </w:rPr>
              <w:t>$1</w:t>
            </w:r>
            <w:r>
              <w:rPr>
                <w:color w:val="000000" w:themeColor="text1"/>
                <w:sz w:val="20"/>
                <w:szCs w:val="20"/>
              </w:rPr>
              <w:t>.</w:t>
            </w:r>
            <w:r w:rsidRPr="005D30BC">
              <w:rPr>
                <w:color w:val="000000" w:themeColor="text1"/>
                <w:sz w:val="20"/>
                <w:szCs w:val="20"/>
              </w:rPr>
              <w:t>360</w:t>
            </w:r>
            <w:r>
              <w:rPr>
                <w:color w:val="000000" w:themeColor="text1"/>
                <w:sz w:val="20"/>
                <w:szCs w:val="20"/>
              </w:rPr>
              <w:t>b</w:t>
            </w:r>
          </w:p>
          <w:p w14:paraId="003025F4" w14:textId="77777777" w:rsidR="00EB1316" w:rsidRPr="005D30BC" w:rsidRDefault="00EB1316" w:rsidP="009C5083">
            <w:pPr>
              <w:spacing w:after="0" w:line="240" w:lineRule="auto"/>
              <w:rPr>
                <w:color w:val="000000" w:themeColor="text1"/>
                <w:sz w:val="20"/>
                <w:szCs w:val="20"/>
              </w:rPr>
            </w:pPr>
            <w:r w:rsidRPr="005D30BC">
              <w:rPr>
                <w:color w:val="000000" w:themeColor="text1"/>
                <w:sz w:val="20"/>
                <w:szCs w:val="20"/>
              </w:rPr>
              <w:t>Other partners: $64</w:t>
            </w:r>
            <w:r>
              <w:rPr>
                <w:color w:val="000000" w:themeColor="text1"/>
                <w:sz w:val="20"/>
                <w:szCs w:val="20"/>
              </w:rPr>
              <w:t>m</w:t>
            </w:r>
          </w:p>
        </w:tc>
        <w:tc>
          <w:tcPr>
            <w:tcW w:w="1620" w:type="dxa"/>
            <w:vMerge/>
            <w:shd w:val="clear" w:color="auto" w:fill="auto"/>
            <w:vAlign w:val="center"/>
          </w:tcPr>
          <w:p w14:paraId="522C9F50" w14:textId="77777777" w:rsidR="00EB1316" w:rsidRPr="00686108" w:rsidRDefault="00EB1316" w:rsidP="009C5083">
            <w:pPr>
              <w:spacing w:after="0" w:line="240" w:lineRule="auto"/>
              <w:rPr>
                <w:rFonts w:eastAsia="Calibri" w:cs="Times New Roman"/>
                <w:sz w:val="20"/>
                <w:szCs w:val="20"/>
                <w:highlight w:val="yellow"/>
                <w:lang w:val="en-GB" w:eastAsia="en-US"/>
              </w:rPr>
            </w:pPr>
          </w:p>
        </w:tc>
        <w:tc>
          <w:tcPr>
            <w:tcW w:w="1800" w:type="dxa"/>
            <w:vMerge/>
            <w:shd w:val="clear" w:color="auto" w:fill="FFFF00"/>
            <w:vAlign w:val="center"/>
          </w:tcPr>
          <w:p w14:paraId="14E89735" w14:textId="77777777" w:rsidR="00EB1316" w:rsidRPr="00686108" w:rsidRDefault="00EB1316" w:rsidP="009C5083">
            <w:pPr>
              <w:spacing w:after="0" w:line="240" w:lineRule="auto"/>
              <w:rPr>
                <w:rFonts w:eastAsia="Calibri" w:cs="Times New Roman"/>
                <w:sz w:val="20"/>
                <w:szCs w:val="20"/>
                <w:lang w:val="en-GB" w:eastAsia="en-US"/>
              </w:rPr>
            </w:pPr>
          </w:p>
        </w:tc>
        <w:tc>
          <w:tcPr>
            <w:tcW w:w="1800" w:type="dxa"/>
            <w:vMerge/>
            <w:shd w:val="clear" w:color="auto" w:fill="FFFF00"/>
            <w:vAlign w:val="center"/>
          </w:tcPr>
          <w:p w14:paraId="39FD97A2" w14:textId="77777777" w:rsidR="00EB1316" w:rsidRPr="00686108" w:rsidRDefault="00EB1316" w:rsidP="009C5083">
            <w:pPr>
              <w:spacing w:after="0" w:line="240" w:lineRule="auto"/>
              <w:rPr>
                <w:rFonts w:eastAsia="Calibri" w:cs="Times New Roman"/>
                <w:sz w:val="20"/>
                <w:szCs w:val="20"/>
                <w:lang w:val="en-GB" w:eastAsia="en-US"/>
              </w:rPr>
            </w:pPr>
          </w:p>
        </w:tc>
      </w:tr>
      <w:tr w:rsidR="00EB1316" w:rsidRPr="00C7021E" w14:paraId="04E0EEAB" w14:textId="77777777" w:rsidTr="009C5083">
        <w:trPr>
          <w:trHeight w:val="1790"/>
          <w:jc w:val="center"/>
        </w:trPr>
        <w:tc>
          <w:tcPr>
            <w:tcW w:w="1885" w:type="dxa"/>
            <w:vMerge/>
            <w:shd w:val="clear" w:color="auto" w:fill="FFFFFF"/>
            <w:vAlign w:val="center"/>
          </w:tcPr>
          <w:p w14:paraId="626DD8D1" w14:textId="77777777" w:rsidR="00EB1316" w:rsidRPr="00245A7E" w:rsidRDefault="00EB1316" w:rsidP="009C5083">
            <w:pPr>
              <w:spacing w:after="0" w:line="240" w:lineRule="auto"/>
              <w:rPr>
                <w:rFonts w:eastAsia="Calibri" w:cs="Times New Roman"/>
                <w:b/>
                <w:sz w:val="20"/>
                <w:szCs w:val="20"/>
                <w:lang w:val="en-GB" w:eastAsia="en-US"/>
              </w:rPr>
            </w:pPr>
          </w:p>
        </w:tc>
        <w:tc>
          <w:tcPr>
            <w:tcW w:w="540" w:type="dxa"/>
            <w:vMerge/>
            <w:shd w:val="clear" w:color="auto" w:fill="FFFFFF"/>
            <w:vAlign w:val="center"/>
          </w:tcPr>
          <w:p w14:paraId="2B23C2F0" w14:textId="77777777" w:rsidR="00EB1316" w:rsidRPr="00C7021E" w:rsidRDefault="00EB1316" w:rsidP="009C5083">
            <w:pPr>
              <w:spacing w:after="0" w:line="240" w:lineRule="auto"/>
              <w:rPr>
                <w:rFonts w:eastAsia="Calibri" w:cs="Times New Roman"/>
                <w:b/>
                <w:sz w:val="20"/>
                <w:szCs w:val="20"/>
                <w:lang w:val="en-GB" w:eastAsia="en-US"/>
              </w:rPr>
            </w:pPr>
          </w:p>
        </w:tc>
        <w:tc>
          <w:tcPr>
            <w:tcW w:w="4950" w:type="dxa"/>
            <w:vMerge/>
            <w:shd w:val="clear" w:color="auto" w:fill="auto"/>
            <w:vAlign w:val="center"/>
          </w:tcPr>
          <w:p w14:paraId="15FA3214" w14:textId="77777777" w:rsidR="00EB1316" w:rsidRPr="00C7021E" w:rsidRDefault="00EB1316" w:rsidP="009C5083">
            <w:pPr>
              <w:spacing w:after="0" w:line="240" w:lineRule="auto"/>
              <w:rPr>
                <w:rFonts w:eastAsia="Calibri" w:cs="Times New Roman"/>
                <w:sz w:val="20"/>
                <w:szCs w:val="20"/>
                <w:lang w:val="en-GB" w:eastAsia="en-US"/>
              </w:rPr>
            </w:pPr>
          </w:p>
        </w:tc>
        <w:tc>
          <w:tcPr>
            <w:tcW w:w="1710" w:type="dxa"/>
            <w:shd w:val="clear" w:color="auto" w:fill="auto"/>
            <w:vAlign w:val="center"/>
          </w:tcPr>
          <w:p w14:paraId="3A5FE848" w14:textId="77777777" w:rsidR="00EB1316" w:rsidRPr="006922CE" w:rsidRDefault="00EB1316" w:rsidP="009C5083">
            <w:pPr>
              <w:spacing w:after="0" w:line="240" w:lineRule="auto"/>
              <w:rPr>
                <w:sz w:val="20"/>
                <w:szCs w:val="20"/>
              </w:rPr>
            </w:pPr>
            <w:r w:rsidRPr="006922CE">
              <w:rPr>
                <w:sz w:val="20"/>
                <w:szCs w:val="20"/>
                <w:u w:val="single"/>
              </w:rPr>
              <w:t>Other Resources (Government Cost Sharing)</w:t>
            </w:r>
          </w:p>
          <w:p w14:paraId="0C5EE2C8" w14:textId="77777777" w:rsidR="00EB1316" w:rsidRPr="006922CE" w:rsidRDefault="00EB1316" w:rsidP="009C5083">
            <w:pPr>
              <w:spacing w:after="0" w:line="240" w:lineRule="auto"/>
              <w:rPr>
                <w:sz w:val="20"/>
                <w:szCs w:val="20"/>
              </w:rPr>
            </w:pPr>
            <w:r w:rsidRPr="006922CE">
              <w:rPr>
                <w:sz w:val="20"/>
                <w:szCs w:val="20"/>
              </w:rPr>
              <w:t>$1</w:t>
            </w:r>
            <w:r>
              <w:rPr>
                <w:sz w:val="20"/>
                <w:szCs w:val="20"/>
              </w:rPr>
              <w:t>.</w:t>
            </w:r>
            <w:r w:rsidRPr="006922CE">
              <w:rPr>
                <w:sz w:val="20"/>
                <w:szCs w:val="20"/>
              </w:rPr>
              <w:t>061</w:t>
            </w:r>
            <w:r>
              <w:rPr>
                <w:sz w:val="20"/>
                <w:szCs w:val="20"/>
              </w:rPr>
              <w:t>m</w:t>
            </w:r>
          </w:p>
        </w:tc>
        <w:tc>
          <w:tcPr>
            <w:tcW w:w="1620" w:type="dxa"/>
            <w:shd w:val="clear" w:color="auto" w:fill="auto"/>
            <w:vAlign w:val="center"/>
          </w:tcPr>
          <w:p w14:paraId="2F2ED738" w14:textId="77777777" w:rsidR="00EB1316" w:rsidRPr="009B0405" w:rsidRDefault="00EB1316" w:rsidP="009C5083">
            <w:pPr>
              <w:spacing w:after="0" w:line="240" w:lineRule="auto"/>
              <w:rPr>
                <w:sz w:val="20"/>
                <w:szCs w:val="20"/>
                <w:u w:val="single"/>
              </w:rPr>
            </w:pPr>
            <w:r w:rsidRPr="009B0405">
              <w:rPr>
                <w:sz w:val="20"/>
                <w:szCs w:val="20"/>
                <w:u w:val="single"/>
              </w:rPr>
              <w:t>Other Resources (Government Cost Sharing)</w:t>
            </w:r>
          </w:p>
          <w:p w14:paraId="33033A8A" w14:textId="77777777" w:rsidR="00EB1316" w:rsidRDefault="00EB1316" w:rsidP="009C5083">
            <w:pPr>
              <w:spacing w:after="0" w:line="240" w:lineRule="auto"/>
              <w:rPr>
                <w:sz w:val="20"/>
                <w:szCs w:val="20"/>
              </w:rPr>
            </w:pPr>
            <w:r w:rsidRPr="009B0405">
              <w:rPr>
                <w:sz w:val="20"/>
                <w:szCs w:val="20"/>
              </w:rPr>
              <w:t>$750</w:t>
            </w:r>
            <w:r>
              <w:rPr>
                <w:sz w:val="20"/>
                <w:szCs w:val="20"/>
              </w:rPr>
              <w:t>m</w:t>
            </w:r>
          </w:p>
          <w:p w14:paraId="1DE986A5" w14:textId="77777777" w:rsidR="00EB1316" w:rsidRPr="00453D2C" w:rsidRDefault="00EB1316" w:rsidP="009C5083">
            <w:pPr>
              <w:spacing w:after="0" w:line="240" w:lineRule="auto"/>
              <w:rPr>
                <w:sz w:val="20"/>
                <w:szCs w:val="20"/>
              </w:rPr>
            </w:pPr>
            <w:r w:rsidRPr="009B0405">
              <w:rPr>
                <w:sz w:val="20"/>
                <w:szCs w:val="20"/>
              </w:rPr>
              <w:t>(29.3% decrease from 2013</w:t>
            </w:r>
            <w:r>
              <w:rPr>
                <w:sz w:val="20"/>
                <w:szCs w:val="20"/>
              </w:rPr>
              <w:t>)</w:t>
            </w:r>
          </w:p>
        </w:tc>
        <w:tc>
          <w:tcPr>
            <w:tcW w:w="1800" w:type="dxa"/>
            <w:shd w:val="clear" w:color="auto" w:fill="auto"/>
            <w:vAlign w:val="center"/>
          </w:tcPr>
          <w:p w14:paraId="22DF187F" w14:textId="77777777" w:rsidR="00EB1316" w:rsidRPr="00567CAC" w:rsidRDefault="00EB1316" w:rsidP="009C5083">
            <w:pPr>
              <w:spacing w:after="0" w:line="240" w:lineRule="auto"/>
              <w:rPr>
                <w:sz w:val="20"/>
                <w:szCs w:val="20"/>
                <w:u w:val="single"/>
              </w:rPr>
            </w:pPr>
            <w:r w:rsidRPr="00567CAC">
              <w:rPr>
                <w:sz w:val="20"/>
                <w:szCs w:val="20"/>
                <w:u w:val="single"/>
              </w:rPr>
              <w:t>Other Resources (Government Cost Sharing)</w:t>
            </w:r>
          </w:p>
          <w:p w14:paraId="63BB8E96" w14:textId="77777777" w:rsidR="00EB1316" w:rsidRPr="00453D2C" w:rsidRDefault="00EB1316" w:rsidP="009C5083">
            <w:pPr>
              <w:spacing w:after="0" w:line="240" w:lineRule="auto"/>
              <w:rPr>
                <w:sz w:val="20"/>
                <w:szCs w:val="20"/>
              </w:rPr>
            </w:pPr>
            <w:r w:rsidRPr="001F244C">
              <w:rPr>
                <w:sz w:val="20"/>
                <w:szCs w:val="20"/>
              </w:rPr>
              <w:t>$851m</w:t>
            </w:r>
            <w:r w:rsidRPr="00567CAC">
              <w:rPr>
                <w:sz w:val="20"/>
                <w:szCs w:val="20"/>
              </w:rPr>
              <w:t xml:space="preserve"> (19.8% decrease from 2013)</w:t>
            </w:r>
          </w:p>
        </w:tc>
        <w:tc>
          <w:tcPr>
            <w:tcW w:w="1800" w:type="dxa"/>
            <w:shd w:val="clear" w:color="auto" w:fill="auto"/>
            <w:vAlign w:val="center"/>
          </w:tcPr>
          <w:p w14:paraId="2D59F127" w14:textId="77777777" w:rsidR="00EB1316" w:rsidRPr="00F8063A" w:rsidRDefault="00EB1316" w:rsidP="009C5083">
            <w:pPr>
              <w:spacing w:after="0" w:line="240" w:lineRule="auto"/>
              <w:rPr>
                <w:sz w:val="20"/>
                <w:szCs w:val="20"/>
                <w:u w:val="single"/>
              </w:rPr>
            </w:pPr>
            <w:r w:rsidRPr="00F8063A">
              <w:rPr>
                <w:sz w:val="20"/>
                <w:szCs w:val="20"/>
                <w:u w:val="single"/>
              </w:rPr>
              <w:t>Other Resources (Government Cost Sharing)</w:t>
            </w:r>
          </w:p>
          <w:p w14:paraId="6E8524C8" w14:textId="77777777" w:rsidR="00EB1316" w:rsidRPr="00567CAC" w:rsidRDefault="00EB1316" w:rsidP="009C5083">
            <w:pPr>
              <w:spacing w:after="0" w:line="240" w:lineRule="auto"/>
              <w:rPr>
                <w:sz w:val="20"/>
                <w:szCs w:val="20"/>
                <w:u w:val="single"/>
              </w:rPr>
            </w:pPr>
            <w:r w:rsidRPr="00F8063A">
              <w:rPr>
                <w:sz w:val="20"/>
                <w:szCs w:val="20"/>
                <w:u w:val="single"/>
              </w:rPr>
              <w:t>$750</w:t>
            </w:r>
            <w:r>
              <w:rPr>
                <w:sz w:val="20"/>
                <w:szCs w:val="20"/>
                <w:u w:val="single"/>
              </w:rPr>
              <w:t>m</w:t>
            </w:r>
          </w:p>
        </w:tc>
      </w:tr>
      <w:tr w:rsidR="00EB1316" w:rsidRPr="00C7021E" w14:paraId="47B31961" w14:textId="77777777" w:rsidTr="009C5083">
        <w:trPr>
          <w:trHeight w:val="365"/>
          <w:jc w:val="center"/>
        </w:trPr>
        <w:tc>
          <w:tcPr>
            <w:tcW w:w="1885" w:type="dxa"/>
            <w:vMerge/>
            <w:shd w:val="clear" w:color="auto" w:fill="FFFFFF"/>
            <w:vAlign w:val="center"/>
          </w:tcPr>
          <w:p w14:paraId="4430B9B6" w14:textId="77777777" w:rsidR="00EB1316" w:rsidRPr="00245A7E" w:rsidRDefault="00EB1316" w:rsidP="009C5083">
            <w:pPr>
              <w:spacing w:after="0" w:line="240" w:lineRule="auto"/>
              <w:rPr>
                <w:rFonts w:eastAsia="Calibri" w:cs="Times New Roman"/>
                <w:b/>
                <w:sz w:val="20"/>
                <w:szCs w:val="20"/>
                <w:lang w:val="en-GB" w:eastAsia="en-US"/>
              </w:rPr>
            </w:pPr>
          </w:p>
        </w:tc>
        <w:tc>
          <w:tcPr>
            <w:tcW w:w="540" w:type="dxa"/>
            <w:vMerge/>
            <w:shd w:val="clear" w:color="auto" w:fill="FFFFFF"/>
            <w:vAlign w:val="center"/>
          </w:tcPr>
          <w:p w14:paraId="1C515FAC" w14:textId="77777777" w:rsidR="00EB1316" w:rsidRPr="00C7021E" w:rsidRDefault="00EB1316" w:rsidP="009C5083">
            <w:pPr>
              <w:spacing w:after="0" w:line="240" w:lineRule="auto"/>
              <w:rPr>
                <w:rFonts w:eastAsia="Calibri" w:cs="Times New Roman"/>
                <w:b/>
                <w:sz w:val="20"/>
                <w:szCs w:val="20"/>
                <w:lang w:val="en-GB" w:eastAsia="en-US"/>
              </w:rPr>
            </w:pPr>
          </w:p>
        </w:tc>
        <w:tc>
          <w:tcPr>
            <w:tcW w:w="11880" w:type="dxa"/>
            <w:gridSpan w:val="5"/>
            <w:shd w:val="clear" w:color="auto" w:fill="D9D9D9" w:themeFill="background1" w:themeFillShade="D9"/>
            <w:vAlign w:val="center"/>
          </w:tcPr>
          <w:p w14:paraId="78D01A2E" w14:textId="77777777" w:rsidR="00EB1316" w:rsidRDefault="00EB1316" w:rsidP="009C5083">
            <w:pPr>
              <w:spacing w:after="0" w:line="240" w:lineRule="auto"/>
              <w:rPr>
                <w:rFonts w:ascii="Calibri" w:eastAsia="Calibri" w:hAnsi="Calibri"/>
                <w:sz w:val="18"/>
                <w:szCs w:val="18"/>
              </w:rPr>
            </w:pPr>
            <w:r w:rsidRPr="0093280F">
              <w:rPr>
                <w:rFonts w:ascii="Calibri" w:eastAsia="Calibri" w:hAnsi="Calibri"/>
                <w:b/>
                <w:sz w:val="18"/>
                <w:szCs w:val="18"/>
              </w:rPr>
              <w:t>Note</w:t>
            </w:r>
            <w:r w:rsidRPr="0093280F">
              <w:rPr>
                <w:rFonts w:ascii="Calibri" w:eastAsia="Calibri" w:hAnsi="Calibri"/>
                <w:sz w:val="18"/>
                <w:szCs w:val="18"/>
              </w:rPr>
              <w:t xml:space="preserve">: </w:t>
            </w:r>
            <w:r>
              <w:rPr>
                <w:rFonts w:ascii="Calibri" w:eastAsia="Calibri" w:hAnsi="Calibri"/>
                <w:sz w:val="18"/>
                <w:szCs w:val="18"/>
              </w:rPr>
              <w:t xml:space="preserve">Amounts in each year are in million, and represent the level of resources expected </w:t>
            </w:r>
            <w:r w:rsidRPr="00FB27A4">
              <w:rPr>
                <w:rFonts w:ascii="Calibri" w:eastAsia="Calibri" w:hAnsi="Calibri"/>
                <w:sz w:val="18"/>
                <w:szCs w:val="18"/>
                <w:u w:val="single"/>
              </w:rPr>
              <w:t>in that year</w:t>
            </w:r>
            <w:r>
              <w:rPr>
                <w:rFonts w:ascii="Calibri" w:eastAsia="Calibri" w:hAnsi="Calibri"/>
                <w:sz w:val="18"/>
                <w:szCs w:val="18"/>
              </w:rPr>
              <w:t xml:space="preserve"> (non-cumulative) for the category. The cumulative amounts targeted in the 2014-2017 period are: Total = $19,359; Regular Resources = $3,600; Other Resources (government and non-government partners) = $12,759; and Other Resources (government Cost Sharing) = $3,000.</w:t>
            </w:r>
          </w:p>
          <w:p w14:paraId="6289489A" w14:textId="77777777" w:rsidR="00EB1316" w:rsidRPr="0093280F" w:rsidRDefault="00EB1316" w:rsidP="009C5083">
            <w:pPr>
              <w:spacing w:after="0" w:line="240" w:lineRule="auto"/>
              <w:rPr>
                <w:rFonts w:ascii="Calibri" w:eastAsia="Calibri" w:hAnsi="Calibri"/>
                <w:b/>
                <w:sz w:val="18"/>
                <w:szCs w:val="18"/>
              </w:rPr>
            </w:pPr>
            <w:r w:rsidRPr="0093280F">
              <w:rPr>
                <w:rFonts w:ascii="Calibri" w:eastAsia="Calibri" w:hAnsi="Calibri"/>
                <w:sz w:val="18"/>
                <w:szCs w:val="18"/>
              </w:rPr>
              <w:t>Non-government</w:t>
            </w:r>
            <w:r>
              <w:rPr>
                <w:rFonts w:ascii="Calibri" w:eastAsia="Calibri" w:hAnsi="Calibri"/>
                <w:sz w:val="18"/>
                <w:szCs w:val="18"/>
              </w:rPr>
              <w:t xml:space="preserve"> includes:</w:t>
            </w:r>
            <w:r w:rsidRPr="0093280F">
              <w:rPr>
                <w:rFonts w:ascii="Calibri" w:eastAsia="Calibri" w:hAnsi="Calibri"/>
                <w:sz w:val="18"/>
                <w:szCs w:val="18"/>
              </w:rPr>
              <w:t xml:space="preserve"> </w:t>
            </w:r>
            <w:r w:rsidRPr="002B2732">
              <w:rPr>
                <w:sz w:val="18"/>
                <w:lang w:val="en-GB"/>
              </w:rPr>
              <w:t xml:space="preserve">UN System, MPTFs, World Bank Group, EU, regional banks, vertical funds, NGOs/CSOs, private sector and foundations. </w:t>
            </w:r>
            <w:r>
              <w:rPr>
                <w:rFonts w:ascii="Calibri" w:eastAsia="Calibri" w:hAnsi="Calibri"/>
                <w:sz w:val="18"/>
                <w:szCs w:val="18"/>
              </w:rPr>
              <w:t>In 2013 UNDP received $1,360 million from multilateral partners (UN system, MPTFs, EU, World Bank Group, regional banks and vertical funds) and $64 million from other partners (private sector, foundations, NGOs/CSOs, etc.).</w:t>
            </w:r>
          </w:p>
        </w:tc>
      </w:tr>
      <w:tr w:rsidR="00EB1316" w:rsidRPr="00C7021E" w14:paraId="77E5F9E9" w14:textId="77777777" w:rsidTr="009C5083">
        <w:trPr>
          <w:trHeight w:val="422"/>
          <w:jc w:val="center"/>
        </w:trPr>
        <w:tc>
          <w:tcPr>
            <w:tcW w:w="1885" w:type="dxa"/>
            <w:vMerge/>
            <w:shd w:val="clear" w:color="auto" w:fill="FFFFFF"/>
            <w:vAlign w:val="center"/>
          </w:tcPr>
          <w:p w14:paraId="3CE18B7C"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vMerge w:val="restart"/>
            <w:shd w:val="clear" w:color="auto" w:fill="auto"/>
            <w:vAlign w:val="center"/>
          </w:tcPr>
          <w:p w14:paraId="33B0E771" w14:textId="77777777" w:rsidR="00EB1316" w:rsidRPr="00C7021E" w:rsidRDefault="00EB1316" w:rsidP="009C5083">
            <w:pPr>
              <w:spacing w:after="0" w:line="240" w:lineRule="auto"/>
              <w:rPr>
                <w:rFonts w:eastAsia="Calibri" w:cs="Times New Roman"/>
                <w:b/>
                <w:sz w:val="20"/>
                <w:szCs w:val="20"/>
                <w:lang w:val="en-GB" w:eastAsia="en-US"/>
              </w:rPr>
            </w:pPr>
            <w:r>
              <w:rPr>
                <w:rFonts w:eastAsia="Calibri" w:cs="Times New Roman"/>
                <w:b/>
                <w:sz w:val="20"/>
                <w:szCs w:val="20"/>
                <w:lang w:val="en-GB" w:eastAsia="en-US"/>
              </w:rPr>
              <w:t>36</w:t>
            </w:r>
            <w:r w:rsidRPr="00C7021E">
              <w:rPr>
                <w:rFonts w:eastAsia="Calibri" w:cs="Times New Roman"/>
                <w:b/>
                <w:sz w:val="20"/>
                <w:szCs w:val="20"/>
                <w:lang w:val="en-GB" w:eastAsia="en-US"/>
              </w:rPr>
              <w:t>.</w:t>
            </w:r>
          </w:p>
        </w:tc>
        <w:tc>
          <w:tcPr>
            <w:tcW w:w="4950" w:type="dxa"/>
            <w:shd w:val="clear" w:color="auto" w:fill="auto"/>
            <w:vAlign w:val="center"/>
          </w:tcPr>
          <w:p w14:paraId="24ABBA43" w14:textId="77777777" w:rsidR="00EB1316" w:rsidRPr="00C7021E" w:rsidRDefault="00EB1316" w:rsidP="009C5083">
            <w:pPr>
              <w:spacing w:after="0" w:line="240" w:lineRule="auto"/>
              <w:rPr>
                <w:rFonts w:eastAsia="Calibri" w:cs="Times New Roman"/>
                <w:sz w:val="20"/>
                <w:szCs w:val="20"/>
                <w:lang w:val="en-GB" w:eastAsia="en-US"/>
              </w:rPr>
            </w:pPr>
            <w:r w:rsidRPr="00C7021E">
              <w:rPr>
                <w:rFonts w:eastAsia="Calibri" w:cs="Times New Roman"/>
                <w:color w:val="000000"/>
                <w:sz w:val="20"/>
                <w:szCs w:val="20"/>
                <w:lang w:val="en-GB" w:eastAsia="en-US"/>
              </w:rPr>
              <w:t>Percentage of partners perceiving UNDP as a valued partner to their organization</w:t>
            </w:r>
          </w:p>
        </w:tc>
        <w:tc>
          <w:tcPr>
            <w:tcW w:w="1710" w:type="dxa"/>
            <w:shd w:val="clear" w:color="auto" w:fill="auto"/>
            <w:vAlign w:val="center"/>
          </w:tcPr>
          <w:p w14:paraId="6B155881" w14:textId="77777777" w:rsidR="00EB1316" w:rsidRPr="00FD3653" w:rsidRDefault="00EB1316" w:rsidP="009C5083">
            <w:pPr>
              <w:spacing w:after="0"/>
              <w:jc w:val="center"/>
              <w:rPr>
                <w:rFonts w:ascii="Calibri" w:eastAsia="Calibri" w:hAnsi="Calibri"/>
                <w:iCs/>
                <w:sz w:val="20"/>
              </w:rPr>
            </w:pPr>
            <w:r w:rsidRPr="00FD3653">
              <w:rPr>
                <w:rFonts w:ascii="Calibri" w:eastAsia="Calibri" w:hAnsi="Calibri"/>
                <w:iCs/>
                <w:sz w:val="20"/>
              </w:rPr>
              <w:t>87% (2012)</w:t>
            </w:r>
          </w:p>
        </w:tc>
        <w:tc>
          <w:tcPr>
            <w:tcW w:w="1620" w:type="dxa"/>
            <w:shd w:val="clear" w:color="auto" w:fill="auto"/>
            <w:vAlign w:val="center"/>
          </w:tcPr>
          <w:p w14:paraId="2CF14799" w14:textId="77777777" w:rsidR="00EB1316" w:rsidRPr="00FD3653" w:rsidRDefault="00EB1316" w:rsidP="009C5083">
            <w:pPr>
              <w:spacing w:after="0"/>
              <w:jc w:val="center"/>
              <w:rPr>
                <w:rFonts w:ascii="Calibri" w:eastAsia="Calibri" w:hAnsi="Calibri"/>
                <w:sz w:val="20"/>
              </w:rPr>
            </w:pPr>
            <w:r>
              <w:rPr>
                <w:rFonts w:ascii="Calibri" w:eastAsia="Calibri" w:hAnsi="Calibri"/>
                <w:sz w:val="20"/>
              </w:rPr>
              <w:t>Not available</w:t>
            </w:r>
          </w:p>
        </w:tc>
        <w:tc>
          <w:tcPr>
            <w:tcW w:w="1800" w:type="dxa"/>
            <w:shd w:val="clear" w:color="auto" w:fill="auto"/>
            <w:vAlign w:val="center"/>
          </w:tcPr>
          <w:p w14:paraId="3F548070" w14:textId="77777777" w:rsidR="00EB1316" w:rsidRPr="00DB6942" w:rsidRDefault="00EB1316" w:rsidP="009C5083">
            <w:pPr>
              <w:spacing w:after="0"/>
              <w:jc w:val="center"/>
              <w:rPr>
                <w:rFonts w:ascii="Calibri" w:eastAsia="Calibri" w:hAnsi="Calibri"/>
                <w:sz w:val="20"/>
              </w:rPr>
            </w:pPr>
            <w:r w:rsidRPr="00DB6942">
              <w:rPr>
                <w:rFonts w:ascii="Calibri" w:eastAsia="Calibri" w:hAnsi="Calibri"/>
                <w:bCs/>
                <w:sz w:val="20"/>
              </w:rPr>
              <w:t>90%</w:t>
            </w:r>
          </w:p>
        </w:tc>
        <w:tc>
          <w:tcPr>
            <w:tcW w:w="1800" w:type="dxa"/>
            <w:shd w:val="clear" w:color="auto" w:fill="auto"/>
            <w:vAlign w:val="center"/>
          </w:tcPr>
          <w:p w14:paraId="27D029F2" w14:textId="77777777" w:rsidR="00EB1316" w:rsidRPr="00DB6942" w:rsidRDefault="00EB1316" w:rsidP="009C5083">
            <w:pPr>
              <w:spacing w:after="0"/>
              <w:jc w:val="center"/>
              <w:rPr>
                <w:rFonts w:ascii="Calibri" w:eastAsia="Calibri" w:hAnsi="Calibri"/>
                <w:bCs/>
                <w:sz w:val="20"/>
              </w:rPr>
            </w:pPr>
            <w:r w:rsidRPr="003D3930">
              <w:rPr>
                <w:rFonts w:ascii="Calibri" w:eastAsia="Calibri" w:hAnsi="Calibri"/>
                <w:bCs/>
                <w:sz w:val="20"/>
              </w:rPr>
              <w:t>90%</w:t>
            </w:r>
          </w:p>
        </w:tc>
      </w:tr>
      <w:tr w:rsidR="00EB1316" w:rsidRPr="00C7021E" w14:paraId="50B4EFB9" w14:textId="77777777" w:rsidTr="009C5083">
        <w:trPr>
          <w:trHeight w:val="422"/>
          <w:jc w:val="center"/>
        </w:trPr>
        <w:tc>
          <w:tcPr>
            <w:tcW w:w="1885" w:type="dxa"/>
            <w:vMerge/>
            <w:shd w:val="clear" w:color="auto" w:fill="FFFFFF"/>
            <w:vAlign w:val="center"/>
          </w:tcPr>
          <w:p w14:paraId="4CB1470C"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vMerge/>
            <w:shd w:val="clear" w:color="auto" w:fill="FFFFFF"/>
            <w:vAlign w:val="center"/>
          </w:tcPr>
          <w:p w14:paraId="47FF6450" w14:textId="77777777" w:rsidR="00EB1316" w:rsidRPr="00C7021E" w:rsidRDefault="00EB1316" w:rsidP="009C5083">
            <w:pPr>
              <w:spacing w:after="0" w:line="240" w:lineRule="auto"/>
              <w:rPr>
                <w:rFonts w:eastAsia="Calibri" w:cs="Times New Roman"/>
                <w:b/>
                <w:sz w:val="20"/>
                <w:szCs w:val="20"/>
                <w:lang w:val="en-GB" w:eastAsia="en-US"/>
              </w:rPr>
            </w:pPr>
          </w:p>
        </w:tc>
        <w:tc>
          <w:tcPr>
            <w:tcW w:w="11880" w:type="dxa"/>
            <w:gridSpan w:val="5"/>
            <w:shd w:val="clear" w:color="auto" w:fill="D9D9D9" w:themeFill="background1" w:themeFillShade="D9"/>
            <w:vAlign w:val="center"/>
          </w:tcPr>
          <w:p w14:paraId="2BB81972" w14:textId="77777777" w:rsidR="00EB1316" w:rsidRPr="002C74D1" w:rsidRDefault="00EB1316" w:rsidP="009C5083">
            <w:pPr>
              <w:spacing w:after="0" w:line="240" w:lineRule="auto"/>
              <w:rPr>
                <w:rFonts w:ascii="Calibri" w:eastAsia="Calibri" w:hAnsi="Calibri"/>
                <w:b/>
                <w:sz w:val="18"/>
                <w:szCs w:val="18"/>
              </w:rPr>
            </w:pPr>
            <w:r w:rsidRPr="002C74D1">
              <w:rPr>
                <w:rFonts w:ascii="Calibri" w:eastAsia="Calibri" w:hAnsi="Calibri"/>
                <w:b/>
                <w:sz w:val="18"/>
                <w:szCs w:val="18"/>
              </w:rPr>
              <w:t>Note</w:t>
            </w:r>
            <w:r w:rsidRPr="002C74D1">
              <w:rPr>
                <w:rFonts w:ascii="Calibri" w:eastAsia="Calibri" w:hAnsi="Calibri"/>
                <w:sz w:val="18"/>
                <w:szCs w:val="18"/>
              </w:rPr>
              <w:t xml:space="preserve">: </w:t>
            </w:r>
            <w:r w:rsidRPr="002C74D1">
              <w:rPr>
                <w:sz w:val="18"/>
                <w:szCs w:val="18"/>
                <w:lang w:val="en-GB"/>
              </w:rPr>
              <w:t>Partner Surveys are carried out every 2 years. The 2012 Partner Survey exercise was limited to country-level partners, such that perceptions of partners from HQ locations and donor capitals were not captured, resulting in a partial or limited coverage. The methodology and sampling frame have been reformulated, such that the 2015 survey will include the following partners in HQ and partner country locations: Governments; United Nations Agencies, Funds and Programmes; IFIs and Multilateral Organizations (the World Bank, EU, etc.); NGOs / CSOs; Private sector; Foundations; and Others.</w:t>
            </w:r>
          </w:p>
        </w:tc>
      </w:tr>
      <w:tr w:rsidR="00EB1316" w:rsidRPr="00C7021E" w14:paraId="3361E0A7" w14:textId="77777777" w:rsidTr="009C5083">
        <w:trPr>
          <w:trHeight w:val="422"/>
          <w:jc w:val="center"/>
        </w:trPr>
        <w:tc>
          <w:tcPr>
            <w:tcW w:w="1885" w:type="dxa"/>
            <w:vMerge/>
            <w:shd w:val="clear" w:color="auto" w:fill="FFFFFF"/>
            <w:vAlign w:val="center"/>
          </w:tcPr>
          <w:p w14:paraId="485D66B8"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vMerge w:val="restart"/>
            <w:shd w:val="clear" w:color="auto" w:fill="FFFFFF" w:themeFill="background1"/>
            <w:vAlign w:val="center"/>
          </w:tcPr>
          <w:p w14:paraId="423A8ADE"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3</w:t>
            </w:r>
            <w:r>
              <w:rPr>
                <w:rFonts w:eastAsia="Calibri" w:cs="Times New Roman"/>
                <w:b/>
                <w:sz w:val="20"/>
                <w:szCs w:val="20"/>
                <w:lang w:val="en-GB" w:eastAsia="en-US"/>
              </w:rPr>
              <w:t>7</w:t>
            </w:r>
            <w:r w:rsidRPr="00C7021E">
              <w:rPr>
                <w:rFonts w:eastAsia="Calibri" w:cs="Times New Roman"/>
                <w:b/>
                <w:sz w:val="20"/>
                <w:szCs w:val="20"/>
                <w:lang w:val="en-GB" w:eastAsia="en-US"/>
              </w:rPr>
              <w:t>.</w:t>
            </w:r>
          </w:p>
        </w:tc>
        <w:tc>
          <w:tcPr>
            <w:tcW w:w="4950" w:type="dxa"/>
            <w:shd w:val="clear" w:color="auto" w:fill="FFFFFF" w:themeFill="background1"/>
            <w:vAlign w:val="center"/>
          </w:tcPr>
          <w:p w14:paraId="5AEE414F" w14:textId="77777777" w:rsidR="00EB1316" w:rsidRPr="00C7021E" w:rsidRDefault="00EB1316" w:rsidP="009C5083">
            <w:pPr>
              <w:spacing w:after="0" w:line="240" w:lineRule="auto"/>
              <w:rPr>
                <w:rFonts w:eastAsia="Calibri" w:cs="Times New Roman"/>
                <w:color w:val="000000"/>
                <w:sz w:val="20"/>
                <w:szCs w:val="20"/>
                <w:lang w:val="en-GB" w:eastAsia="en-US"/>
              </w:rPr>
            </w:pPr>
            <w:r w:rsidRPr="00C7021E">
              <w:rPr>
                <w:rFonts w:eastAsia="Calibri" w:cs="Times New Roman"/>
                <w:color w:val="000000"/>
                <w:sz w:val="20"/>
                <w:szCs w:val="20"/>
                <w:lang w:val="en-GB" w:eastAsia="en-US"/>
              </w:rPr>
              <w:t xml:space="preserve">Percentage of Member States giving positive feedback on the quality of corporate reporting on results and mandates </w:t>
            </w:r>
            <w:r w:rsidRPr="00C7021E">
              <w:rPr>
                <w:rFonts w:eastAsia="Calibri" w:cs="Times New Roman"/>
                <w:b/>
                <w:color w:val="000000"/>
                <w:sz w:val="20"/>
                <w:szCs w:val="20"/>
                <w:shd w:val="clear" w:color="auto" w:fill="FFFFFF"/>
                <w:lang w:eastAsia="en-US"/>
              </w:rPr>
              <w:t>[COMMON QCPR INDICATOR]</w:t>
            </w:r>
          </w:p>
        </w:tc>
        <w:tc>
          <w:tcPr>
            <w:tcW w:w="1710" w:type="dxa"/>
            <w:shd w:val="clear" w:color="auto" w:fill="FFFFFF" w:themeFill="background1"/>
            <w:vAlign w:val="center"/>
          </w:tcPr>
          <w:p w14:paraId="014C6BAA" w14:textId="77777777" w:rsidR="00EB1316" w:rsidRPr="00BB2D00" w:rsidRDefault="00EB1316" w:rsidP="009C5083">
            <w:pPr>
              <w:spacing w:after="0"/>
              <w:jc w:val="center"/>
              <w:rPr>
                <w:rFonts w:ascii="Calibri" w:eastAsia="Calibri" w:hAnsi="Calibri"/>
                <w:sz w:val="20"/>
              </w:rPr>
            </w:pPr>
            <w:r w:rsidRPr="00BB2D00">
              <w:rPr>
                <w:rFonts w:ascii="Calibri" w:eastAsia="Calibri" w:hAnsi="Calibri"/>
                <w:sz w:val="20"/>
              </w:rPr>
              <w:t>TBD</w:t>
            </w:r>
          </w:p>
        </w:tc>
        <w:tc>
          <w:tcPr>
            <w:tcW w:w="1620" w:type="dxa"/>
            <w:shd w:val="clear" w:color="auto" w:fill="FFFFFF" w:themeFill="background1"/>
            <w:vAlign w:val="center"/>
          </w:tcPr>
          <w:p w14:paraId="6BCB04D0" w14:textId="77777777" w:rsidR="00EB1316" w:rsidRPr="00BB2D00" w:rsidRDefault="00EB1316" w:rsidP="009C5083">
            <w:pPr>
              <w:spacing w:after="0"/>
              <w:jc w:val="center"/>
              <w:rPr>
                <w:rFonts w:ascii="Calibri" w:eastAsia="Calibri" w:hAnsi="Calibri"/>
                <w:sz w:val="20"/>
              </w:rPr>
            </w:pPr>
            <w:r>
              <w:rPr>
                <w:rFonts w:ascii="Calibri" w:eastAsia="Calibri" w:hAnsi="Calibri"/>
                <w:sz w:val="20"/>
              </w:rPr>
              <w:t>Not available</w:t>
            </w:r>
          </w:p>
        </w:tc>
        <w:tc>
          <w:tcPr>
            <w:tcW w:w="1800" w:type="dxa"/>
            <w:shd w:val="clear" w:color="auto" w:fill="FFFFFF" w:themeFill="background1"/>
            <w:vAlign w:val="center"/>
          </w:tcPr>
          <w:p w14:paraId="66849845" w14:textId="77777777" w:rsidR="00EB1316" w:rsidRPr="00BB2D00" w:rsidRDefault="00EB1316" w:rsidP="009C5083">
            <w:pPr>
              <w:spacing w:after="0"/>
              <w:jc w:val="center"/>
              <w:rPr>
                <w:rFonts w:ascii="Calibri" w:eastAsia="Calibri" w:hAnsi="Calibri"/>
                <w:sz w:val="20"/>
              </w:rPr>
            </w:pPr>
            <w:r>
              <w:rPr>
                <w:rFonts w:ascii="Calibri" w:eastAsia="Calibri" w:hAnsi="Calibri"/>
                <w:sz w:val="20"/>
              </w:rPr>
              <w:t>Not available</w:t>
            </w:r>
          </w:p>
        </w:tc>
        <w:tc>
          <w:tcPr>
            <w:tcW w:w="1800" w:type="dxa"/>
            <w:shd w:val="clear" w:color="auto" w:fill="FFFFFF" w:themeFill="background1"/>
            <w:vAlign w:val="center"/>
          </w:tcPr>
          <w:p w14:paraId="07D28C6D" w14:textId="77777777" w:rsidR="00EB1316" w:rsidRDefault="00EB1316" w:rsidP="009C5083">
            <w:pPr>
              <w:spacing w:after="0"/>
              <w:jc w:val="center"/>
              <w:rPr>
                <w:rFonts w:ascii="Calibri" w:eastAsia="Calibri" w:hAnsi="Calibri"/>
                <w:sz w:val="20"/>
              </w:rPr>
            </w:pPr>
            <w:r>
              <w:rPr>
                <w:rFonts w:ascii="Calibri" w:eastAsia="Calibri" w:hAnsi="Calibri"/>
                <w:sz w:val="20"/>
              </w:rPr>
              <w:t>TBD</w:t>
            </w:r>
          </w:p>
        </w:tc>
      </w:tr>
      <w:tr w:rsidR="00EB1316" w:rsidRPr="00C7021E" w14:paraId="63395570" w14:textId="77777777" w:rsidTr="009C5083">
        <w:trPr>
          <w:trHeight w:val="224"/>
          <w:jc w:val="center"/>
        </w:trPr>
        <w:tc>
          <w:tcPr>
            <w:tcW w:w="1885" w:type="dxa"/>
            <w:vMerge/>
            <w:shd w:val="clear" w:color="auto" w:fill="FFFFFF"/>
            <w:vAlign w:val="center"/>
          </w:tcPr>
          <w:p w14:paraId="4CF44334"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vMerge/>
            <w:shd w:val="clear" w:color="auto" w:fill="FFFFFF"/>
            <w:vAlign w:val="center"/>
          </w:tcPr>
          <w:p w14:paraId="51C3083E" w14:textId="77777777" w:rsidR="00EB1316" w:rsidRPr="00C7021E" w:rsidRDefault="00EB1316" w:rsidP="009C5083">
            <w:pPr>
              <w:spacing w:after="0" w:line="240" w:lineRule="auto"/>
              <w:rPr>
                <w:rFonts w:eastAsia="Calibri" w:cs="Times New Roman"/>
                <w:b/>
                <w:sz w:val="20"/>
                <w:szCs w:val="20"/>
                <w:lang w:val="en-GB" w:eastAsia="en-US"/>
              </w:rPr>
            </w:pPr>
          </w:p>
        </w:tc>
        <w:tc>
          <w:tcPr>
            <w:tcW w:w="11880" w:type="dxa"/>
            <w:gridSpan w:val="5"/>
            <w:shd w:val="clear" w:color="auto" w:fill="D9D9D9" w:themeFill="background1" w:themeFillShade="D9"/>
            <w:vAlign w:val="center"/>
          </w:tcPr>
          <w:p w14:paraId="42201102" w14:textId="77777777" w:rsidR="00EB1316" w:rsidRPr="006F08A9" w:rsidRDefault="00EB1316" w:rsidP="009C5083">
            <w:pPr>
              <w:spacing w:after="0" w:line="240" w:lineRule="auto"/>
              <w:rPr>
                <w:rFonts w:ascii="Calibri" w:eastAsia="Calibri" w:hAnsi="Calibri"/>
                <w:b/>
                <w:sz w:val="18"/>
                <w:szCs w:val="18"/>
              </w:rPr>
            </w:pPr>
            <w:r w:rsidRPr="006F08A9">
              <w:rPr>
                <w:rFonts w:ascii="Calibri" w:eastAsia="Calibri" w:hAnsi="Calibri"/>
                <w:b/>
                <w:sz w:val="18"/>
                <w:szCs w:val="18"/>
              </w:rPr>
              <w:t>Note</w:t>
            </w:r>
            <w:r w:rsidRPr="006F08A9">
              <w:rPr>
                <w:rFonts w:ascii="Calibri" w:eastAsia="Calibri" w:hAnsi="Calibri"/>
                <w:sz w:val="18"/>
                <w:szCs w:val="18"/>
              </w:rPr>
              <w:t xml:space="preserve">: </w:t>
            </w:r>
            <w:r>
              <w:rPr>
                <w:rFonts w:ascii="Calibri" w:eastAsia="Calibri" w:hAnsi="Calibri"/>
                <w:sz w:val="18"/>
                <w:szCs w:val="18"/>
              </w:rPr>
              <w:t>The first survey to calculate this indicator will be done after the September 2015 EB session in order to collect Member States’ feedback on quality of reporting related to the UNDP Strategic Plan 2014-2017</w:t>
            </w:r>
          </w:p>
        </w:tc>
      </w:tr>
      <w:tr w:rsidR="00EB1316" w:rsidRPr="00C7021E" w14:paraId="31163291" w14:textId="77777777" w:rsidTr="009C5083">
        <w:trPr>
          <w:trHeight w:val="422"/>
          <w:jc w:val="center"/>
        </w:trPr>
        <w:tc>
          <w:tcPr>
            <w:tcW w:w="1885" w:type="dxa"/>
            <w:vMerge/>
            <w:shd w:val="clear" w:color="auto" w:fill="FFFFFF"/>
            <w:vAlign w:val="center"/>
          </w:tcPr>
          <w:p w14:paraId="298F901E" w14:textId="77777777" w:rsidR="00EB1316" w:rsidRPr="00C7021E" w:rsidRDefault="00EB1316" w:rsidP="009C5083">
            <w:pPr>
              <w:spacing w:after="0" w:line="240" w:lineRule="auto"/>
              <w:rPr>
                <w:rFonts w:eastAsia="Calibri" w:cs="Times New Roman"/>
                <w:sz w:val="20"/>
                <w:szCs w:val="20"/>
                <w:lang w:val="en-GB" w:eastAsia="en-US"/>
              </w:rPr>
            </w:pPr>
          </w:p>
        </w:tc>
        <w:tc>
          <w:tcPr>
            <w:tcW w:w="540" w:type="dxa"/>
            <w:shd w:val="clear" w:color="auto" w:fill="auto"/>
            <w:vAlign w:val="center"/>
          </w:tcPr>
          <w:p w14:paraId="03988DFE"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3</w:t>
            </w:r>
            <w:r>
              <w:rPr>
                <w:rFonts w:eastAsia="Calibri" w:cs="Times New Roman"/>
                <w:b/>
                <w:sz w:val="20"/>
                <w:szCs w:val="20"/>
                <w:lang w:val="en-GB" w:eastAsia="en-US"/>
              </w:rPr>
              <w:t>8</w:t>
            </w:r>
            <w:r w:rsidRPr="00C7021E">
              <w:rPr>
                <w:rFonts w:eastAsia="Calibri" w:cs="Times New Roman"/>
                <w:b/>
                <w:sz w:val="20"/>
                <w:szCs w:val="20"/>
                <w:lang w:val="en-GB" w:eastAsia="en-US"/>
              </w:rPr>
              <w:t>.</w:t>
            </w:r>
          </w:p>
        </w:tc>
        <w:tc>
          <w:tcPr>
            <w:tcW w:w="4950" w:type="dxa"/>
            <w:shd w:val="clear" w:color="auto" w:fill="auto"/>
            <w:vAlign w:val="center"/>
          </w:tcPr>
          <w:p w14:paraId="0E8BFA81" w14:textId="77777777" w:rsidR="00EB1316" w:rsidRPr="00C7021E" w:rsidRDefault="00EB1316" w:rsidP="009C5083">
            <w:pPr>
              <w:spacing w:after="0" w:line="240" w:lineRule="auto"/>
              <w:rPr>
                <w:rFonts w:eastAsia="Calibri" w:cs="Times New Roman"/>
                <w:color w:val="000000"/>
                <w:sz w:val="20"/>
                <w:szCs w:val="20"/>
                <w:lang w:val="en-GB" w:eastAsia="en-US"/>
              </w:rPr>
            </w:pPr>
            <w:r w:rsidRPr="00C7021E">
              <w:rPr>
                <w:rFonts w:eastAsia="Calibri" w:cs="Times New Roman"/>
                <w:color w:val="000000"/>
                <w:sz w:val="20"/>
                <w:szCs w:val="20"/>
                <w:lang w:val="en-GB" w:eastAsia="en-US"/>
              </w:rPr>
              <w:t xml:space="preserve">Percentage of country offices and headquarters units that are compliant with the internal standards for the international aid and transparency initiative (IATI) and Information Disclosure Policy </w:t>
            </w:r>
          </w:p>
        </w:tc>
        <w:tc>
          <w:tcPr>
            <w:tcW w:w="1710" w:type="dxa"/>
            <w:shd w:val="clear" w:color="auto" w:fill="auto"/>
            <w:vAlign w:val="center"/>
          </w:tcPr>
          <w:p w14:paraId="2B15E74E" w14:textId="77777777" w:rsidR="00EB1316" w:rsidRPr="00FD3653" w:rsidRDefault="00EB1316" w:rsidP="009C5083">
            <w:pPr>
              <w:spacing w:after="0" w:line="240" w:lineRule="auto"/>
              <w:jc w:val="center"/>
              <w:rPr>
                <w:rFonts w:ascii="Calibri" w:eastAsia="Calibri" w:hAnsi="Calibri"/>
                <w:iCs/>
                <w:sz w:val="20"/>
                <w:szCs w:val="20"/>
              </w:rPr>
            </w:pPr>
            <w:r w:rsidRPr="00FD3653">
              <w:rPr>
                <w:rFonts w:ascii="Calibri" w:eastAsia="Calibri" w:hAnsi="Calibri"/>
                <w:iCs/>
                <w:sz w:val="20"/>
                <w:szCs w:val="20"/>
              </w:rPr>
              <w:t>52% (201</w:t>
            </w:r>
            <w:r>
              <w:rPr>
                <w:rFonts w:ascii="Calibri" w:eastAsia="Calibri" w:hAnsi="Calibri"/>
                <w:iCs/>
                <w:sz w:val="20"/>
                <w:szCs w:val="20"/>
              </w:rPr>
              <w:t>3</w:t>
            </w:r>
            <w:r w:rsidRPr="00FD3653">
              <w:rPr>
                <w:rFonts w:ascii="Calibri" w:eastAsia="Calibri" w:hAnsi="Calibri"/>
                <w:iCs/>
                <w:sz w:val="20"/>
                <w:szCs w:val="20"/>
              </w:rPr>
              <w:t>)</w:t>
            </w:r>
          </w:p>
        </w:tc>
        <w:tc>
          <w:tcPr>
            <w:tcW w:w="1620" w:type="dxa"/>
            <w:shd w:val="clear" w:color="auto" w:fill="auto"/>
            <w:vAlign w:val="center"/>
          </w:tcPr>
          <w:p w14:paraId="025756E8" w14:textId="77777777" w:rsidR="00EB1316" w:rsidRPr="001311D5" w:rsidRDefault="00EB1316" w:rsidP="009C5083">
            <w:pPr>
              <w:spacing w:after="0" w:line="240" w:lineRule="auto"/>
              <w:jc w:val="center"/>
              <w:rPr>
                <w:rFonts w:eastAsia="Calibri" w:cs="Times New Roman"/>
                <w:sz w:val="20"/>
                <w:szCs w:val="20"/>
                <w:lang w:val="en-GB" w:eastAsia="en-US"/>
              </w:rPr>
            </w:pPr>
            <w:r w:rsidRPr="00FD3653">
              <w:rPr>
                <w:rFonts w:ascii="Calibri" w:eastAsia="Calibri" w:hAnsi="Calibri"/>
                <w:sz w:val="20"/>
                <w:szCs w:val="20"/>
              </w:rPr>
              <w:t>80%</w:t>
            </w:r>
          </w:p>
        </w:tc>
        <w:tc>
          <w:tcPr>
            <w:tcW w:w="1800" w:type="dxa"/>
            <w:shd w:val="clear" w:color="auto" w:fill="auto"/>
            <w:vAlign w:val="center"/>
          </w:tcPr>
          <w:p w14:paraId="6BADC544" w14:textId="77777777" w:rsidR="00EB1316" w:rsidRPr="00FD3653" w:rsidRDefault="00EB1316" w:rsidP="009C5083">
            <w:pPr>
              <w:spacing w:after="0" w:line="240" w:lineRule="auto"/>
              <w:jc w:val="center"/>
              <w:rPr>
                <w:rFonts w:eastAsia="Calibri" w:cs="Times New Roman"/>
                <w:sz w:val="20"/>
                <w:szCs w:val="20"/>
                <w:lang w:val="en-GB" w:eastAsia="en-US"/>
              </w:rPr>
            </w:pPr>
            <w:r w:rsidRPr="004979BE">
              <w:rPr>
                <w:rFonts w:eastAsia="Calibri" w:cs="Times New Roman"/>
                <w:sz w:val="20"/>
                <w:szCs w:val="20"/>
                <w:lang w:eastAsia="en-US"/>
              </w:rPr>
              <w:t>60%</w:t>
            </w:r>
          </w:p>
        </w:tc>
        <w:tc>
          <w:tcPr>
            <w:tcW w:w="1800" w:type="dxa"/>
            <w:shd w:val="clear" w:color="auto" w:fill="auto"/>
            <w:vAlign w:val="center"/>
          </w:tcPr>
          <w:p w14:paraId="0475AA62" w14:textId="77777777" w:rsidR="00EB1316" w:rsidRPr="004979BE" w:rsidRDefault="00EB1316" w:rsidP="009C5083">
            <w:pPr>
              <w:spacing w:after="0" w:line="240" w:lineRule="auto"/>
              <w:jc w:val="center"/>
              <w:rPr>
                <w:rFonts w:eastAsia="Calibri" w:cs="Times New Roman"/>
                <w:sz w:val="20"/>
                <w:szCs w:val="20"/>
                <w:lang w:eastAsia="en-US"/>
              </w:rPr>
            </w:pPr>
            <w:r>
              <w:rPr>
                <w:rFonts w:eastAsia="Calibri" w:cs="Times New Roman"/>
                <w:sz w:val="20"/>
                <w:szCs w:val="20"/>
                <w:lang w:eastAsia="en-US"/>
              </w:rPr>
              <w:t>100%</w:t>
            </w:r>
          </w:p>
        </w:tc>
      </w:tr>
    </w:tbl>
    <w:p w14:paraId="3B9EAAA9" w14:textId="77777777" w:rsidR="00EB1316" w:rsidRDefault="00EB1316" w:rsidP="00EB1316">
      <w:pPr>
        <w:spacing w:after="0" w:line="240" w:lineRule="auto"/>
        <w:rPr>
          <w:rFonts w:eastAsia="Calibri" w:cs="Times New Roman"/>
          <w:sz w:val="16"/>
          <w:szCs w:val="16"/>
          <w:lang w:eastAsia="en-US"/>
        </w:rPr>
      </w:pPr>
    </w:p>
    <w:p w14:paraId="5105E1E5" w14:textId="77777777" w:rsidR="00EB1316" w:rsidRDefault="00EB1316" w:rsidP="00EB1316">
      <w:pPr>
        <w:spacing w:after="0" w:line="240" w:lineRule="auto"/>
        <w:rPr>
          <w:rFonts w:eastAsia="Calibri" w:cs="Times New Roman"/>
          <w:sz w:val="16"/>
          <w:szCs w:val="16"/>
          <w:lang w:eastAsia="en-US"/>
        </w:rPr>
      </w:pPr>
    </w:p>
    <w:p w14:paraId="69B7F97D" w14:textId="77777777" w:rsidR="00EB1316" w:rsidRDefault="00EB1316" w:rsidP="00EB1316">
      <w:pPr>
        <w:spacing w:after="0" w:line="240" w:lineRule="auto"/>
        <w:rPr>
          <w:rFonts w:eastAsia="Calibri" w:cs="Times New Roman"/>
          <w:sz w:val="16"/>
          <w:szCs w:val="16"/>
          <w:lang w:eastAsia="en-US"/>
        </w:rPr>
      </w:pPr>
    </w:p>
    <w:tbl>
      <w:tblPr>
        <w:tblW w:w="14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540"/>
        <w:gridCol w:w="4950"/>
        <w:gridCol w:w="1710"/>
        <w:gridCol w:w="1620"/>
        <w:gridCol w:w="1800"/>
        <w:gridCol w:w="1800"/>
      </w:tblGrid>
      <w:tr w:rsidR="00EB1316" w:rsidRPr="00C7021E" w14:paraId="419603AE" w14:textId="77777777" w:rsidTr="009C5083">
        <w:trPr>
          <w:trHeight w:val="431"/>
          <w:jc w:val="center"/>
        </w:trPr>
        <w:tc>
          <w:tcPr>
            <w:tcW w:w="14305" w:type="dxa"/>
            <w:gridSpan w:val="7"/>
            <w:shd w:val="clear" w:color="auto" w:fill="00B050"/>
            <w:vAlign w:val="center"/>
          </w:tcPr>
          <w:p w14:paraId="51EB0E72" w14:textId="77777777" w:rsidR="00EB1316" w:rsidRPr="00C7021E" w:rsidRDefault="00EB1316" w:rsidP="009C5083">
            <w:pPr>
              <w:spacing w:after="0" w:line="240" w:lineRule="auto"/>
              <w:rPr>
                <w:rFonts w:eastAsia="Times New Roman" w:cs="Times New Roman"/>
                <w:b/>
                <w:color w:val="FFFFFF"/>
                <w:sz w:val="20"/>
                <w:szCs w:val="20"/>
                <w:shd w:val="clear" w:color="auto" w:fill="00B050"/>
                <w:lang w:val="en-GB" w:eastAsia="en-US"/>
              </w:rPr>
            </w:pPr>
            <w:r w:rsidRPr="00C7021E">
              <w:rPr>
                <w:rFonts w:eastAsia="Times New Roman" w:cs="Times New Roman"/>
                <w:b/>
                <w:color w:val="FFFFFF"/>
                <w:sz w:val="20"/>
                <w:szCs w:val="20"/>
                <w:shd w:val="clear" w:color="auto" w:fill="00B050"/>
                <w:lang w:val="en-GB" w:eastAsia="en-US"/>
              </w:rPr>
              <w:t>[cost classification: management functional clusters]</w:t>
            </w:r>
            <w:r w:rsidRPr="00C7021E">
              <w:rPr>
                <w:rFonts w:eastAsia="Times New Roman" w:cs="Times New Roman"/>
                <w:color w:val="FFFFFF"/>
                <w:sz w:val="20"/>
                <w:szCs w:val="20"/>
                <w:shd w:val="clear" w:color="auto" w:fill="00B050"/>
                <w:lang w:val="en-GB" w:eastAsia="en-US"/>
              </w:rPr>
              <w:t xml:space="preserve"> </w:t>
            </w:r>
            <w:r w:rsidRPr="00C7021E">
              <w:rPr>
                <w:rFonts w:eastAsia="Calibri" w:cs="Times New Roman"/>
                <w:color w:val="FFFFFF"/>
                <w:sz w:val="20"/>
                <w:szCs w:val="20"/>
                <w:shd w:val="clear" w:color="auto" w:fill="00B050"/>
                <w:lang w:val="en-GB" w:eastAsia="en-US"/>
              </w:rPr>
              <w:t xml:space="preserve">8. </w:t>
            </w:r>
            <w:r w:rsidRPr="00C7021E">
              <w:rPr>
                <w:rFonts w:eastAsia="Calibri" w:cs="Times New Roman"/>
                <w:b/>
                <w:color w:val="FFFFFF"/>
                <w:sz w:val="20"/>
                <w:szCs w:val="20"/>
                <w:lang w:val="en-GB" w:eastAsia="en-US"/>
              </w:rPr>
              <w:t xml:space="preserve">STAFF AND PREMISES SECURITY </w:t>
            </w:r>
          </w:p>
        </w:tc>
      </w:tr>
      <w:tr w:rsidR="00EB1316" w:rsidRPr="00C7021E" w14:paraId="7B65B0F3" w14:textId="77777777" w:rsidTr="009C5083">
        <w:trPr>
          <w:trHeight w:val="350"/>
          <w:jc w:val="center"/>
        </w:trPr>
        <w:tc>
          <w:tcPr>
            <w:tcW w:w="1885" w:type="dxa"/>
            <w:shd w:val="clear" w:color="auto" w:fill="DBE5F1" w:themeFill="accent1" w:themeFillTint="33"/>
            <w:vAlign w:val="center"/>
          </w:tcPr>
          <w:p w14:paraId="33180301"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Results statement:</w:t>
            </w:r>
          </w:p>
        </w:tc>
        <w:tc>
          <w:tcPr>
            <w:tcW w:w="540" w:type="dxa"/>
            <w:shd w:val="clear" w:color="auto" w:fill="DBE5F1" w:themeFill="accent1" w:themeFillTint="33"/>
            <w:vAlign w:val="center"/>
          </w:tcPr>
          <w:p w14:paraId="3B37FA35"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No.</w:t>
            </w:r>
          </w:p>
        </w:tc>
        <w:tc>
          <w:tcPr>
            <w:tcW w:w="4950" w:type="dxa"/>
            <w:shd w:val="clear" w:color="auto" w:fill="DBE5F1" w:themeFill="accent1" w:themeFillTint="33"/>
            <w:vAlign w:val="center"/>
          </w:tcPr>
          <w:p w14:paraId="6D86899C"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Indicator</w:t>
            </w:r>
          </w:p>
        </w:tc>
        <w:tc>
          <w:tcPr>
            <w:tcW w:w="1710" w:type="dxa"/>
            <w:shd w:val="clear" w:color="auto" w:fill="DBE5F1" w:themeFill="accent1" w:themeFillTint="33"/>
            <w:vAlign w:val="center"/>
          </w:tcPr>
          <w:p w14:paraId="5D5A1504" w14:textId="77777777" w:rsidR="00EB1316" w:rsidRPr="00C7021E" w:rsidRDefault="00EB1316" w:rsidP="009C5083">
            <w:pPr>
              <w:spacing w:after="0" w:line="240" w:lineRule="auto"/>
              <w:jc w:val="center"/>
              <w:rPr>
                <w:rFonts w:eastAsia="Calibri" w:cs="Times New Roman"/>
                <w:b/>
                <w:sz w:val="20"/>
                <w:szCs w:val="20"/>
                <w:lang w:val="en-GB" w:eastAsia="en-US"/>
              </w:rPr>
            </w:pPr>
            <w:r w:rsidRPr="00C7021E">
              <w:rPr>
                <w:rFonts w:eastAsia="Calibri" w:cs="Times New Roman"/>
                <w:b/>
                <w:sz w:val="20"/>
                <w:szCs w:val="20"/>
                <w:lang w:val="en-GB" w:eastAsia="en-US"/>
              </w:rPr>
              <w:t>Baseline</w:t>
            </w:r>
            <w:r>
              <w:rPr>
                <w:rFonts w:eastAsia="Calibri" w:cs="Times New Roman"/>
                <w:b/>
                <w:sz w:val="20"/>
                <w:szCs w:val="20"/>
                <w:lang w:val="en-GB" w:eastAsia="en-US"/>
              </w:rPr>
              <w:t xml:space="preserve"> </w:t>
            </w:r>
            <w:r w:rsidRPr="003D185C">
              <w:rPr>
                <w:rFonts w:eastAsia="Calibri" w:cs="Times New Roman"/>
                <w:sz w:val="20"/>
                <w:szCs w:val="20"/>
                <w:lang w:val="en-GB" w:eastAsia="en-US"/>
              </w:rPr>
              <w:t>2013</w:t>
            </w:r>
          </w:p>
        </w:tc>
        <w:tc>
          <w:tcPr>
            <w:tcW w:w="1620" w:type="dxa"/>
            <w:shd w:val="clear" w:color="auto" w:fill="DBE5F1" w:themeFill="accent1" w:themeFillTint="33"/>
            <w:vAlign w:val="center"/>
          </w:tcPr>
          <w:p w14:paraId="63E5114B" w14:textId="77777777" w:rsidR="00EB1316" w:rsidRPr="00C7021E" w:rsidRDefault="00EB1316" w:rsidP="009C5083">
            <w:pPr>
              <w:spacing w:after="0" w:line="240" w:lineRule="auto"/>
              <w:jc w:val="center"/>
              <w:rPr>
                <w:rFonts w:eastAsia="Calibri" w:cs="Times New Roman"/>
                <w:b/>
                <w:sz w:val="20"/>
                <w:szCs w:val="20"/>
                <w:lang w:val="en-GB" w:eastAsia="en-US"/>
              </w:rPr>
            </w:pPr>
            <w:r>
              <w:rPr>
                <w:rFonts w:eastAsia="Calibri" w:cs="Times New Roman"/>
                <w:b/>
                <w:sz w:val="20"/>
                <w:szCs w:val="20"/>
                <w:lang w:val="en-GB" w:eastAsia="en-US"/>
              </w:rPr>
              <w:t xml:space="preserve">Milestones </w:t>
            </w:r>
            <w:r w:rsidRPr="003D185C">
              <w:rPr>
                <w:rFonts w:eastAsia="Calibri" w:cs="Times New Roman"/>
                <w:sz w:val="20"/>
                <w:szCs w:val="20"/>
                <w:lang w:val="en-GB" w:eastAsia="en-US"/>
              </w:rPr>
              <w:t>2014</w:t>
            </w:r>
          </w:p>
        </w:tc>
        <w:tc>
          <w:tcPr>
            <w:tcW w:w="1800" w:type="dxa"/>
            <w:shd w:val="clear" w:color="auto" w:fill="DBE5F1" w:themeFill="accent1" w:themeFillTint="33"/>
            <w:vAlign w:val="center"/>
          </w:tcPr>
          <w:p w14:paraId="65D55817" w14:textId="77777777" w:rsidR="00EB1316" w:rsidRPr="00C7021E" w:rsidRDefault="00EB1316" w:rsidP="009C5083">
            <w:pPr>
              <w:spacing w:after="0" w:line="240" w:lineRule="auto"/>
              <w:jc w:val="center"/>
              <w:rPr>
                <w:rFonts w:eastAsia="Calibri" w:cs="Times New Roman"/>
                <w:b/>
                <w:sz w:val="20"/>
                <w:szCs w:val="20"/>
                <w:lang w:val="en-GB" w:eastAsia="en-US"/>
              </w:rPr>
            </w:pPr>
            <w:r>
              <w:rPr>
                <w:rFonts w:eastAsia="Calibri" w:cs="Times New Roman"/>
                <w:b/>
                <w:sz w:val="20"/>
                <w:szCs w:val="20"/>
                <w:lang w:val="en-GB" w:eastAsia="en-US"/>
              </w:rPr>
              <w:t>Actual 2014</w:t>
            </w:r>
          </w:p>
        </w:tc>
        <w:tc>
          <w:tcPr>
            <w:tcW w:w="1800" w:type="dxa"/>
            <w:shd w:val="clear" w:color="auto" w:fill="DBE5F1" w:themeFill="accent1" w:themeFillTint="33"/>
            <w:vAlign w:val="center"/>
          </w:tcPr>
          <w:p w14:paraId="44A14F22" w14:textId="77777777" w:rsidR="00EB1316" w:rsidRDefault="00EB1316" w:rsidP="009C5083">
            <w:pPr>
              <w:spacing w:after="0" w:line="240" w:lineRule="auto"/>
              <w:jc w:val="center"/>
              <w:rPr>
                <w:rFonts w:eastAsia="Calibri" w:cs="Times New Roman"/>
                <w:b/>
                <w:sz w:val="20"/>
                <w:szCs w:val="20"/>
                <w:lang w:val="en-GB" w:eastAsia="en-US"/>
              </w:rPr>
            </w:pPr>
            <w:r>
              <w:rPr>
                <w:rFonts w:eastAsia="Calibri" w:cs="Times New Roman"/>
                <w:b/>
                <w:sz w:val="20"/>
                <w:szCs w:val="20"/>
                <w:lang w:val="en-GB" w:eastAsia="en-US"/>
              </w:rPr>
              <w:t>Target 2017</w:t>
            </w:r>
          </w:p>
        </w:tc>
      </w:tr>
      <w:tr w:rsidR="00EB1316" w:rsidRPr="00C7021E" w14:paraId="156FAEA8" w14:textId="77777777" w:rsidTr="009C5083">
        <w:trPr>
          <w:trHeight w:val="548"/>
          <w:jc w:val="center"/>
        </w:trPr>
        <w:tc>
          <w:tcPr>
            <w:tcW w:w="1885" w:type="dxa"/>
            <w:vMerge w:val="restart"/>
            <w:shd w:val="clear" w:color="auto" w:fill="FFFFFF"/>
            <w:vAlign w:val="center"/>
          </w:tcPr>
          <w:p w14:paraId="0742662C" w14:textId="77777777" w:rsidR="00EB1316" w:rsidRPr="00C7021E" w:rsidRDefault="00EB1316" w:rsidP="009C5083">
            <w:pPr>
              <w:spacing w:after="0" w:line="240" w:lineRule="auto"/>
              <w:rPr>
                <w:rFonts w:eastAsia="Calibri" w:cs="Times New Roman"/>
                <w:sz w:val="20"/>
                <w:szCs w:val="20"/>
                <w:lang w:val="en-GB" w:eastAsia="en-US"/>
              </w:rPr>
            </w:pPr>
            <w:r w:rsidRPr="00245A7E">
              <w:rPr>
                <w:rFonts w:eastAsia="Calibri" w:cs="Times New Roman"/>
                <w:b/>
                <w:color w:val="000000"/>
                <w:sz w:val="20"/>
                <w:szCs w:val="20"/>
                <w:lang w:val="en-GB" w:eastAsia="en-US"/>
              </w:rPr>
              <w:t>8.1</w:t>
            </w:r>
            <w:r w:rsidRPr="00C7021E">
              <w:rPr>
                <w:rFonts w:eastAsia="Calibri" w:cs="Times New Roman"/>
                <w:color w:val="000000"/>
                <w:sz w:val="20"/>
                <w:szCs w:val="20"/>
                <w:lang w:val="en-GB" w:eastAsia="en-US"/>
              </w:rPr>
              <w:t xml:space="preserve"> UNDP Country Offices are more resilient due to sound business continuity systems and security arrangements</w:t>
            </w:r>
            <w:r w:rsidRPr="00C7021E" w:rsidDel="00BA09B7">
              <w:rPr>
                <w:rFonts w:eastAsia="Calibri" w:cs="Times New Roman"/>
                <w:sz w:val="20"/>
                <w:szCs w:val="20"/>
                <w:lang w:val="en-GB" w:eastAsia="en-US"/>
              </w:rPr>
              <w:t xml:space="preserve"> </w:t>
            </w:r>
          </w:p>
        </w:tc>
        <w:tc>
          <w:tcPr>
            <w:tcW w:w="540" w:type="dxa"/>
            <w:shd w:val="clear" w:color="auto" w:fill="auto"/>
            <w:vAlign w:val="center"/>
          </w:tcPr>
          <w:p w14:paraId="19565E42" w14:textId="77777777" w:rsidR="00EB1316" w:rsidRPr="00C7021E" w:rsidRDefault="00EB1316" w:rsidP="009C5083">
            <w:pPr>
              <w:spacing w:after="0" w:line="240" w:lineRule="auto"/>
              <w:rPr>
                <w:rFonts w:eastAsia="Calibri" w:cs="Times New Roman"/>
                <w:b/>
                <w:sz w:val="20"/>
                <w:szCs w:val="20"/>
                <w:lang w:val="en-GB" w:eastAsia="en-US"/>
              </w:rPr>
            </w:pPr>
            <w:r>
              <w:rPr>
                <w:rFonts w:eastAsia="Calibri" w:cs="Times New Roman"/>
                <w:b/>
                <w:sz w:val="20"/>
                <w:szCs w:val="20"/>
                <w:lang w:val="en-GB" w:eastAsia="en-US"/>
              </w:rPr>
              <w:t>39</w:t>
            </w:r>
            <w:r w:rsidRPr="00C7021E">
              <w:rPr>
                <w:rFonts w:eastAsia="Calibri" w:cs="Times New Roman"/>
                <w:b/>
                <w:sz w:val="20"/>
                <w:szCs w:val="20"/>
                <w:lang w:val="en-GB" w:eastAsia="en-US"/>
              </w:rPr>
              <w:t>.</w:t>
            </w:r>
          </w:p>
        </w:tc>
        <w:tc>
          <w:tcPr>
            <w:tcW w:w="4950" w:type="dxa"/>
            <w:shd w:val="clear" w:color="auto" w:fill="auto"/>
            <w:vAlign w:val="center"/>
          </w:tcPr>
          <w:p w14:paraId="216ACD44" w14:textId="77777777" w:rsidR="00EB1316" w:rsidRPr="00C7021E" w:rsidRDefault="00EB1316" w:rsidP="009C5083">
            <w:pPr>
              <w:spacing w:after="0" w:line="240" w:lineRule="auto"/>
              <w:rPr>
                <w:rFonts w:eastAsia="Calibri" w:cs="Times New Roman"/>
                <w:sz w:val="20"/>
                <w:szCs w:val="20"/>
                <w:lang w:val="en-GB" w:eastAsia="en-US"/>
              </w:rPr>
            </w:pPr>
            <w:r w:rsidRPr="00C7021E">
              <w:rPr>
                <w:rFonts w:eastAsia="Calibri" w:cs="Times New Roman"/>
                <w:sz w:val="20"/>
                <w:szCs w:val="20"/>
                <w:lang w:val="en-GB" w:eastAsia="en-US"/>
              </w:rPr>
              <w:t>Percentage of Country Offices meeting minimum operations security standards (MOSS)</w:t>
            </w:r>
          </w:p>
        </w:tc>
        <w:tc>
          <w:tcPr>
            <w:tcW w:w="1710" w:type="dxa"/>
            <w:shd w:val="clear" w:color="auto" w:fill="auto"/>
            <w:vAlign w:val="center"/>
          </w:tcPr>
          <w:p w14:paraId="19516187" w14:textId="77777777" w:rsidR="00EB1316" w:rsidRPr="000A24EE" w:rsidRDefault="00EB1316" w:rsidP="009C5083">
            <w:pPr>
              <w:spacing w:after="0" w:line="240" w:lineRule="auto"/>
              <w:jc w:val="center"/>
              <w:rPr>
                <w:rFonts w:ascii="Calibri" w:eastAsia="Calibri" w:hAnsi="Calibri"/>
                <w:sz w:val="20"/>
              </w:rPr>
            </w:pPr>
            <w:r>
              <w:rPr>
                <w:sz w:val="20"/>
                <w:szCs w:val="20"/>
              </w:rPr>
              <w:t>77.7%</w:t>
            </w:r>
          </w:p>
        </w:tc>
        <w:tc>
          <w:tcPr>
            <w:tcW w:w="1620" w:type="dxa"/>
            <w:shd w:val="clear" w:color="auto" w:fill="auto"/>
            <w:vAlign w:val="center"/>
          </w:tcPr>
          <w:p w14:paraId="621737E1" w14:textId="77777777" w:rsidR="00EB1316" w:rsidRPr="000A24EE" w:rsidRDefault="00EB1316" w:rsidP="009C5083">
            <w:pPr>
              <w:spacing w:after="0" w:line="240" w:lineRule="auto"/>
              <w:jc w:val="center"/>
              <w:rPr>
                <w:rFonts w:eastAsia="Calibri" w:cs="Times New Roman"/>
                <w:sz w:val="20"/>
                <w:szCs w:val="20"/>
                <w:highlight w:val="yellow"/>
                <w:lang w:val="en-GB" w:eastAsia="en-US"/>
              </w:rPr>
            </w:pPr>
            <w:r>
              <w:rPr>
                <w:sz w:val="20"/>
                <w:szCs w:val="20"/>
              </w:rPr>
              <w:t>82.5%</w:t>
            </w:r>
          </w:p>
        </w:tc>
        <w:tc>
          <w:tcPr>
            <w:tcW w:w="1800" w:type="dxa"/>
            <w:shd w:val="clear" w:color="auto" w:fill="auto"/>
            <w:vAlign w:val="center"/>
          </w:tcPr>
          <w:p w14:paraId="2FC7A9A7" w14:textId="77777777" w:rsidR="00EB1316" w:rsidRPr="008B4CD8" w:rsidRDefault="00EB1316" w:rsidP="009C5083">
            <w:pPr>
              <w:spacing w:after="0" w:line="240" w:lineRule="auto"/>
              <w:jc w:val="center"/>
              <w:rPr>
                <w:rFonts w:ascii="Calibri" w:eastAsia="Calibri" w:hAnsi="Calibri"/>
                <w:sz w:val="20"/>
                <w:szCs w:val="20"/>
              </w:rPr>
            </w:pPr>
            <w:r w:rsidRPr="008B4CD8">
              <w:rPr>
                <w:sz w:val="20"/>
                <w:szCs w:val="20"/>
              </w:rPr>
              <w:t>83.3%</w:t>
            </w:r>
          </w:p>
        </w:tc>
        <w:tc>
          <w:tcPr>
            <w:tcW w:w="1800" w:type="dxa"/>
            <w:shd w:val="clear" w:color="auto" w:fill="auto"/>
            <w:vAlign w:val="center"/>
          </w:tcPr>
          <w:p w14:paraId="19C42943" w14:textId="77777777" w:rsidR="00EB1316" w:rsidRPr="008B4CD8" w:rsidRDefault="00EB1316" w:rsidP="009C5083">
            <w:pPr>
              <w:spacing w:after="0" w:line="240" w:lineRule="auto"/>
              <w:jc w:val="center"/>
              <w:rPr>
                <w:sz w:val="20"/>
                <w:szCs w:val="20"/>
              </w:rPr>
            </w:pPr>
            <w:r>
              <w:rPr>
                <w:sz w:val="20"/>
                <w:szCs w:val="20"/>
              </w:rPr>
              <w:t>90%</w:t>
            </w:r>
          </w:p>
        </w:tc>
      </w:tr>
      <w:tr w:rsidR="00EB1316" w:rsidRPr="00C7021E" w14:paraId="4AE4A320" w14:textId="77777777" w:rsidTr="009C5083">
        <w:trPr>
          <w:trHeight w:val="440"/>
          <w:jc w:val="center"/>
        </w:trPr>
        <w:tc>
          <w:tcPr>
            <w:tcW w:w="1885" w:type="dxa"/>
            <w:vMerge/>
            <w:shd w:val="clear" w:color="auto" w:fill="FFFFFF"/>
            <w:vAlign w:val="center"/>
          </w:tcPr>
          <w:p w14:paraId="788C2929" w14:textId="77777777" w:rsidR="00EB1316" w:rsidRPr="00C7021E" w:rsidRDefault="00EB1316" w:rsidP="009C5083">
            <w:pPr>
              <w:spacing w:after="0" w:line="240" w:lineRule="auto"/>
              <w:rPr>
                <w:rFonts w:eastAsia="Calibri" w:cs="Times New Roman"/>
                <w:color w:val="000000"/>
                <w:sz w:val="20"/>
                <w:szCs w:val="20"/>
                <w:lang w:val="en-GB" w:eastAsia="en-US"/>
              </w:rPr>
            </w:pPr>
          </w:p>
        </w:tc>
        <w:tc>
          <w:tcPr>
            <w:tcW w:w="540" w:type="dxa"/>
            <w:shd w:val="clear" w:color="auto" w:fill="auto"/>
            <w:vAlign w:val="center"/>
          </w:tcPr>
          <w:p w14:paraId="34140AB3" w14:textId="77777777" w:rsidR="00EB1316" w:rsidRPr="00C7021E" w:rsidDel="00A77E0C"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4</w:t>
            </w:r>
            <w:r>
              <w:rPr>
                <w:rFonts w:eastAsia="Calibri" w:cs="Times New Roman"/>
                <w:b/>
                <w:sz w:val="20"/>
                <w:szCs w:val="20"/>
                <w:lang w:val="en-GB" w:eastAsia="en-US"/>
              </w:rPr>
              <w:t>0</w:t>
            </w:r>
            <w:r w:rsidRPr="00C7021E">
              <w:rPr>
                <w:rFonts w:eastAsia="Calibri" w:cs="Times New Roman"/>
                <w:b/>
                <w:sz w:val="20"/>
                <w:szCs w:val="20"/>
                <w:lang w:val="en-GB" w:eastAsia="en-US"/>
              </w:rPr>
              <w:t>.</w:t>
            </w:r>
          </w:p>
        </w:tc>
        <w:tc>
          <w:tcPr>
            <w:tcW w:w="4950" w:type="dxa"/>
            <w:shd w:val="clear" w:color="auto" w:fill="auto"/>
            <w:vAlign w:val="center"/>
          </w:tcPr>
          <w:p w14:paraId="7FEB31CA" w14:textId="77777777" w:rsidR="00EB1316" w:rsidRPr="00C7021E" w:rsidRDefault="00EB1316" w:rsidP="009C5083">
            <w:pPr>
              <w:spacing w:after="0" w:line="240" w:lineRule="auto"/>
              <w:rPr>
                <w:rFonts w:eastAsia="Calibri" w:cs="Times New Roman"/>
                <w:sz w:val="20"/>
                <w:szCs w:val="20"/>
                <w:lang w:val="en-GB" w:eastAsia="en-US"/>
              </w:rPr>
            </w:pPr>
            <w:r w:rsidRPr="00C7021E">
              <w:rPr>
                <w:rFonts w:eastAsia="Calibri" w:cs="Times New Roman"/>
                <w:sz w:val="20"/>
                <w:szCs w:val="20"/>
                <w:lang w:val="en-GB" w:eastAsia="en-US"/>
              </w:rPr>
              <w:t>Percentage of Country Offices</w:t>
            </w:r>
            <w:r w:rsidRPr="00C7021E">
              <w:rPr>
                <w:rFonts w:eastAsia="Calibri" w:cs="Times New Roman"/>
                <w:color w:val="000000"/>
                <w:sz w:val="20"/>
                <w:szCs w:val="20"/>
                <w:lang w:val="en-GB" w:eastAsia="en-US"/>
              </w:rPr>
              <w:t xml:space="preserve"> and headquarters units</w:t>
            </w:r>
            <w:r w:rsidRPr="00C7021E">
              <w:rPr>
                <w:rFonts w:eastAsia="Calibri" w:cs="Times New Roman"/>
                <w:sz w:val="20"/>
                <w:szCs w:val="20"/>
                <w:lang w:val="en-GB" w:eastAsia="en-US"/>
              </w:rPr>
              <w:t xml:space="preserve"> meeting Business Continuity Plan requirements</w:t>
            </w:r>
          </w:p>
        </w:tc>
        <w:tc>
          <w:tcPr>
            <w:tcW w:w="1710" w:type="dxa"/>
            <w:shd w:val="clear" w:color="auto" w:fill="auto"/>
            <w:vAlign w:val="center"/>
          </w:tcPr>
          <w:p w14:paraId="7CE21E7F" w14:textId="77777777" w:rsidR="00EB1316" w:rsidRPr="00A57C92" w:rsidRDefault="00EB1316" w:rsidP="009C5083">
            <w:pPr>
              <w:spacing w:after="0" w:line="240" w:lineRule="auto"/>
              <w:jc w:val="center"/>
              <w:rPr>
                <w:rFonts w:ascii="Calibri" w:eastAsia="Calibri" w:hAnsi="Calibri"/>
                <w:sz w:val="20"/>
              </w:rPr>
            </w:pPr>
            <w:r>
              <w:rPr>
                <w:sz w:val="20"/>
                <w:szCs w:val="20"/>
              </w:rPr>
              <w:t>24%</w:t>
            </w:r>
          </w:p>
        </w:tc>
        <w:tc>
          <w:tcPr>
            <w:tcW w:w="1620" w:type="dxa"/>
            <w:shd w:val="clear" w:color="auto" w:fill="auto"/>
            <w:vAlign w:val="center"/>
          </w:tcPr>
          <w:p w14:paraId="09B8E1C1" w14:textId="77777777" w:rsidR="00EB1316" w:rsidRPr="00A57C92" w:rsidRDefault="00EB1316" w:rsidP="009C5083">
            <w:pPr>
              <w:spacing w:after="0" w:line="240" w:lineRule="auto"/>
              <w:jc w:val="center"/>
              <w:rPr>
                <w:rFonts w:eastAsia="Calibri" w:cs="Times New Roman"/>
                <w:sz w:val="20"/>
                <w:szCs w:val="20"/>
                <w:highlight w:val="yellow"/>
                <w:lang w:val="en-GB" w:eastAsia="en-US"/>
              </w:rPr>
            </w:pPr>
            <w:r>
              <w:rPr>
                <w:sz w:val="20"/>
                <w:szCs w:val="20"/>
              </w:rPr>
              <w:t>65%</w:t>
            </w:r>
          </w:p>
        </w:tc>
        <w:tc>
          <w:tcPr>
            <w:tcW w:w="1800" w:type="dxa"/>
            <w:shd w:val="clear" w:color="auto" w:fill="auto"/>
            <w:vAlign w:val="center"/>
          </w:tcPr>
          <w:p w14:paraId="14B96715" w14:textId="77777777" w:rsidR="00EB1316" w:rsidRPr="008B4CD8" w:rsidRDefault="00EB1316" w:rsidP="009C5083">
            <w:pPr>
              <w:spacing w:after="0" w:line="240" w:lineRule="auto"/>
              <w:jc w:val="center"/>
              <w:rPr>
                <w:rFonts w:ascii="Calibri" w:eastAsia="Calibri" w:hAnsi="Calibri"/>
                <w:sz w:val="20"/>
                <w:szCs w:val="20"/>
              </w:rPr>
            </w:pPr>
            <w:r w:rsidRPr="008B4CD8">
              <w:rPr>
                <w:sz w:val="20"/>
                <w:szCs w:val="20"/>
              </w:rPr>
              <w:t>52%</w:t>
            </w:r>
          </w:p>
        </w:tc>
        <w:tc>
          <w:tcPr>
            <w:tcW w:w="1800" w:type="dxa"/>
            <w:shd w:val="clear" w:color="auto" w:fill="auto"/>
            <w:vAlign w:val="center"/>
          </w:tcPr>
          <w:p w14:paraId="27B44C6C" w14:textId="77777777" w:rsidR="00EB1316" w:rsidRPr="008B4CD8" w:rsidRDefault="00EB1316" w:rsidP="009C5083">
            <w:pPr>
              <w:spacing w:after="0" w:line="240" w:lineRule="auto"/>
              <w:jc w:val="center"/>
              <w:rPr>
                <w:sz w:val="20"/>
                <w:szCs w:val="20"/>
              </w:rPr>
            </w:pPr>
            <w:r w:rsidRPr="00A835D4">
              <w:rPr>
                <w:sz w:val="20"/>
                <w:szCs w:val="20"/>
              </w:rPr>
              <w:t>95%</w:t>
            </w:r>
          </w:p>
        </w:tc>
      </w:tr>
    </w:tbl>
    <w:p w14:paraId="4052DEF0" w14:textId="77777777" w:rsidR="00EB1316" w:rsidRDefault="00EB1316" w:rsidP="00EB1316">
      <w:pPr>
        <w:spacing w:after="0" w:line="240" w:lineRule="auto"/>
        <w:rPr>
          <w:rFonts w:eastAsia="Calibri" w:cs="Times New Roman"/>
          <w:sz w:val="16"/>
          <w:szCs w:val="16"/>
          <w:lang w:eastAsia="en-US"/>
        </w:rPr>
      </w:pPr>
    </w:p>
    <w:p w14:paraId="463F6EA2" w14:textId="77777777" w:rsidR="00EB1316" w:rsidRDefault="00EB1316" w:rsidP="00EB1316">
      <w:pPr>
        <w:spacing w:after="0" w:line="240" w:lineRule="auto"/>
        <w:rPr>
          <w:rFonts w:eastAsia="Calibri" w:cs="Times New Roman"/>
          <w:sz w:val="16"/>
          <w:szCs w:val="16"/>
          <w:lang w:eastAsia="en-US"/>
        </w:rPr>
      </w:pPr>
    </w:p>
    <w:p w14:paraId="0A8427B4" w14:textId="77777777" w:rsidR="00EB1316" w:rsidRPr="00C7021E" w:rsidRDefault="00EB1316" w:rsidP="00EB1316">
      <w:pPr>
        <w:spacing w:after="0" w:line="240" w:lineRule="auto"/>
        <w:rPr>
          <w:rFonts w:eastAsia="Calibri" w:cs="Times New Roman"/>
          <w:sz w:val="16"/>
          <w:szCs w:val="16"/>
          <w:lang w:eastAsia="en-US"/>
        </w:rPr>
      </w:pPr>
    </w:p>
    <w:tbl>
      <w:tblPr>
        <w:tblW w:w="14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630"/>
        <w:gridCol w:w="4950"/>
        <w:gridCol w:w="1710"/>
        <w:gridCol w:w="1620"/>
        <w:gridCol w:w="1800"/>
        <w:gridCol w:w="1800"/>
      </w:tblGrid>
      <w:tr w:rsidR="00EB1316" w:rsidRPr="00C7021E" w14:paraId="47C9F007" w14:textId="77777777" w:rsidTr="009C5083">
        <w:trPr>
          <w:trHeight w:val="260"/>
          <w:jc w:val="center"/>
        </w:trPr>
        <w:tc>
          <w:tcPr>
            <w:tcW w:w="14305" w:type="dxa"/>
            <w:gridSpan w:val="7"/>
            <w:shd w:val="clear" w:color="auto" w:fill="F2F2F2"/>
            <w:vAlign w:val="center"/>
          </w:tcPr>
          <w:p w14:paraId="0AF3D89F" w14:textId="77777777" w:rsidR="00EB1316" w:rsidRPr="00C7021E" w:rsidRDefault="00EB1316" w:rsidP="009C5083">
            <w:pPr>
              <w:spacing w:after="0" w:line="240" w:lineRule="auto"/>
              <w:rPr>
                <w:rFonts w:eastAsia="Calibri" w:cs="Times New Roman"/>
                <w:b/>
                <w:sz w:val="24"/>
                <w:szCs w:val="24"/>
                <w:lang w:eastAsia="en-US"/>
              </w:rPr>
            </w:pPr>
            <w:r w:rsidRPr="00C7021E">
              <w:rPr>
                <w:rFonts w:eastAsia="Calibri" w:cs="Times New Roman"/>
                <w:b/>
                <w:sz w:val="24"/>
                <w:szCs w:val="24"/>
                <w:lang w:eastAsia="en-US"/>
              </w:rPr>
              <w:t>Coordination of the UN Development System</w:t>
            </w:r>
          </w:p>
        </w:tc>
      </w:tr>
      <w:tr w:rsidR="00EB1316" w:rsidRPr="00C7021E" w14:paraId="028B04F8" w14:textId="77777777" w:rsidTr="009C5083">
        <w:trPr>
          <w:trHeight w:val="323"/>
          <w:jc w:val="center"/>
        </w:trPr>
        <w:tc>
          <w:tcPr>
            <w:tcW w:w="14305" w:type="dxa"/>
            <w:gridSpan w:val="7"/>
            <w:shd w:val="clear" w:color="auto" w:fill="0070C0"/>
            <w:vAlign w:val="center"/>
          </w:tcPr>
          <w:p w14:paraId="290A1316" w14:textId="77777777" w:rsidR="00EB1316" w:rsidRPr="00C7021E" w:rsidRDefault="00EB1316" w:rsidP="009C5083">
            <w:pPr>
              <w:spacing w:after="0" w:line="240" w:lineRule="auto"/>
              <w:rPr>
                <w:rFonts w:eastAsia="Calibri" w:cs="Times New Roman"/>
                <w:b/>
                <w:color w:val="FFFFFF"/>
                <w:sz w:val="20"/>
                <w:szCs w:val="20"/>
                <w:lang w:eastAsia="en-US"/>
              </w:rPr>
            </w:pPr>
            <w:r w:rsidRPr="00C7021E">
              <w:rPr>
                <w:rFonts w:eastAsia="Calibri" w:cs="Times New Roman"/>
                <w:b/>
                <w:color w:val="FFFFFF"/>
                <w:sz w:val="20"/>
                <w:szCs w:val="20"/>
                <w:lang w:eastAsia="en-US"/>
              </w:rPr>
              <w:t>[cost classification: coordination] 9. UN DEVELOPMENT SYSTEM LEADERSHIP AND COORDINATION [cost classification: coordination]</w:t>
            </w:r>
          </w:p>
        </w:tc>
      </w:tr>
      <w:tr w:rsidR="00EB1316" w:rsidRPr="00C7021E" w14:paraId="59B50C68" w14:textId="77777777" w:rsidTr="009C5083">
        <w:trPr>
          <w:trHeight w:val="260"/>
          <w:jc w:val="center"/>
        </w:trPr>
        <w:tc>
          <w:tcPr>
            <w:tcW w:w="1795" w:type="dxa"/>
            <w:shd w:val="clear" w:color="auto" w:fill="DBE5F1" w:themeFill="accent1" w:themeFillTint="33"/>
            <w:vAlign w:val="center"/>
          </w:tcPr>
          <w:p w14:paraId="2A4A46A2"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Results statement:</w:t>
            </w:r>
          </w:p>
        </w:tc>
        <w:tc>
          <w:tcPr>
            <w:tcW w:w="630" w:type="dxa"/>
            <w:shd w:val="clear" w:color="auto" w:fill="DBE5F1" w:themeFill="accent1" w:themeFillTint="33"/>
            <w:vAlign w:val="center"/>
          </w:tcPr>
          <w:p w14:paraId="7E847297"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No.</w:t>
            </w:r>
          </w:p>
        </w:tc>
        <w:tc>
          <w:tcPr>
            <w:tcW w:w="4950" w:type="dxa"/>
            <w:shd w:val="clear" w:color="auto" w:fill="DBE5F1" w:themeFill="accent1" w:themeFillTint="33"/>
            <w:vAlign w:val="center"/>
          </w:tcPr>
          <w:p w14:paraId="3A2D1579" w14:textId="77777777" w:rsidR="00EB1316" w:rsidRPr="00C7021E" w:rsidRDefault="00EB1316" w:rsidP="009C5083">
            <w:pPr>
              <w:spacing w:after="0" w:line="240" w:lineRule="auto"/>
              <w:rPr>
                <w:rFonts w:eastAsia="Calibri" w:cs="Times New Roman"/>
                <w:b/>
                <w:sz w:val="20"/>
                <w:szCs w:val="20"/>
                <w:lang w:val="en-GB" w:eastAsia="en-US"/>
              </w:rPr>
            </w:pPr>
            <w:r w:rsidRPr="00C7021E">
              <w:rPr>
                <w:rFonts w:eastAsia="Calibri" w:cs="Times New Roman"/>
                <w:b/>
                <w:sz w:val="20"/>
                <w:szCs w:val="20"/>
                <w:lang w:val="en-GB" w:eastAsia="en-US"/>
              </w:rPr>
              <w:t>Indicator</w:t>
            </w:r>
          </w:p>
        </w:tc>
        <w:tc>
          <w:tcPr>
            <w:tcW w:w="1710" w:type="dxa"/>
            <w:shd w:val="clear" w:color="auto" w:fill="DBE5F1" w:themeFill="accent1" w:themeFillTint="33"/>
            <w:vAlign w:val="center"/>
          </w:tcPr>
          <w:p w14:paraId="6E9D9E4B" w14:textId="77777777" w:rsidR="00EB1316" w:rsidRPr="00C7021E" w:rsidRDefault="00EB1316" w:rsidP="009C5083">
            <w:pPr>
              <w:spacing w:after="0" w:line="240" w:lineRule="auto"/>
              <w:jc w:val="center"/>
              <w:rPr>
                <w:rFonts w:eastAsia="Calibri" w:cs="Times New Roman"/>
                <w:b/>
                <w:sz w:val="20"/>
                <w:szCs w:val="20"/>
                <w:lang w:val="en-GB" w:eastAsia="en-US"/>
              </w:rPr>
            </w:pPr>
            <w:r w:rsidRPr="00C7021E">
              <w:rPr>
                <w:rFonts w:eastAsia="Calibri" w:cs="Times New Roman"/>
                <w:b/>
                <w:sz w:val="20"/>
                <w:szCs w:val="20"/>
                <w:lang w:val="en-GB" w:eastAsia="en-US"/>
              </w:rPr>
              <w:t>Baseline</w:t>
            </w:r>
            <w:r>
              <w:rPr>
                <w:rFonts w:eastAsia="Calibri" w:cs="Times New Roman"/>
                <w:b/>
                <w:sz w:val="20"/>
                <w:szCs w:val="20"/>
                <w:lang w:val="en-GB" w:eastAsia="en-US"/>
              </w:rPr>
              <w:t xml:space="preserve"> </w:t>
            </w:r>
            <w:r w:rsidRPr="003D185C">
              <w:rPr>
                <w:rFonts w:eastAsia="Calibri" w:cs="Times New Roman"/>
                <w:sz w:val="20"/>
                <w:szCs w:val="20"/>
                <w:lang w:val="en-GB" w:eastAsia="en-US"/>
              </w:rPr>
              <w:t>2013</w:t>
            </w:r>
          </w:p>
        </w:tc>
        <w:tc>
          <w:tcPr>
            <w:tcW w:w="1620" w:type="dxa"/>
            <w:shd w:val="clear" w:color="auto" w:fill="DBE5F1" w:themeFill="accent1" w:themeFillTint="33"/>
            <w:vAlign w:val="center"/>
          </w:tcPr>
          <w:p w14:paraId="2FCE8D32" w14:textId="77777777" w:rsidR="00EB1316" w:rsidRPr="00C7021E" w:rsidRDefault="00EB1316" w:rsidP="009C5083">
            <w:pPr>
              <w:spacing w:after="0" w:line="240" w:lineRule="auto"/>
              <w:jc w:val="center"/>
              <w:rPr>
                <w:rFonts w:eastAsia="Calibri" w:cs="Times New Roman"/>
                <w:b/>
                <w:sz w:val="20"/>
                <w:szCs w:val="20"/>
                <w:lang w:val="en-GB" w:eastAsia="en-US"/>
              </w:rPr>
            </w:pPr>
            <w:r>
              <w:rPr>
                <w:rFonts w:eastAsia="Calibri" w:cs="Times New Roman"/>
                <w:b/>
                <w:sz w:val="20"/>
                <w:szCs w:val="20"/>
                <w:lang w:val="en-GB" w:eastAsia="en-US"/>
              </w:rPr>
              <w:t xml:space="preserve">Milestones </w:t>
            </w:r>
            <w:r w:rsidRPr="003D185C">
              <w:rPr>
                <w:rFonts w:eastAsia="Calibri" w:cs="Times New Roman"/>
                <w:sz w:val="20"/>
                <w:szCs w:val="20"/>
                <w:lang w:val="en-GB" w:eastAsia="en-US"/>
              </w:rPr>
              <w:t>2014</w:t>
            </w:r>
          </w:p>
        </w:tc>
        <w:tc>
          <w:tcPr>
            <w:tcW w:w="1800" w:type="dxa"/>
            <w:shd w:val="clear" w:color="auto" w:fill="DBE5F1" w:themeFill="accent1" w:themeFillTint="33"/>
            <w:vAlign w:val="center"/>
          </w:tcPr>
          <w:p w14:paraId="220B8B03" w14:textId="77777777" w:rsidR="00EB1316" w:rsidRPr="00C7021E" w:rsidRDefault="00EB1316" w:rsidP="009C5083">
            <w:pPr>
              <w:spacing w:after="0" w:line="240" w:lineRule="auto"/>
              <w:jc w:val="center"/>
              <w:rPr>
                <w:rFonts w:eastAsia="Calibri" w:cs="Times New Roman"/>
                <w:b/>
                <w:sz w:val="20"/>
                <w:szCs w:val="20"/>
                <w:lang w:val="en-GB" w:eastAsia="en-US"/>
              </w:rPr>
            </w:pPr>
            <w:r>
              <w:rPr>
                <w:rFonts w:eastAsia="Calibri" w:cs="Times New Roman"/>
                <w:b/>
                <w:sz w:val="20"/>
                <w:szCs w:val="20"/>
                <w:lang w:val="en-GB" w:eastAsia="en-US"/>
              </w:rPr>
              <w:t>Actual 2014</w:t>
            </w:r>
          </w:p>
        </w:tc>
        <w:tc>
          <w:tcPr>
            <w:tcW w:w="1800" w:type="dxa"/>
            <w:shd w:val="clear" w:color="auto" w:fill="DBE5F1" w:themeFill="accent1" w:themeFillTint="33"/>
            <w:vAlign w:val="center"/>
          </w:tcPr>
          <w:p w14:paraId="2FE0AF62" w14:textId="77777777" w:rsidR="00EB1316" w:rsidRDefault="00EB1316" w:rsidP="009C5083">
            <w:pPr>
              <w:spacing w:after="0" w:line="240" w:lineRule="auto"/>
              <w:jc w:val="center"/>
              <w:rPr>
                <w:rFonts w:eastAsia="Calibri" w:cs="Times New Roman"/>
                <w:b/>
                <w:sz w:val="20"/>
                <w:szCs w:val="20"/>
                <w:lang w:val="en-GB" w:eastAsia="en-US"/>
              </w:rPr>
            </w:pPr>
            <w:r>
              <w:rPr>
                <w:rFonts w:eastAsia="Calibri" w:cs="Times New Roman"/>
                <w:b/>
                <w:sz w:val="20"/>
                <w:szCs w:val="20"/>
                <w:lang w:val="en-GB" w:eastAsia="en-US"/>
              </w:rPr>
              <w:t>Target 2017</w:t>
            </w:r>
          </w:p>
        </w:tc>
      </w:tr>
      <w:tr w:rsidR="00EB1316" w:rsidRPr="00C7021E" w14:paraId="5D94C6A0" w14:textId="77777777" w:rsidTr="009C5083">
        <w:trPr>
          <w:trHeight w:val="404"/>
          <w:jc w:val="center"/>
        </w:trPr>
        <w:tc>
          <w:tcPr>
            <w:tcW w:w="1795" w:type="dxa"/>
            <w:vMerge w:val="restart"/>
            <w:shd w:val="clear" w:color="auto" w:fill="FFFFFF"/>
            <w:vAlign w:val="center"/>
          </w:tcPr>
          <w:p w14:paraId="11A9C867" w14:textId="77777777" w:rsidR="00EB1316" w:rsidRPr="00C7021E" w:rsidRDefault="00EB1316" w:rsidP="009C5083">
            <w:pPr>
              <w:spacing w:after="0" w:line="240" w:lineRule="auto"/>
              <w:rPr>
                <w:rFonts w:eastAsia="Calibri" w:cs="Times New Roman"/>
                <w:sz w:val="20"/>
                <w:szCs w:val="20"/>
                <w:lang w:eastAsia="en-US"/>
              </w:rPr>
            </w:pPr>
            <w:r w:rsidRPr="00245A7E">
              <w:rPr>
                <w:rFonts w:eastAsia="Calibri" w:cs="Times New Roman"/>
                <w:b/>
                <w:sz w:val="20"/>
                <w:szCs w:val="20"/>
                <w:lang w:eastAsia="en-US"/>
              </w:rPr>
              <w:t>9.1</w:t>
            </w:r>
            <w:r w:rsidRPr="00C7021E">
              <w:rPr>
                <w:rFonts w:eastAsia="Calibri" w:cs="Times New Roman"/>
                <w:sz w:val="20"/>
                <w:szCs w:val="20"/>
                <w:lang w:eastAsia="en-US"/>
              </w:rPr>
              <w:t xml:space="preserve"> Greater progress on coordination, leadership and management of the Resident Coordinator system</w:t>
            </w:r>
            <w:r w:rsidRPr="00C7021E">
              <w:rPr>
                <w:rFonts w:eastAsia="Calibri" w:cs="Times New Roman"/>
                <w:color w:val="000000"/>
                <w:sz w:val="20"/>
                <w:szCs w:val="20"/>
                <w:lang w:eastAsia="en-US"/>
              </w:rPr>
              <w:t xml:space="preserve"> ensured</w:t>
            </w:r>
          </w:p>
        </w:tc>
        <w:tc>
          <w:tcPr>
            <w:tcW w:w="630" w:type="dxa"/>
            <w:vMerge w:val="restart"/>
            <w:shd w:val="clear" w:color="auto" w:fill="auto"/>
            <w:vAlign w:val="center"/>
          </w:tcPr>
          <w:p w14:paraId="3979C9FF" w14:textId="77777777" w:rsidR="00EB1316" w:rsidRPr="00C7021E" w:rsidRDefault="00EB1316" w:rsidP="009C5083">
            <w:pPr>
              <w:spacing w:after="0" w:line="240" w:lineRule="auto"/>
              <w:rPr>
                <w:rFonts w:eastAsia="Calibri" w:cs="Times New Roman"/>
                <w:b/>
                <w:sz w:val="20"/>
                <w:szCs w:val="20"/>
                <w:lang w:eastAsia="en-US"/>
              </w:rPr>
            </w:pPr>
            <w:r w:rsidRPr="00C7021E">
              <w:rPr>
                <w:rFonts w:eastAsia="Calibri" w:cs="Times New Roman"/>
                <w:b/>
                <w:sz w:val="20"/>
                <w:szCs w:val="20"/>
                <w:lang w:eastAsia="en-US"/>
              </w:rPr>
              <w:t>4</w:t>
            </w:r>
            <w:r>
              <w:rPr>
                <w:rFonts w:eastAsia="Calibri" w:cs="Times New Roman"/>
                <w:b/>
                <w:sz w:val="20"/>
                <w:szCs w:val="20"/>
                <w:lang w:eastAsia="en-US"/>
              </w:rPr>
              <w:t>1</w:t>
            </w:r>
            <w:r w:rsidRPr="00C7021E">
              <w:rPr>
                <w:rFonts w:eastAsia="Calibri" w:cs="Times New Roman"/>
                <w:b/>
                <w:sz w:val="20"/>
                <w:szCs w:val="20"/>
                <w:lang w:eastAsia="en-US"/>
              </w:rPr>
              <w:t>.</w:t>
            </w:r>
          </w:p>
        </w:tc>
        <w:tc>
          <w:tcPr>
            <w:tcW w:w="4950" w:type="dxa"/>
            <w:shd w:val="clear" w:color="auto" w:fill="auto"/>
            <w:vAlign w:val="center"/>
          </w:tcPr>
          <w:p w14:paraId="1047066B" w14:textId="77777777" w:rsidR="00EB1316" w:rsidRPr="00C7021E" w:rsidRDefault="00EB1316" w:rsidP="009C5083">
            <w:pPr>
              <w:spacing w:after="0" w:line="240" w:lineRule="auto"/>
              <w:rPr>
                <w:rFonts w:eastAsia="Calibri" w:cs="Times New Roman"/>
                <w:color w:val="00B050"/>
                <w:sz w:val="20"/>
                <w:szCs w:val="20"/>
                <w:lang w:eastAsia="en-US"/>
              </w:rPr>
            </w:pPr>
            <w:r w:rsidRPr="00C7021E">
              <w:rPr>
                <w:rFonts w:eastAsia="Calibri" w:cs="Times New Roman"/>
                <w:color w:val="000000"/>
                <w:sz w:val="20"/>
                <w:szCs w:val="20"/>
                <w:lang w:eastAsia="en-US"/>
              </w:rPr>
              <w:t xml:space="preserve">Percentage of actions in the UNDP QCPR </w:t>
            </w:r>
            <w:r>
              <w:rPr>
                <w:rFonts w:eastAsia="Calibri" w:cs="Times New Roman"/>
                <w:color w:val="000000"/>
                <w:sz w:val="20"/>
                <w:szCs w:val="20"/>
                <w:lang w:eastAsia="en-US"/>
              </w:rPr>
              <w:t>Implementation</w:t>
            </w:r>
            <w:r w:rsidRPr="00C7021E">
              <w:rPr>
                <w:rFonts w:eastAsia="Calibri" w:cs="Times New Roman"/>
                <w:color w:val="000000"/>
                <w:sz w:val="20"/>
                <w:szCs w:val="20"/>
                <w:lang w:eastAsia="en-US"/>
              </w:rPr>
              <w:t xml:space="preserve"> Plan that are </w:t>
            </w:r>
            <w:r>
              <w:rPr>
                <w:rFonts w:eastAsia="Calibri" w:cs="Times New Roman"/>
                <w:color w:val="000000"/>
                <w:sz w:val="20"/>
                <w:szCs w:val="20"/>
                <w:lang w:eastAsia="en-US"/>
              </w:rPr>
              <w:t>achieved</w:t>
            </w:r>
            <w:r w:rsidRPr="00C7021E">
              <w:rPr>
                <w:rFonts w:eastAsia="Calibri" w:cs="Times New Roman"/>
                <w:color w:val="000000"/>
                <w:sz w:val="20"/>
                <w:szCs w:val="20"/>
                <w:lang w:eastAsia="en-US"/>
              </w:rPr>
              <w:t>.</w:t>
            </w:r>
          </w:p>
        </w:tc>
        <w:tc>
          <w:tcPr>
            <w:tcW w:w="1710" w:type="dxa"/>
            <w:shd w:val="clear" w:color="auto" w:fill="auto"/>
            <w:vAlign w:val="center"/>
          </w:tcPr>
          <w:p w14:paraId="0FCDF4FD" w14:textId="77777777" w:rsidR="00EB1316" w:rsidRPr="00BB2D00" w:rsidRDefault="00EB1316" w:rsidP="009C5083">
            <w:pPr>
              <w:spacing w:after="0" w:line="240" w:lineRule="auto"/>
              <w:rPr>
                <w:rFonts w:ascii="Calibri" w:eastAsia="Calibri" w:hAnsi="Calibri"/>
                <w:sz w:val="20"/>
              </w:rPr>
            </w:pPr>
            <w:r w:rsidRPr="00E06A30">
              <w:rPr>
                <w:rFonts w:ascii="Calibri" w:eastAsia="Calibri" w:hAnsi="Calibri"/>
                <w:sz w:val="20"/>
              </w:rPr>
              <w:t>32% achieved 65% in progress (2014)</w:t>
            </w:r>
          </w:p>
        </w:tc>
        <w:tc>
          <w:tcPr>
            <w:tcW w:w="1620" w:type="dxa"/>
            <w:shd w:val="clear" w:color="auto" w:fill="auto"/>
            <w:vAlign w:val="center"/>
          </w:tcPr>
          <w:p w14:paraId="6B3C57A3" w14:textId="77777777" w:rsidR="00EB1316" w:rsidRPr="00BB2D00" w:rsidRDefault="00EB1316" w:rsidP="009C5083">
            <w:pPr>
              <w:spacing w:after="0" w:line="240" w:lineRule="auto"/>
              <w:rPr>
                <w:rFonts w:ascii="Calibri" w:eastAsia="Calibri" w:hAnsi="Calibri"/>
                <w:sz w:val="20"/>
              </w:rPr>
            </w:pPr>
            <w:r>
              <w:rPr>
                <w:rFonts w:ascii="Calibri" w:eastAsia="Calibri" w:hAnsi="Calibri"/>
                <w:sz w:val="20"/>
              </w:rPr>
              <w:t>Not applicable</w:t>
            </w:r>
          </w:p>
        </w:tc>
        <w:tc>
          <w:tcPr>
            <w:tcW w:w="1800" w:type="dxa"/>
            <w:shd w:val="clear" w:color="auto" w:fill="auto"/>
            <w:vAlign w:val="center"/>
          </w:tcPr>
          <w:p w14:paraId="04FAFE3B" w14:textId="77777777" w:rsidR="00EB1316" w:rsidRPr="00BB2D00" w:rsidRDefault="00EB1316" w:rsidP="009C5083">
            <w:pPr>
              <w:spacing w:after="0" w:line="240" w:lineRule="auto"/>
              <w:rPr>
                <w:rFonts w:ascii="Calibri" w:eastAsia="Calibri" w:hAnsi="Calibri"/>
                <w:sz w:val="20"/>
              </w:rPr>
            </w:pPr>
            <w:r w:rsidRPr="00E06A30">
              <w:rPr>
                <w:rFonts w:ascii="Calibri" w:eastAsia="Calibri" w:hAnsi="Calibri"/>
                <w:sz w:val="20"/>
              </w:rPr>
              <w:t xml:space="preserve">32% achieved 65% in </w:t>
            </w:r>
            <w:r>
              <w:rPr>
                <w:rFonts w:ascii="Calibri" w:eastAsia="Calibri" w:hAnsi="Calibri"/>
                <w:sz w:val="20"/>
              </w:rPr>
              <w:t>progress</w:t>
            </w:r>
          </w:p>
        </w:tc>
        <w:tc>
          <w:tcPr>
            <w:tcW w:w="1800" w:type="dxa"/>
            <w:shd w:val="clear" w:color="auto" w:fill="auto"/>
            <w:vAlign w:val="center"/>
          </w:tcPr>
          <w:p w14:paraId="2BF7D435" w14:textId="77777777" w:rsidR="00EB1316" w:rsidRPr="00E06A30" w:rsidRDefault="00EB1316" w:rsidP="009C5083">
            <w:pPr>
              <w:spacing w:after="0" w:line="240" w:lineRule="auto"/>
              <w:rPr>
                <w:rFonts w:ascii="Calibri" w:eastAsia="Calibri" w:hAnsi="Calibri"/>
                <w:sz w:val="20"/>
              </w:rPr>
            </w:pPr>
            <w:r w:rsidRPr="00A835D4">
              <w:rPr>
                <w:rFonts w:ascii="Calibri" w:eastAsia="Calibri" w:hAnsi="Calibri"/>
                <w:sz w:val="20"/>
              </w:rPr>
              <w:t>70-100% achieved</w:t>
            </w:r>
          </w:p>
        </w:tc>
      </w:tr>
      <w:tr w:rsidR="00EB1316" w:rsidRPr="00C7021E" w14:paraId="2824F8AC" w14:textId="77777777" w:rsidTr="009C5083">
        <w:trPr>
          <w:trHeight w:val="188"/>
          <w:jc w:val="center"/>
        </w:trPr>
        <w:tc>
          <w:tcPr>
            <w:tcW w:w="1795" w:type="dxa"/>
            <w:vMerge/>
            <w:shd w:val="clear" w:color="auto" w:fill="FFFFFF"/>
            <w:vAlign w:val="center"/>
          </w:tcPr>
          <w:p w14:paraId="2F94CC01" w14:textId="77777777" w:rsidR="00EB1316" w:rsidRPr="00C7021E" w:rsidRDefault="00EB1316" w:rsidP="009C5083">
            <w:pPr>
              <w:spacing w:after="0" w:line="240" w:lineRule="auto"/>
              <w:rPr>
                <w:rFonts w:eastAsia="Calibri" w:cs="Times New Roman"/>
                <w:sz w:val="20"/>
                <w:szCs w:val="20"/>
                <w:lang w:eastAsia="en-US"/>
              </w:rPr>
            </w:pPr>
          </w:p>
        </w:tc>
        <w:tc>
          <w:tcPr>
            <w:tcW w:w="630" w:type="dxa"/>
            <w:vMerge/>
            <w:shd w:val="clear" w:color="auto" w:fill="EAF1DD" w:themeFill="accent3" w:themeFillTint="33"/>
            <w:vAlign w:val="center"/>
          </w:tcPr>
          <w:p w14:paraId="7A632112" w14:textId="77777777" w:rsidR="00EB1316" w:rsidRPr="00C7021E" w:rsidRDefault="00EB1316" w:rsidP="009C5083">
            <w:pPr>
              <w:spacing w:after="0" w:line="240" w:lineRule="auto"/>
              <w:rPr>
                <w:rFonts w:eastAsia="Calibri" w:cs="Times New Roman"/>
                <w:b/>
                <w:sz w:val="20"/>
                <w:szCs w:val="20"/>
                <w:lang w:eastAsia="en-US"/>
              </w:rPr>
            </w:pPr>
          </w:p>
        </w:tc>
        <w:tc>
          <w:tcPr>
            <w:tcW w:w="11880" w:type="dxa"/>
            <w:gridSpan w:val="5"/>
            <w:shd w:val="clear" w:color="auto" w:fill="D9D9D9" w:themeFill="background1" w:themeFillShade="D9"/>
            <w:vAlign w:val="center"/>
          </w:tcPr>
          <w:p w14:paraId="47F8A028" w14:textId="77777777" w:rsidR="00EB1316" w:rsidRPr="00123B3B" w:rsidRDefault="00EB1316" w:rsidP="009C5083">
            <w:pPr>
              <w:spacing w:after="0"/>
              <w:rPr>
                <w:rFonts w:ascii="Calibri" w:eastAsia="Calibri" w:hAnsi="Calibri"/>
                <w:b/>
                <w:sz w:val="18"/>
                <w:szCs w:val="20"/>
              </w:rPr>
            </w:pPr>
            <w:r w:rsidRPr="00123B3B">
              <w:rPr>
                <w:rFonts w:ascii="Calibri" w:eastAsia="Calibri" w:hAnsi="Calibri"/>
                <w:b/>
                <w:sz w:val="18"/>
                <w:szCs w:val="20"/>
              </w:rPr>
              <w:t>Note</w:t>
            </w:r>
            <w:r w:rsidRPr="00123B3B">
              <w:rPr>
                <w:rFonts w:ascii="Calibri" w:eastAsia="Calibri" w:hAnsi="Calibri"/>
                <w:sz w:val="18"/>
                <w:szCs w:val="20"/>
              </w:rPr>
              <w:t xml:space="preserve">: </w:t>
            </w:r>
            <w:r w:rsidRPr="00895265">
              <w:rPr>
                <w:sz w:val="18"/>
                <w:szCs w:val="18"/>
                <w:lang w:val="en-GB"/>
              </w:rPr>
              <w:t>The Implementation Plan was approved and the baseline for this indicator was set in 2014</w:t>
            </w:r>
            <w:r w:rsidRPr="00895265">
              <w:rPr>
                <w:rFonts w:ascii="Calibri" w:eastAsia="Calibri" w:hAnsi="Calibri"/>
                <w:sz w:val="18"/>
                <w:szCs w:val="18"/>
              </w:rPr>
              <w:t>.</w:t>
            </w:r>
          </w:p>
        </w:tc>
      </w:tr>
      <w:tr w:rsidR="00EB1316" w:rsidRPr="00C7021E" w14:paraId="1A55B75D" w14:textId="77777777" w:rsidTr="009C5083">
        <w:trPr>
          <w:trHeight w:val="512"/>
          <w:jc w:val="center"/>
        </w:trPr>
        <w:tc>
          <w:tcPr>
            <w:tcW w:w="1795" w:type="dxa"/>
            <w:vMerge/>
            <w:shd w:val="clear" w:color="auto" w:fill="FFFFFF"/>
            <w:vAlign w:val="center"/>
          </w:tcPr>
          <w:p w14:paraId="2D64A5AB" w14:textId="77777777" w:rsidR="00EB1316" w:rsidRPr="00C7021E" w:rsidRDefault="00EB1316" w:rsidP="009C5083">
            <w:pPr>
              <w:spacing w:after="0" w:line="240" w:lineRule="auto"/>
              <w:rPr>
                <w:rFonts w:eastAsia="Calibri" w:cs="Times New Roman"/>
                <w:sz w:val="20"/>
                <w:szCs w:val="20"/>
                <w:lang w:eastAsia="en-US"/>
              </w:rPr>
            </w:pPr>
          </w:p>
        </w:tc>
        <w:tc>
          <w:tcPr>
            <w:tcW w:w="630" w:type="dxa"/>
            <w:vMerge w:val="restart"/>
            <w:shd w:val="clear" w:color="auto" w:fill="auto"/>
            <w:vAlign w:val="center"/>
          </w:tcPr>
          <w:p w14:paraId="09345A08" w14:textId="77777777" w:rsidR="00EB1316" w:rsidRPr="00C7021E" w:rsidRDefault="00EB1316" w:rsidP="009C5083">
            <w:pPr>
              <w:spacing w:after="0" w:line="240" w:lineRule="auto"/>
              <w:rPr>
                <w:rFonts w:eastAsia="Calibri" w:cs="Times New Roman"/>
                <w:b/>
                <w:sz w:val="20"/>
                <w:szCs w:val="20"/>
                <w:lang w:eastAsia="en-US"/>
              </w:rPr>
            </w:pPr>
            <w:r w:rsidRPr="00C7021E">
              <w:rPr>
                <w:rFonts w:eastAsia="Calibri" w:cs="Times New Roman"/>
                <w:b/>
                <w:sz w:val="20"/>
                <w:szCs w:val="20"/>
                <w:lang w:eastAsia="en-US"/>
              </w:rPr>
              <w:t>4</w:t>
            </w:r>
            <w:r>
              <w:rPr>
                <w:rFonts w:eastAsia="Calibri" w:cs="Times New Roman"/>
                <w:b/>
                <w:sz w:val="20"/>
                <w:szCs w:val="20"/>
                <w:lang w:eastAsia="en-US"/>
              </w:rPr>
              <w:t>2</w:t>
            </w:r>
            <w:r w:rsidRPr="00C7021E">
              <w:rPr>
                <w:rFonts w:eastAsia="Calibri" w:cs="Times New Roman"/>
                <w:b/>
                <w:sz w:val="20"/>
                <w:szCs w:val="20"/>
                <w:lang w:eastAsia="en-US"/>
              </w:rPr>
              <w:t>.</w:t>
            </w:r>
          </w:p>
        </w:tc>
        <w:tc>
          <w:tcPr>
            <w:tcW w:w="4950" w:type="dxa"/>
            <w:shd w:val="clear" w:color="auto" w:fill="auto"/>
            <w:vAlign w:val="center"/>
          </w:tcPr>
          <w:p w14:paraId="386E8E44" w14:textId="77777777" w:rsidR="00EB1316" w:rsidRPr="00C7021E" w:rsidRDefault="00EB1316" w:rsidP="009C5083">
            <w:pPr>
              <w:spacing w:after="0" w:line="240" w:lineRule="auto"/>
              <w:rPr>
                <w:rFonts w:eastAsia="Calibri" w:cs="Times New Roman"/>
                <w:sz w:val="20"/>
                <w:szCs w:val="20"/>
                <w:lang w:eastAsia="en-US"/>
              </w:rPr>
            </w:pPr>
            <w:r w:rsidRPr="00C7021E">
              <w:rPr>
                <w:rFonts w:eastAsia="Calibri" w:cs="Times New Roman"/>
                <w:sz w:val="20"/>
                <w:szCs w:val="20"/>
                <w:lang w:eastAsia="en-US"/>
              </w:rPr>
              <w:t xml:space="preserve">Percentage of UNDP partners </w:t>
            </w:r>
            <w:r w:rsidRPr="00C7021E">
              <w:rPr>
                <w:rFonts w:eastAsia="Calibri" w:cs="Times New Roman"/>
                <w:color w:val="000000"/>
                <w:sz w:val="20"/>
                <w:szCs w:val="20"/>
                <w:lang w:eastAsia="en-US"/>
              </w:rPr>
              <w:t xml:space="preserve">satisfied </w:t>
            </w:r>
            <w:r w:rsidRPr="00C7021E">
              <w:rPr>
                <w:rFonts w:eastAsia="Calibri" w:cs="Times New Roman"/>
                <w:sz w:val="20"/>
                <w:szCs w:val="20"/>
                <w:lang w:eastAsia="en-US"/>
              </w:rPr>
              <w:t>with UNDP leadership of the Resident Coordinator System</w:t>
            </w:r>
          </w:p>
        </w:tc>
        <w:tc>
          <w:tcPr>
            <w:tcW w:w="1710" w:type="dxa"/>
            <w:shd w:val="clear" w:color="auto" w:fill="auto"/>
            <w:vAlign w:val="center"/>
          </w:tcPr>
          <w:p w14:paraId="0454AABD" w14:textId="77777777" w:rsidR="00EB1316" w:rsidRPr="0063159A" w:rsidRDefault="00EB1316" w:rsidP="009C5083">
            <w:pPr>
              <w:spacing w:after="0"/>
              <w:jc w:val="center"/>
              <w:rPr>
                <w:rFonts w:ascii="Calibri" w:eastAsia="Calibri" w:hAnsi="Calibri"/>
                <w:sz w:val="20"/>
                <w:szCs w:val="20"/>
              </w:rPr>
            </w:pPr>
            <w:r w:rsidRPr="0063159A">
              <w:rPr>
                <w:rFonts w:ascii="Calibri" w:eastAsia="Calibri" w:hAnsi="Calibri"/>
                <w:sz w:val="20"/>
                <w:szCs w:val="20"/>
              </w:rPr>
              <w:t>71% (2012)</w:t>
            </w:r>
          </w:p>
        </w:tc>
        <w:tc>
          <w:tcPr>
            <w:tcW w:w="1620" w:type="dxa"/>
            <w:shd w:val="clear" w:color="auto" w:fill="auto"/>
            <w:vAlign w:val="center"/>
          </w:tcPr>
          <w:p w14:paraId="3F26B494" w14:textId="77777777" w:rsidR="00EB1316" w:rsidRPr="0063159A" w:rsidRDefault="00EB1316" w:rsidP="009C5083">
            <w:pPr>
              <w:spacing w:after="0"/>
              <w:jc w:val="center"/>
              <w:rPr>
                <w:rFonts w:ascii="Calibri" w:eastAsia="Calibri" w:hAnsi="Calibri"/>
                <w:sz w:val="20"/>
                <w:szCs w:val="20"/>
              </w:rPr>
            </w:pPr>
            <w:r w:rsidRPr="0063159A">
              <w:rPr>
                <w:rFonts w:ascii="Calibri" w:eastAsia="Calibri" w:hAnsi="Calibri"/>
                <w:sz w:val="20"/>
                <w:szCs w:val="20"/>
              </w:rPr>
              <w:t>80%</w:t>
            </w:r>
          </w:p>
        </w:tc>
        <w:tc>
          <w:tcPr>
            <w:tcW w:w="1800" w:type="dxa"/>
            <w:shd w:val="clear" w:color="auto" w:fill="auto"/>
            <w:vAlign w:val="center"/>
          </w:tcPr>
          <w:p w14:paraId="4AEA7A24" w14:textId="77777777" w:rsidR="00EB1316" w:rsidRPr="0063159A" w:rsidRDefault="00EB1316" w:rsidP="009C5083">
            <w:pPr>
              <w:spacing w:after="0"/>
              <w:jc w:val="center"/>
              <w:rPr>
                <w:rFonts w:ascii="Calibri" w:eastAsia="Calibri" w:hAnsi="Calibri"/>
                <w:sz w:val="20"/>
                <w:szCs w:val="20"/>
              </w:rPr>
            </w:pPr>
            <w:r w:rsidRPr="003A34E3">
              <w:rPr>
                <w:rFonts w:ascii="Calibri" w:eastAsia="Calibri" w:hAnsi="Calibri"/>
                <w:sz w:val="20"/>
                <w:szCs w:val="20"/>
              </w:rPr>
              <w:t>62%</w:t>
            </w:r>
          </w:p>
        </w:tc>
        <w:tc>
          <w:tcPr>
            <w:tcW w:w="1800" w:type="dxa"/>
            <w:shd w:val="clear" w:color="auto" w:fill="auto"/>
            <w:vAlign w:val="center"/>
          </w:tcPr>
          <w:p w14:paraId="205C91E5" w14:textId="77777777" w:rsidR="00EB1316" w:rsidRPr="003A34E3" w:rsidRDefault="00EB1316" w:rsidP="009C5083">
            <w:pPr>
              <w:spacing w:after="0"/>
              <w:jc w:val="center"/>
              <w:rPr>
                <w:rFonts w:ascii="Calibri" w:eastAsia="Calibri" w:hAnsi="Calibri"/>
                <w:sz w:val="20"/>
                <w:szCs w:val="20"/>
              </w:rPr>
            </w:pPr>
            <w:r w:rsidRPr="00970495">
              <w:rPr>
                <w:rFonts w:ascii="Calibri" w:eastAsia="Calibri" w:hAnsi="Calibri"/>
                <w:sz w:val="20"/>
                <w:szCs w:val="20"/>
              </w:rPr>
              <w:t>80%</w:t>
            </w:r>
          </w:p>
        </w:tc>
      </w:tr>
      <w:tr w:rsidR="00EB1316" w:rsidRPr="00C7021E" w14:paraId="25661859" w14:textId="77777777" w:rsidTr="009C5083">
        <w:trPr>
          <w:trHeight w:val="557"/>
          <w:jc w:val="center"/>
        </w:trPr>
        <w:tc>
          <w:tcPr>
            <w:tcW w:w="1795" w:type="dxa"/>
            <w:vMerge/>
            <w:shd w:val="clear" w:color="auto" w:fill="FFFFFF"/>
            <w:vAlign w:val="center"/>
          </w:tcPr>
          <w:p w14:paraId="656834F6" w14:textId="77777777" w:rsidR="00EB1316" w:rsidRPr="00C7021E" w:rsidRDefault="00EB1316" w:rsidP="009C5083">
            <w:pPr>
              <w:spacing w:after="0" w:line="240" w:lineRule="auto"/>
              <w:rPr>
                <w:rFonts w:eastAsia="Calibri" w:cs="Times New Roman"/>
                <w:sz w:val="20"/>
                <w:szCs w:val="20"/>
                <w:lang w:eastAsia="en-US"/>
              </w:rPr>
            </w:pPr>
          </w:p>
        </w:tc>
        <w:tc>
          <w:tcPr>
            <w:tcW w:w="630" w:type="dxa"/>
            <w:vMerge/>
            <w:shd w:val="clear" w:color="auto" w:fill="F2DBDB" w:themeFill="accent2" w:themeFillTint="33"/>
            <w:vAlign w:val="center"/>
          </w:tcPr>
          <w:p w14:paraId="69C4BAD3" w14:textId="77777777" w:rsidR="00EB1316" w:rsidRPr="00C7021E" w:rsidRDefault="00EB1316" w:rsidP="009C5083">
            <w:pPr>
              <w:spacing w:after="0" w:line="240" w:lineRule="auto"/>
              <w:rPr>
                <w:rFonts w:eastAsia="Calibri" w:cs="Times New Roman"/>
                <w:b/>
                <w:sz w:val="20"/>
                <w:szCs w:val="20"/>
                <w:lang w:eastAsia="en-US"/>
              </w:rPr>
            </w:pPr>
          </w:p>
        </w:tc>
        <w:tc>
          <w:tcPr>
            <w:tcW w:w="11880" w:type="dxa"/>
            <w:gridSpan w:val="5"/>
            <w:shd w:val="clear" w:color="auto" w:fill="D9D9D9" w:themeFill="background1" w:themeFillShade="D9"/>
            <w:vAlign w:val="center"/>
          </w:tcPr>
          <w:p w14:paraId="3B401B5A" w14:textId="77777777" w:rsidR="00EB1316" w:rsidRPr="001F36BE" w:rsidRDefault="00EB1316" w:rsidP="009C5083">
            <w:pPr>
              <w:spacing w:after="0" w:line="240" w:lineRule="auto"/>
              <w:rPr>
                <w:rFonts w:ascii="Calibri" w:eastAsia="Calibri" w:hAnsi="Calibri"/>
                <w:b/>
                <w:sz w:val="18"/>
                <w:szCs w:val="18"/>
              </w:rPr>
            </w:pPr>
            <w:r w:rsidRPr="001F36BE">
              <w:rPr>
                <w:rFonts w:ascii="Calibri" w:eastAsia="Calibri" w:hAnsi="Calibri"/>
                <w:b/>
                <w:sz w:val="18"/>
                <w:szCs w:val="18"/>
              </w:rPr>
              <w:t>N</w:t>
            </w:r>
            <w:r w:rsidRPr="001F36BE">
              <w:rPr>
                <w:rFonts w:ascii="Calibri" w:eastAsia="Calibri" w:hAnsi="Calibri"/>
                <w:b/>
                <w:bCs/>
                <w:sz w:val="18"/>
                <w:szCs w:val="18"/>
              </w:rPr>
              <w:t>ote</w:t>
            </w:r>
            <w:r w:rsidRPr="001F36BE">
              <w:rPr>
                <w:rFonts w:ascii="Calibri" w:eastAsia="Calibri" w:hAnsi="Calibri"/>
                <w:sz w:val="18"/>
                <w:szCs w:val="18"/>
              </w:rPr>
              <w:t>: The 2012 Partnership Survey was li</w:t>
            </w:r>
            <w:r>
              <w:rPr>
                <w:rFonts w:ascii="Calibri" w:eastAsia="Calibri" w:hAnsi="Calibri"/>
                <w:sz w:val="18"/>
                <w:szCs w:val="18"/>
              </w:rPr>
              <w:t>mited to country-level partners, not capturing</w:t>
            </w:r>
            <w:r w:rsidRPr="001F36BE">
              <w:rPr>
                <w:rFonts w:ascii="Calibri" w:eastAsia="Calibri" w:hAnsi="Calibri"/>
                <w:sz w:val="18"/>
                <w:szCs w:val="18"/>
              </w:rPr>
              <w:t xml:space="preserve"> </w:t>
            </w:r>
            <w:r>
              <w:rPr>
                <w:rFonts w:ascii="Calibri" w:eastAsia="Calibri" w:hAnsi="Calibri"/>
                <w:sz w:val="18"/>
                <w:szCs w:val="18"/>
              </w:rPr>
              <w:t>p</w:t>
            </w:r>
            <w:r w:rsidRPr="001F36BE">
              <w:rPr>
                <w:rFonts w:ascii="Calibri" w:eastAsia="Calibri" w:hAnsi="Calibri"/>
                <w:sz w:val="18"/>
                <w:szCs w:val="18"/>
              </w:rPr>
              <w:t xml:space="preserve">erceptions of partners from HQ locations and donor capitals. The methodology, questionnaire and sampling have been reformulated, and the 2015 survey included partners in HQ and partner country locations. The 2014 </w:t>
            </w:r>
            <w:r>
              <w:rPr>
                <w:rFonts w:ascii="Calibri" w:eastAsia="Calibri" w:hAnsi="Calibri"/>
                <w:sz w:val="18"/>
                <w:szCs w:val="18"/>
              </w:rPr>
              <w:t>actual</w:t>
            </w:r>
            <w:r w:rsidRPr="001F36BE">
              <w:rPr>
                <w:rFonts w:ascii="Calibri" w:eastAsia="Calibri" w:hAnsi="Calibri"/>
                <w:sz w:val="18"/>
                <w:szCs w:val="18"/>
              </w:rPr>
              <w:t xml:space="preserve"> is the average % of favorable responses to 4 questions on UNDP’s contribution to the RC System</w:t>
            </w:r>
            <w:r>
              <w:rPr>
                <w:rFonts w:ascii="Calibri" w:eastAsia="Calibri" w:hAnsi="Calibri"/>
                <w:sz w:val="18"/>
                <w:szCs w:val="18"/>
              </w:rPr>
              <w:t>.</w:t>
            </w:r>
          </w:p>
        </w:tc>
      </w:tr>
      <w:tr w:rsidR="00EB1316" w:rsidRPr="00C7021E" w14:paraId="0BBC598E" w14:textId="77777777" w:rsidTr="009C5083">
        <w:trPr>
          <w:trHeight w:val="503"/>
          <w:jc w:val="center"/>
        </w:trPr>
        <w:tc>
          <w:tcPr>
            <w:tcW w:w="1795" w:type="dxa"/>
            <w:vMerge/>
            <w:shd w:val="clear" w:color="auto" w:fill="FFFFFF"/>
            <w:vAlign w:val="center"/>
          </w:tcPr>
          <w:p w14:paraId="58C0E134" w14:textId="77777777" w:rsidR="00EB1316" w:rsidRPr="00C7021E" w:rsidRDefault="00EB1316" w:rsidP="009C5083">
            <w:pPr>
              <w:spacing w:after="0" w:line="240" w:lineRule="auto"/>
              <w:rPr>
                <w:rFonts w:eastAsia="Calibri" w:cs="Times New Roman"/>
                <w:sz w:val="20"/>
                <w:szCs w:val="20"/>
                <w:lang w:eastAsia="en-US"/>
              </w:rPr>
            </w:pPr>
          </w:p>
        </w:tc>
        <w:tc>
          <w:tcPr>
            <w:tcW w:w="630" w:type="dxa"/>
            <w:vMerge w:val="restart"/>
            <w:shd w:val="clear" w:color="auto" w:fill="FFFFFF" w:themeFill="background1"/>
            <w:vAlign w:val="center"/>
          </w:tcPr>
          <w:p w14:paraId="7A8C5DAE" w14:textId="77777777" w:rsidR="00EB1316" w:rsidRPr="00C7021E" w:rsidRDefault="00EB1316" w:rsidP="009C5083">
            <w:pPr>
              <w:spacing w:after="0" w:line="240" w:lineRule="auto"/>
              <w:rPr>
                <w:rFonts w:eastAsia="Calibri" w:cs="Times New Roman"/>
                <w:b/>
                <w:sz w:val="20"/>
                <w:szCs w:val="20"/>
                <w:lang w:eastAsia="en-US"/>
              </w:rPr>
            </w:pPr>
            <w:r w:rsidRPr="00C7021E">
              <w:rPr>
                <w:rFonts w:eastAsia="Calibri" w:cs="Times New Roman"/>
                <w:b/>
                <w:sz w:val="20"/>
                <w:szCs w:val="20"/>
                <w:lang w:eastAsia="en-US"/>
              </w:rPr>
              <w:t>4</w:t>
            </w:r>
            <w:r>
              <w:rPr>
                <w:rFonts w:eastAsia="Calibri" w:cs="Times New Roman"/>
                <w:b/>
                <w:sz w:val="20"/>
                <w:szCs w:val="20"/>
                <w:lang w:eastAsia="en-US"/>
              </w:rPr>
              <w:t>3</w:t>
            </w:r>
            <w:r w:rsidRPr="00C7021E">
              <w:rPr>
                <w:rFonts w:eastAsia="Calibri" w:cs="Times New Roman"/>
                <w:b/>
                <w:sz w:val="20"/>
                <w:szCs w:val="20"/>
                <w:lang w:eastAsia="en-US"/>
              </w:rPr>
              <w:t>.</w:t>
            </w:r>
          </w:p>
        </w:tc>
        <w:tc>
          <w:tcPr>
            <w:tcW w:w="4950" w:type="dxa"/>
            <w:shd w:val="clear" w:color="auto" w:fill="FFFFFF" w:themeFill="background1"/>
            <w:vAlign w:val="center"/>
          </w:tcPr>
          <w:p w14:paraId="75F2DB96" w14:textId="77777777" w:rsidR="00EB1316" w:rsidRPr="00C7021E" w:rsidRDefault="00EB1316" w:rsidP="009C5083">
            <w:pPr>
              <w:spacing w:after="0" w:line="240" w:lineRule="auto"/>
              <w:rPr>
                <w:rFonts w:eastAsia="Calibri" w:cs="Times New Roman"/>
                <w:sz w:val="20"/>
                <w:szCs w:val="20"/>
                <w:lang w:eastAsia="en-US"/>
              </w:rPr>
            </w:pPr>
            <w:r>
              <w:rPr>
                <w:rFonts w:eastAsia="Calibri" w:cs="Times New Roman"/>
                <w:sz w:val="20"/>
                <w:szCs w:val="20"/>
                <w:lang w:eastAsia="en-US"/>
              </w:rPr>
              <w:t xml:space="preserve">Per </w:t>
            </w:r>
            <w:r w:rsidRPr="00C7021E">
              <w:rPr>
                <w:rFonts w:eastAsia="Calibri" w:cs="Times New Roman"/>
                <w:sz w:val="20"/>
                <w:szCs w:val="20"/>
                <w:lang w:eastAsia="en-US"/>
              </w:rPr>
              <w:t xml:space="preserve">cent of country offices using common RBM tools and principles </w:t>
            </w:r>
            <w:r w:rsidRPr="00C7021E">
              <w:rPr>
                <w:rFonts w:eastAsia="Calibri" w:cs="Times New Roman"/>
                <w:b/>
                <w:sz w:val="20"/>
                <w:szCs w:val="20"/>
                <w:lang w:eastAsia="en-US"/>
              </w:rPr>
              <w:t>[COMMON QCPR INDICATOR]</w:t>
            </w:r>
          </w:p>
        </w:tc>
        <w:tc>
          <w:tcPr>
            <w:tcW w:w="1710" w:type="dxa"/>
            <w:shd w:val="clear" w:color="auto" w:fill="FFFFFF" w:themeFill="background1"/>
            <w:vAlign w:val="center"/>
          </w:tcPr>
          <w:p w14:paraId="00DF019B" w14:textId="77777777" w:rsidR="00EB1316" w:rsidRPr="00BB2D00" w:rsidRDefault="00EB1316" w:rsidP="009C5083">
            <w:pPr>
              <w:spacing w:after="0"/>
              <w:jc w:val="center"/>
              <w:rPr>
                <w:rFonts w:ascii="Calibri" w:eastAsia="Calibri" w:hAnsi="Calibri"/>
                <w:sz w:val="20"/>
              </w:rPr>
            </w:pPr>
            <w:r w:rsidRPr="00BB2D00">
              <w:rPr>
                <w:rFonts w:ascii="Calibri" w:eastAsia="Calibri" w:hAnsi="Calibri"/>
                <w:sz w:val="20"/>
              </w:rPr>
              <w:t>TBD</w:t>
            </w:r>
          </w:p>
        </w:tc>
        <w:tc>
          <w:tcPr>
            <w:tcW w:w="1620" w:type="dxa"/>
            <w:shd w:val="clear" w:color="auto" w:fill="FFFFFF" w:themeFill="background1"/>
            <w:vAlign w:val="center"/>
          </w:tcPr>
          <w:p w14:paraId="064D5162" w14:textId="77777777" w:rsidR="00EB1316" w:rsidRPr="00BB2D00" w:rsidRDefault="00EB1316" w:rsidP="009C5083">
            <w:pPr>
              <w:spacing w:after="0"/>
              <w:jc w:val="center"/>
              <w:rPr>
                <w:rFonts w:ascii="Calibri" w:eastAsia="Calibri" w:hAnsi="Calibri"/>
                <w:sz w:val="20"/>
              </w:rPr>
            </w:pPr>
            <w:r>
              <w:rPr>
                <w:rFonts w:ascii="Calibri" w:eastAsia="Calibri" w:hAnsi="Calibri"/>
                <w:sz w:val="20"/>
              </w:rPr>
              <w:t>Not available</w:t>
            </w:r>
          </w:p>
        </w:tc>
        <w:tc>
          <w:tcPr>
            <w:tcW w:w="1800" w:type="dxa"/>
            <w:shd w:val="clear" w:color="auto" w:fill="FFFFFF" w:themeFill="background1"/>
            <w:vAlign w:val="center"/>
          </w:tcPr>
          <w:p w14:paraId="5F37C74F" w14:textId="77777777" w:rsidR="00EB1316" w:rsidRPr="00BB2D00" w:rsidRDefault="00EB1316" w:rsidP="009C5083">
            <w:pPr>
              <w:spacing w:after="0"/>
              <w:jc w:val="center"/>
              <w:rPr>
                <w:rFonts w:ascii="Calibri" w:eastAsia="Calibri" w:hAnsi="Calibri"/>
                <w:sz w:val="20"/>
              </w:rPr>
            </w:pPr>
            <w:r>
              <w:rPr>
                <w:rFonts w:ascii="Calibri" w:eastAsia="Calibri" w:hAnsi="Calibri"/>
                <w:sz w:val="20"/>
              </w:rPr>
              <w:t>Not available</w:t>
            </w:r>
          </w:p>
        </w:tc>
        <w:tc>
          <w:tcPr>
            <w:tcW w:w="1800" w:type="dxa"/>
            <w:shd w:val="clear" w:color="auto" w:fill="FFFFFF" w:themeFill="background1"/>
            <w:vAlign w:val="center"/>
          </w:tcPr>
          <w:p w14:paraId="79E61B90" w14:textId="77777777" w:rsidR="00EB1316" w:rsidRDefault="00EB1316" w:rsidP="009C5083">
            <w:pPr>
              <w:spacing w:after="0"/>
              <w:jc w:val="center"/>
              <w:rPr>
                <w:rFonts w:ascii="Calibri" w:eastAsia="Calibri" w:hAnsi="Calibri"/>
                <w:sz w:val="20"/>
              </w:rPr>
            </w:pPr>
            <w:r>
              <w:rPr>
                <w:rFonts w:ascii="Calibri" w:eastAsia="Calibri" w:hAnsi="Calibri"/>
                <w:sz w:val="20"/>
              </w:rPr>
              <w:t>TBD</w:t>
            </w:r>
          </w:p>
        </w:tc>
      </w:tr>
      <w:tr w:rsidR="00EB1316" w:rsidRPr="00C7021E" w14:paraId="28B465CB" w14:textId="77777777" w:rsidTr="009C5083">
        <w:trPr>
          <w:trHeight w:val="287"/>
          <w:jc w:val="center"/>
        </w:trPr>
        <w:tc>
          <w:tcPr>
            <w:tcW w:w="1795" w:type="dxa"/>
            <w:vMerge/>
            <w:shd w:val="clear" w:color="auto" w:fill="FFFFFF"/>
            <w:vAlign w:val="center"/>
          </w:tcPr>
          <w:p w14:paraId="53C441F9" w14:textId="77777777" w:rsidR="00EB1316" w:rsidRPr="00C7021E" w:rsidRDefault="00EB1316" w:rsidP="009C5083">
            <w:pPr>
              <w:spacing w:after="0" w:line="240" w:lineRule="auto"/>
              <w:rPr>
                <w:rFonts w:eastAsia="Calibri" w:cs="Times New Roman"/>
                <w:sz w:val="20"/>
                <w:szCs w:val="20"/>
                <w:lang w:eastAsia="en-US"/>
              </w:rPr>
            </w:pPr>
          </w:p>
        </w:tc>
        <w:tc>
          <w:tcPr>
            <w:tcW w:w="630" w:type="dxa"/>
            <w:vMerge/>
            <w:shd w:val="clear" w:color="auto" w:fill="FFFFFF"/>
            <w:vAlign w:val="center"/>
          </w:tcPr>
          <w:p w14:paraId="2B23DFCD" w14:textId="77777777" w:rsidR="00EB1316" w:rsidRPr="00C7021E" w:rsidRDefault="00EB1316" w:rsidP="009C5083">
            <w:pPr>
              <w:spacing w:after="0" w:line="240" w:lineRule="auto"/>
              <w:rPr>
                <w:rFonts w:eastAsia="Calibri" w:cs="Times New Roman"/>
                <w:b/>
                <w:sz w:val="20"/>
                <w:szCs w:val="20"/>
                <w:lang w:eastAsia="en-US"/>
              </w:rPr>
            </w:pPr>
          </w:p>
        </w:tc>
        <w:tc>
          <w:tcPr>
            <w:tcW w:w="11880" w:type="dxa"/>
            <w:gridSpan w:val="5"/>
            <w:shd w:val="clear" w:color="auto" w:fill="D9D9D9" w:themeFill="background1" w:themeFillShade="D9"/>
            <w:vAlign w:val="center"/>
          </w:tcPr>
          <w:p w14:paraId="1A4D75FF" w14:textId="77777777" w:rsidR="00EB1316" w:rsidRPr="0046400A" w:rsidRDefault="00EB1316" w:rsidP="009C5083">
            <w:pPr>
              <w:spacing w:after="0" w:line="240" w:lineRule="auto"/>
              <w:rPr>
                <w:rFonts w:ascii="Calibri" w:eastAsia="Calibri" w:hAnsi="Calibri"/>
                <w:b/>
                <w:sz w:val="18"/>
              </w:rPr>
            </w:pPr>
            <w:r w:rsidRPr="0046400A">
              <w:rPr>
                <w:rFonts w:ascii="Calibri" w:eastAsia="Calibri" w:hAnsi="Calibri"/>
                <w:b/>
                <w:sz w:val="18"/>
              </w:rPr>
              <w:t>Note</w:t>
            </w:r>
            <w:r>
              <w:rPr>
                <w:rFonts w:ascii="Calibri" w:eastAsia="Calibri" w:hAnsi="Calibri"/>
                <w:sz w:val="18"/>
              </w:rPr>
              <w:t xml:space="preserve">: </w:t>
            </w:r>
            <w:r w:rsidRPr="0046400A">
              <w:rPr>
                <w:rFonts w:ascii="Calibri" w:eastAsia="Calibri" w:hAnsi="Calibri"/>
                <w:sz w:val="18"/>
              </w:rPr>
              <w:t>Common methodology is being developed with other UNDG agencies</w:t>
            </w:r>
          </w:p>
        </w:tc>
      </w:tr>
      <w:tr w:rsidR="00EB1316" w:rsidRPr="00C7021E" w14:paraId="4033DE04" w14:textId="77777777" w:rsidTr="009C5083">
        <w:trPr>
          <w:trHeight w:val="332"/>
          <w:jc w:val="center"/>
        </w:trPr>
        <w:tc>
          <w:tcPr>
            <w:tcW w:w="1795" w:type="dxa"/>
            <w:vMerge/>
            <w:shd w:val="clear" w:color="auto" w:fill="FFFFFF"/>
            <w:vAlign w:val="center"/>
          </w:tcPr>
          <w:p w14:paraId="2BB1F264" w14:textId="77777777" w:rsidR="00EB1316" w:rsidRPr="00C7021E" w:rsidRDefault="00EB1316" w:rsidP="009C5083">
            <w:pPr>
              <w:spacing w:after="0" w:line="240" w:lineRule="auto"/>
              <w:rPr>
                <w:rFonts w:eastAsia="Calibri" w:cs="Times New Roman"/>
                <w:sz w:val="20"/>
                <w:szCs w:val="20"/>
                <w:lang w:eastAsia="en-US"/>
              </w:rPr>
            </w:pPr>
          </w:p>
        </w:tc>
        <w:tc>
          <w:tcPr>
            <w:tcW w:w="630" w:type="dxa"/>
            <w:vMerge w:val="restart"/>
            <w:shd w:val="clear" w:color="auto" w:fill="FFFFFF" w:themeFill="background1"/>
            <w:vAlign w:val="center"/>
          </w:tcPr>
          <w:p w14:paraId="64ACB168" w14:textId="77777777" w:rsidR="00EB1316" w:rsidRPr="00C7021E" w:rsidRDefault="00EB1316" w:rsidP="009C5083">
            <w:pPr>
              <w:spacing w:after="0" w:line="240" w:lineRule="auto"/>
              <w:rPr>
                <w:rFonts w:eastAsia="Calibri" w:cs="Times New Roman"/>
                <w:b/>
                <w:sz w:val="20"/>
                <w:szCs w:val="20"/>
                <w:lang w:eastAsia="en-US"/>
              </w:rPr>
            </w:pPr>
            <w:r w:rsidRPr="00C7021E">
              <w:rPr>
                <w:rFonts w:eastAsia="Calibri" w:cs="Times New Roman"/>
                <w:b/>
                <w:sz w:val="20"/>
                <w:szCs w:val="20"/>
                <w:lang w:eastAsia="en-US"/>
              </w:rPr>
              <w:t>4</w:t>
            </w:r>
            <w:r>
              <w:rPr>
                <w:rFonts w:eastAsia="Calibri" w:cs="Times New Roman"/>
                <w:b/>
                <w:sz w:val="20"/>
                <w:szCs w:val="20"/>
                <w:lang w:eastAsia="en-US"/>
              </w:rPr>
              <w:t>4</w:t>
            </w:r>
            <w:r w:rsidRPr="00C7021E">
              <w:rPr>
                <w:rFonts w:eastAsia="Calibri" w:cs="Times New Roman"/>
                <w:b/>
                <w:sz w:val="20"/>
                <w:szCs w:val="20"/>
                <w:lang w:eastAsia="en-US"/>
              </w:rPr>
              <w:t>.</w:t>
            </w:r>
          </w:p>
        </w:tc>
        <w:tc>
          <w:tcPr>
            <w:tcW w:w="4950" w:type="dxa"/>
            <w:shd w:val="clear" w:color="auto" w:fill="FFFFFF" w:themeFill="background1"/>
            <w:vAlign w:val="center"/>
          </w:tcPr>
          <w:p w14:paraId="501EBCC5" w14:textId="77777777" w:rsidR="00EB1316" w:rsidRPr="00C7021E" w:rsidRDefault="00EB1316" w:rsidP="009C5083">
            <w:pPr>
              <w:spacing w:after="0" w:line="240" w:lineRule="auto"/>
              <w:rPr>
                <w:rFonts w:eastAsia="Calibri" w:cs="Times New Roman"/>
                <w:sz w:val="20"/>
                <w:szCs w:val="20"/>
                <w:lang w:eastAsia="en-US"/>
              </w:rPr>
            </w:pPr>
            <w:r w:rsidRPr="00C7021E">
              <w:rPr>
                <w:rFonts w:eastAsia="Calibri" w:cs="Times New Roman"/>
                <w:sz w:val="20"/>
                <w:szCs w:val="20"/>
                <w:lang w:eastAsia="en-US"/>
              </w:rPr>
              <w:t xml:space="preserve">Per cent of country offices using the common UNDG capacity measurement approach (when fully developed) </w:t>
            </w:r>
            <w:r w:rsidRPr="00C7021E">
              <w:rPr>
                <w:rFonts w:eastAsia="Calibri" w:cs="Times New Roman"/>
                <w:b/>
                <w:sz w:val="20"/>
                <w:szCs w:val="20"/>
                <w:shd w:val="clear" w:color="auto" w:fill="FFFFFF"/>
                <w:lang w:eastAsia="en-US"/>
              </w:rPr>
              <w:t>[COMMON QCPR INDICATOR]</w:t>
            </w:r>
          </w:p>
        </w:tc>
        <w:tc>
          <w:tcPr>
            <w:tcW w:w="1710" w:type="dxa"/>
            <w:shd w:val="clear" w:color="auto" w:fill="FFFFFF" w:themeFill="background1"/>
            <w:vAlign w:val="center"/>
          </w:tcPr>
          <w:p w14:paraId="463CB12D" w14:textId="77777777" w:rsidR="00EB1316" w:rsidRPr="00BB2D00" w:rsidRDefault="00EB1316" w:rsidP="009C5083">
            <w:pPr>
              <w:spacing w:after="0"/>
              <w:jc w:val="center"/>
              <w:rPr>
                <w:rFonts w:ascii="Calibri" w:eastAsia="Calibri" w:hAnsi="Calibri"/>
                <w:sz w:val="20"/>
              </w:rPr>
            </w:pPr>
            <w:r w:rsidRPr="00BB2D00">
              <w:rPr>
                <w:rFonts w:ascii="Calibri" w:eastAsia="Calibri" w:hAnsi="Calibri"/>
                <w:sz w:val="20"/>
              </w:rPr>
              <w:t>TBD</w:t>
            </w:r>
          </w:p>
        </w:tc>
        <w:tc>
          <w:tcPr>
            <w:tcW w:w="1620" w:type="dxa"/>
            <w:shd w:val="clear" w:color="auto" w:fill="FFFFFF" w:themeFill="background1"/>
            <w:vAlign w:val="center"/>
          </w:tcPr>
          <w:p w14:paraId="2165DC7F" w14:textId="77777777" w:rsidR="00EB1316" w:rsidRPr="00BB2D00" w:rsidRDefault="00EB1316" w:rsidP="009C5083">
            <w:pPr>
              <w:spacing w:after="0"/>
              <w:jc w:val="center"/>
              <w:rPr>
                <w:rFonts w:ascii="Calibri" w:eastAsia="Calibri" w:hAnsi="Calibri"/>
                <w:sz w:val="20"/>
              </w:rPr>
            </w:pPr>
            <w:r>
              <w:rPr>
                <w:rFonts w:ascii="Calibri" w:eastAsia="Calibri" w:hAnsi="Calibri"/>
                <w:sz w:val="20"/>
              </w:rPr>
              <w:t>Not available</w:t>
            </w:r>
          </w:p>
        </w:tc>
        <w:tc>
          <w:tcPr>
            <w:tcW w:w="1800" w:type="dxa"/>
            <w:shd w:val="clear" w:color="auto" w:fill="FFFFFF" w:themeFill="background1"/>
            <w:vAlign w:val="center"/>
          </w:tcPr>
          <w:p w14:paraId="5BC8C31C" w14:textId="77777777" w:rsidR="00EB1316" w:rsidRPr="00BB2D00" w:rsidRDefault="00EB1316" w:rsidP="009C5083">
            <w:pPr>
              <w:spacing w:after="0"/>
              <w:jc w:val="center"/>
              <w:rPr>
                <w:rFonts w:ascii="Calibri" w:eastAsia="Calibri" w:hAnsi="Calibri"/>
                <w:sz w:val="20"/>
              </w:rPr>
            </w:pPr>
            <w:r>
              <w:rPr>
                <w:rFonts w:ascii="Calibri" w:eastAsia="Calibri" w:hAnsi="Calibri"/>
                <w:sz w:val="20"/>
              </w:rPr>
              <w:t>Not available</w:t>
            </w:r>
          </w:p>
        </w:tc>
        <w:tc>
          <w:tcPr>
            <w:tcW w:w="1800" w:type="dxa"/>
            <w:shd w:val="clear" w:color="auto" w:fill="FFFFFF" w:themeFill="background1"/>
            <w:vAlign w:val="center"/>
          </w:tcPr>
          <w:p w14:paraId="3FF1F43F" w14:textId="77777777" w:rsidR="00EB1316" w:rsidRDefault="00EB1316" w:rsidP="009C5083">
            <w:pPr>
              <w:spacing w:after="0"/>
              <w:jc w:val="center"/>
              <w:rPr>
                <w:rFonts w:ascii="Calibri" w:eastAsia="Calibri" w:hAnsi="Calibri"/>
                <w:sz w:val="20"/>
              </w:rPr>
            </w:pPr>
            <w:r>
              <w:rPr>
                <w:rFonts w:ascii="Calibri" w:eastAsia="Calibri" w:hAnsi="Calibri"/>
                <w:sz w:val="20"/>
              </w:rPr>
              <w:t>TBD</w:t>
            </w:r>
          </w:p>
        </w:tc>
      </w:tr>
      <w:tr w:rsidR="00EB1316" w:rsidRPr="00C7021E" w14:paraId="4DEB6F43" w14:textId="77777777" w:rsidTr="009C5083">
        <w:trPr>
          <w:trHeight w:val="278"/>
          <w:jc w:val="center"/>
        </w:trPr>
        <w:tc>
          <w:tcPr>
            <w:tcW w:w="1795" w:type="dxa"/>
            <w:vMerge/>
            <w:shd w:val="clear" w:color="auto" w:fill="FFFFFF"/>
            <w:vAlign w:val="center"/>
          </w:tcPr>
          <w:p w14:paraId="20D92416" w14:textId="77777777" w:rsidR="00EB1316" w:rsidRPr="00C7021E" w:rsidRDefault="00EB1316" w:rsidP="009C5083">
            <w:pPr>
              <w:spacing w:after="0" w:line="240" w:lineRule="auto"/>
              <w:rPr>
                <w:rFonts w:eastAsia="Calibri" w:cs="Times New Roman"/>
                <w:sz w:val="20"/>
                <w:szCs w:val="20"/>
                <w:lang w:eastAsia="en-US"/>
              </w:rPr>
            </w:pPr>
          </w:p>
        </w:tc>
        <w:tc>
          <w:tcPr>
            <w:tcW w:w="630" w:type="dxa"/>
            <w:vMerge/>
            <w:shd w:val="clear" w:color="auto" w:fill="FFFFFF"/>
            <w:vAlign w:val="center"/>
          </w:tcPr>
          <w:p w14:paraId="454A114C" w14:textId="77777777" w:rsidR="00EB1316" w:rsidRPr="00C7021E" w:rsidRDefault="00EB1316" w:rsidP="009C5083">
            <w:pPr>
              <w:spacing w:after="0" w:line="240" w:lineRule="auto"/>
              <w:rPr>
                <w:rFonts w:eastAsia="Calibri" w:cs="Times New Roman"/>
                <w:b/>
                <w:sz w:val="20"/>
                <w:szCs w:val="20"/>
                <w:lang w:eastAsia="en-US"/>
              </w:rPr>
            </w:pPr>
          </w:p>
        </w:tc>
        <w:tc>
          <w:tcPr>
            <w:tcW w:w="11880" w:type="dxa"/>
            <w:gridSpan w:val="5"/>
            <w:shd w:val="clear" w:color="auto" w:fill="D9D9D9" w:themeFill="background1" w:themeFillShade="D9"/>
            <w:vAlign w:val="center"/>
          </w:tcPr>
          <w:p w14:paraId="45865804" w14:textId="77777777" w:rsidR="00EB1316" w:rsidRPr="00B1374F" w:rsidRDefault="00EB1316" w:rsidP="009C5083">
            <w:pPr>
              <w:spacing w:after="0" w:line="240" w:lineRule="auto"/>
              <w:rPr>
                <w:rFonts w:ascii="Calibri" w:eastAsia="Calibri" w:hAnsi="Calibri"/>
                <w:b/>
                <w:sz w:val="18"/>
                <w:szCs w:val="18"/>
              </w:rPr>
            </w:pPr>
            <w:r w:rsidRPr="00B1374F">
              <w:rPr>
                <w:rFonts w:ascii="Calibri" w:eastAsia="Calibri" w:hAnsi="Calibri"/>
                <w:b/>
                <w:sz w:val="18"/>
                <w:szCs w:val="18"/>
              </w:rPr>
              <w:t>Note</w:t>
            </w:r>
            <w:r w:rsidRPr="00B1374F">
              <w:rPr>
                <w:rFonts w:ascii="Calibri" w:eastAsia="Calibri" w:hAnsi="Calibri"/>
                <w:sz w:val="18"/>
                <w:szCs w:val="18"/>
              </w:rPr>
              <w:t>: The common UNDG capacity measurement approach</w:t>
            </w:r>
            <w:r>
              <w:rPr>
                <w:rFonts w:ascii="Calibri" w:eastAsia="Calibri" w:hAnsi="Calibri"/>
                <w:sz w:val="18"/>
                <w:szCs w:val="18"/>
              </w:rPr>
              <w:t xml:space="preserve"> is being </w:t>
            </w:r>
            <w:r w:rsidRPr="002F2ED5">
              <w:rPr>
                <w:rFonts w:ascii="Calibri" w:eastAsia="Calibri" w:hAnsi="Calibri"/>
                <w:sz w:val="18"/>
                <w:szCs w:val="18"/>
              </w:rPr>
              <w:t>developed in the UPN.</w:t>
            </w:r>
          </w:p>
        </w:tc>
      </w:tr>
      <w:tr w:rsidR="00EB1316" w:rsidRPr="00C7021E" w14:paraId="6D3583C4" w14:textId="77777777" w:rsidTr="009C5083">
        <w:trPr>
          <w:trHeight w:val="332"/>
          <w:jc w:val="center"/>
        </w:trPr>
        <w:tc>
          <w:tcPr>
            <w:tcW w:w="1795" w:type="dxa"/>
            <w:vMerge/>
            <w:shd w:val="clear" w:color="auto" w:fill="FFFFFF"/>
            <w:vAlign w:val="center"/>
          </w:tcPr>
          <w:p w14:paraId="5C184710" w14:textId="77777777" w:rsidR="00EB1316" w:rsidRPr="00C7021E" w:rsidRDefault="00EB1316" w:rsidP="009C5083">
            <w:pPr>
              <w:spacing w:after="0" w:line="240" w:lineRule="auto"/>
              <w:rPr>
                <w:rFonts w:eastAsia="Calibri" w:cs="Times New Roman"/>
                <w:sz w:val="20"/>
                <w:szCs w:val="20"/>
                <w:lang w:eastAsia="en-US"/>
              </w:rPr>
            </w:pPr>
          </w:p>
        </w:tc>
        <w:tc>
          <w:tcPr>
            <w:tcW w:w="630" w:type="dxa"/>
            <w:shd w:val="clear" w:color="auto" w:fill="auto"/>
            <w:vAlign w:val="center"/>
          </w:tcPr>
          <w:p w14:paraId="2A6B15F8" w14:textId="77777777" w:rsidR="00EB1316" w:rsidRPr="00C7021E" w:rsidRDefault="00EB1316" w:rsidP="009C5083">
            <w:pPr>
              <w:spacing w:after="0" w:line="240" w:lineRule="auto"/>
              <w:rPr>
                <w:rFonts w:eastAsia="Calibri" w:cs="Times New Roman"/>
                <w:b/>
                <w:sz w:val="20"/>
                <w:szCs w:val="20"/>
                <w:lang w:eastAsia="en-US"/>
              </w:rPr>
            </w:pPr>
            <w:r w:rsidRPr="00C7021E">
              <w:rPr>
                <w:rFonts w:eastAsia="Calibri" w:cs="Times New Roman"/>
                <w:b/>
                <w:sz w:val="20"/>
                <w:szCs w:val="20"/>
                <w:lang w:eastAsia="en-US"/>
              </w:rPr>
              <w:t>4</w:t>
            </w:r>
            <w:r>
              <w:rPr>
                <w:rFonts w:eastAsia="Calibri" w:cs="Times New Roman"/>
                <w:b/>
                <w:sz w:val="20"/>
                <w:szCs w:val="20"/>
                <w:lang w:eastAsia="en-US"/>
              </w:rPr>
              <w:t>5</w:t>
            </w:r>
            <w:r w:rsidRPr="00C7021E">
              <w:rPr>
                <w:rFonts w:eastAsia="Calibri" w:cs="Times New Roman"/>
                <w:b/>
                <w:sz w:val="20"/>
                <w:szCs w:val="20"/>
                <w:lang w:eastAsia="en-US"/>
              </w:rPr>
              <w:t>.</w:t>
            </w:r>
          </w:p>
        </w:tc>
        <w:tc>
          <w:tcPr>
            <w:tcW w:w="4950" w:type="dxa"/>
            <w:shd w:val="clear" w:color="auto" w:fill="auto"/>
            <w:vAlign w:val="center"/>
          </w:tcPr>
          <w:p w14:paraId="693686CF" w14:textId="77777777" w:rsidR="00EB1316" w:rsidRPr="00C7021E" w:rsidRDefault="00EB1316" w:rsidP="009C5083">
            <w:pPr>
              <w:spacing w:after="0" w:line="240" w:lineRule="auto"/>
              <w:rPr>
                <w:rFonts w:eastAsia="Calibri" w:cs="Times New Roman"/>
                <w:sz w:val="20"/>
                <w:szCs w:val="20"/>
                <w:lang w:eastAsia="en-US"/>
              </w:rPr>
            </w:pPr>
            <w:r w:rsidRPr="00C7021E">
              <w:rPr>
                <w:rFonts w:eastAsia="Calibri" w:cs="Times New Roman"/>
                <w:sz w:val="20"/>
                <w:szCs w:val="20"/>
                <w:lang w:eastAsia="en-US"/>
              </w:rPr>
              <w:t xml:space="preserve">Number of country offices that are applying the Standard Operating Procedures, or components of it. </w:t>
            </w:r>
            <w:r w:rsidRPr="00C7021E">
              <w:rPr>
                <w:rFonts w:eastAsia="Calibri" w:cs="Times New Roman"/>
                <w:b/>
                <w:sz w:val="20"/>
                <w:szCs w:val="20"/>
                <w:lang w:eastAsia="en-US"/>
              </w:rPr>
              <w:t>[COMMON QCPR INDICATOR]</w:t>
            </w:r>
          </w:p>
        </w:tc>
        <w:tc>
          <w:tcPr>
            <w:tcW w:w="1710" w:type="dxa"/>
            <w:shd w:val="clear" w:color="auto" w:fill="auto"/>
            <w:vAlign w:val="center"/>
          </w:tcPr>
          <w:p w14:paraId="6BDEAA7C" w14:textId="77777777" w:rsidR="00EB1316" w:rsidRPr="00B2744C" w:rsidRDefault="00EB1316" w:rsidP="009C5083">
            <w:pPr>
              <w:spacing w:after="0"/>
              <w:ind w:left="-18"/>
              <w:jc w:val="center"/>
              <w:rPr>
                <w:rFonts w:ascii="Calibri" w:eastAsia="Calibri" w:hAnsi="Calibri"/>
                <w:sz w:val="20"/>
                <w:szCs w:val="20"/>
              </w:rPr>
            </w:pPr>
            <w:r>
              <w:rPr>
                <w:sz w:val="20"/>
                <w:szCs w:val="20"/>
              </w:rPr>
              <w:t>(</w:t>
            </w:r>
            <w:r w:rsidRPr="00B2744C">
              <w:rPr>
                <w:sz w:val="20"/>
                <w:szCs w:val="20"/>
              </w:rPr>
              <w:t>67%)</w:t>
            </w:r>
            <w:r>
              <w:rPr>
                <w:sz w:val="20"/>
                <w:szCs w:val="20"/>
              </w:rPr>
              <w:t xml:space="preserve"> </w:t>
            </w:r>
            <w:r w:rsidRPr="00B2744C">
              <w:rPr>
                <w:sz w:val="20"/>
                <w:szCs w:val="20"/>
              </w:rPr>
              <w:t>73 out of 109 Survey respondents</w:t>
            </w:r>
          </w:p>
        </w:tc>
        <w:tc>
          <w:tcPr>
            <w:tcW w:w="1620" w:type="dxa"/>
            <w:shd w:val="clear" w:color="auto" w:fill="auto"/>
            <w:vAlign w:val="center"/>
          </w:tcPr>
          <w:p w14:paraId="583F377A" w14:textId="77777777" w:rsidR="00EB1316" w:rsidRPr="00B2744C" w:rsidRDefault="00EB1316" w:rsidP="009C5083">
            <w:pPr>
              <w:spacing w:after="0"/>
              <w:jc w:val="center"/>
              <w:rPr>
                <w:rFonts w:ascii="Calibri" w:eastAsia="Calibri" w:hAnsi="Calibri"/>
                <w:sz w:val="20"/>
                <w:szCs w:val="20"/>
              </w:rPr>
            </w:pPr>
          </w:p>
        </w:tc>
        <w:tc>
          <w:tcPr>
            <w:tcW w:w="1800" w:type="dxa"/>
            <w:shd w:val="clear" w:color="auto" w:fill="auto"/>
            <w:vAlign w:val="center"/>
          </w:tcPr>
          <w:p w14:paraId="0C403AD6" w14:textId="77777777" w:rsidR="00EB1316" w:rsidRPr="00B2744C" w:rsidRDefault="00EB1316" w:rsidP="009C5083">
            <w:pPr>
              <w:spacing w:after="0"/>
              <w:jc w:val="center"/>
              <w:rPr>
                <w:rFonts w:ascii="Calibri" w:eastAsia="Calibri" w:hAnsi="Calibri"/>
                <w:sz w:val="20"/>
                <w:szCs w:val="20"/>
              </w:rPr>
            </w:pPr>
            <w:r>
              <w:rPr>
                <w:sz w:val="20"/>
                <w:szCs w:val="20"/>
              </w:rPr>
              <w:t>(</w:t>
            </w:r>
            <w:r w:rsidRPr="00B2744C">
              <w:rPr>
                <w:sz w:val="20"/>
                <w:szCs w:val="20"/>
              </w:rPr>
              <w:t>73%)</w:t>
            </w:r>
            <w:r>
              <w:rPr>
                <w:sz w:val="20"/>
                <w:szCs w:val="20"/>
              </w:rPr>
              <w:t xml:space="preserve"> </w:t>
            </w:r>
            <w:r w:rsidRPr="00B2744C">
              <w:rPr>
                <w:sz w:val="20"/>
                <w:szCs w:val="20"/>
              </w:rPr>
              <w:t>57 out of 78 Survey respondents</w:t>
            </w:r>
          </w:p>
        </w:tc>
        <w:tc>
          <w:tcPr>
            <w:tcW w:w="1800" w:type="dxa"/>
            <w:shd w:val="clear" w:color="auto" w:fill="auto"/>
            <w:vAlign w:val="center"/>
          </w:tcPr>
          <w:p w14:paraId="171DCC5B" w14:textId="77777777" w:rsidR="00EB1316" w:rsidRDefault="00EB1316" w:rsidP="009C5083">
            <w:pPr>
              <w:spacing w:after="0"/>
              <w:jc w:val="center"/>
              <w:rPr>
                <w:sz w:val="20"/>
                <w:szCs w:val="20"/>
              </w:rPr>
            </w:pPr>
            <w:r>
              <w:rPr>
                <w:sz w:val="20"/>
                <w:szCs w:val="20"/>
              </w:rPr>
              <w:t>TBD</w:t>
            </w:r>
          </w:p>
        </w:tc>
      </w:tr>
      <w:tr w:rsidR="00EB1316" w:rsidRPr="00C7021E" w14:paraId="3FD3D685" w14:textId="77777777" w:rsidTr="009C5083">
        <w:trPr>
          <w:trHeight w:val="332"/>
          <w:jc w:val="center"/>
        </w:trPr>
        <w:tc>
          <w:tcPr>
            <w:tcW w:w="1795" w:type="dxa"/>
            <w:vMerge/>
            <w:shd w:val="clear" w:color="auto" w:fill="FFFFFF"/>
            <w:vAlign w:val="center"/>
          </w:tcPr>
          <w:p w14:paraId="390CE5B2" w14:textId="77777777" w:rsidR="00EB1316" w:rsidRPr="00C7021E" w:rsidRDefault="00EB1316" w:rsidP="009C5083">
            <w:pPr>
              <w:spacing w:after="0" w:line="240" w:lineRule="auto"/>
              <w:rPr>
                <w:rFonts w:eastAsia="Calibri" w:cs="Times New Roman"/>
                <w:sz w:val="20"/>
                <w:szCs w:val="20"/>
                <w:lang w:eastAsia="en-US"/>
              </w:rPr>
            </w:pPr>
          </w:p>
        </w:tc>
        <w:tc>
          <w:tcPr>
            <w:tcW w:w="630" w:type="dxa"/>
            <w:vMerge w:val="restart"/>
            <w:shd w:val="clear" w:color="auto" w:fill="FFFFFF" w:themeFill="background1"/>
            <w:vAlign w:val="center"/>
          </w:tcPr>
          <w:p w14:paraId="3ED4C24B" w14:textId="77777777" w:rsidR="00EB1316" w:rsidRPr="00C7021E" w:rsidRDefault="00EB1316" w:rsidP="009C5083">
            <w:pPr>
              <w:spacing w:after="0" w:line="240" w:lineRule="auto"/>
              <w:rPr>
                <w:rFonts w:eastAsia="Calibri" w:cs="Times New Roman"/>
                <w:b/>
                <w:sz w:val="20"/>
                <w:szCs w:val="20"/>
                <w:lang w:eastAsia="en-US"/>
              </w:rPr>
            </w:pPr>
            <w:r>
              <w:rPr>
                <w:rFonts w:eastAsia="Calibri" w:cs="Times New Roman"/>
                <w:b/>
                <w:sz w:val="20"/>
                <w:szCs w:val="20"/>
                <w:lang w:eastAsia="en-US"/>
              </w:rPr>
              <w:t>46</w:t>
            </w:r>
            <w:r w:rsidRPr="00C7021E">
              <w:rPr>
                <w:rFonts w:eastAsia="Calibri" w:cs="Times New Roman"/>
                <w:b/>
                <w:sz w:val="20"/>
                <w:szCs w:val="20"/>
                <w:lang w:eastAsia="en-US"/>
              </w:rPr>
              <w:t>.</w:t>
            </w:r>
          </w:p>
        </w:tc>
        <w:tc>
          <w:tcPr>
            <w:tcW w:w="4950" w:type="dxa"/>
            <w:shd w:val="clear" w:color="auto" w:fill="FFFFFF" w:themeFill="background1"/>
            <w:vAlign w:val="center"/>
          </w:tcPr>
          <w:p w14:paraId="032E8EEB" w14:textId="77777777" w:rsidR="00EB1316" w:rsidRPr="00C7021E" w:rsidRDefault="00EB1316" w:rsidP="009C5083">
            <w:pPr>
              <w:spacing w:after="0" w:line="240" w:lineRule="auto"/>
              <w:rPr>
                <w:rFonts w:eastAsia="Calibri" w:cs="Times New Roman"/>
                <w:sz w:val="20"/>
                <w:szCs w:val="20"/>
                <w:lang w:eastAsia="en-US"/>
              </w:rPr>
            </w:pPr>
            <w:r w:rsidRPr="00C7021E">
              <w:rPr>
                <w:rFonts w:eastAsia="Calibri" w:cs="Times New Roman"/>
                <w:sz w:val="20"/>
                <w:szCs w:val="20"/>
                <w:lang w:eastAsia="en-US"/>
              </w:rPr>
              <w:t xml:space="preserve">Number of country offices implementing common services, common long-term agreements, harmonized approach to procurement, common human resources management, information and communication technology services, or financial management services. </w:t>
            </w:r>
            <w:r w:rsidRPr="00C7021E">
              <w:rPr>
                <w:rFonts w:eastAsia="Calibri" w:cs="Times New Roman"/>
                <w:b/>
                <w:sz w:val="20"/>
                <w:szCs w:val="20"/>
                <w:lang w:eastAsia="en-US"/>
              </w:rPr>
              <w:t>[COMMON QCPR INDICATOR]</w:t>
            </w:r>
          </w:p>
        </w:tc>
        <w:tc>
          <w:tcPr>
            <w:tcW w:w="1710" w:type="dxa"/>
            <w:shd w:val="clear" w:color="auto" w:fill="FFFFFF" w:themeFill="background1"/>
            <w:vAlign w:val="center"/>
          </w:tcPr>
          <w:p w14:paraId="2C2D6E6A" w14:textId="77777777" w:rsidR="00EB1316" w:rsidRPr="00BB2D00" w:rsidRDefault="00EB1316" w:rsidP="009C5083">
            <w:pPr>
              <w:spacing w:after="0"/>
              <w:jc w:val="center"/>
              <w:rPr>
                <w:rFonts w:ascii="Calibri" w:eastAsia="Calibri" w:hAnsi="Calibri"/>
                <w:sz w:val="20"/>
              </w:rPr>
            </w:pPr>
            <w:r w:rsidRPr="00BB2D00">
              <w:rPr>
                <w:rFonts w:ascii="Calibri" w:eastAsia="Calibri" w:hAnsi="Calibri"/>
                <w:sz w:val="20"/>
              </w:rPr>
              <w:t>TBD</w:t>
            </w:r>
          </w:p>
        </w:tc>
        <w:tc>
          <w:tcPr>
            <w:tcW w:w="1620" w:type="dxa"/>
            <w:shd w:val="clear" w:color="auto" w:fill="FFFFFF" w:themeFill="background1"/>
            <w:vAlign w:val="center"/>
          </w:tcPr>
          <w:p w14:paraId="65F1B652" w14:textId="77777777" w:rsidR="00EB1316" w:rsidRPr="00BB2D00" w:rsidRDefault="00EB1316" w:rsidP="009C5083">
            <w:pPr>
              <w:spacing w:after="0"/>
              <w:jc w:val="center"/>
              <w:rPr>
                <w:rFonts w:ascii="Calibri" w:eastAsia="Calibri" w:hAnsi="Calibri"/>
                <w:sz w:val="20"/>
              </w:rPr>
            </w:pPr>
            <w:r>
              <w:rPr>
                <w:rFonts w:ascii="Calibri" w:eastAsia="Calibri" w:hAnsi="Calibri"/>
                <w:sz w:val="20"/>
              </w:rPr>
              <w:t>Not available</w:t>
            </w:r>
          </w:p>
        </w:tc>
        <w:tc>
          <w:tcPr>
            <w:tcW w:w="1800" w:type="dxa"/>
            <w:shd w:val="clear" w:color="auto" w:fill="FFFFFF" w:themeFill="background1"/>
            <w:vAlign w:val="center"/>
          </w:tcPr>
          <w:p w14:paraId="04EC4228" w14:textId="77777777" w:rsidR="00EB1316" w:rsidRPr="00BB2D00" w:rsidRDefault="00EB1316" w:rsidP="009C5083">
            <w:pPr>
              <w:spacing w:after="0"/>
              <w:jc w:val="center"/>
              <w:rPr>
                <w:rFonts w:ascii="Calibri" w:eastAsia="Calibri" w:hAnsi="Calibri"/>
                <w:sz w:val="20"/>
              </w:rPr>
            </w:pPr>
            <w:r>
              <w:rPr>
                <w:rFonts w:ascii="Calibri" w:eastAsia="Calibri" w:hAnsi="Calibri"/>
                <w:sz w:val="20"/>
              </w:rPr>
              <w:t>Not available</w:t>
            </w:r>
          </w:p>
        </w:tc>
        <w:tc>
          <w:tcPr>
            <w:tcW w:w="1800" w:type="dxa"/>
            <w:shd w:val="clear" w:color="auto" w:fill="FFFFFF" w:themeFill="background1"/>
            <w:vAlign w:val="center"/>
          </w:tcPr>
          <w:p w14:paraId="76B2AE40" w14:textId="77777777" w:rsidR="00EB1316" w:rsidRDefault="00EB1316" w:rsidP="009C5083">
            <w:pPr>
              <w:spacing w:after="0"/>
              <w:jc w:val="center"/>
              <w:rPr>
                <w:rFonts w:ascii="Calibri" w:eastAsia="Calibri" w:hAnsi="Calibri"/>
                <w:sz w:val="20"/>
              </w:rPr>
            </w:pPr>
            <w:r>
              <w:rPr>
                <w:rFonts w:ascii="Calibri" w:eastAsia="Calibri" w:hAnsi="Calibri"/>
                <w:sz w:val="20"/>
              </w:rPr>
              <w:t>TBD</w:t>
            </w:r>
          </w:p>
        </w:tc>
      </w:tr>
      <w:tr w:rsidR="00EB1316" w:rsidRPr="00C7021E" w14:paraId="5E6E821F" w14:textId="77777777" w:rsidTr="009C5083">
        <w:trPr>
          <w:trHeight w:val="332"/>
          <w:jc w:val="center"/>
        </w:trPr>
        <w:tc>
          <w:tcPr>
            <w:tcW w:w="1795" w:type="dxa"/>
            <w:vMerge/>
            <w:shd w:val="clear" w:color="auto" w:fill="FFFFFF"/>
            <w:vAlign w:val="center"/>
          </w:tcPr>
          <w:p w14:paraId="3CD97D2A" w14:textId="77777777" w:rsidR="00EB1316" w:rsidRPr="00C7021E" w:rsidRDefault="00EB1316" w:rsidP="009C5083">
            <w:pPr>
              <w:spacing w:after="0" w:line="240" w:lineRule="auto"/>
              <w:rPr>
                <w:rFonts w:eastAsia="Calibri" w:cs="Times New Roman"/>
                <w:sz w:val="20"/>
                <w:szCs w:val="20"/>
                <w:lang w:eastAsia="en-US"/>
              </w:rPr>
            </w:pPr>
          </w:p>
        </w:tc>
        <w:tc>
          <w:tcPr>
            <w:tcW w:w="630" w:type="dxa"/>
            <w:vMerge/>
            <w:shd w:val="clear" w:color="auto" w:fill="FFFFFF" w:themeFill="background1"/>
            <w:vAlign w:val="center"/>
          </w:tcPr>
          <w:p w14:paraId="7EA38DB8" w14:textId="77777777" w:rsidR="00EB1316" w:rsidRPr="00C7021E" w:rsidRDefault="00EB1316" w:rsidP="009C5083">
            <w:pPr>
              <w:spacing w:after="0" w:line="240" w:lineRule="auto"/>
              <w:rPr>
                <w:rFonts w:eastAsia="Calibri" w:cs="Times New Roman"/>
                <w:b/>
                <w:sz w:val="20"/>
                <w:szCs w:val="20"/>
                <w:lang w:eastAsia="en-US"/>
              </w:rPr>
            </w:pPr>
          </w:p>
        </w:tc>
        <w:tc>
          <w:tcPr>
            <w:tcW w:w="11880" w:type="dxa"/>
            <w:gridSpan w:val="5"/>
            <w:shd w:val="clear" w:color="auto" w:fill="D9D9D9" w:themeFill="background1" w:themeFillShade="D9"/>
            <w:vAlign w:val="center"/>
          </w:tcPr>
          <w:p w14:paraId="6380C766" w14:textId="77777777" w:rsidR="00EB1316" w:rsidRPr="00E86714" w:rsidRDefault="00EB1316" w:rsidP="009C5083">
            <w:pPr>
              <w:spacing w:after="0" w:line="240" w:lineRule="auto"/>
              <w:rPr>
                <w:rFonts w:ascii="Calibri" w:eastAsia="Calibri" w:hAnsi="Calibri"/>
                <w:b/>
                <w:sz w:val="18"/>
                <w:szCs w:val="18"/>
              </w:rPr>
            </w:pPr>
            <w:r w:rsidRPr="00E86714">
              <w:rPr>
                <w:rFonts w:ascii="Calibri" w:eastAsia="Calibri" w:hAnsi="Calibri"/>
                <w:b/>
                <w:sz w:val="18"/>
                <w:szCs w:val="18"/>
              </w:rPr>
              <w:t>Note</w:t>
            </w:r>
            <w:r w:rsidRPr="00E86714">
              <w:rPr>
                <w:rFonts w:ascii="Calibri" w:eastAsia="Calibri" w:hAnsi="Calibri"/>
                <w:sz w:val="18"/>
                <w:szCs w:val="18"/>
              </w:rPr>
              <w:t xml:space="preserve">: </w:t>
            </w:r>
            <w:r w:rsidRPr="00E96142">
              <w:rPr>
                <w:rFonts w:ascii="Calibri" w:eastAsia="Calibri" w:hAnsi="Calibri"/>
                <w:sz w:val="18"/>
                <w:szCs w:val="18"/>
              </w:rPr>
              <w:t xml:space="preserve">Data for indicators </w:t>
            </w:r>
            <w:r>
              <w:rPr>
                <w:rFonts w:ascii="Calibri" w:eastAsia="Calibri" w:hAnsi="Calibri"/>
                <w:sz w:val="18"/>
                <w:szCs w:val="18"/>
              </w:rPr>
              <w:t>46</w:t>
            </w:r>
            <w:r w:rsidRPr="00E96142">
              <w:rPr>
                <w:rFonts w:ascii="Calibri" w:eastAsia="Calibri" w:hAnsi="Calibri"/>
                <w:sz w:val="18"/>
                <w:szCs w:val="18"/>
              </w:rPr>
              <w:t xml:space="preserve"> will be available in the next report through the new UNDG-resident coordinator annual report system</w:t>
            </w:r>
            <w:r w:rsidRPr="00E86714">
              <w:rPr>
                <w:rFonts w:ascii="Calibri" w:eastAsia="Calibri" w:hAnsi="Calibri"/>
                <w:sz w:val="18"/>
                <w:szCs w:val="18"/>
              </w:rPr>
              <w:t>.</w:t>
            </w:r>
          </w:p>
        </w:tc>
      </w:tr>
      <w:tr w:rsidR="00EB1316" w:rsidRPr="00C7021E" w14:paraId="1FCE76DD" w14:textId="77777777" w:rsidTr="009C5083">
        <w:trPr>
          <w:trHeight w:val="332"/>
          <w:jc w:val="center"/>
        </w:trPr>
        <w:tc>
          <w:tcPr>
            <w:tcW w:w="1795" w:type="dxa"/>
            <w:vMerge/>
            <w:shd w:val="clear" w:color="auto" w:fill="FFFFFF"/>
            <w:vAlign w:val="center"/>
          </w:tcPr>
          <w:p w14:paraId="5082D8F2" w14:textId="77777777" w:rsidR="00EB1316" w:rsidRPr="00C7021E" w:rsidRDefault="00EB1316" w:rsidP="009C5083">
            <w:pPr>
              <w:spacing w:after="0" w:line="240" w:lineRule="auto"/>
              <w:rPr>
                <w:rFonts w:eastAsia="Calibri" w:cs="Times New Roman"/>
                <w:sz w:val="20"/>
                <w:szCs w:val="20"/>
                <w:lang w:eastAsia="en-US"/>
              </w:rPr>
            </w:pPr>
          </w:p>
        </w:tc>
        <w:tc>
          <w:tcPr>
            <w:tcW w:w="630" w:type="dxa"/>
            <w:vMerge w:val="restart"/>
            <w:shd w:val="clear" w:color="auto" w:fill="auto"/>
            <w:vAlign w:val="center"/>
          </w:tcPr>
          <w:p w14:paraId="46C99527" w14:textId="77777777" w:rsidR="00EB1316" w:rsidRPr="00C7021E" w:rsidRDefault="00EB1316" w:rsidP="009C5083">
            <w:pPr>
              <w:spacing w:after="0" w:line="240" w:lineRule="auto"/>
              <w:rPr>
                <w:rFonts w:eastAsia="Calibri" w:cs="Times New Roman"/>
                <w:b/>
                <w:sz w:val="20"/>
                <w:szCs w:val="20"/>
                <w:lang w:eastAsia="en-US"/>
              </w:rPr>
            </w:pPr>
            <w:r w:rsidRPr="00C7021E">
              <w:rPr>
                <w:rFonts w:eastAsia="Calibri" w:cs="Times New Roman"/>
                <w:b/>
                <w:sz w:val="20"/>
                <w:szCs w:val="20"/>
                <w:lang w:eastAsia="en-US"/>
              </w:rPr>
              <w:t>4</w:t>
            </w:r>
            <w:r>
              <w:rPr>
                <w:rFonts w:eastAsia="Calibri" w:cs="Times New Roman"/>
                <w:b/>
                <w:sz w:val="20"/>
                <w:szCs w:val="20"/>
                <w:lang w:eastAsia="en-US"/>
              </w:rPr>
              <w:t>7</w:t>
            </w:r>
            <w:r w:rsidRPr="00C7021E">
              <w:rPr>
                <w:rFonts w:eastAsia="Calibri" w:cs="Times New Roman"/>
                <w:b/>
                <w:sz w:val="20"/>
                <w:szCs w:val="20"/>
                <w:lang w:eastAsia="en-US"/>
              </w:rPr>
              <w:t>.</w:t>
            </w:r>
          </w:p>
        </w:tc>
        <w:tc>
          <w:tcPr>
            <w:tcW w:w="4950" w:type="dxa"/>
            <w:shd w:val="clear" w:color="auto" w:fill="auto"/>
            <w:vAlign w:val="center"/>
          </w:tcPr>
          <w:p w14:paraId="3E6BDFD2" w14:textId="77777777" w:rsidR="00EB1316" w:rsidRPr="00C7021E" w:rsidRDefault="00EB1316" w:rsidP="009C5083">
            <w:pPr>
              <w:spacing w:after="0" w:line="240" w:lineRule="auto"/>
              <w:rPr>
                <w:rFonts w:eastAsia="Calibri" w:cs="Times New Roman"/>
                <w:sz w:val="20"/>
                <w:szCs w:val="20"/>
                <w:lang w:eastAsia="en-US"/>
              </w:rPr>
            </w:pPr>
            <w:r w:rsidRPr="00C7021E">
              <w:rPr>
                <w:rFonts w:eastAsia="Calibri" w:cs="Times New Roman"/>
                <w:sz w:val="20"/>
                <w:szCs w:val="20"/>
                <w:lang w:eastAsia="en-US"/>
              </w:rPr>
              <w:t xml:space="preserve">UNDP contribution in cash provided to the resident coordinator system </w:t>
            </w:r>
            <w:r w:rsidRPr="00C7021E">
              <w:rPr>
                <w:rFonts w:eastAsia="Calibri" w:cs="Times New Roman"/>
                <w:b/>
                <w:sz w:val="20"/>
                <w:szCs w:val="20"/>
                <w:lang w:eastAsia="en-US"/>
              </w:rPr>
              <w:t>[COMMON QCPR INDICATOR]</w:t>
            </w:r>
          </w:p>
        </w:tc>
        <w:tc>
          <w:tcPr>
            <w:tcW w:w="1710" w:type="dxa"/>
            <w:shd w:val="clear" w:color="auto" w:fill="auto"/>
            <w:vAlign w:val="center"/>
          </w:tcPr>
          <w:p w14:paraId="4B764F49" w14:textId="77777777" w:rsidR="00EB1316" w:rsidRPr="00680300" w:rsidRDefault="00EB1316" w:rsidP="009C5083">
            <w:pPr>
              <w:spacing w:after="0" w:line="240" w:lineRule="auto"/>
              <w:jc w:val="center"/>
              <w:rPr>
                <w:rFonts w:ascii="Calibri" w:eastAsia="Calibri" w:hAnsi="Calibri"/>
                <w:sz w:val="20"/>
              </w:rPr>
            </w:pPr>
            <w:r w:rsidRPr="00680300">
              <w:rPr>
                <w:rFonts w:ascii="Calibri" w:eastAsia="Calibri" w:hAnsi="Calibri"/>
                <w:sz w:val="20"/>
              </w:rPr>
              <w:t>$74m</w:t>
            </w:r>
          </w:p>
        </w:tc>
        <w:tc>
          <w:tcPr>
            <w:tcW w:w="1620" w:type="dxa"/>
            <w:shd w:val="clear" w:color="auto" w:fill="auto"/>
            <w:vAlign w:val="center"/>
          </w:tcPr>
          <w:p w14:paraId="14CC6EC0" w14:textId="77777777" w:rsidR="00EB1316" w:rsidRPr="00680300" w:rsidRDefault="00EB1316" w:rsidP="009C5083">
            <w:pPr>
              <w:spacing w:after="0" w:line="240" w:lineRule="auto"/>
              <w:jc w:val="center"/>
              <w:rPr>
                <w:rFonts w:ascii="Calibri" w:eastAsia="Calibri" w:hAnsi="Calibri"/>
                <w:sz w:val="20"/>
                <w:highlight w:val="yellow"/>
              </w:rPr>
            </w:pPr>
            <w:r w:rsidRPr="00680300">
              <w:rPr>
                <w:rFonts w:ascii="Calibri" w:eastAsia="Calibri" w:hAnsi="Calibri"/>
                <w:sz w:val="20"/>
              </w:rPr>
              <w:t>$92.65m</w:t>
            </w:r>
          </w:p>
        </w:tc>
        <w:tc>
          <w:tcPr>
            <w:tcW w:w="1800" w:type="dxa"/>
            <w:shd w:val="clear" w:color="auto" w:fill="auto"/>
            <w:vAlign w:val="center"/>
          </w:tcPr>
          <w:p w14:paraId="01C17D51" w14:textId="77777777" w:rsidR="00EB1316" w:rsidRPr="00845CDA" w:rsidRDefault="00EB1316" w:rsidP="009C5083">
            <w:pPr>
              <w:spacing w:after="0" w:line="240" w:lineRule="auto"/>
              <w:jc w:val="center"/>
              <w:rPr>
                <w:rFonts w:eastAsia="Calibri" w:cs="Times New Roman"/>
                <w:sz w:val="20"/>
                <w:szCs w:val="20"/>
                <w:lang w:eastAsia="en-US"/>
              </w:rPr>
            </w:pPr>
            <w:r w:rsidRPr="00845CDA">
              <w:rPr>
                <w:rFonts w:eastAsia="Calibri" w:cs="Times New Roman"/>
                <w:sz w:val="20"/>
                <w:szCs w:val="20"/>
                <w:lang w:eastAsia="en-US"/>
              </w:rPr>
              <w:t>$89.7m</w:t>
            </w:r>
          </w:p>
        </w:tc>
        <w:tc>
          <w:tcPr>
            <w:tcW w:w="1800" w:type="dxa"/>
            <w:shd w:val="clear" w:color="auto" w:fill="auto"/>
            <w:vAlign w:val="center"/>
          </w:tcPr>
          <w:p w14:paraId="76F13D6D" w14:textId="77777777" w:rsidR="00EB1316" w:rsidRPr="00845CDA" w:rsidRDefault="00EB1316" w:rsidP="009C5083">
            <w:pPr>
              <w:spacing w:after="0" w:line="240" w:lineRule="auto"/>
              <w:jc w:val="center"/>
              <w:rPr>
                <w:rFonts w:eastAsia="Calibri" w:cs="Times New Roman"/>
                <w:sz w:val="20"/>
                <w:szCs w:val="20"/>
                <w:lang w:eastAsia="en-US"/>
              </w:rPr>
            </w:pPr>
            <w:r w:rsidRPr="00970495">
              <w:rPr>
                <w:rFonts w:ascii="Calibri" w:eastAsia="Calibri" w:hAnsi="Calibri"/>
                <w:sz w:val="20"/>
              </w:rPr>
              <w:t>$92.65m</w:t>
            </w:r>
          </w:p>
        </w:tc>
      </w:tr>
      <w:tr w:rsidR="00EB1316" w:rsidRPr="00C7021E" w14:paraId="5AF95032" w14:textId="77777777" w:rsidTr="009C5083">
        <w:trPr>
          <w:trHeight w:val="332"/>
          <w:jc w:val="center"/>
        </w:trPr>
        <w:tc>
          <w:tcPr>
            <w:tcW w:w="1795" w:type="dxa"/>
            <w:vMerge/>
            <w:shd w:val="clear" w:color="auto" w:fill="FFFFFF"/>
            <w:vAlign w:val="center"/>
          </w:tcPr>
          <w:p w14:paraId="4EB2B4DB" w14:textId="77777777" w:rsidR="00EB1316" w:rsidRPr="00C7021E" w:rsidRDefault="00EB1316" w:rsidP="009C5083">
            <w:pPr>
              <w:spacing w:after="0" w:line="240" w:lineRule="auto"/>
              <w:rPr>
                <w:rFonts w:eastAsia="Calibri" w:cs="Times New Roman"/>
                <w:sz w:val="20"/>
                <w:szCs w:val="20"/>
                <w:lang w:eastAsia="en-US"/>
              </w:rPr>
            </w:pPr>
          </w:p>
        </w:tc>
        <w:tc>
          <w:tcPr>
            <w:tcW w:w="630" w:type="dxa"/>
            <w:vMerge/>
            <w:shd w:val="clear" w:color="auto" w:fill="FFFFFF" w:themeFill="background1"/>
            <w:vAlign w:val="center"/>
          </w:tcPr>
          <w:p w14:paraId="38D114B8" w14:textId="77777777" w:rsidR="00EB1316" w:rsidRPr="00C7021E" w:rsidRDefault="00EB1316" w:rsidP="009C5083">
            <w:pPr>
              <w:spacing w:after="0" w:line="240" w:lineRule="auto"/>
              <w:rPr>
                <w:rFonts w:eastAsia="Calibri" w:cs="Times New Roman"/>
                <w:b/>
                <w:sz w:val="20"/>
                <w:szCs w:val="20"/>
                <w:lang w:eastAsia="en-US"/>
              </w:rPr>
            </w:pPr>
          </w:p>
        </w:tc>
        <w:tc>
          <w:tcPr>
            <w:tcW w:w="11880" w:type="dxa"/>
            <w:gridSpan w:val="5"/>
            <w:shd w:val="clear" w:color="auto" w:fill="D9D9D9" w:themeFill="background1" w:themeFillShade="D9"/>
            <w:vAlign w:val="center"/>
          </w:tcPr>
          <w:p w14:paraId="4814A48B" w14:textId="77777777" w:rsidR="00EB1316" w:rsidRPr="005A55C3" w:rsidRDefault="00EB1316" w:rsidP="009C5083">
            <w:pPr>
              <w:spacing w:after="0" w:line="240" w:lineRule="auto"/>
              <w:rPr>
                <w:rFonts w:ascii="Calibri" w:eastAsia="Calibri" w:hAnsi="Calibri"/>
                <w:b/>
                <w:sz w:val="18"/>
                <w:szCs w:val="18"/>
              </w:rPr>
            </w:pPr>
            <w:r w:rsidRPr="005A55C3">
              <w:rPr>
                <w:rFonts w:ascii="Calibri" w:eastAsia="Calibri" w:hAnsi="Calibri"/>
                <w:b/>
                <w:sz w:val="18"/>
                <w:szCs w:val="18"/>
              </w:rPr>
              <w:t>Note</w:t>
            </w:r>
            <w:r w:rsidRPr="005A55C3">
              <w:rPr>
                <w:rFonts w:ascii="Calibri" w:eastAsia="Calibri" w:hAnsi="Calibri"/>
                <w:sz w:val="18"/>
                <w:szCs w:val="18"/>
              </w:rPr>
              <w:t xml:space="preserve">: The total UNDP contribution to the RC system will be recorded against this indicator, waiting for an agreement on indicator </w:t>
            </w:r>
            <w:r w:rsidRPr="00A3159D">
              <w:rPr>
                <w:rFonts w:ascii="Calibri" w:eastAsia="Calibri" w:hAnsi="Calibri"/>
                <w:b/>
                <w:sz w:val="18"/>
                <w:szCs w:val="18"/>
              </w:rPr>
              <w:t>49</w:t>
            </w:r>
            <w:r w:rsidRPr="005A55C3">
              <w:rPr>
                <w:rFonts w:ascii="Calibri" w:eastAsia="Calibri" w:hAnsi="Calibri"/>
                <w:sz w:val="18"/>
                <w:szCs w:val="18"/>
              </w:rPr>
              <w:t>; the amounts</w:t>
            </w:r>
            <w:r>
              <w:rPr>
                <w:rFonts w:ascii="Calibri" w:eastAsia="Calibri" w:hAnsi="Calibri"/>
                <w:sz w:val="18"/>
                <w:szCs w:val="18"/>
              </w:rPr>
              <w:t xml:space="preserve"> reported</w:t>
            </w:r>
            <w:r w:rsidRPr="005A55C3">
              <w:rPr>
                <w:rFonts w:ascii="Calibri" w:eastAsia="Calibri" w:hAnsi="Calibri"/>
                <w:sz w:val="18"/>
                <w:szCs w:val="18"/>
              </w:rPr>
              <w:t xml:space="preserve"> </w:t>
            </w:r>
            <w:r>
              <w:rPr>
                <w:rFonts w:ascii="Calibri" w:eastAsia="Calibri" w:hAnsi="Calibri"/>
                <w:sz w:val="18"/>
                <w:szCs w:val="18"/>
              </w:rPr>
              <w:t xml:space="preserve">will </w:t>
            </w:r>
            <w:r w:rsidRPr="005A55C3">
              <w:rPr>
                <w:rFonts w:ascii="Calibri" w:eastAsia="Calibri" w:hAnsi="Calibri"/>
                <w:sz w:val="18"/>
                <w:szCs w:val="18"/>
              </w:rPr>
              <w:t>represent the yearly UNDP core contribution to financing of the UN development coordination function</w:t>
            </w:r>
          </w:p>
        </w:tc>
      </w:tr>
      <w:tr w:rsidR="00EB1316" w:rsidRPr="00C7021E" w14:paraId="781486FF" w14:textId="77777777" w:rsidTr="009C5083">
        <w:trPr>
          <w:trHeight w:val="593"/>
          <w:jc w:val="center"/>
        </w:trPr>
        <w:tc>
          <w:tcPr>
            <w:tcW w:w="1795" w:type="dxa"/>
            <w:vMerge/>
            <w:shd w:val="clear" w:color="auto" w:fill="FFFFFF"/>
            <w:vAlign w:val="center"/>
          </w:tcPr>
          <w:p w14:paraId="298676FE" w14:textId="77777777" w:rsidR="00EB1316" w:rsidRPr="00C7021E" w:rsidRDefault="00EB1316" w:rsidP="009C5083">
            <w:pPr>
              <w:spacing w:after="0" w:line="240" w:lineRule="auto"/>
              <w:rPr>
                <w:rFonts w:eastAsia="Calibri" w:cs="Times New Roman"/>
                <w:sz w:val="20"/>
                <w:szCs w:val="20"/>
                <w:lang w:eastAsia="en-US"/>
              </w:rPr>
            </w:pPr>
          </w:p>
        </w:tc>
        <w:tc>
          <w:tcPr>
            <w:tcW w:w="630" w:type="dxa"/>
            <w:vMerge w:val="restart"/>
            <w:shd w:val="clear" w:color="auto" w:fill="FFFFFF" w:themeFill="background1"/>
            <w:vAlign w:val="center"/>
          </w:tcPr>
          <w:p w14:paraId="268FA62C" w14:textId="77777777" w:rsidR="00EB1316" w:rsidRPr="00C7021E" w:rsidRDefault="00EB1316" w:rsidP="009C5083">
            <w:pPr>
              <w:spacing w:after="0" w:line="240" w:lineRule="auto"/>
              <w:rPr>
                <w:rFonts w:eastAsia="Calibri" w:cs="Times New Roman"/>
                <w:b/>
                <w:sz w:val="20"/>
                <w:szCs w:val="20"/>
                <w:lang w:eastAsia="en-US"/>
              </w:rPr>
            </w:pPr>
            <w:r w:rsidRPr="00C7021E">
              <w:rPr>
                <w:rFonts w:eastAsia="Calibri" w:cs="Times New Roman"/>
                <w:b/>
                <w:sz w:val="20"/>
                <w:szCs w:val="20"/>
                <w:lang w:eastAsia="en-US"/>
              </w:rPr>
              <w:t>4</w:t>
            </w:r>
            <w:r>
              <w:rPr>
                <w:rFonts w:eastAsia="Calibri" w:cs="Times New Roman"/>
                <w:b/>
                <w:sz w:val="20"/>
                <w:szCs w:val="20"/>
                <w:lang w:eastAsia="en-US"/>
              </w:rPr>
              <w:t>8</w:t>
            </w:r>
            <w:r w:rsidRPr="00C7021E">
              <w:rPr>
                <w:rFonts w:eastAsia="Calibri" w:cs="Times New Roman"/>
                <w:b/>
                <w:sz w:val="20"/>
                <w:szCs w:val="20"/>
                <w:lang w:eastAsia="en-US"/>
              </w:rPr>
              <w:t>.</w:t>
            </w:r>
          </w:p>
        </w:tc>
        <w:tc>
          <w:tcPr>
            <w:tcW w:w="4950" w:type="dxa"/>
            <w:shd w:val="clear" w:color="auto" w:fill="FFFFFF" w:themeFill="background1"/>
            <w:vAlign w:val="center"/>
          </w:tcPr>
          <w:p w14:paraId="6FE6ACCA" w14:textId="77777777" w:rsidR="00EB1316" w:rsidRPr="00C7021E" w:rsidRDefault="00EB1316" w:rsidP="009C5083">
            <w:pPr>
              <w:spacing w:after="0" w:line="240" w:lineRule="auto"/>
              <w:rPr>
                <w:rFonts w:eastAsia="Calibri" w:cs="Times New Roman"/>
                <w:b/>
                <w:sz w:val="20"/>
                <w:szCs w:val="20"/>
                <w:lang w:eastAsia="en-US"/>
              </w:rPr>
            </w:pPr>
            <w:r w:rsidRPr="00C7021E">
              <w:rPr>
                <w:rFonts w:eastAsia="Calibri" w:cs="Times New Roman"/>
                <w:sz w:val="20"/>
                <w:szCs w:val="20"/>
                <w:lang w:eastAsia="en-US"/>
              </w:rPr>
              <w:t xml:space="preserve">UNDP contribution in kind provided to the resident coordinator system </w:t>
            </w:r>
            <w:r w:rsidRPr="00C7021E">
              <w:rPr>
                <w:rFonts w:eastAsia="Calibri" w:cs="Times New Roman"/>
                <w:b/>
                <w:sz w:val="20"/>
                <w:szCs w:val="20"/>
                <w:lang w:eastAsia="en-US"/>
              </w:rPr>
              <w:t>[COMMON QCPR INDICATOR]</w:t>
            </w:r>
          </w:p>
        </w:tc>
        <w:tc>
          <w:tcPr>
            <w:tcW w:w="1710" w:type="dxa"/>
            <w:shd w:val="clear" w:color="auto" w:fill="FFFFFF" w:themeFill="background1"/>
            <w:vAlign w:val="center"/>
          </w:tcPr>
          <w:p w14:paraId="7F7FB42B" w14:textId="77777777" w:rsidR="00EB1316" w:rsidRPr="00BB2D00" w:rsidRDefault="00EB1316" w:rsidP="009C5083">
            <w:pPr>
              <w:spacing w:after="0"/>
              <w:jc w:val="center"/>
              <w:rPr>
                <w:rFonts w:ascii="Calibri" w:eastAsia="Calibri" w:hAnsi="Calibri"/>
                <w:sz w:val="20"/>
              </w:rPr>
            </w:pPr>
            <w:r w:rsidRPr="00BB2D00">
              <w:rPr>
                <w:rFonts w:ascii="Calibri" w:eastAsia="Calibri" w:hAnsi="Calibri"/>
                <w:sz w:val="20"/>
              </w:rPr>
              <w:t>TBD</w:t>
            </w:r>
          </w:p>
        </w:tc>
        <w:tc>
          <w:tcPr>
            <w:tcW w:w="1620" w:type="dxa"/>
            <w:shd w:val="clear" w:color="auto" w:fill="FFFFFF" w:themeFill="background1"/>
            <w:vAlign w:val="center"/>
          </w:tcPr>
          <w:p w14:paraId="612FE050" w14:textId="77777777" w:rsidR="00EB1316" w:rsidRPr="00BB2D00" w:rsidRDefault="00EB1316" w:rsidP="009C5083">
            <w:pPr>
              <w:spacing w:after="0"/>
              <w:jc w:val="center"/>
              <w:rPr>
                <w:rFonts w:ascii="Calibri" w:eastAsia="Calibri" w:hAnsi="Calibri"/>
                <w:sz w:val="20"/>
              </w:rPr>
            </w:pPr>
            <w:r>
              <w:rPr>
                <w:rFonts w:ascii="Calibri" w:eastAsia="Calibri" w:hAnsi="Calibri"/>
                <w:sz w:val="20"/>
              </w:rPr>
              <w:t>Not available</w:t>
            </w:r>
          </w:p>
        </w:tc>
        <w:tc>
          <w:tcPr>
            <w:tcW w:w="1800" w:type="dxa"/>
            <w:shd w:val="clear" w:color="auto" w:fill="FFFFFF" w:themeFill="background1"/>
            <w:vAlign w:val="center"/>
          </w:tcPr>
          <w:p w14:paraId="04BD3F4C" w14:textId="77777777" w:rsidR="00EB1316" w:rsidRPr="00BB2D00" w:rsidRDefault="00EB1316" w:rsidP="009C5083">
            <w:pPr>
              <w:spacing w:after="0"/>
              <w:jc w:val="center"/>
              <w:rPr>
                <w:rFonts w:ascii="Calibri" w:eastAsia="Calibri" w:hAnsi="Calibri"/>
                <w:sz w:val="20"/>
              </w:rPr>
            </w:pPr>
            <w:r>
              <w:rPr>
                <w:rFonts w:ascii="Calibri" w:eastAsia="Calibri" w:hAnsi="Calibri"/>
                <w:sz w:val="20"/>
              </w:rPr>
              <w:t>Not available</w:t>
            </w:r>
          </w:p>
        </w:tc>
        <w:tc>
          <w:tcPr>
            <w:tcW w:w="1800" w:type="dxa"/>
            <w:shd w:val="clear" w:color="auto" w:fill="FFFFFF" w:themeFill="background1"/>
            <w:vAlign w:val="center"/>
          </w:tcPr>
          <w:p w14:paraId="6B31FF1A" w14:textId="77777777" w:rsidR="00EB1316" w:rsidRDefault="00EB1316" w:rsidP="009C5083">
            <w:pPr>
              <w:spacing w:after="0"/>
              <w:jc w:val="center"/>
              <w:rPr>
                <w:rFonts w:ascii="Calibri" w:eastAsia="Calibri" w:hAnsi="Calibri"/>
                <w:sz w:val="20"/>
              </w:rPr>
            </w:pPr>
            <w:r>
              <w:rPr>
                <w:rFonts w:ascii="Calibri" w:eastAsia="Calibri" w:hAnsi="Calibri"/>
                <w:sz w:val="20"/>
              </w:rPr>
              <w:t>TBD</w:t>
            </w:r>
          </w:p>
        </w:tc>
      </w:tr>
      <w:tr w:rsidR="00EB1316" w:rsidRPr="00C7021E" w14:paraId="4392E032" w14:textId="77777777" w:rsidTr="009C5083">
        <w:trPr>
          <w:trHeight w:val="296"/>
          <w:jc w:val="center"/>
        </w:trPr>
        <w:tc>
          <w:tcPr>
            <w:tcW w:w="1795" w:type="dxa"/>
            <w:vMerge/>
            <w:shd w:val="clear" w:color="auto" w:fill="FFFFFF"/>
            <w:vAlign w:val="center"/>
          </w:tcPr>
          <w:p w14:paraId="468BDCE6" w14:textId="77777777" w:rsidR="00EB1316" w:rsidRPr="00C7021E" w:rsidRDefault="00EB1316" w:rsidP="009C5083">
            <w:pPr>
              <w:spacing w:after="0" w:line="240" w:lineRule="auto"/>
              <w:rPr>
                <w:rFonts w:eastAsia="Calibri" w:cs="Times New Roman"/>
                <w:sz w:val="20"/>
                <w:szCs w:val="20"/>
                <w:lang w:eastAsia="en-US"/>
              </w:rPr>
            </w:pPr>
          </w:p>
        </w:tc>
        <w:tc>
          <w:tcPr>
            <w:tcW w:w="630" w:type="dxa"/>
            <w:vMerge/>
            <w:shd w:val="clear" w:color="auto" w:fill="FFFFFF" w:themeFill="background1"/>
            <w:vAlign w:val="center"/>
          </w:tcPr>
          <w:p w14:paraId="7EA62B8F" w14:textId="77777777" w:rsidR="00EB1316" w:rsidRPr="00C7021E" w:rsidRDefault="00EB1316" w:rsidP="009C5083">
            <w:pPr>
              <w:spacing w:after="0" w:line="240" w:lineRule="auto"/>
              <w:rPr>
                <w:rFonts w:eastAsia="Calibri" w:cs="Times New Roman"/>
                <w:b/>
                <w:sz w:val="20"/>
                <w:szCs w:val="20"/>
                <w:lang w:eastAsia="en-US"/>
              </w:rPr>
            </w:pPr>
          </w:p>
        </w:tc>
        <w:tc>
          <w:tcPr>
            <w:tcW w:w="11880" w:type="dxa"/>
            <w:gridSpan w:val="5"/>
            <w:shd w:val="clear" w:color="auto" w:fill="D9D9D9" w:themeFill="background1" w:themeFillShade="D9"/>
            <w:vAlign w:val="center"/>
          </w:tcPr>
          <w:p w14:paraId="47E1FC25" w14:textId="77777777" w:rsidR="00EB1316" w:rsidRPr="00F900FB" w:rsidRDefault="00EB1316" w:rsidP="009C5083">
            <w:pPr>
              <w:spacing w:after="0" w:line="240" w:lineRule="auto"/>
              <w:rPr>
                <w:rFonts w:ascii="Calibri" w:eastAsia="Calibri" w:hAnsi="Calibri"/>
                <w:b/>
                <w:sz w:val="18"/>
                <w:szCs w:val="18"/>
              </w:rPr>
            </w:pPr>
            <w:r w:rsidRPr="00F900FB">
              <w:rPr>
                <w:rFonts w:ascii="Calibri" w:eastAsia="Calibri" w:hAnsi="Calibri"/>
                <w:b/>
                <w:sz w:val="18"/>
                <w:szCs w:val="18"/>
              </w:rPr>
              <w:t>Note</w:t>
            </w:r>
            <w:r w:rsidRPr="00F900FB">
              <w:rPr>
                <w:rFonts w:ascii="Calibri" w:eastAsia="Calibri" w:hAnsi="Calibri"/>
                <w:sz w:val="18"/>
                <w:szCs w:val="18"/>
              </w:rPr>
              <w:t xml:space="preserve">: Pending UNDG agreement on the definition of </w:t>
            </w:r>
            <w:r w:rsidRPr="00F900FB">
              <w:rPr>
                <w:rFonts w:ascii="Calibri" w:eastAsia="Calibri" w:hAnsi="Calibri"/>
                <w:i/>
                <w:sz w:val="18"/>
                <w:szCs w:val="18"/>
              </w:rPr>
              <w:t>in-kind</w:t>
            </w:r>
            <w:r>
              <w:rPr>
                <w:rFonts w:ascii="Calibri" w:eastAsia="Calibri" w:hAnsi="Calibri"/>
                <w:i/>
                <w:sz w:val="18"/>
                <w:szCs w:val="18"/>
              </w:rPr>
              <w:t>.</w:t>
            </w:r>
          </w:p>
        </w:tc>
      </w:tr>
    </w:tbl>
    <w:p w14:paraId="74AFC650" w14:textId="77777777" w:rsidR="00EB1316" w:rsidRDefault="00EB1316" w:rsidP="00EB1316">
      <w:pPr>
        <w:ind w:left="1260" w:hanging="1260"/>
        <w:rPr>
          <w:rFonts w:eastAsia="SimSun"/>
        </w:rPr>
      </w:pPr>
    </w:p>
    <w:p w14:paraId="37DD9BEC" w14:textId="77777777" w:rsidR="00EE53BA" w:rsidRDefault="00EE53BA">
      <w:pPr>
        <w:rPr>
          <w:rFonts w:eastAsia="SimSun"/>
        </w:rPr>
      </w:pPr>
      <w:r>
        <w:rPr>
          <w:rFonts w:eastAsia="SimSun"/>
        </w:rPr>
        <w:br w:type="page"/>
      </w:r>
    </w:p>
    <w:p w14:paraId="4BB374AA" w14:textId="5CCAA20B" w:rsidR="00EE53BA" w:rsidRDefault="00EE53BA" w:rsidP="00EE53BA">
      <w:pPr>
        <w:pStyle w:val="Heading2"/>
        <w:numPr>
          <w:ilvl w:val="0"/>
          <w:numId w:val="0"/>
        </w:numPr>
        <w:rPr>
          <w:sz w:val="28"/>
          <w:szCs w:val="28"/>
        </w:rPr>
      </w:pPr>
      <w:r w:rsidRPr="007F0167">
        <w:rPr>
          <w:rFonts w:asciiTheme="minorHAnsi" w:eastAsia="SimSun" w:hAnsiTheme="minorHAnsi"/>
          <w:sz w:val="28"/>
          <w:lang w:val="en-US"/>
        </w:rPr>
        <w:t>Annex I</w:t>
      </w:r>
      <w:r>
        <w:rPr>
          <w:rFonts w:asciiTheme="minorHAnsi" w:eastAsia="SimSun" w:hAnsiTheme="minorHAnsi"/>
          <w:sz w:val="28"/>
          <w:lang w:val="en-US"/>
        </w:rPr>
        <w:t>II</w:t>
      </w:r>
      <w:r w:rsidRPr="007F0167">
        <w:rPr>
          <w:rFonts w:asciiTheme="minorHAnsi" w:eastAsia="SimSun" w:hAnsiTheme="minorHAnsi"/>
          <w:sz w:val="28"/>
          <w:lang w:val="en-US"/>
        </w:rPr>
        <w:t xml:space="preserve"> – </w:t>
      </w:r>
      <w:r w:rsidRPr="00EE53BA">
        <w:rPr>
          <w:sz w:val="28"/>
          <w:szCs w:val="28"/>
        </w:rPr>
        <w:t>Coordination of UN development system and QCPR Implementation</w:t>
      </w:r>
    </w:p>
    <w:p w14:paraId="64B766B9" w14:textId="77777777" w:rsidR="00EE53BA" w:rsidRPr="00EE53BA" w:rsidRDefault="00EE53BA" w:rsidP="00EE53BA">
      <w:pPr>
        <w:rPr>
          <w:lang w:val="x-none" w:eastAsia="x-none"/>
        </w:rPr>
      </w:pPr>
    </w:p>
    <w:p w14:paraId="3E8F85FC" w14:textId="77777777" w:rsidR="00EE53BA" w:rsidRPr="00EE53BA" w:rsidRDefault="00EE53BA" w:rsidP="00EE53BA">
      <w:pPr>
        <w:spacing w:line="240" w:lineRule="auto"/>
      </w:pPr>
      <w:r w:rsidRPr="00EE53BA">
        <w:t xml:space="preserve">In 2014 UNDP’s coordination efforts were focused on providing further support to countries wishing to implement various elements of the Standard Operating Procedures for Delivering as One; accelerating implementation the of the Quadrennial Comprehensive Policy Review, and engaging with UNDG partners to develop a common vision for the UN development system’s fitness to deliver the post-2015 agenda.   </w:t>
      </w:r>
    </w:p>
    <w:p w14:paraId="2313E16D" w14:textId="77777777" w:rsidR="00EE53BA" w:rsidRPr="00EE53BA" w:rsidRDefault="00EE53BA" w:rsidP="00EE53BA">
      <w:pPr>
        <w:spacing w:line="240" w:lineRule="auto"/>
        <w:rPr>
          <w:iCs/>
        </w:rPr>
      </w:pPr>
      <w:r w:rsidRPr="00EE53BA">
        <w:rPr>
          <w:iCs/>
        </w:rPr>
        <w:t xml:space="preserve">In order to ensure an optimally relevant and rigorous process for attracting high-caliber Resident Coordinator (RC) candidates, an </w:t>
      </w:r>
      <w:r w:rsidRPr="00EE53BA">
        <w:rPr>
          <w:b/>
          <w:iCs/>
        </w:rPr>
        <w:t>entirely new Resident Coordinator Assessment Centre (RCAC)</w:t>
      </w:r>
      <w:r w:rsidRPr="00EE53BA">
        <w:rPr>
          <w:iCs/>
        </w:rPr>
        <w:t xml:space="preserve"> was launched in 2014. The new scenarios and exercises that have been developed for the Centre reflect much better the complexity of the RC role, representing well the development, humanitarian, human rights, political and security dimensions in which RCs routinely operate.</w:t>
      </w:r>
    </w:p>
    <w:p w14:paraId="4CBBD402" w14:textId="77777777" w:rsidR="00EE53BA" w:rsidRPr="00EE53BA" w:rsidRDefault="00EE53BA" w:rsidP="00EE53BA">
      <w:pPr>
        <w:spacing w:line="240" w:lineRule="auto"/>
        <w:rPr>
          <w:rFonts w:eastAsia="Times New Roman" w:cs="Times New Roman"/>
        </w:rPr>
      </w:pPr>
      <w:r w:rsidRPr="00EE53BA">
        <w:rPr>
          <w:iCs/>
        </w:rPr>
        <w:t xml:space="preserve">As of December 2014, of the 125 RCs appointed by the Secretary General, </w:t>
      </w:r>
      <w:r w:rsidRPr="00EE53BA">
        <w:rPr>
          <w:b/>
          <w:iCs/>
        </w:rPr>
        <w:t>39% were women, 44% were from the South, and 49%</w:t>
      </w:r>
      <w:r w:rsidRPr="00EE53BA">
        <w:rPr>
          <w:iCs/>
        </w:rPr>
        <w:t xml:space="preserve"> are from UN system entities other than UNDP. The percentage of RCs coming from non-UNDP entities is the highest ever. This is a testament to the ongoing commitment by the UNDP Administrator and the Secretary-General to ensure that the RC pool reflects the full spectrum of experience and competencies available in the UN system. Going forward, greater efforts will be needed to promote better gender balance and geographical spread. In this regard, UNDP fully supports the corresponding recommendation of JIU report 2013/13 on the “Selection and Appointment of UN Resident Coordinators” that “</w:t>
      </w:r>
      <w:r w:rsidRPr="00EE53BA">
        <w:rPr>
          <w:rFonts w:eastAsia="Times New Roman" w:cs="Times New Roman"/>
        </w:rPr>
        <w:t xml:space="preserve">more candidates should be nominated by the POs and the nominations should better reflect the required diversity in gender, geographical and organizational origin”. </w:t>
      </w:r>
    </w:p>
    <w:p w14:paraId="5CC14085" w14:textId="77777777" w:rsidR="00EE53BA" w:rsidRPr="00EE53BA" w:rsidRDefault="00EE53BA" w:rsidP="00EE53BA">
      <w:pPr>
        <w:spacing w:line="240" w:lineRule="auto"/>
        <w:rPr>
          <w:rFonts w:eastAsia="Times New Roman" w:cs="Times New Roman"/>
        </w:rPr>
      </w:pPr>
      <w:r w:rsidRPr="00EE53BA">
        <w:rPr>
          <w:rFonts w:eastAsia="Times New Roman" w:cs="Times New Roman"/>
        </w:rPr>
        <w:t xml:space="preserve">An equal priority for UNDP, as manager of the RC system, is ensuring that the RC system is mutually accountable and collectively owned. In 2014, </w:t>
      </w:r>
      <w:r w:rsidRPr="00EE53BA">
        <w:rPr>
          <w:rFonts w:eastAsia="Times New Roman" w:cs="Times New Roman"/>
          <w:b/>
        </w:rPr>
        <w:t>implementation of the RC system cost-sharing agreement</w:t>
      </w:r>
      <w:r w:rsidRPr="00EE53BA">
        <w:rPr>
          <w:rFonts w:eastAsia="Times New Roman" w:cs="Times New Roman"/>
        </w:rPr>
        <w:t xml:space="preserve"> kicked in, providing RCs and their offices with the adequate, predictable and necessary resources to carry their functions more efficiently and effectively. UNDP contributed over three quarters of the total cost and is now working closely with UNDG partners to ensure that all agencies are able to contribute their share in full, and that the system is fully funded, for the 2016-2017 biennium. Further work also remains to be done with regards to </w:t>
      </w:r>
      <w:r w:rsidRPr="00EE53BA">
        <w:rPr>
          <w:rFonts w:eastAsia="Times New Roman" w:cs="Times New Roman"/>
          <w:b/>
        </w:rPr>
        <w:t>implementation of the Management and Accountability System</w:t>
      </w:r>
      <w:r w:rsidRPr="00EE53BA">
        <w:rPr>
          <w:rFonts w:eastAsia="Times New Roman" w:cs="Times New Roman"/>
        </w:rPr>
        <w:t xml:space="preserve"> for the Resident Coordinator system (MAS). By the end of 2014, 11 of 20 UN organizations had fully implemented the four mutual accountability criteria outlined in the MAS framework. While this is an improvement year-over-year (i.e. only five agencies had implemented them in full in 2012) it still represents a far from ideal scenario. Full implementation of the MAS remains a key QCPR requirement. </w:t>
      </w:r>
    </w:p>
    <w:p w14:paraId="7CD50874" w14:textId="77777777" w:rsidR="00EE53BA" w:rsidRPr="00EE53BA" w:rsidRDefault="00EE53BA" w:rsidP="00EE53BA">
      <w:pPr>
        <w:spacing w:line="240" w:lineRule="auto"/>
        <w:rPr>
          <w:rFonts w:eastAsia="Times New Roman" w:cs="Times New Roman"/>
        </w:rPr>
      </w:pPr>
      <w:r w:rsidRPr="00EE53BA">
        <w:rPr>
          <w:rFonts w:eastAsia="Times New Roman" w:cs="Times New Roman"/>
        </w:rPr>
        <w:t xml:space="preserve">By the end of 2014 UNDP participated in the voluntary adoption of </w:t>
      </w:r>
      <w:r w:rsidRPr="00EE53BA">
        <w:rPr>
          <w:rFonts w:eastAsia="Times New Roman" w:cs="Times New Roman"/>
          <w:b/>
        </w:rPr>
        <w:t>43 Delivering as One countries</w:t>
      </w:r>
      <w:r w:rsidRPr="00EE53BA">
        <w:rPr>
          <w:rFonts w:eastAsia="Times New Roman" w:cs="Times New Roman"/>
        </w:rPr>
        <w:t xml:space="preserve"> (now 44) globally, by providing country-level leadership in the in implementation of the various DaO elements. At the global level UNDP contributed to the development and release of an integrated package of support for countries wishing to implement the Standard Operating Procedures (SOPs) and is </w:t>
      </w:r>
      <w:r w:rsidRPr="00EE53BA">
        <w:rPr>
          <w:rFonts w:eastAsia="Times New Roman" w:cs="Times New Roman"/>
          <w:b/>
        </w:rPr>
        <w:t xml:space="preserve">integrating the SOPs into its own Programme and Operations Policies and Procedures </w:t>
      </w:r>
      <w:r w:rsidRPr="00EE53BA">
        <w:rPr>
          <w:rFonts w:eastAsia="Times New Roman" w:cs="Times New Roman"/>
        </w:rPr>
        <w:t xml:space="preserve">(POP) for seamless operations both vertically within UNDP and horizontally across inter-agency processes. </w:t>
      </w:r>
    </w:p>
    <w:p w14:paraId="13B237B0" w14:textId="77777777" w:rsidR="00EE53BA" w:rsidRPr="00EE53BA" w:rsidRDefault="00EE53BA" w:rsidP="00EE53BA">
      <w:pPr>
        <w:spacing w:line="240" w:lineRule="auto"/>
        <w:rPr>
          <w:rFonts w:eastAsia="Times New Roman" w:cs="Times New Roman"/>
        </w:rPr>
      </w:pPr>
      <w:r w:rsidRPr="00EE53BA">
        <w:rPr>
          <w:rFonts w:eastAsia="Times New Roman" w:cs="Times New Roman"/>
        </w:rPr>
        <w:t xml:space="preserve">UNDP has </w:t>
      </w:r>
      <w:r w:rsidRPr="00EE53BA">
        <w:rPr>
          <w:rFonts w:eastAsia="Times New Roman" w:cs="Times New Roman"/>
          <w:b/>
        </w:rPr>
        <w:t>fully aligned its Strategic Plan with the QCPR cycle</w:t>
      </w:r>
      <w:r w:rsidRPr="00EE53BA">
        <w:rPr>
          <w:rFonts w:eastAsia="Times New Roman" w:cs="Times New Roman"/>
        </w:rPr>
        <w:t xml:space="preserve">. Additionally, in response to ECOSOC resolution E/2013/L.17, together with other funds and programmes, UNDP has consolidated its annual reporting on the implementation of the QCPR within its annual reporting on the implementation of its strategic plans, including through the </w:t>
      </w:r>
      <w:r w:rsidRPr="00EE53BA">
        <w:rPr>
          <w:rFonts w:eastAsia="Times New Roman" w:cs="Times New Roman"/>
          <w:b/>
        </w:rPr>
        <w:t>integration into the Strategic Plan Integrated Results and Resources Framework (IRRF) of QCPR common indicators</w:t>
      </w:r>
      <w:r w:rsidRPr="00EE53BA">
        <w:rPr>
          <w:rFonts w:eastAsia="Times New Roman" w:cs="Times New Roman"/>
        </w:rPr>
        <w:t xml:space="preserve"> that are fully aligned with the Secretary-General’s QCPR monitoring framework. </w:t>
      </w:r>
    </w:p>
    <w:p w14:paraId="370F23FE" w14:textId="77777777" w:rsidR="00EE53BA" w:rsidRPr="00EE53BA" w:rsidRDefault="00EE53BA" w:rsidP="00EE53BA">
      <w:pPr>
        <w:spacing w:line="240" w:lineRule="auto"/>
        <w:rPr>
          <w:rFonts w:eastAsia="Times New Roman" w:cs="Times New Roman"/>
        </w:rPr>
      </w:pPr>
      <w:r w:rsidRPr="00EE53BA">
        <w:rPr>
          <w:rFonts w:eastAsia="Times New Roman" w:cs="Times New Roman"/>
        </w:rPr>
        <w:t xml:space="preserve">In response to the QCPR call for simplification of agency-specific programming instruments and processes to bring them further in line with the UNDAF, in 2014 UNDP presented to the Executive Board </w:t>
      </w:r>
      <w:r w:rsidRPr="00EE53BA">
        <w:rPr>
          <w:rFonts w:eastAsia="Times New Roman" w:cs="Times New Roman"/>
          <w:b/>
        </w:rPr>
        <w:t>a revised format and procedures for Country Programme Documents</w:t>
      </w:r>
      <w:r w:rsidRPr="00EE53BA">
        <w:rPr>
          <w:rFonts w:eastAsia="Times New Roman" w:cs="Times New Roman"/>
        </w:rPr>
        <w:t xml:space="preserve">, including a one-step approval procedure for country programmes. The new CPD format mirrors the UNDAF and the revised procedures allow countries to align their CPD cycle with those of the UNDAF and national development strategies. Additionally, the quality assurance of country programmes was strengthened through the </w:t>
      </w:r>
      <w:r w:rsidRPr="00EE53BA">
        <w:rPr>
          <w:rFonts w:eastAsia="Times New Roman" w:cs="Times New Roman"/>
          <w:b/>
        </w:rPr>
        <w:t>institutionalization of a new Headquarters Programme Appraisal Committee</w:t>
      </w:r>
      <w:r w:rsidRPr="00EE53BA">
        <w:rPr>
          <w:rFonts w:eastAsia="Times New Roman" w:cs="Times New Roman"/>
        </w:rPr>
        <w:t xml:space="preserve">, chaired at the ASG level. Over the course of the year 19 new programmes were reviewed at headquarters using the new HQ PAC arrangements. </w:t>
      </w:r>
      <w:r w:rsidRPr="00EE53BA">
        <w:rPr>
          <w:rFonts w:eastAsia="Times New Roman" w:cs="Times New Roman"/>
          <w:b/>
        </w:rPr>
        <w:t>Clear, measurable programme quality criteria</w:t>
      </w:r>
      <w:r w:rsidRPr="00EE53BA">
        <w:rPr>
          <w:rFonts w:eastAsia="Times New Roman" w:cs="Times New Roman"/>
        </w:rPr>
        <w:t xml:space="preserve"> are being rolled out in 2015 – these are also aligned with new corresponding project quality standards, ensuring tighter linkages and accountabilities between programme strategy and project design and implementation. Country offices invested in aligning ongoing country programmes with the new strategic plan to ensure higher quality, more focused programmes and projects that deliver results more cost-effectively to programmes countries.</w:t>
      </w:r>
    </w:p>
    <w:p w14:paraId="5AE4A4EF" w14:textId="77777777" w:rsidR="00EE53BA" w:rsidRPr="00EE53BA" w:rsidRDefault="00EE53BA" w:rsidP="00EE53BA">
      <w:pPr>
        <w:spacing w:line="240" w:lineRule="auto"/>
        <w:rPr>
          <w:rFonts w:ascii="Calibri" w:hAnsi="Calibri"/>
        </w:rPr>
      </w:pPr>
      <w:r w:rsidRPr="00EE53BA">
        <w:t>At the second regular session of the Executive Board in 2014 UNDP presented the paper “</w:t>
      </w:r>
      <w:r w:rsidRPr="00EE53BA">
        <w:rPr>
          <w:b/>
        </w:rPr>
        <w:t>Achieving critical mass for development success</w:t>
      </w:r>
      <w:r w:rsidRPr="00EE53BA">
        <w:t xml:space="preserve">” which contributed to the dialogue on funding the Strategic Plan 2014-2017 while also responding to QCPR mandates with respect to critical mass and structured dialogues for financing of development activities. The paper argues for an approach to critical mass that will improve the benefits of overall (regular plus other) funding available to UNDP, thus, increasing the likelihood that the organization can deliver on its commitments in the Strategic Plan. The paper calls for a shift from a high proportion of highly earmarked non-core resources towards a higher proportion of core and minimally earmarked non-core resources, thereby providing more flexible and predictable funding for development. </w:t>
      </w:r>
      <w:r w:rsidRPr="00EE53BA">
        <w:rPr>
          <w:rFonts w:ascii="Calibri" w:hAnsi="Calibri"/>
        </w:rPr>
        <w:t xml:space="preserve">Subsequently, UNDP presented at the first regular session of the Executive Board of 2015 its </w:t>
      </w:r>
      <w:r w:rsidRPr="00EE53BA">
        <w:rPr>
          <w:rFonts w:ascii="Calibri" w:hAnsi="Calibri"/>
          <w:b/>
        </w:rPr>
        <w:t>Resource Mobilization Strategy</w:t>
      </w:r>
      <w:r w:rsidRPr="00EE53BA">
        <w:rPr>
          <w:rFonts w:ascii="Calibri" w:hAnsi="Calibri"/>
        </w:rPr>
        <w:t xml:space="preserve"> and the key elements of its new funding framework, which will become operational in 2016, and will continue to engage with Executive Board Member States regularly on these issues going forward.  </w:t>
      </w:r>
    </w:p>
    <w:p w14:paraId="1098409D" w14:textId="77777777" w:rsidR="00EE53BA" w:rsidRPr="00EE53BA" w:rsidRDefault="00EE53BA" w:rsidP="00EE53BA">
      <w:pPr>
        <w:spacing w:line="240" w:lineRule="auto"/>
        <w:rPr>
          <w:rFonts w:eastAsia="Times New Roman" w:cs="Times New Roman"/>
        </w:rPr>
      </w:pPr>
      <w:r w:rsidRPr="00EE53BA">
        <w:rPr>
          <w:rFonts w:eastAsia="Times New Roman" w:cs="Times New Roman"/>
        </w:rPr>
        <w:t xml:space="preserve">UNDP believes that demonstrating the UN’s business efficiency and effectiveness is no longer a choice, but a prerequisite for the UN to become a partner of choice for programme countries. In 2014, in collaboration with UNDG partners, UNDP continued implementation of the </w:t>
      </w:r>
      <w:r w:rsidRPr="00EE53BA">
        <w:rPr>
          <w:rFonts w:eastAsia="Times New Roman" w:cs="Times New Roman"/>
          <w:b/>
        </w:rPr>
        <w:t>Business Operations Strategy (BOS)</w:t>
      </w:r>
      <w:r w:rsidRPr="00EE53BA">
        <w:rPr>
          <w:rFonts w:eastAsia="Times New Roman" w:cs="Times New Roman"/>
        </w:rPr>
        <w:t xml:space="preserve">, the backbone of the ‘Operating as One’ pillar of the SOPs. The BOS is a strategic planning tool for UN Country Teams (UNCTs) which aims to reduce transaction costs and duplications of efforts, thereby enhancing cost-effectiveness and quality of operational support processes, such as in the areas of procurement, ICT, HR, logistics, administration and finance. The BOS is currently being piloted in 14 countries. Although realized costs-savings will only become apparent around the end of 2017 when the BOS pilots complete their full cycle, preliminary estimates indicate that there is significant potential for cost-savings generated in ICT, human resources, and other common services. For example, estimated cost savings for Ethiopia, in the next three years are over $12 million, and in Rwanda, $15 million over five years. Total projected cost savings per year, for five of the pilots, are estimated at around $6.8 million. </w:t>
      </w:r>
    </w:p>
    <w:p w14:paraId="3BF38E11" w14:textId="77777777" w:rsidR="00EE53BA" w:rsidRPr="00EE53BA" w:rsidRDefault="00EE53BA" w:rsidP="00EE53BA">
      <w:pPr>
        <w:spacing w:line="240" w:lineRule="auto"/>
      </w:pPr>
      <w:r w:rsidRPr="00EE53BA">
        <w:rPr>
          <w:rFonts w:eastAsia="Times New Roman" w:cs="Times New Roman"/>
        </w:rPr>
        <w:t>In addition, with regard to the Joint Operations Facility in Brazil – a single service window that provides ICT, HR and travel support to eight agencies – we are projecting annual cost savings in the range of $1.8 million. Together with other members of the UNDG Working Group on Business Operations, UNDP is embarking on an initial evaluation of the BOS, including a rigorous cost-benefit analysis, which will be able to tell us how we can better support the scaling up of the BOS in a meaningful manner in tandem with around 60 new UNDAFs. To date, over 39 additional countries have already expressed an open interest to adopt the BOS.</w:t>
      </w:r>
    </w:p>
    <w:p w14:paraId="0AB4C1E1" w14:textId="77777777" w:rsidR="00F92578" w:rsidRPr="00EE53BA" w:rsidRDefault="00F92578" w:rsidP="00F92578">
      <w:pPr>
        <w:ind w:left="1260" w:hanging="1260"/>
        <w:rPr>
          <w:rFonts w:eastAsia="SimSun"/>
        </w:rPr>
      </w:pPr>
    </w:p>
    <w:sectPr w:rsidR="00F92578" w:rsidRPr="00EE53BA" w:rsidSect="0091356F">
      <w:pgSz w:w="15840" w:h="12240" w:orient="landscape"/>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8C014" w14:textId="77777777" w:rsidR="0070760E" w:rsidRDefault="0070760E" w:rsidP="001A17AC">
      <w:pPr>
        <w:spacing w:after="0" w:line="240" w:lineRule="auto"/>
      </w:pPr>
      <w:r>
        <w:separator/>
      </w:r>
    </w:p>
  </w:endnote>
  <w:endnote w:type="continuationSeparator" w:id="0">
    <w:p w14:paraId="48435DCA" w14:textId="77777777" w:rsidR="0070760E" w:rsidRDefault="0070760E" w:rsidP="001A1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ヒラギノ角ゴ Pro W3">
    <w:panose1 w:val="00000000000000000000"/>
    <w:charset w:val="80"/>
    <w:family w:val="auto"/>
    <w:notTrueType/>
    <w:pitch w:val="variable"/>
    <w:sig w:usb0="01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ptima LT Std DemiBold">
    <w:altName w:val="Optima LT Std Demi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Avenir-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708409"/>
      <w:docPartObj>
        <w:docPartGallery w:val="Page Numbers (Bottom of Page)"/>
        <w:docPartUnique/>
      </w:docPartObj>
    </w:sdtPr>
    <w:sdtEndPr>
      <w:rPr>
        <w:noProof/>
      </w:rPr>
    </w:sdtEndPr>
    <w:sdtContent>
      <w:p w14:paraId="4DA15EDE" w14:textId="77777777" w:rsidR="00377DE1" w:rsidRDefault="00377DE1">
        <w:pPr>
          <w:pStyle w:val="Footer"/>
          <w:jc w:val="right"/>
        </w:pPr>
        <w:r>
          <w:fldChar w:fldCharType="begin"/>
        </w:r>
        <w:r>
          <w:instrText xml:space="preserve"> PAGE   \* MERGEFORMAT </w:instrText>
        </w:r>
        <w:r>
          <w:fldChar w:fldCharType="separate"/>
        </w:r>
        <w:r w:rsidR="00B13DC0">
          <w:rPr>
            <w:noProof/>
          </w:rPr>
          <w:t>3</w:t>
        </w:r>
        <w:r>
          <w:rPr>
            <w:noProof/>
          </w:rPr>
          <w:fldChar w:fldCharType="end"/>
        </w:r>
      </w:p>
    </w:sdtContent>
  </w:sdt>
  <w:p w14:paraId="42C149CF" w14:textId="77777777" w:rsidR="00377DE1" w:rsidRDefault="00377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B20C6" w14:textId="77777777" w:rsidR="0070760E" w:rsidRDefault="0070760E" w:rsidP="001A17AC">
      <w:pPr>
        <w:spacing w:after="0" w:line="240" w:lineRule="auto"/>
      </w:pPr>
      <w:r>
        <w:separator/>
      </w:r>
    </w:p>
  </w:footnote>
  <w:footnote w:type="continuationSeparator" w:id="0">
    <w:p w14:paraId="3A773410" w14:textId="77777777" w:rsidR="0070760E" w:rsidRDefault="0070760E" w:rsidP="001A17AC">
      <w:pPr>
        <w:spacing w:after="0" w:line="240" w:lineRule="auto"/>
      </w:pPr>
      <w:r>
        <w:continuationSeparator/>
      </w:r>
    </w:p>
  </w:footnote>
  <w:footnote w:id="1">
    <w:p w14:paraId="368AB95D" w14:textId="77777777" w:rsidR="00377DE1" w:rsidRDefault="00377DE1" w:rsidP="00257BA6">
      <w:pPr>
        <w:pStyle w:val="FootnoteText"/>
      </w:pPr>
      <w:r>
        <w:rPr>
          <w:rStyle w:val="FootnoteReference"/>
        </w:rPr>
        <w:footnoteRef/>
      </w:r>
      <w:r>
        <w:t xml:space="preserve"> Where there is no expected change between baseline and milestone, subtracting the baseline from the 2014 milestone yields zero, and it is not possible to divide a number by zero</w:t>
      </w:r>
    </w:p>
  </w:footnote>
  <w:footnote w:id="2">
    <w:p w14:paraId="1660B88C" w14:textId="77777777" w:rsidR="00377DE1" w:rsidRPr="00793599" w:rsidRDefault="00377DE1" w:rsidP="002653CD">
      <w:pPr>
        <w:pStyle w:val="FootnoteText"/>
      </w:pPr>
      <w:r w:rsidRPr="00D976A1">
        <w:rPr>
          <w:rStyle w:val="FootnoteReference"/>
          <w:color w:val="FFFFFF" w:themeColor="background1"/>
        </w:rPr>
        <w:footnoteRef/>
      </w:r>
      <w:r>
        <w:t xml:space="preserve"> </w:t>
      </w:r>
      <w:r w:rsidRPr="002C5BFD">
        <w:rPr>
          <w:rFonts w:ascii="Calibri" w:eastAsia="Calibri" w:hAnsi="Calibri"/>
          <w:sz w:val="14"/>
          <w:szCs w:val="14"/>
        </w:rPr>
        <w:t>(</w:t>
      </w:r>
      <w:r w:rsidRPr="002C5BFD">
        <w:rPr>
          <w:rFonts w:ascii="Calibri" w:eastAsia="SimSun" w:hAnsi="Calibri"/>
          <w:sz w:val="14"/>
          <w:szCs w:val="14"/>
          <w:lang w:eastAsia="zh-CN"/>
        </w:rPr>
        <w:t>*denotes that the baseline year is the year specified or latest data available</w:t>
      </w:r>
      <w:r w:rsidRPr="002C5BFD">
        <w:rPr>
          <w:rFonts w:ascii="Calibri" w:eastAsia="Calibri" w:hAnsi="Calibri"/>
          <w:sz w:val="14"/>
          <w:szCs w:val="1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732A"/>
    <w:multiLevelType w:val="hybridMultilevel"/>
    <w:tmpl w:val="B81CB344"/>
    <w:lvl w:ilvl="0" w:tplc="5A968D08">
      <w:start w:val="1"/>
      <w:numFmt w:val="lowerLetter"/>
      <w:lvlText w:val="%1)"/>
      <w:lvlJc w:val="left"/>
      <w:pPr>
        <w:ind w:left="720" w:hanging="360"/>
      </w:pPr>
      <w:rPr>
        <w:rFonts w:ascii="Calibri" w:hAnsi="Calibri"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0572E"/>
    <w:multiLevelType w:val="hybridMultilevel"/>
    <w:tmpl w:val="B05E9D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C11C05"/>
    <w:multiLevelType w:val="hybridMultilevel"/>
    <w:tmpl w:val="410277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31355"/>
    <w:multiLevelType w:val="hybridMultilevel"/>
    <w:tmpl w:val="CE5C584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9B3A80"/>
    <w:multiLevelType w:val="hybridMultilevel"/>
    <w:tmpl w:val="CDACE258"/>
    <w:lvl w:ilvl="0" w:tplc="9A9E4F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CB46A8"/>
    <w:multiLevelType w:val="hybridMultilevel"/>
    <w:tmpl w:val="4844A62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5539E6"/>
    <w:multiLevelType w:val="hybridMultilevel"/>
    <w:tmpl w:val="F8321814"/>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697DBA"/>
    <w:multiLevelType w:val="hybridMultilevel"/>
    <w:tmpl w:val="291470A6"/>
    <w:lvl w:ilvl="0" w:tplc="8ECA5910">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D62736"/>
    <w:multiLevelType w:val="hybridMultilevel"/>
    <w:tmpl w:val="9338576E"/>
    <w:lvl w:ilvl="0" w:tplc="8EDAB1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292BEC"/>
    <w:multiLevelType w:val="hybridMultilevel"/>
    <w:tmpl w:val="8D8C9D6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3A2185"/>
    <w:multiLevelType w:val="hybridMultilevel"/>
    <w:tmpl w:val="D4428D18"/>
    <w:lvl w:ilvl="0" w:tplc="7BC0F79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6638F7"/>
    <w:multiLevelType w:val="hybridMultilevel"/>
    <w:tmpl w:val="07FEF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C44D37"/>
    <w:multiLevelType w:val="hybridMultilevel"/>
    <w:tmpl w:val="8D8A7E5E"/>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475ADA"/>
    <w:multiLevelType w:val="hybridMultilevel"/>
    <w:tmpl w:val="3752925E"/>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513E78"/>
    <w:multiLevelType w:val="hybridMultilevel"/>
    <w:tmpl w:val="97345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FE596B"/>
    <w:multiLevelType w:val="hybridMultilevel"/>
    <w:tmpl w:val="FF1C78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444DC6"/>
    <w:multiLevelType w:val="hybridMultilevel"/>
    <w:tmpl w:val="AF2217E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7F122C4"/>
    <w:multiLevelType w:val="hybridMultilevel"/>
    <w:tmpl w:val="BFD003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2613FF"/>
    <w:multiLevelType w:val="hybridMultilevel"/>
    <w:tmpl w:val="A462C6F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B04C03"/>
    <w:multiLevelType w:val="hybridMultilevel"/>
    <w:tmpl w:val="831E825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025F5C"/>
    <w:multiLevelType w:val="hybridMultilevel"/>
    <w:tmpl w:val="CF0202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E5D7D7A"/>
    <w:multiLevelType w:val="hybridMultilevel"/>
    <w:tmpl w:val="57143342"/>
    <w:lvl w:ilvl="0" w:tplc="C25603CE">
      <w:start w:val="1"/>
      <w:numFmt w:val="lowerLetter"/>
      <w:lvlText w:val="%1)"/>
      <w:lvlJc w:val="left"/>
      <w:pPr>
        <w:ind w:left="360" w:hanging="360"/>
      </w:pPr>
      <w:rPr>
        <w:rFonts w:asciiTheme="minorHAnsi" w:eastAsia="Calibr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EC7010C"/>
    <w:multiLevelType w:val="hybridMultilevel"/>
    <w:tmpl w:val="1DC226DC"/>
    <w:lvl w:ilvl="0" w:tplc="A5787DBC">
      <w:start w:val="1"/>
      <w:numFmt w:val="lowerLetter"/>
      <w:lvlText w:val="%1)"/>
      <w:lvlJc w:val="left"/>
      <w:pPr>
        <w:ind w:left="720" w:hanging="360"/>
      </w:pPr>
      <w:rPr>
        <w:rFonts w:eastAsia="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617FE7"/>
    <w:multiLevelType w:val="hybridMultilevel"/>
    <w:tmpl w:val="ED4657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AD447E"/>
    <w:multiLevelType w:val="hybridMultilevel"/>
    <w:tmpl w:val="A0E27998"/>
    <w:lvl w:ilvl="0" w:tplc="9A9E4F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8A483B"/>
    <w:multiLevelType w:val="hybridMultilevel"/>
    <w:tmpl w:val="64244C2A"/>
    <w:lvl w:ilvl="0" w:tplc="0409001B">
      <w:start w:val="1"/>
      <w:numFmt w:val="lowerRoman"/>
      <w:lvlText w:val="%1."/>
      <w:lvlJc w:val="right"/>
      <w:pPr>
        <w:ind w:left="432" w:hanging="360"/>
      </w:p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6" w15:restartNumberingAfterBreak="0">
    <w:nsid w:val="2331533F"/>
    <w:multiLevelType w:val="hybridMultilevel"/>
    <w:tmpl w:val="A74209B6"/>
    <w:lvl w:ilvl="0" w:tplc="2D0C8E9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4FE5368"/>
    <w:multiLevelType w:val="hybridMultilevel"/>
    <w:tmpl w:val="84BCB8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EB2DF1"/>
    <w:multiLevelType w:val="hybridMultilevel"/>
    <w:tmpl w:val="38601B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7715B2"/>
    <w:multiLevelType w:val="hybridMultilevel"/>
    <w:tmpl w:val="4CACBE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9AE2708"/>
    <w:multiLevelType w:val="hybridMultilevel"/>
    <w:tmpl w:val="36301DA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A220747"/>
    <w:multiLevelType w:val="hybridMultilevel"/>
    <w:tmpl w:val="27B0F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215C5F"/>
    <w:multiLevelType w:val="hybridMultilevel"/>
    <w:tmpl w:val="C240B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8A17AB"/>
    <w:multiLevelType w:val="hybridMultilevel"/>
    <w:tmpl w:val="73C4C09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B9C40B5"/>
    <w:multiLevelType w:val="hybridMultilevel"/>
    <w:tmpl w:val="BEC2D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CD60C9"/>
    <w:multiLevelType w:val="hybridMultilevel"/>
    <w:tmpl w:val="8BFCE83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F8B35D5"/>
    <w:multiLevelType w:val="hybridMultilevel"/>
    <w:tmpl w:val="66FC6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725321"/>
    <w:multiLevelType w:val="hybridMultilevel"/>
    <w:tmpl w:val="E32EFFD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18D210B"/>
    <w:multiLevelType w:val="hybridMultilevel"/>
    <w:tmpl w:val="95DC7D2E"/>
    <w:lvl w:ilvl="0" w:tplc="0409001B">
      <w:start w:val="1"/>
      <w:numFmt w:val="lowerRoman"/>
      <w:lvlText w:val="%1."/>
      <w:lvlJc w:val="righ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FB2C9B"/>
    <w:multiLevelType w:val="hybridMultilevel"/>
    <w:tmpl w:val="FB569D92"/>
    <w:lvl w:ilvl="0" w:tplc="5130349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063321"/>
    <w:multiLevelType w:val="hybridMultilevel"/>
    <w:tmpl w:val="2C28669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296042"/>
    <w:multiLevelType w:val="hybridMultilevel"/>
    <w:tmpl w:val="B0A8C008"/>
    <w:lvl w:ilvl="0" w:tplc="04090017">
      <w:start w:val="1"/>
      <w:numFmt w:val="lowerLetter"/>
      <w:lvlText w:val="%1)"/>
      <w:lvlJc w:val="left"/>
      <w:pPr>
        <w:ind w:left="360" w:hanging="360"/>
      </w:pPr>
      <w:rPr>
        <w:rFonts w:hint="default"/>
      </w:rPr>
    </w:lvl>
    <w:lvl w:ilvl="1" w:tplc="2B92E120">
      <w:start w:val="6"/>
      <w:numFmt w:val="lowerRoman"/>
      <w:lvlText w:val="%2."/>
      <w:lvlJc w:val="righ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78A7893"/>
    <w:multiLevelType w:val="hybridMultilevel"/>
    <w:tmpl w:val="DCB0E9E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C0536F"/>
    <w:multiLevelType w:val="singleLevel"/>
    <w:tmpl w:val="1F708ACC"/>
    <w:lvl w:ilvl="0">
      <w:start w:val="1"/>
      <w:numFmt w:val="upperLetter"/>
      <w:pStyle w:val="Heading5"/>
      <w:lvlText w:val="%1."/>
      <w:lvlJc w:val="left"/>
      <w:pPr>
        <w:tabs>
          <w:tab w:val="num" w:pos="360"/>
        </w:tabs>
        <w:ind w:left="360" w:hanging="360"/>
      </w:pPr>
      <w:rPr>
        <w:rFonts w:hint="default"/>
      </w:rPr>
    </w:lvl>
  </w:abstractNum>
  <w:abstractNum w:abstractNumId="44" w15:restartNumberingAfterBreak="0">
    <w:nsid w:val="391460CD"/>
    <w:multiLevelType w:val="hybridMultilevel"/>
    <w:tmpl w:val="DCDA541C"/>
    <w:lvl w:ilvl="0" w:tplc="7BC0F79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98A153F"/>
    <w:multiLevelType w:val="hybridMultilevel"/>
    <w:tmpl w:val="7556EE3E"/>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3AC965AD"/>
    <w:multiLevelType w:val="hybridMultilevel"/>
    <w:tmpl w:val="C64E465E"/>
    <w:lvl w:ilvl="0" w:tplc="8880096C">
      <w:start w:val="1"/>
      <w:numFmt w:val="lowerRoman"/>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3B0F66D8"/>
    <w:multiLevelType w:val="hybridMultilevel"/>
    <w:tmpl w:val="9F4EDF5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B5E36A8"/>
    <w:multiLevelType w:val="hybridMultilevel"/>
    <w:tmpl w:val="4AC4CE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C9B4692"/>
    <w:multiLevelType w:val="hybridMultilevel"/>
    <w:tmpl w:val="246244AC"/>
    <w:lvl w:ilvl="0" w:tplc="04090017">
      <w:start w:val="1"/>
      <w:numFmt w:val="lowerLetter"/>
      <w:lvlText w:val="%1)"/>
      <w:lvlJc w:val="left"/>
      <w:pPr>
        <w:ind w:left="360" w:hanging="360"/>
      </w:pPr>
    </w:lvl>
    <w:lvl w:ilvl="1" w:tplc="CF5EEE0A">
      <w:start w:val="1"/>
      <w:numFmt w:val="lowerRoman"/>
      <w:lvlText w:val="%2."/>
      <w:lvlJc w:val="right"/>
      <w:pPr>
        <w:ind w:left="1080" w:hanging="360"/>
      </w:pPr>
      <w:rPr>
        <w:rFonts w:hint="default"/>
        <w:b w:val="0"/>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D372C7C"/>
    <w:multiLevelType w:val="hybridMultilevel"/>
    <w:tmpl w:val="2F2AB0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F380B7F"/>
    <w:multiLevelType w:val="hybridMultilevel"/>
    <w:tmpl w:val="651C3C14"/>
    <w:lvl w:ilvl="0" w:tplc="D760F894">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3F9D27E3"/>
    <w:multiLevelType w:val="hybridMultilevel"/>
    <w:tmpl w:val="EE167BD4"/>
    <w:lvl w:ilvl="0" w:tplc="0409001B">
      <w:start w:val="1"/>
      <w:numFmt w:val="lowerRoman"/>
      <w:lvlText w:val="%1."/>
      <w:lvlJc w:val="right"/>
      <w:pPr>
        <w:ind w:left="972" w:hanging="360"/>
      </w:pPr>
    </w:lvl>
    <w:lvl w:ilvl="1" w:tplc="08090019" w:tentative="1">
      <w:start w:val="1"/>
      <w:numFmt w:val="lowerLetter"/>
      <w:lvlText w:val="%2."/>
      <w:lvlJc w:val="left"/>
      <w:pPr>
        <w:ind w:left="1692" w:hanging="360"/>
      </w:pPr>
    </w:lvl>
    <w:lvl w:ilvl="2" w:tplc="0809001B" w:tentative="1">
      <w:start w:val="1"/>
      <w:numFmt w:val="lowerRoman"/>
      <w:lvlText w:val="%3."/>
      <w:lvlJc w:val="right"/>
      <w:pPr>
        <w:ind w:left="2412" w:hanging="180"/>
      </w:pPr>
    </w:lvl>
    <w:lvl w:ilvl="3" w:tplc="0809000F" w:tentative="1">
      <w:start w:val="1"/>
      <w:numFmt w:val="decimal"/>
      <w:lvlText w:val="%4."/>
      <w:lvlJc w:val="left"/>
      <w:pPr>
        <w:ind w:left="3132" w:hanging="360"/>
      </w:pPr>
    </w:lvl>
    <w:lvl w:ilvl="4" w:tplc="08090019" w:tentative="1">
      <w:start w:val="1"/>
      <w:numFmt w:val="lowerLetter"/>
      <w:lvlText w:val="%5."/>
      <w:lvlJc w:val="left"/>
      <w:pPr>
        <w:ind w:left="3852" w:hanging="360"/>
      </w:pPr>
    </w:lvl>
    <w:lvl w:ilvl="5" w:tplc="0809001B" w:tentative="1">
      <w:start w:val="1"/>
      <w:numFmt w:val="lowerRoman"/>
      <w:lvlText w:val="%6."/>
      <w:lvlJc w:val="right"/>
      <w:pPr>
        <w:ind w:left="4572" w:hanging="180"/>
      </w:pPr>
    </w:lvl>
    <w:lvl w:ilvl="6" w:tplc="0809000F" w:tentative="1">
      <w:start w:val="1"/>
      <w:numFmt w:val="decimal"/>
      <w:lvlText w:val="%7."/>
      <w:lvlJc w:val="left"/>
      <w:pPr>
        <w:ind w:left="5292" w:hanging="360"/>
      </w:pPr>
    </w:lvl>
    <w:lvl w:ilvl="7" w:tplc="08090019" w:tentative="1">
      <w:start w:val="1"/>
      <w:numFmt w:val="lowerLetter"/>
      <w:lvlText w:val="%8."/>
      <w:lvlJc w:val="left"/>
      <w:pPr>
        <w:ind w:left="6012" w:hanging="360"/>
      </w:pPr>
    </w:lvl>
    <w:lvl w:ilvl="8" w:tplc="0809001B" w:tentative="1">
      <w:start w:val="1"/>
      <w:numFmt w:val="lowerRoman"/>
      <w:lvlText w:val="%9."/>
      <w:lvlJc w:val="right"/>
      <w:pPr>
        <w:ind w:left="6732" w:hanging="180"/>
      </w:pPr>
    </w:lvl>
  </w:abstractNum>
  <w:abstractNum w:abstractNumId="53" w15:restartNumberingAfterBreak="0">
    <w:nsid w:val="403B4856"/>
    <w:multiLevelType w:val="hybridMultilevel"/>
    <w:tmpl w:val="8BFCE83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0983872"/>
    <w:multiLevelType w:val="hybridMultilevel"/>
    <w:tmpl w:val="3C062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0C63A43"/>
    <w:multiLevelType w:val="hybridMultilevel"/>
    <w:tmpl w:val="816212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27E3098"/>
    <w:multiLevelType w:val="hybridMultilevel"/>
    <w:tmpl w:val="D7A08BF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3060D48"/>
    <w:multiLevelType w:val="hybridMultilevel"/>
    <w:tmpl w:val="C8223DCE"/>
    <w:lvl w:ilvl="0" w:tplc="7BC0F79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5324E66"/>
    <w:multiLevelType w:val="hybridMultilevel"/>
    <w:tmpl w:val="B44EC91E"/>
    <w:lvl w:ilvl="0" w:tplc="0409001B">
      <w:start w:val="1"/>
      <w:numFmt w:val="lowerRoman"/>
      <w:lvlText w:val="%1."/>
      <w:lvlJc w:val="righ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6D52AB4"/>
    <w:multiLevelType w:val="hybridMultilevel"/>
    <w:tmpl w:val="FEA0E328"/>
    <w:lvl w:ilvl="0" w:tplc="04090017">
      <w:start w:val="1"/>
      <w:numFmt w:val="lowerLetter"/>
      <w:lvlText w:val="%1)"/>
      <w:lvlJc w:val="left"/>
      <w:pPr>
        <w:ind w:left="360" w:hanging="360"/>
      </w:pPr>
    </w:lvl>
    <w:lvl w:ilvl="1" w:tplc="CF5EEE0A">
      <w:start w:val="1"/>
      <w:numFmt w:val="lowerRoman"/>
      <w:lvlText w:val="%2."/>
      <w:lvlJc w:val="right"/>
      <w:pPr>
        <w:ind w:left="1080" w:hanging="360"/>
      </w:pPr>
      <w:rPr>
        <w:rFonts w:hint="default"/>
        <w:b w:val="0"/>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47A710BF"/>
    <w:multiLevelType w:val="hybridMultilevel"/>
    <w:tmpl w:val="79CE7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7B94BEA"/>
    <w:multiLevelType w:val="hybridMultilevel"/>
    <w:tmpl w:val="145A27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48AB1829"/>
    <w:multiLevelType w:val="hybridMultilevel"/>
    <w:tmpl w:val="97345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A5019CC"/>
    <w:multiLevelType w:val="hybridMultilevel"/>
    <w:tmpl w:val="018CA2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C260A0E"/>
    <w:multiLevelType w:val="hybridMultilevel"/>
    <w:tmpl w:val="01AC6B10"/>
    <w:lvl w:ilvl="0" w:tplc="0DE43126">
      <w:start w:val="1"/>
      <w:numFmt w:val="upperRoman"/>
      <w:pStyle w:val="Heading1"/>
      <w:lvlText w:val="%1."/>
      <w:lvlJc w:val="left"/>
      <w:pPr>
        <w:ind w:left="936" w:hanging="360"/>
      </w:pPr>
      <w:rPr>
        <w:rFonts w:hint="default"/>
        <w:spacing w:val="0"/>
        <w:position w:val="0"/>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65" w15:restartNumberingAfterBreak="0">
    <w:nsid w:val="4E4C1190"/>
    <w:multiLevelType w:val="hybridMultilevel"/>
    <w:tmpl w:val="4FFA81D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0591DB5"/>
    <w:multiLevelType w:val="hybridMultilevel"/>
    <w:tmpl w:val="B4CC7B2A"/>
    <w:lvl w:ilvl="0" w:tplc="0409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7" w15:restartNumberingAfterBreak="0">
    <w:nsid w:val="509C3E0F"/>
    <w:multiLevelType w:val="hybridMultilevel"/>
    <w:tmpl w:val="1E76F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5A2751C"/>
    <w:multiLevelType w:val="hybridMultilevel"/>
    <w:tmpl w:val="2684F568"/>
    <w:lvl w:ilvl="0" w:tplc="190C4DCA">
      <w:start w:val="7"/>
      <w:numFmt w:val="lowerRoman"/>
      <w:lvlText w:val="%1."/>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7C14C63"/>
    <w:multiLevelType w:val="hybridMultilevel"/>
    <w:tmpl w:val="8904F134"/>
    <w:lvl w:ilvl="0" w:tplc="04090019">
      <w:start w:val="1"/>
      <w:numFmt w:val="lowerLetter"/>
      <w:lvlText w:val="%1."/>
      <w:lvlJc w:val="left"/>
      <w:pPr>
        <w:ind w:left="1062" w:hanging="360"/>
      </w:pPr>
    </w:lvl>
    <w:lvl w:ilvl="1" w:tplc="08090019">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70" w15:restartNumberingAfterBreak="0">
    <w:nsid w:val="5BE5362C"/>
    <w:multiLevelType w:val="hybridMultilevel"/>
    <w:tmpl w:val="01A4415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BF03E3F"/>
    <w:multiLevelType w:val="hybridMultilevel"/>
    <w:tmpl w:val="4E7A3740"/>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CE90E6E"/>
    <w:multiLevelType w:val="hybridMultilevel"/>
    <w:tmpl w:val="C820088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DF24454"/>
    <w:multiLevelType w:val="hybridMultilevel"/>
    <w:tmpl w:val="1AAA2B32"/>
    <w:lvl w:ilvl="0" w:tplc="0409001B">
      <w:start w:val="1"/>
      <w:numFmt w:val="lowerRoman"/>
      <w:lvlText w:val="%1."/>
      <w:lvlJc w:val="right"/>
      <w:pPr>
        <w:ind w:left="972" w:hanging="360"/>
      </w:pPr>
    </w:lvl>
    <w:lvl w:ilvl="1" w:tplc="08090019" w:tentative="1">
      <w:start w:val="1"/>
      <w:numFmt w:val="lowerLetter"/>
      <w:lvlText w:val="%2."/>
      <w:lvlJc w:val="left"/>
      <w:pPr>
        <w:ind w:left="1692" w:hanging="360"/>
      </w:pPr>
    </w:lvl>
    <w:lvl w:ilvl="2" w:tplc="0809001B" w:tentative="1">
      <w:start w:val="1"/>
      <w:numFmt w:val="lowerRoman"/>
      <w:lvlText w:val="%3."/>
      <w:lvlJc w:val="right"/>
      <w:pPr>
        <w:ind w:left="2412" w:hanging="180"/>
      </w:pPr>
    </w:lvl>
    <w:lvl w:ilvl="3" w:tplc="0809000F" w:tentative="1">
      <w:start w:val="1"/>
      <w:numFmt w:val="decimal"/>
      <w:lvlText w:val="%4."/>
      <w:lvlJc w:val="left"/>
      <w:pPr>
        <w:ind w:left="3132" w:hanging="360"/>
      </w:pPr>
    </w:lvl>
    <w:lvl w:ilvl="4" w:tplc="08090019" w:tentative="1">
      <w:start w:val="1"/>
      <w:numFmt w:val="lowerLetter"/>
      <w:lvlText w:val="%5."/>
      <w:lvlJc w:val="left"/>
      <w:pPr>
        <w:ind w:left="3852" w:hanging="360"/>
      </w:pPr>
    </w:lvl>
    <w:lvl w:ilvl="5" w:tplc="0809001B" w:tentative="1">
      <w:start w:val="1"/>
      <w:numFmt w:val="lowerRoman"/>
      <w:lvlText w:val="%6."/>
      <w:lvlJc w:val="right"/>
      <w:pPr>
        <w:ind w:left="4572" w:hanging="180"/>
      </w:pPr>
    </w:lvl>
    <w:lvl w:ilvl="6" w:tplc="0809000F" w:tentative="1">
      <w:start w:val="1"/>
      <w:numFmt w:val="decimal"/>
      <w:lvlText w:val="%7."/>
      <w:lvlJc w:val="left"/>
      <w:pPr>
        <w:ind w:left="5292" w:hanging="360"/>
      </w:pPr>
    </w:lvl>
    <w:lvl w:ilvl="7" w:tplc="08090019" w:tentative="1">
      <w:start w:val="1"/>
      <w:numFmt w:val="lowerLetter"/>
      <w:lvlText w:val="%8."/>
      <w:lvlJc w:val="left"/>
      <w:pPr>
        <w:ind w:left="6012" w:hanging="360"/>
      </w:pPr>
    </w:lvl>
    <w:lvl w:ilvl="8" w:tplc="0809001B" w:tentative="1">
      <w:start w:val="1"/>
      <w:numFmt w:val="lowerRoman"/>
      <w:lvlText w:val="%9."/>
      <w:lvlJc w:val="right"/>
      <w:pPr>
        <w:ind w:left="6732" w:hanging="180"/>
      </w:pPr>
    </w:lvl>
  </w:abstractNum>
  <w:abstractNum w:abstractNumId="74" w15:restartNumberingAfterBreak="0">
    <w:nsid w:val="5F946BF2"/>
    <w:multiLevelType w:val="hybridMultilevel"/>
    <w:tmpl w:val="F2FC68F6"/>
    <w:lvl w:ilvl="0" w:tplc="4B626812">
      <w:start w:val="1"/>
      <w:numFmt w:val="lowerRoman"/>
      <w:lvlText w:val="%1."/>
      <w:lvlJc w:val="left"/>
      <w:pPr>
        <w:ind w:left="606" w:hanging="360"/>
      </w:pPr>
      <w:rPr>
        <w:rFonts w:hint="default"/>
        <w:b w:val="0"/>
        <w:i w:val="0"/>
      </w:rPr>
    </w:lvl>
    <w:lvl w:ilvl="1" w:tplc="08090019" w:tentative="1">
      <w:start w:val="1"/>
      <w:numFmt w:val="lowerLetter"/>
      <w:lvlText w:val="%2."/>
      <w:lvlJc w:val="left"/>
      <w:pPr>
        <w:ind w:left="1326" w:hanging="360"/>
      </w:pPr>
    </w:lvl>
    <w:lvl w:ilvl="2" w:tplc="0809001B" w:tentative="1">
      <w:start w:val="1"/>
      <w:numFmt w:val="lowerRoman"/>
      <w:lvlText w:val="%3."/>
      <w:lvlJc w:val="right"/>
      <w:pPr>
        <w:ind w:left="2046" w:hanging="180"/>
      </w:pPr>
    </w:lvl>
    <w:lvl w:ilvl="3" w:tplc="0809000F" w:tentative="1">
      <w:start w:val="1"/>
      <w:numFmt w:val="decimal"/>
      <w:lvlText w:val="%4."/>
      <w:lvlJc w:val="left"/>
      <w:pPr>
        <w:ind w:left="2766" w:hanging="360"/>
      </w:pPr>
    </w:lvl>
    <w:lvl w:ilvl="4" w:tplc="08090019" w:tentative="1">
      <w:start w:val="1"/>
      <w:numFmt w:val="lowerLetter"/>
      <w:lvlText w:val="%5."/>
      <w:lvlJc w:val="left"/>
      <w:pPr>
        <w:ind w:left="3486" w:hanging="360"/>
      </w:pPr>
    </w:lvl>
    <w:lvl w:ilvl="5" w:tplc="0809001B" w:tentative="1">
      <w:start w:val="1"/>
      <w:numFmt w:val="lowerRoman"/>
      <w:lvlText w:val="%6."/>
      <w:lvlJc w:val="right"/>
      <w:pPr>
        <w:ind w:left="4206" w:hanging="180"/>
      </w:pPr>
    </w:lvl>
    <w:lvl w:ilvl="6" w:tplc="0809000F" w:tentative="1">
      <w:start w:val="1"/>
      <w:numFmt w:val="decimal"/>
      <w:lvlText w:val="%7."/>
      <w:lvlJc w:val="left"/>
      <w:pPr>
        <w:ind w:left="4926" w:hanging="360"/>
      </w:pPr>
    </w:lvl>
    <w:lvl w:ilvl="7" w:tplc="08090019" w:tentative="1">
      <w:start w:val="1"/>
      <w:numFmt w:val="lowerLetter"/>
      <w:lvlText w:val="%8."/>
      <w:lvlJc w:val="left"/>
      <w:pPr>
        <w:ind w:left="5646" w:hanging="360"/>
      </w:pPr>
    </w:lvl>
    <w:lvl w:ilvl="8" w:tplc="0809001B" w:tentative="1">
      <w:start w:val="1"/>
      <w:numFmt w:val="lowerRoman"/>
      <w:lvlText w:val="%9."/>
      <w:lvlJc w:val="right"/>
      <w:pPr>
        <w:ind w:left="6366" w:hanging="180"/>
      </w:pPr>
    </w:lvl>
  </w:abstractNum>
  <w:abstractNum w:abstractNumId="75" w15:restartNumberingAfterBreak="0">
    <w:nsid w:val="5F965891"/>
    <w:multiLevelType w:val="hybridMultilevel"/>
    <w:tmpl w:val="B6788A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AB6555"/>
    <w:multiLevelType w:val="hybridMultilevel"/>
    <w:tmpl w:val="6F46729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0DC3222"/>
    <w:multiLevelType w:val="hybridMultilevel"/>
    <w:tmpl w:val="7556EE3E"/>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15:restartNumberingAfterBreak="0">
    <w:nsid w:val="61BB2132"/>
    <w:multiLevelType w:val="hybridMultilevel"/>
    <w:tmpl w:val="B23E84EE"/>
    <w:lvl w:ilvl="0" w:tplc="4B708BB2">
      <w:start w:val="1"/>
      <w:numFmt w:val="lowerRoman"/>
      <w:lvlText w:val="%1."/>
      <w:lvlJc w:val="righ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29F3DD9"/>
    <w:multiLevelType w:val="hybridMultilevel"/>
    <w:tmpl w:val="D4B01A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4171B92"/>
    <w:multiLevelType w:val="hybridMultilevel"/>
    <w:tmpl w:val="49D4D830"/>
    <w:lvl w:ilvl="0" w:tplc="41387C20">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6D5407C"/>
    <w:multiLevelType w:val="hybridMultilevel"/>
    <w:tmpl w:val="52B2F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7EE609A"/>
    <w:multiLevelType w:val="hybridMultilevel"/>
    <w:tmpl w:val="A2B817D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8AE185B"/>
    <w:multiLevelType w:val="hybridMultilevel"/>
    <w:tmpl w:val="FDBE09C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8ED0F63"/>
    <w:multiLevelType w:val="hybridMultilevel"/>
    <w:tmpl w:val="E76EE44E"/>
    <w:lvl w:ilvl="0" w:tplc="0409001B">
      <w:start w:val="1"/>
      <w:numFmt w:val="lowerRoman"/>
      <w:lvlText w:val="%1."/>
      <w:lvlJc w:val="right"/>
      <w:pPr>
        <w:ind w:left="882" w:hanging="360"/>
      </w:pPr>
    </w:lvl>
    <w:lvl w:ilvl="1" w:tplc="08090019" w:tentative="1">
      <w:start w:val="1"/>
      <w:numFmt w:val="lowerLetter"/>
      <w:lvlText w:val="%2."/>
      <w:lvlJc w:val="left"/>
      <w:pPr>
        <w:ind w:left="1602" w:hanging="360"/>
      </w:pPr>
    </w:lvl>
    <w:lvl w:ilvl="2" w:tplc="0809001B" w:tentative="1">
      <w:start w:val="1"/>
      <w:numFmt w:val="lowerRoman"/>
      <w:lvlText w:val="%3."/>
      <w:lvlJc w:val="right"/>
      <w:pPr>
        <w:ind w:left="2322" w:hanging="180"/>
      </w:pPr>
    </w:lvl>
    <w:lvl w:ilvl="3" w:tplc="0809000F" w:tentative="1">
      <w:start w:val="1"/>
      <w:numFmt w:val="decimal"/>
      <w:lvlText w:val="%4."/>
      <w:lvlJc w:val="left"/>
      <w:pPr>
        <w:ind w:left="3042" w:hanging="360"/>
      </w:pPr>
    </w:lvl>
    <w:lvl w:ilvl="4" w:tplc="08090019" w:tentative="1">
      <w:start w:val="1"/>
      <w:numFmt w:val="lowerLetter"/>
      <w:lvlText w:val="%5."/>
      <w:lvlJc w:val="left"/>
      <w:pPr>
        <w:ind w:left="3762" w:hanging="360"/>
      </w:pPr>
    </w:lvl>
    <w:lvl w:ilvl="5" w:tplc="0809001B" w:tentative="1">
      <w:start w:val="1"/>
      <w:numFmt w:val="lowerRoman"/>
      <w:lvlText w:val="%6."/>
      <w:lvlJc w:val="right"/>
      <w:pPr>
        <w:ind w:left="4482" w:hanging="180"/>
      </w:pPr>
    </w:lvl>
    <w:lvl w:ilvl="6" w:tplc="0809000F" w:tentative="1">
      <w:start w:val="1"/>
      <w:numFmt w:val="decimal"/>
      <w:lvlText w:val="%7."/>
      <w:lvlJc w:val="left"/>
      <w:pPr>
        <w:ind w:left="5202" w:hanging="360"/>
      </w:pPr>
    </w:lvl>
    <w:lvl w:ilvl="7" w:tplc="08090019" w:tentative="1">
      <w:start w:val="1"/>
      <w:numFmt w:val="lowerLetter"/>
      <w:lvlText w:val="%8."/>
      <w:lvlJc w:val="left"/>
      <w:pPr>
        <w:ind w:left="5922" w:hanging="360"/>
      </w:pPr>
    </w:lvl>
    <w:lvl w:ilvl="8" w:tplc="0809001B" w:tentative="1">
      <w:start w:val="1"/>
      <w:numFmt w:val="lowerRoman"/>
      <w:lvlText w:val="%9."/>
      <w:lvlJc w:val="right"/>
      <w:pPr>
        <w:ind w:left="6642" w:hanging="180"/>
      </w:pPr>
    </w:lvl>
  </w:abstractNum>
  <w:abstractNum w:abstractNumId="85" w15:restartNumberingAfterBreak="0">
    <w:nsid w:val="693B48D9"/>
    <w:multiLevelType w:val="hybridMultilevel"/>
    <w:tmpl w:val="784C7010"/>
    <w:lvl w:ilvl="0" w:tplc="B7BC311E">
      <w:start w:val="1"/>
      <w:numFmt w:val="upperLetter"/>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3D2778"/>
    <w:multiLevelType w:val="hybridMultilevel"/>
    <w:tmpl w:val="B4E8C2D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6AD65CBD"/>
    <w:multiLevelType w:val="hybridMultilevel"/>
    <w:tmpl w:val="C820088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B79503D"/>
    <w:multiLevelType w:val="hybridMultilevel"/>
    <w:tmpl w:val="E3EC925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BD05086"/>
    <w:multiLevelType w:val="hybridMultilevel"/>
    <w:tmpl w:val="F9AE2C0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FEE5F9B"/>
    <w:multiLevelType w:val="hybridMultilevel"/>
    <w:tmpl w:val="31E0A536"/>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074682E"/>
    <w:multiLevelType w:val="hybridMultilevel"/>
    <w:tmpl w:val="D428C3C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1291025"/>
    <w:multiLevelType w:val="hybridMultilevel"/>
    <w:tmpl w:val="D6D65C5C"/>
    <w:lvl w:ilvl="0" w:tplc="0B96B4D4">
      <w:start w:val="1"/>
      <w:numFmt w:val="lowerRoman"/>
      <w:lvlText w:val="%1."/>
      <w:lvlJc w:val="right"/>
      <w:pPr>
        <w:ind w:left="648" w:hanging="288"/>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93" w15:restartNumberingAfterBreak="0">
    <w:nsid w:val="713B3121"/>
    <w:multiLevelType w:val="hybridMultilevel"/>
    <w:tmpl w:val="FC2019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1F055C9"/>
    <w:multiLevelType w:val="hybridMultilevel"/>
    <w:tmpl w:val="BAEC6BF0"/>
    <w:lvl w:ilvl="0" w:tplc="E49857E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619740D"/>
    <w:multiLevelType w:val="hybridMultilevel"/>
    <w:tmpl w:val="DFE25C30"/>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65B5FE8"/>
    <w:multiLevelType w:val="hybridMultilevel"/>
    <w:tmpl w:val="ACCC90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78483BBD"/>
    <w:multiLevelType w:val="hybridMultilevel"/>
    <w:tmpl w:val="ED50D92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84D7E4F"/>
    <w:multiLevelType w:val="hybridMultilevel"/>
    <w:tmpl w:val="B32295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C010C86"/>
    <w:multiLevelType w:val="hybridMultilevel"/>
    <w:tmpl w:val="9338576E"/>
    <w:lvl w:ilvl="0" w:tplc="8EDAB1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C047FCD"/>
    <w:multiLevelType w:val="hybridMultilevel"/>
    <w:tmpl w:val="B7E42B36"/>
    <w:lvl w:ilvl="0" w:tplc="E8882722">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C5636D8"/>
    <w:multiLevelType w:val="hybridMultilevel"/>
    <w:tmpl w:val="677C657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7C715692"/>
    <w:multiLevelType w:val="multilevel"/>
    <w:tmpl w:val="8AAC8C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Letter"/>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15:restartNumberingAfterBreak="0">
    <w:nsid w:val="7EF12C39"/>
    <w:multiLevelType w:val="hybridMultilevel"/>
    <w:tmpl w:val="6DC6E58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FDA3231"/>
    <w:multiLevelType w:val="hybridMultilevel"/>
    <w:tmpl w:val="1E5AAC0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4"/>
  </w:num>
  <w:num w:numId="2">
    <w:abstractNumId w:val="43"/>
  </w:num>
  <w:num w:numId="3">
    <w:abstractNumId w:val="80"/>
  </w:num>
  <w:num w:numId="4">
    <w:abstractNumId w:val="85"/>
  </w:num>
  <w:num w:numId="5">
    <w:abstractNumId w:val="102"/>
  </w:num>
  <w:num w:numId="6">
    <w:abstractNumId w:val="69"/>
  </w:num>
  <w:num w:numId="7">
    <w:abstractNumId w:val="6"/>
  </w:num>
  <w:num w:numId="8">
    <w:abstractNumId w:val="39"/>
  </w:num>
  <w:num w:numId="9">
    <w:abstractNumId w:val="100"/>
  </w:num>
  <w:num w:numId="10">
    <w:abstractNumId w:val="21"/>
  </w:num>
  <w:num w:numId="11">
    <w:abstractNumId w:val="11"/>
  </w:num>
  <w:num w:numId="12">
    <w:abstractNumId w:val="79"/>
  </w:num>
  <w:num w:numId="13">
    <w:abstractNumId w:val="47"/>
  </w:num>
  <w:num w:numId="14">
    <w:abstractNumId w:val="12"/>
  </w:num>
  <w:num w:numId="15">
    <w:abstractNumId w:val="66"/>
  </w:num>
  <w:num w:numId="16">
    <w:abstractNumId w:val="78"/>
  </w:num>
  <w:num w:numId="17">
    <w:abstractNumId w:val="41"/>
  </w:num>
  <w:num w:numId="18">
    <w:abstractNumId w:val="54"/>
  </w:num>
  <w:num w:numId="19">
    <w:abstractNumId w:val="92"/>
  </w:num>
  <w:num w:numId="20">
    <w:abstractNumId w:val="27"/>
  </w:num>
  <w:num w:numId="21">
    <w:abstractNumId w:val="57"/>
  </w:num>
  <w:num w:numId="22">
    <w:abstractNumId w:val="10"/>
  </w:num>
  <w:num w:numId="23">
    <w:abstractNumId w:val="44"/>
  </w:num>
  <w:num w:numId="24">
    <w:abstractNumId w:val="15"/>
  </w:num>
  <w:num w:numId="25">
    <w:abstractNumId w:val="28"/>
  </w:num>
  <w:num w:numId="26">
    <w:abstractNumId w:val="67"/>
  </w:num>
  <w:num w:numId="27">
    <w:abstractNumId w:val="36"/>
  </w:num>
  <w:num w:numId="28">
    <w:abstractNumId w:val="14"/>
  </w:num>
  <w:num w:numId="29">
    <w:abstractNumId w:val="32"/>
  </w:num>
  <w:num w:numId="30">
    <w:abstractNumId w:val="24"/>
  </w:num>
  <w:num w:numId="31">
    <w:abstractNumId w:val="4"/>
  </w:num>
  <w:num w:numId="32">
    <w:abstractNumId w:val="65"/>
  </w:num>
  <w:num w:numId="33">
    <w:abstractNumId w:val="75"/>
  </w:num>
  <w:num w:numId="34">
    <w:abstractNumId w:val="17"/>
  </w:num>
  <w:num w:numId="35">
    <w:abstractNumId w:val="23"/>
  </w:num>
  <w:num w:numId="36">
    <w:abstractNumId w:val="22"/>
  </w:num>
  <w:num w:numId="37">
    <w:abstractNumId w:val="34"/>
  </w:num>
  <w:num w:numId="38">
    <w:abstractNumId w:val="63"/>
  </w:num>
  <w:num w:numId="39">
    <w:abstractNumId w:val="2"/>
  </w:num>
  <w:num w:numId="40">
    <w:abstractNumId w:val="98"/>
  </w:num>
  <w:num w:numId="41">
    <w:abstractNumId w:val="40"/>
  </w:num>
  <w:num w:numId="42">
    <w:abstractNumId w:val="61"/>
  </w:num>
  <w:num w:numId="43">
    <w:abstractNumId w:val="51"/>
  </w:num>
  <w:num w:numId="44">
    <w:abstractNumId w:val="74"/>
  </w:num>
  <w:num w:numId="45">
    <w:abstractNumId w:val="46"/>
  </w:num>
  <w:num w:numId="46">
    <w:abstractNumId w:val="0"/>
  </w:num>
  <w:num w:numId="47">
    <w:abstractNumId w:val="5"/>
  </w:num>
  <w:num w:numId="48">
    <w:abstractNumId w:val="35"/>
  </w:num>
  <w:num w:numId="49">
    <w:abstractNumId w:val="50"/>
  </w:num>
  <w:num w:numId="50">
    <w:abstractNumId w:val="7"/>
  </w:num>
  <w:num w:numId="51">
    <w:abstractNumId w:val="1"/>
  </w:num>
  <w:num w:numId="52">
    <w:abstractNumId w:val="29"/>
  </w:num>
  <w:num w:numId="53">
    <w:abstractNumId w:val="60"/>
  </w:num>
  <w:num w:numId="54">
    <w:abstractNumId w:val="96"/>
  </w:num>
  <w:num w:numId="55">
    <w:abstractNumId w:val="31"/>
  </w:num>
  <w:num w:numId="5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4"/>
  </w:num>
  <w:num w:numId="58">
    <w:abstractNumId w:val="55"/>
  </w:num>
  <w:num w:numId="59">
    <w:abstractNumId w:val="62"/>
  </w:num>
  <w:num w:numId="60">
    <w:abstractNumId w:val="53"/>
  </w:num>
  <w:num w:numId="61">
    <w:abstractNumId w:val="94"/>
  </w:num>
  <w:num w:numId="62">
    <w:abstractNumId w:val="59"/>
  </w:num>
  <w:num w:numId="63">
    <w:abstractNumId w:val="49"/>
  </w:num>
  <w:num w:numId="64">
    <w:abstractNumId w:val="81"/>
  </w:num>
  <w:num w:numId="65">
    <w:abstractNumId w:val="93"/>
  </w:num>
  <w:num w:numId="66">
    <w:abstractNumId w:val="20"/>
  </w:num>
  <w:num w:numId="67">
    <w:abstractNumId w:val="101"/>
  </w:num>
  <w:num w:numId="68">
    <w:abstractNumId w:val="87"/>
  </w:num>
  <w:num w:numId="69">
    <w:abstractNumId w:val="72"/>
  </w:num>
  <w:num w:numId="70">
    <w:abstractNumId w:val="45"/>
  </w:num>
  <w:num w:numId="71">
    <w:abstractNumId w:val="8"/>
  </w:num>
  <w:num w:numId="72">
    <w:abstractNumId w:val="48"/>
  </w:num>
  <w:num w:numId="73">
    <w:abstractNumId w:val="26"/>
  </w:num>
  <w:num w:numId="74">
    <w:abstractNumId w:val="77"/>
  </w:num>
  <w:num w:numId="75">
    <w:abstractNumId w:val="99"/>
  </w:num>
  <w:num w:numId="76">
    <w:abstractNumId w:val="91"/>
  </w:num>
  <w:num w:numId="77">
    <w:abstractNumId w:val="89"/>
  </w:num>
  <w:num w:numId="78">
    <w:abstractNumId w:val="19"/>
  </w:num>
  <w:num w:numId="79">
    <w:abstractNumId w:val="90"/>
  </w:num>
  <w:num w:numId="80">
    <w:abstractNumId w:val="103"/>
  </w:num>
  <w:num w:numId="81">
    <w:abstractNumId w:val="83"/>
  </w:num>
  <w:num w:numId="82">
    <w:abstractNumId w:val="68"/>
  </w:num>
  <w:num w:numId="83">
    <w:abstractNumId w:val="71"/>
  </w:num>
  <w:num w:numId="84">
    <w:abstractNumId w:val="13"/>
  </w:num>
  <w:num w:numId="85">
    <w:abstractNumId w:val="30"/>
  </w:num>
  <w:num w:numId="86">
    <w:abstractNumId w:val="95"/>
  </w:num>
  <w:num w:numId="87">
    <w:abstractNumId w:val="88"/>
  </w:num>
  <w:num w:numId="88">
    <w:abstractNumId w:val="33"/>
  </w:num>
  <w:num w:numId="89">
    <w:abstractNumId w:val="25"/>
  </w:num>
  <w:num w:numId="90">
    <w:abstractNumId w:val="9"/>
  </w:num>
  <w:num w:numId="91">
    <w:abstractNumId w:val="86"/>
  </w:num>
  <w:num w:numId="92">
    <w:abstractNumId w:val="37"/>
  </w:num>
  <w:num w:numId="93">
    <w:abstractNumId w:val="56"/>
  </w:num>
  <w:num w:numId="94">
    <w:abstractNumId w:val="58"/>
  </w:num>
  <w:num w:numId="95">
    <w:abstractNumId w:val="76"/>
  </w:num>
  <w:num w:numId="96">
    <w:abstractNumId w:val="38"/>
  </w:num>
  <w:num w:numId="97">
    <w:abstractNumId w:val="42"/>
  </w:num>
  <w:num w:numId="98">
    <w:abstractNumId w:val="3"/>
  </w:num>
  <w:num w:numId="99">
    <w:abstractNumId w:val="97"/>
  </w:num>
  <w:num w:numId="100">
    <w:abstractNumId w:val="16"/>
  </w:num>
  <w:num w:numId="101">
    <w:abstractNumId w:val="82"/>
  </w:num>
  <w:num w:numId="102">
    <w:abstractNumId w:val="18"/>
  </w:num>
  <w:num w:numId="103">
    <w:abstractNumId w:val="52"/>
  </w:num>
  <w:num w:numId="104">
    <w:abstractNumId w:val="84"/>
  </w:num>
  <w:num w:numId="105">
    <w:abstractNumId w:val="73"/>
  </w:num>
  <w:num w:numId="106">
    <w:abstractNumId w:val="7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70"/>
    <w:rsid w:val="00000064"/>
    <w:rsid w:val="0000019C"/>
    <w:rsid w:val="00000309"/>
    <w:rsid w:val="00001A01"/>
    <w:rsid w:val="00001FED"/>
    <w:rsid w:val="000025DB"/>
    <w:rsid w:val="00002752"/>
    <w:rsid w:val="00002819"/>
    <w:rsid w:val="00002C5D"/>
    <w:rsid w:val="000030D2"/>
    <w:rsid w:val="0000319F"/>
    <w:rsid w:val="000037AC"/>
    <w:rsid w:val="00003B72"/>
    <w:rsid w:val="000040FD"/>
    <w:rsid w:val="00004F33"/>
    <w:rsid w:val="0000532F"/>
    <w:rsid w:val="00005684"/>
    <w:rsid w:val="00005A01"/>
    <w:rsid w:val="00005B0E"/>
    <w:rsid w:val="00005D5F"/>
    <w:rsid w:val="00005F94"/>
    <w:rsid w:val="0000610F"/>
    <w:rsid w:val="00006AA1"/>
    <w:rsid w:val="00007C4B"/>
    <w:rsid w:val="00010116"/>
    <w:rsid w:val="000106EE"/>
    <w:rsid w:val="00011955"/>
    <w:rsid w:val="000119D2"/>
    <w:rsid w:val="00011C27"/>
    <w:rsid w:val="00011F1E"/>
    <w:rsid w:val="000123A0"/>
    <w:rsid w:val="00013C40"/>
    <w:rsid w:val="00013E1F"/>
    <w:rsid w:val="00014760"/>
    <w:rsid w:val="00014A9A"/>
    <w:rsid w:val="00014AC4"/>
    <w:rsid w:val="00015A57"/>
    <w:rsid w:val="0001652F"/>
    <w:rsid w:val="00016F62"/>
    <w:rsid w:val="000174A8"/>
    <w:rsid w:val="000176EC"/>
    <w:rsid w:val="000178FC"/>
    <w:rsid w:val="00017A24"/>
    <w:rsid w:val="00017B2F"/>
    <w:rsid w:val="00017C61"/>
    <w:rsid w:val="00017CBC"/>
    <w:rsid w:val="0002011B"/>
    <w:rsid w:val="000204DD"/>
    <w:rsid w:val="000208CA"/>
    <w:rsid w:val="00021168"/>
    <w:rsid w:val="000225AE"/>
    <w:rsid w:val="00022831"/>
    <w:rsid w:val="00023278"/>
    <w:rsid w:val="00023AAC"/>
    <w:rsid w:val="00023DE0"/>
    <w:rsid w:val="00023E0F"/>
    <w:rsid w:val="00023E1F"/>
    <w:rsid w:val="0002422C"/>
    <w:rsid w:val="00024566"/>
    <w:rsid w:val="00024E59"/>
    <w:rsid w:val="000250F5"/>
    <w:rsid w:val="000265C5"/>
    <w:rsid w:val="000266AD"/>
    <w:rsid w:val="00027309"/>
    <w:rsid w:val="000273F3"/>
    <w:rsid w:val="00027F9B"/>
    <w:rsid w:val="0003020C"/>
    <w:rsid w:val="00030DDB"/>
    <w:rsid w:val="000312C4"/>
    <w:rsid w:val="00031338"/>
    <w:rsid w:val="00031C37"/>
    <w:rsid w:val="00031C83"/>
    <w:rsid w:val="00032A64"/>
    <w:rsid w:val="00033FC6"/>
    <w:rsid w:val="000347C0"/>
    <w:rsid w:val="00034BFE"/>
    <w:rsid w:val="00035026"/>
    <w:rsid w:val="000351D7"/>
    <w:rsid w:val="0003538E"/>
    <w:rsid w:val="00035662"/>
    <w:rsid w:val="00035FF9"/>
    <w:rsid w:val="00036073"/>
    <w:rsid w:val="00036228"/>
    <w:rsid w:val="0003648C"/>
    <w:rsid w:val="00037276"/>
    <w:rsid w:val="000377BE"/>
    <w:rsid w:val="00040B3E"/>
    <w:rsid w:val="00040DDC"/>
    <w:rsid w:val="0004174C"/>
    <w:rsid w:val="00041A52"/>
    <w:rsid w:val="00042968"/>
    <w:rsid w:val="00042DC8"/>
    <w:rsid w:val="00042F8C"/>
    <w:rsid w:val="000436DA"/>
    <w:rsid w:val="00043A91"/>
    <w:rsid w:val="00045467"/>
    <w:rsid w:val="000470C2"/>
    <w:rsid w:val="00047714"/>
    <w:rsid w:val="00047D8B"/>
    <w:rsid w:val="0005030B"/>
    <w:rsid w:val="000524B1"/>
    <w:rsid w:val="00052589"/>
    <w:rsid w:val="00052CD3"/>
    <w:rsid w:val="00053244"/>
    <w:rsid w:val="00054FF3"/>
    <w:rsid w:val="00055DB1"/>
    <w:rsid w:val="000561F2"/>
    <w:rsid w:val="0005680D"/>
    <w:rsid w:val="00056EBA"/>
    <w:rsid w:val="00056F75"/>
    <w:rsid w:val="00057711"/>
    <w:rsid w:val="00057BED"/>
    <w:rsid w:val="0006056C"/>
    <w:rsid w:val="0006125E"/>
    <w:rsid w:val="000619A5"/>
    <w:rsid w:val="00061A76"/>
    <w:rsid w:val="00061EB5"/>
    <w:rsid w:val="00063399"/>
    <w:rsid w:val="000637D9"/>
    <w:rsid w:val="0006384D"/>
    <w:rsid w:val="00063E39"/>
    <w:rsid w:val="00064741"/>
    <w:rsid w:val="0006495F"/>
    <w:rsid w:val="00064DD6"/>
    <w:rsid w:val="00065508"/>
    <w:rsid w:val="000657CC"/>
    <w:rsid w:val="000658A0"/>
    <w:rsid w:val="00065E47"/>
    <w:rsid w:val="00065E71"/>
    <w:rsid w:val="00065F61"/>
    <w:rsid w:val="00066E18"/>
    <w:rsid w:val="00067094"/>
    <w:rsid w:val="00070198"/>
    <w:rsid w:val="00070856"/>
    <w:rsid w:val="00070F8F"/>
    <w:rsid w:val="00072128"/>
    <w:rsid w:val="0007236D"/>
    <w:rsid w:val="00072DC0"/>
    <w:rsid w:val="000737CE"/>
    <w:rsid w:val="00073891"/>
    <w:rsid w:val="00073A90"/>
    <w:rsid w:val="00074CDE"/>
    <w:rsid w:val="000768FE"/>
    <w:rsid w:val="00076F61"/>
    <w:rsid w:val="0007709C"/>
    <w:rsid w:val="00077178"/>
    <w:rsid w:val="000773B1"/>
    <w:rsid w:val="000817B1"/>
    <w:rsid w:val="00081B40"/>
    <w:rsid w:val="00082230"/>
    <w:rsid w:val="000823AA"/>
    <w:rsid w:val="000823DE"/>
    <w:rsid w:val="00082541"/>
    <w:rsid w:val="00082EE8"/>
    <w:rsid w:val="0008375E"/>
    <w:rsid w:val="0008459B"/>
    <w:rsid w:val="000846B8"/>
    <w:rsid w:val="00084C6C"/>
    <w:rsid w:val="00084D03"/>
    <w:rsid w:val="00085FA6"/>
    <w:rsid w:val="000860DC"/>
    <w:rsid w:val="00086363"/>
    <w:rsid w:val="00086DAA"/>
    <w:rsid w:val="00087B95"/>
    <w:rsid w:val="00087E4E"/>
    <w:rsid w:val="0009036C"/>
    <w:rsid w:val="00090491"/>
    <w:rsid w:val="000905B2"/>
    <w:rsid w:val="00090D9F"/>
    <w:rsid w:val="00091172"/>
    <w:rsid w:val="000913B9"/>
    <w:rsid w:val="00091838"/>
    <w:rsid w:val="00091BF3"/>
    <w:rsid w:val="00092805"/>
    <w:rsid w:val="00093055"/>
    <w:rsid w:val="0009395F"/>
    <w:rsid w:val="00093B3D"/>
    <w:rsid w:val="0009470E"/>
    <w:rsid w:val="00094C11"/>
    <w:rsid w:val="00094E65"/>
    <w:rsid w:val="00094EAB"/>
    <w:rsid w:val="00094F9F"/>
    <w:rsid w:val="000959A7"/>
    <w:rsid w:val="00095B77"/>
    <w:rsid w:val="00095E63"/>
    <w:rsid w:val="000969BD"/>
    <w:rsid w:val="00096E1D"/>
    <w:rsid w:val="0009757D"/>
    <w:rsid w:val="00097B3E"/>
    <w:rsid w:val="00097D19"/>
    <w:rsid w:val="000A04D9"/>
    <w:rsid w:val="000A12F3"/>
    <w:rsid w:val="000A1E9C"/>
    <w:rsid w:val="000A21E3"/>
    <w:rsid w:val="000A2381"/>
    <w:rsid w:val="000A24EE"/>
    <w:rsid w:val="000A27E3"/>
    <w:rsid w:val="000A3B7A"/>
    <w:rsid w:val="000A3EC7"/>
    <w:rsid w:val="000A49E7"/>
    <w:rsid w:val="000A6165"/>
    <w:rsid w:val="000A628B"/>
    <w:rsid w:val="000A660E"/>
    <w:rsid w:val="000A690E"/>
    <w:rsid w:val="000A6AB4"/>
    <w:rsid w:val="000A7CFC"/>
    <w:rsid w:val="000B038F"/>
    <w:rsid w:val="000B0931"/>
    <w:rsid w:val="000B11A3"/>
    <w:rsid w:val="000B128F"/>
    <w:rsid w:val="000B198B"/>
    <w:rsid w:val="000B2339"/>
    <w:rsid w:val="000B2834"/>
    <w:rsid w:val="000B2C88"/>
    <w:rsid w:val="000B2ECD"/>
    <w:rsid w:val="000B3735"/>
    <w:rsid w:val="000B4761"/>
    <w:rsid w:val="000B4FCF"/>
    <w:rsid w:val="000B51B2"/>
    <w:rsid w:val="000B545F"/>
    <w:rsid w:val="000B55F3"/>
    <w:rsid w:val="000B5A4A"/>
    <w:rsid w:val="000B5A86"/>
    <w:rsid w:val="000B5DED"/>
    <w:rsid w:val="000B629A"/>
    <w:rsid w:val="000B6627"/>
    <w:rsid w:val="000B676F"/>
    <w:rsid w:val="000B6FEE"/>
    <w:rsid w:val="000B72CA"/>
    <w:rsid w:val="000B73A6"/>
    <w:rsid w:val="000C00B8"/>
    <w:rsid w:val="000C02DF"/>
    <w:rsid w:val="000C0654"/>
    <w:rsid w:val="000C102D"/>
    <w:rsid w:val="000C16ED"/>
    <w:rsid w:val="000C191C"/>
    <w:rsid w:val="000C29F9"/>
    <w:rsid w:val="000C30B9"/>
    <w:rsid w:val="000C382D"/>
    <w:rsid w:val="000C39A2"/>
    <w:rsid w:val="000C42EA"/>
    <w:rsid w:val="000C4502"/>
    <w:rsid w:val="000C4878"/>
    <w:rsid w:val="000C5812"/>
    <w:rsid w:val="000C5EB5"/>
    <w:rsid w:val="000C68BA"/>
    <w:rsid w:val="000C70E0"/>
    <w:rsid w:val="000D01CB"/>
    <w:rsid w:val="000D0386"/>
    <w:rsid w:val="000D114A"/>
    <w:rsid w:val="000D1B10"/>
    <w:rsid w:val="000D2AE3"/>
    <w:rsid w:val="000D3E05"/>
    <w:rsid w:val="000D3F69"/>
    <w:rsid w:val="000D4485"/>
    <w:rsid w:val="000D454B"/>
    <w:rsid w:val="000D4A69"/>
    <w:rsid w:val="000D4BB3"/>
    <w:rsid w:val="000D5479"/>
    <w:rsid w:val="000D6630"/>
    <w:rsid w:val="000D6A50"/>
    <w:rsid w:val="000D6B44"/>
    <w:rsid w:val="000D6EF0"/>
    <w:rsid w:val="000D7863"/>
    <w:rsid w:val="000E0743"/>
    <w:rsid w:val="000E0E20"/>
    <w:rsid w:val="000E0EE7"/>
    <w:rsid w:val="000E107F"/>
    <w:rsid w:val="000E1872"/>
    <w:rsid w:val="000E1ADE"/>
    <w:rsid w:val="000E2D6B"/>
    <w:rsid w:val="000E343D"/>
    <w:rsid w:val="000E391A"/>
    <w:rsid w:val="000E4720"/>
    <w:rsid w:val="000E4938"/>
    <w:rsid w:val="000E6917"/>
    <w:rsid w:val="000E6E95"/>
    <w:rsid w:val="000E7BF0"/>
    <w:rsid w:val="000F052E"/>
    <w:rsid w:val="000F0EB4"/>
    <w:rsid w:val="000F0EFC"/>
    <w:rsid w:val="000F30F2"/>
    <w:rsid w:val="000F3BE4"/>
    <w:rsid w:val="000F3EFE"/>
    <w:rsid w:val="000F42EB"/>
    <w:rsid w:val="000F47FA"/>
    <w:rsid w:val="000F560F"/>
    <w:rsid w:val="000F57EA"/>
    <w:rsid w:val="000F6150"/>
    <w:rsid w:val="000F6355"/>
    <w:rsid w:val="000F6AA0"/>
    <w:rsid w:val="000F6B88"/>
    <w:rsid w:val="000F71B5"/>
    <w:rsid w:val="000F7D09"/>
    <w:rsid w:val="0010073E"/>
    <w:rsid w:val="00101103"/>
    <w:rsid w:val="0010125C"/>
    <w:rsid w:val="00101738"/>
    <w:rsid w:val="00101C18"/>
    <w:rsid w:val="00101E21"/>
    <w:rsid w:val="001027E5"/>
    <w:rsid w:val="0010298E"/>
    <w:rsid w:val="00102BCE"/>
    <w:rsid w:val="00102CD0"/>
    <w:rsid w:val="00103911"/>
    <w:rsid w:val="00103BA3"/>
    <w:rsid w:val="001042E9"/>
    <w:rsid w:val="001046E0"/>
    <w:rsid w:val="00104754"/>
    <w:rsid w:val="00104E98"/>
    <w:rsid w:val="00104F49"/>
    <w:rsid w:val="00105693"/>
    <w:rsid w:val="001057EC"/>
    <w:rsid w:val="0010614E"/>
    <w:rsid w:val="001061D4"/>
    <w:rsid w:val="00106363"/>
    <w:rsid w:val="00106580"/>
    <w:rsid w:val="00106C6E"/>
    <w:rsid w:val="00106FD8"/>
    <w:rsid w:val="00107618"/>
    <w:rsid w:val="00107AE1"/>
    <w:rsid w:val="00110041"/>
    <w:rsid w:val="001105AE"/>
    <w:rsid w:val="00110CCD"/>
    <w:rsid w:val="00110D13"/>
    <w:rsid w:val="00111044"/>
    <w:rsid w:val="001115CF"/>
    <w:rsid w:val="00111AF4"/>
    <w:rsid w:val="00111E7B"/>
    <w:rsid w:val="0011226E"/>
    <w:rsid w:val="00112910"/>
    <w:rsid w:val="00112A6D"/>
    <w:rsid w:val="00112C88"/>
    <w:rsid w:val="00113832"/>
    <w:rsid w:val="00114853"/>
    <w:rsid w:val="00114939"/>
    <w:rsid w:val="00114DF0"/>
    <w:rsid w:val="00115697"/>
    <w:rsid w:val="00117844"/>
    <w:rsid w:val="00117909"/>
    <w:rsid w:val="00117A73"/>
    <w:rsid w:val="00117E42"/>
    <w:rsid w:val="00117FF3"/>
    <w:rsid w:val="001202D6"/>
    <w:rsid w:val="00120512"/>
    <w:rsid w:val="00120539"/>
    <w:rsid w:val="00120717"/>
    <w:rsid w:val="00120F87"/>
    <w:rsid w:val="001218E2"/>
    <w:rsid w:val="00122388"/>
    <w:rsid w:val="001224C9"/>
    <w:rsid w:val="0012359D"/>
    <w:rsid w:val="00123B3B"/>
    <w:rsid w:val="00123F16"/>
    <w:rsid w:val="00124656"/>
    <w:rsid w:val="00124AFA"/>
    <w:rsid w:val="001262B4"/>
    <w:rsid w:val="00126531"/>
    <w:rsid w:val="00126B70"/>
    <w:rsid w:val="00126EB6"/>
    <w:rsid w:val="00126EE5"/>
    <w:rsid w:val="00127045"/>
    <w:rsid w:val="001270B0"/>
    <w:rsid w:val="00127541"/>
    <w:rsid w:val="00127910"/>
    <w:rsid w:val="00127B7A"/>
    <w:rsid w:val="00127BF1"/>
    <w:rsid w:val="0013007F"/>
    <w:rsid w:val="001303B0"/>
    <w:rsid w:val="001304A1"/>
    <w:rsid w:val="0013067B"/>
    <w:rsid w:val="001311D5"/>
    <w:rsid w:val="00131542"/>
    <w:rsid w:val="0013161E"/>
    <w:rsid w:val="00131715"/>
    <w:rsid w:val="00131747"/>
    <w:rsid w:val="0013180D"/>
    <w:rsid w:val="00132437"/>
    <w:rsid w:val="001346DE"/>
    <w:rsid w:val="00134C8E"/>
    <w:rsid w:val="0013575C"/>
    <w:rsid w:val="00136242"/>
    <w:rsid w:val="00136EA8"/>
    <w:rsid w:val="00136F2B"/>
    <w:rsid w:val="001370F5"/>
    <w:rsid w:val="00137985"/>
    <w:rsid w:val="00137C39"/>
    <w:rsid w:val="00137EC9"/>
    <w:rsid w:val="00140BB2"/>
    <w:rsid w:val="00141514"/>
    <w:rsid w:val="001415D9"/>
    <w:rsid w:val="00141EA5"/>
    <w:rsid w:val="0014210C"/>
    <w:rsid w:val="0014234E"/>
    <w:rsid w:val="001428C5"/>
    <w:rsid w:val="00144F71"/>
    <w:rsid w:val="00144FDA"/>
    <w:rsid w:val="001457E4"/>
    <w:rsid w:val="00145BF1"/>
    <w:rsid w:val="00146F32"/>
    <w:rsid w:val="00151CCA"/>
    <w:rsid w:val="00153044"/>
    <w:rsid w:val="0015490C"/>
    <w:rsid w:val="00154DBE"/>
    <w:rsid w:val="00154DF9"/>
    <w:rsid w:val="0015540B"/>
    <w:rsid w:val="001554D3"/>
    <w:rsid w:val="00155A69"/>
    <w:rsid w:val="00156622"/>
    <w:rsid w:val="00156E35"/>
    <w:rsid w:val="00157FB9"/>
    <w:rsid w:val="001603D4"/>
    <w:rsid w:val="0016223F"/>
    <w:rsid w:val="001635D1"/>
    <w:rsid w:val="0016568F"/>
    <w:rsid w:val="00165E55"/>
    <w:rsid w:val="00166228"/>
    <w:rsid w:val="001665EB"/>
    <w:rsid w:val="00166B8E"/>
    <w:rsid w:val="001670DC"/>
    <w:rsid w:val="001674E7"/>
    <w:rsid w:val="001678D6"/>
    <w:rsid w:val="00167DD2"/>
    <w:rsid w:val="0017012E"/>
    <w:rsid w:val="001701CD"/>
    <w:rsid w:val="00170E94"/>
    <w:rsid w:val="001714EF"/>
    <w:rsid w:val="00171B85"/>
    <w:rsid w:val="00171D33"/>
    <w:rsid w:val="00172120"/>
    <w:rsid w:val="0017278F"/>
    <w:rsid w:val="001727BB"/>
    <w:rsid w:val="001727FA"/>
    <w:rsid w:val="00172F2F"/>
    <w:rsid w:val="00173FF7"/>
    <w:rsid w:val="001755B9"/>
    <w:rsid w:val="00175E97"/>
    <w:rsid w:val="0017609B"/>
    <w:rsid w:val="001763BF"/>
    <w:rsid w:val="00176948"/>
    <w:rsid w:val="00176A4A"/>
    <w:rsid w:val="00176C5E"/>
    <w:rsid w:val="00176ECD"/>
    <w:rsid w:val="00176FE2"/>
    <w:rsid w:val="001777C3"/>
    <w:rsid w:val="00177869"/>
    <w:rsid w:val="0018005B"/>
    <w:rsid w:val="00180444"/>
    <w:rsid w:val="00180515"/>
    <w:rsid w:val="00180D73"/>
    <w:rsid w:val="00181574"/>
    <w:rsid w:val="00181C12"/>
    <w:rsid w:val="00181C2D"/>
    <w:rsid w:val="00182189"/>
    <w:rsid w:val="001821CB"/>
    <w:rsid w:val="001825DD"/>
    <w:rsid w:val="00182FA9"/>
    <w:rsid w:val="00183829"/>
    <w:rsid w:val="001846FB"/>
    <w:rsid w:val="00185081"/>
    <w:rsid w:val="00185204"/>
    <w:rsid w:val="001854D8"/>
    <w:rsid w:val="001855D9"/>
    <w:rsid w:val="00186133"/>
    <w:rsid w:val="0018683E"/>
    <w:rsid w:val="001869F5"/>
    <w:rsid w:val="00186E5F"/>
    <w:rsid w:val="001872A5"/>
    <w:rsid w:val="00187D64"/>
    <w:rsid w:val="00187F78"/>
    <w:rsid w:val="0019090E"/>
    <w:rsid w:val="001913C1"/>
    <w:rsid w:val="0019143A"/>
    <w:rsid w:val="00191555"/>
    <w:rsid w:val="00191676"/>
    <w:rsid w:val="00192571"/>
    <w:rsid w:val="0019260B"/>
    <w:rsid w:val="001928CC"/>
    <w:rsid w:val="00192D55"/>
    <w:rsid w:val="0019312F"/>
    <w:rsid w:val="001944CF"/>
    <w:rsid w:val="00194909"/>
    <w:rsid w:val="00194BED"/>
    <w:rsid w:val="001954E3"/>
    <w:rsid w:val="00195547"/>
    <w:rsid w:val="0019557A"/>
    <w:rsid w:val="00195C81"/>
    <w:rsid w:val="00196354"/>
    <w:rsid w:val="00197329"/>
    <w:rsid w:val="00197742"/>
    <w:rsid w:val="001A012C"/>
    <w:rsid w:val="001A01E5"/>
    <w:rsid w:val="001A0396"/>
    <w:rsid w:val="001A09DA"/>
    <w:rsid w:val="001A0AE1"/>
    <w:rsid w:val="001A0EA5"/>
    <w:rsid w:val="001A17AC"/>
    <w:rsid w:val="001A210B"/>
    <w:rsid w:val="001A272F"/>
    <w:rsid w:val="001A2F6D"/>
    <w:rsid w:val="001A37D0"/>
    <w:rsid w:val="001A4227"/>
    <w:rsid w:val="001A4597"/>
    <w:rsid w:val="001A4769"/>
    <w:rsid w:val="001A4AC3"/>
    <w:rsid w:val="001A4C1B"/>
    <w:rsid w:val="001A55E2"/>
    <w:rsid w:val="001A5C74"/>
    <w:rsid w:val="001A6184"/>
    <w:rsid w:val="001A6515"/>
    <w:rsid w:val="001A684E"/>
    <w:rsid w:val="001A6E7D"/>
    <w:rsid w:val="001A7272"/>
    <w:rsid w:val="001A7631"/>
    <w:rsid w:val="001A7938"/>
    <w:rsid w:val="001A7CE3"/>
    <w:rsid w:val="001A7EA7"/>
    <w:rsid w:val="001B0173"/>
    <w:rsid w:val="001B0181"/>
    <w:rsid w:val="001B0289"/>
    <w:rsid w:val="001B06BC"/>
    <w:rsid w:val="001B0982"/>
    <w:rsid w:val="001B107F"/>
    <w:rsid w:val="001B15CA"/>
    <w:rsid w:val="001B15D3"/>
    <w:rsid w:val="001B2F6E"/>
    <w:rsid w:val="001B3C3B"/>
    <w:rsid w:val="001B3DCE"/>
    <w:rsid w:val="001B4A93"/>
    <w:rsid w:val="001B53CC"/>
    <w:rsid w:val="001B58CD"/>
    <w:rsid w:val="001B5D3E"/>
    <w:rsid w:val="001B5E15"/>
    <w:rsid w:val="001B600B"/>
    <w:rsid w:val="001B6962"/>
    <w:rsid w:val="001B6B1E"/>
    <w:rsid w:val="001B6C00"/>
    <w:rsid w:val="001B73B1"/>
    <w:rsid w:val="001B76B0"/>
    <w:rsid w:val="001B77D1"/>
    <w:rsid w:val="001C0600"/>
    <w:rsid w:val="001C066D"/>
    <w:rsid w:val="001C13F2"/>
    <w:rsid w:val="001C1614"/>
    <w:rsid w:val="001C25FF"/>
    <w:rsid w:val="001C2B25"/>
    <w:rsid w:val="001C3B78"/>
    <w:rsid w:val="001C44F5"/>
    <w:rsid w:val="001C4AF3"/>
    <w:rsid w:val="001C4B32"/>
    <w:rsid w:val="001C4CE4"/>
    <w:rsid w:val="001C4CF8"/>
    <w:rsid w:val="001C55A4"/>
    <w:rsid w:val="001C58AD"/>
    <w:rsid w:val="001C5B0D"/>
    <w:rsid w:val="001C5CD0"/>
    <w:rsid w:val="001C6EE5"/>
    <w:rsid w:val="001C6F3A"/>
    <w:rsid w:val="001C731B"/>
    <w:rsid w:val="001C737A"/>
    <w:rsid w:val="001C749C"/>
    <w:rsid w:val="001D0077"/>
    <w:rsid w:val="001D06AA"/>
    <w:rsid w:val="001D1198"/>
    <w:rsid w:val="001D1313"/>
    <w:rsid w:val="001D34A1"/>
    <w:rsid w:val="001D35AA"/>
    <w:rsid w:val="001D369B"/>
    <w:rsid w:val="001D36DD"/>
    <w:rsid w:val="001D3F16"/>
    <w:rsid w:val="001D43B6"/>
    <w:rsid w:val="001D47A8"/>
    <w:rsid w:val="001D4FB6"/>
    <w:rsid w:val="001D5053"/>
    <w:rsid w:val="001D5191"/>
    <w:rsid w:val="001D5280"/>
    <w:rsid w:val="001D5657"/>
    <w:rsid w:val="001D5CD7"/>
    <w:rsid w:val="001D6717"/>
    <w:rsid w:val="001D6BB6"/>
    <w:rsid w:val="001D7238"/>
    <w:rsid w:val="001D72D7"/>
    <w:rsid w:val="001D7AAF"/>
    <w:rsid w:val="001D7F78"/>
    <w:rsid w:val="001E00AB"/>
    <w:rsid w:val="001E062F"/>
    <w:rsid w:val="001E0B13"/>
    <w:rsid w:val="001E0E57"/>
    <w:rsid w:val="001E0F9F"/>
    <w:rsid w:val="001E165B"/>
    <w:rsid w:val="001E16AA"/>
    <w:rsid w:val="001E174C"/>
    <w:rsid w:val="001E17CB"/>
    <w:rsid w:val="001E1EB1"/>
    <w:rsid w:val="001E2092"/>
    <w:rsid w:val="001E2113"/>
    <w:rsid w:val="001E245C"/>
    <w:rsid w:val="001E268C"/>
    <w:rsid w:val="001E27B8"/>
    <w:rsid w:val="001E282D"/>
    <w:rsid w:val="001E339B"/>
    <w:rsid w:val="001E3BEF"/>
    <w:rsid w:val="001E3FAB"/>
    <w:rsid w:val="001E43F2"/>
    <w:rsid w:val="001E4419"/>
    <w:rsid w:val="001E46D0"/>
    <w:rsid w:val="001E5B44"/>
    <w:rsid w:val="001E5D0E"/>
    <w:rsid w:val="001E5E92"/>
    <w:rsid w:val="001E6CF3"/>
    <w:rsid w:val="001E6F51"/>
    <w:rsid w:val="001E73CC"/>
    <w:rsid w:val="001E7569"/>
    <w:rsid w:val="001F0863"/>
    <w:rsid w:val="001F0C0A"/>
    <w:rsid w:val="001F1F18"/>
    <w:rsid w:val="001F263D"/>
    <w:rsid w:val="001F32B7"/>
    <w:rsid w:val="001F348A"/>
    <w:rsid w:val="001F3653"/>
    <w:rsid w:val="001F4054"/>
    <w:rsid w:val="001F426D"/>
    <w:rsid w:val="001F4F08"/>
    <w:rsid w:val="001F4F23"/>
    <w:rsid w:val="001F5104"/>
    <w:rsid w:val="001F54D5"/>
    <w:rsid w:val="001F5E41"/>
    <w:rsid w:val="001F6371"/>
    <w:rsid w:val="001F65A6"/>
    <w:rsid w:val="001F6E7B"/>
    <w:rsid w:val="001F7C07"/>
    <w:rsid w:val="00200F81"/>
    <w:rsid w:val="00201981"/>
    <w:rsid w:val="00201A60"/>
    <w:rsid w:val="00201F84"/>
    <w:rsid w:val="002020B6"/>
    <w:rsid w:val="002032D4"/>
    <w:rsid w:val="002034FA"/>
    <w:rsid w:val="002039F8"/>
    <w:rsid w:val="00203B08"/>
    <w:rsid w:val="00203C28"/>
    <w:rsid w:val="002049FB"/>
    <w:rsid w:val="0020524D"/>
    <w:rsid w:val="00207805"/>
    <w:rsid w:val="00210889"/>
    <w:rsid w:val="002108A6"/>
    <w:rsid w:val="00210C6D"/>
    <w:rsid w:val="00211F20"/>
    <w:rsid w:val="00212574"/>
    <w:rsid w:val="002125C9"/>
    <w:rsid w:val="0021364F"/>
    <w:rsid w:val="00213D9D"/>
    <w:rsid w:val="002144C6"/>
    <w:rsid w:val="002147D0"/>
    <w:rsid w:val="00215602"/>
    <w:rsid w:val="002156E0"/>
    <w:rsid w:val="00215909"/>
    <w:rsid w:val="00215EDB"/>
    <w:rsid w:val="0021649C"/>
    <w:rsid w:val="00216BBE"/>
    <w:rsid w:val="00217AD0"/>
    <w:rsid w:val="00220462"/>
    <w:rsid w:val="00220DF1"/>
    <w:rsid w:val="002215AB"/>
    <w:rsid w:val="00221DDA"/>
    <w:rsid w:val="0022229C"/>
    <w:rsid w:val="0022294A"/>
    <w:rsid w:val="00223B3A"/>
    <w:rsid w:val="002245CF"/>
    <w:rsid w:val="00224F78"/>
    <w:rsid w:val="0022685F"/>
    <w:rsid w:val="0022728E"/>
    <w:rsid w:val="00227B53"/>
    <w:rsid w:val="00231803"/>
    <w:rsid w:val="0023226D"/>
    <w:rsid w:val="00232ABF"/>
    <w:rsid w:val="00233999"/>
    <w:rsid w:val="002339B0"/>
    <w:rsid w:val="00233DC3"/>
    <w:rsid w:val="00233DF5"/>
    <w:rsid w:val="00233F1C"/>
    <w:rsid w:val="0023421C"/>
    <w:rsid w:val="00234574"/>
    <w:rsid w:val="002349FE"/>
    <w:rsid w:val="00234E75"/>
    <w:rsid w:val="00235071"/>
    <w:rsid w:val="002351ED"/>
    <w:rsid w:val="0023588C"/>
    <w:rsid w:val="00236841"/>
    <w:rsid w:val="00237136"/>
    <w:rsid w:val="00237368"/>
    <w:rsid w:val="002375AF"/>
    <w:rsid w:val="002376B9"/>
    <w:rsid w:val="00237720"/>
    <w:rsid w:val="00237A7F"/>
    <w:rsid w:val="00237F0E"/>
    <w:rsid w:val="0024004F"/>
    <w:rsid w:val="00240946"/>
    <w:rsid w:val="0024145D"/>
    <w:rsid w:val="002421EE"/>
    <w:rsid w:val="002421F6"/>
    <w:rsid w:val="00243568"/>
    <w:rsid w:val="00243D06"/>
    <w:rsid w:val="002444E5"/>
    <w:rsid w:val="00244A52"/>
    <w:rsid w:val="00244FCA"/>
    <w:rsid w:val="002454D6"/>
    <w:rsid w:val="00245A7E"/>
    <w:rsid w:val="002468A0"/>
    <w:rsid w:val="00247B47"/>
    <w:rsid w:val="00247E76"/>
    <w:rsid w:val="0025024F"/>
    <w:rsid w:val="00250419"/>
    <w:rsid w:val="00250AB1"/>
    <w:rsid w:val="00251884"/>
    <w:rsid w:val="00251B49"/>
    <w:rsid w:val="00251F1C"/>
    <w:rsid w:val="002522D0"/>
    <w:rsid w:val="0025250C"/>
    <w:rsid w:val="00252F99"/>
    <w:rsid w:val="002531E7"/>
    <w:rsid w:val="002547BB"/>
    <w:rsid w:val="0025570F"/>
    <w:rsid w:val="00255A8D"/>
    <w:rsid w:val="00255B74"/>
    <w:rsid w:val="00256102"/>
    <w:rsid w:val="002562A2"/>
    <w:rsid w:val="002565FB"/>
    <w:rsid w:val="002566F7"/>
    <w:rsid w:val="00256871"/>
    <w:rsid w:val="00256C54"/>
    <w:rsid w:val="00257BA6"/>
    <w:rsid w:val="00260F88"/>
    <w:rsid w:val="00261410"/>
    <w:rsid w:val="0026155E"/>
    <w:rsid w:val="0026163A"/>
    <w:rsid w:val="0026186A"/>
    <w:rsid w:val="002618A9"/>
    <w:rsid w:val="00261DAC"/>
    <w:rsid w:val="0026246F"/>
    <w:rsid w:val="00262922"/>
    <w:rsid w:val="00262E08"/>
    <w:rsid w:val="00263E7D"/>
    <w:rsid w:val="00263FCE"/>
    <w:rsid w:val="00264F78"/>
    <w:rsid w:val="002653CD"/>
    <w:rsid w:val="00265534"/>
    <w:rsid w:val="00265BFC"/>
    <w:rsid w:val="00265DCC"/>
    <w:rsid w:val="00266B46"/>
    <w:rsid w:val="00266C56"/>
    <w:rsid w:val="00266C94"/>
    <w:rsid w:val="00266E54"/>
    <w:rsid w:val="00266F2C"/>
    <w:rsid w:val="002679C2"/>
    <w:rsid w:val="00267A17"/>
    <w:rsid w:val="00267A6D"/>
    <w:rsid w:val="00267AC8"/>
    <w:rsid w:val="00267BC4"/>
    <w:rsid w:val="00267E74"/>
    <w:rsid w:val="00267F61"/>
    <w:rsid w:val="002704F7"/>
    <w:rsid w:val="0027077B"/>
    <w:rsid w:val="00270B2D"/>
    <w:rsid w:val="002713BB"/>
    <w:rsid w:val="002713BD"/>
    <w:rsid w:val="00271F85"/>
    <w:rsid w:val="00272156"/>
    <w:rsid w:val="00272C1F"/>
    <w:rsid w:val="00272DCA"/>
    <w:rsid w:val="00273808"/>
    <w:rsid w:val="002747F9"/>
    <w:rsid w:val="002748FC"/>
    <w:rsid w:val="0027527D"/>
    <w:rsid w:val="002752B3"/>
    <w:rsid w:val="002761BB"/>
    <w:rsid w:val="002776AE"/>
    <w:rsid w:val="0028178F"/>
    <w:rsid w:val="00281FF0"/>
    <w:rsid w:val="00282301"/>
    <w:rsid w:val="002825CA"/>
    <w:rsid w:val="00282834"/>
    <w:rsid w:val="00282CDC"/>
    <w:rsid w:val="00283301"/>
    <w:rsid w:val="00283381"/>
    <w:rsid w:val="002833E5"/>
    <w:rsid w:val="00283DE1"/>
    <w:rsid w:val="0028407A"/>
    <w:rsid w:val="002841F8"/>
    <w:rsid w:val="00284813"/>
    <w:rsid w:val="00284EAC"/>
    <w:rsid w:val="0028544A"/>
    <w:rsid w:val="002854F6"/>
    <w:rsid w:val="002859EE"/>
    <w:rsid w:val="00285D1C"/>
    <w:rsid w:val="00286035"/>
    <w:rsid w:val="0028716F"/>
    <w:rsid w:val="0028744D"/>
    <w:rsid w:val="002874CC"/>
    <w:rsid w:val="00290EFE"/>
    <w:rsid w:val="00291461"/>
    <w:rsid w:val="00291BC2"/>
    <w:rsid w:val="00291ECE"/>
    <w:rsid w:val="002922A1"/>
    <w:rsid w:val="002923C1"/>
    <w:rsid w:val="0029251F"/>
    <w:rsid w:val="0029281F"/>
    <w:rsid w:val="002935C7"/>
    <w:rsid w:val="0029396B"/>
    <w:rsid w:val="00294375"/>
    <w:rsid w:val="002945B9"/>
    <w:rsid w:val="00295479"/>
    <w:rsid w:val="00295514"/>
    <w:rsid w:val="00295A2A"/>
    <w:rsid w:val="00295CA0"/>
    <w:rsid w:val="00296507"/>
    <w:rsid w:val="00296693"/>
    <w:rsid w:val="002966DD"/>
    <w:rsid w:val="00296901"/>
    <w:rsid w:val="00296D90"/>
    <w:rsid w:val="00297047"/>
    <w:rsid w:val="00297764"/>
    <w:rsid w:val="00297E7F"/>
    <w:rsid w:val="002A07A3"/>
    <w:rsid w:val="002A1335"/>
    <w:rsid w:val="002A244A"/>
    <w:rsid w:val="002A2AF8"/>
    <w:rsid w:val="002A3871"/>
    <w:rsid w:val="002A4990"/>
    <w:rsid w:val="002A5140"/>
    <w:rsid w:val="002A52B4"/>
    <w:rsid w:val="002A5E8F"/>
    <w:rsid w:val="002A5EB8"/>
    <w:rsid w:val="002A6040"/>
    <w:rsid w:val="002A614C"/>
    <w:rsid w:val="002A61FE"/>
    <w:rsid w:val="002A6F6B"/>
    <w:rsid w:val="002A6FE9"/>
    <w:rsid w:val="002A776A"/>
    <w:rsid w:val="002A7980"/>
    <w:rsid w:val="002A7A41"/>
    <w:rsid w:val="002B01F1"/>
    <w:rsid w:val="002B0487"/>
    <w:rsid w:val="002B0B5F"/>
    <w:rsid w:val="002B15AD"/>
    <w:rsid w:val="002B1DDC"/>
    <w:rsid w:val="002B2514"/>
    <w:rsid w:val="002B2732"/>
    <w:rsid w:val="002B3BEE"/>
    <w:rsid w:val="002B407A"/>
    <w:rsid w:val="002B4369"/>
    <w:rsid w:val="002B57D6"/>
    <w:rsid w:val="002B597C"/>
    <w:rsid w:val="002B59F9"/>
    <w:rsid w:val="002B5B87"/>
    <w:rsid w:val="002B62B4"/>
    <w:rsid w:val="002B690E"/>
    <w:rsid w:val="002B6FCD"/>
    <w:rsid w:val="002B7177"/>
    <w:rsid w:val="002B7364"/>
    <w:rsid w:val="002B74C2"/>
    <w:rsid w:val="002B76C9"/>
    <w:rsid w:val="002B789C"/>
    <w:rsid w:val="002B78F9"/>
    <w:rsid w:val="002B7C26"/>
    <w:rsid w:val="002B7DD2"/>
    <w:rsid w:val="002C02C2"/>
    <w:rsid w:val="002C07D9"/>
    <w:rsid w:val="002C0C49"/>
    <w:rsid w:val="002C1199"/>
    <w:rsid w:val="002C19D0"/>
    <w:rsid w:val="002C1ABF"/>
    <w:rsid w:val="002C1ADC"/>
    <w:rsid w:val="002C1C2A"/>
    <w:rsid w:val="002C2315"/>
    <w:rsid w:val="002C2A91"/>
    <w:rsid w:val="002C2E1C"/>
    <w:rsid w:val="002C37DA"/>
    <w:rsid w:val="002C4AC6"/>
    <w:rsid w:val="002C55D4"/>
    <w:rsid w:val="002C567C"/>
    <w:rsid w:val="002C57C7"/>
    <w:rsid w:val="002C5F05"/>
    <w:rsid w:val="002C5F10"/>
    <w:rsid w:val="002C60A2"/>
    <w:rsid w:val="002C6C4A"/>
    <w:rsid w:val="002C6E47"/>
    <w:rsid w:val="002C733B"/>
    <w:rsid w:val="002C7407"/>
    <w:rsid w:val="002C74D1"/>
    <w:rsid w:val="002C75C4"/>
    <w:rsid w:val="002C79A4"/>
    <w:rsid w:val="002C79ED"/>
    <w:rsid w:val="002C7D6D"/>
    <w:rsid w:val="002D0ACB"/>
    <w:rsid w:val="002D11DF"/>
    <w:rsid w:val="002D1608"/>
    <w:rsid w:val="002D20EC"/>
    <w:rsid w:val="002D27D7"/>
    <w:rsid w:val="002D34AA"/>
    <w:rsid w:val="002D34D0"/>
    <w:rsid w:val="002D3BB4"/>
    <w:rsid w:val="002D40BA"/>
    <w:rsid w:val="002D602D"/>
    <w:rsid w:val="002D62F9"/>
    <w:rsid w:val="002D636B"/>
    <w:rsid w:val="002D69F3"/>
    <w:rsid w:val="002D7BED"/>
    <w:rsid w:val="002D7C48"/>
    <w:rsid w:val="002E04DB"/>
    <w:rsid w:val="002E1D15"/>
    <w:rsid w:val="002E2A42"/>
    <w:rsid w:val="002E4667"/>
    <w:rsid w:val="002E4BD7"/>
    <w:rsid w:val="002E514A"/>
    <w:rsid w:val="002E5A06"/>
    <w:rsid w:val="002E5A41"/>
    <w:rsid w:val="002E623A"/>
    <w:rsid w:val="002E6869"/>
    <w:rsid w:val="002E69AC"/>
    <w:rsid w:val="002E773B"/>
    <w:rsid w:val="002E7E06"/>
    <w:rsid w:val="002F1C22"/>
    <w:rsid w:val="002F2ED5"/>
    <w:rsid w:val="002F3092"/>
    <w:rsid w:val="002F36A2"/>
    <w:rsid w:val="002F3DCC"/>
    <w:rsid w:val="002F4202"/>
    <w:rsid w:val="002F42EA"/>
    <w:rsid w:val="002F4689"/>
    <w:rsid w:val="002F4EE2"/>
    <w:rsid w:val="002F4F74"/>
    <w:rsid w:val="002F515D"/>
    <w:rsid w:val="002F6017"/>
    <w:rsid w:val="002F6309"/>
    <w:rsid w:val="002F6AF0"/>
    <w:rsid w:val="002F6B27"/>
    <w:rsid w:val="002F6C28"/>
    <w:rsid w:val="002F785D"/>
    <w:rsid w:val="002F7FDC"/>
    <w:rsid w:val="0030014E"/>
    <w:rsid w:val="0030044C"/>
    <w:rsid w:val="003014F9"/>
    <w:rsid w:val="00301E5B"/>
    <w:rsid w:val="00302359"/>
    <w:rsid w:val="00303270"/>
    <w:rsid w:val="003036CB"/>
    <w:rsid w:val="00304EFF"/>
    <w:rsid w:val="00305117"/>
    <w:rsid w:val="003055CC"/>
    <w:rsid w:val="00305843"/>
    <w:rsid w:val="003058DD"/>
    <w:rsid w:val="00306F5D"/>
    <w:rsid w:val="0031031B"/>
    <w:rsid w:val="00310A9F"/>
    <w:rsid w:val="00311D5C"/>
    <w:rsid w:val="003123D1"/>
    <w:rsid w:val="003128BE"/>
    <w:rsid w:val="003128DC"/>
    <w:rsid w:val="00312F0E"/>
    <w:rsid w:val="00312F6D"/>
    <w:rsid w:val="00315398"/>
    <w:rsid w:val="00315F79"/>
    <w:rsid w:val="003168CF"/>
    <w:rsid w:val="00316F01"/>
    <w:rsid w:val="00316FB0"/>
    <w:rsid w:val="00317119"/>
    <w:rsid w:val="003210FB"/>
    <w:rsid w:val="0032148B"/>
    <w:rsid w:val="00321EB9"/>
    <w:rsid w:val="0032237E"/>
    <w:rsid w:val="0032243C"/>
    <w:rsid w:val="0032292E"/>
    <w:rsid w:val="00324080"/>
    <w:rsid w:val="003241DA"/>
    <w:rsid w:val="003247A0"/>
    <w:rsid w:val="003256D7"/>
    <w:rsid w:val="0032611D"/>
    <w:rsid w:val="0032657A"/>
    <w:rsid w:val="00327286"/>
    <w:rsid w:val="0032747F"/>
    <w:rsid w:val="00331858"/>
    <w:rsid w:val="003327DA"/>
    <w:rsid w:val="00332B32"/>
    <w:rsid w:val="00332EFD"/>
    <w:rsid w:val="00333658"/>
    <w:rsid w:val="00334044"/>
    <w:rsid w:val="00334121"/>
    <w:rsid w:val="00334509"/>
    <w:rsid w:val="003345A5"/>
    <w:rsid w:val="00335B5F"/>
    <w:rsid w:val="00335CFE"/>
    <w:rsid w:val="00336DD1"/>
    <w:rsid w:val="00337287"/>
    <w:rsid w:val="003377AB"/>
    <w:rsid w:val="00337F31"/>
    <w:rsid w:val="003411D8"/>
    <w:rsid w:val="0034135B"/>
    <w:rsid w:val="0034201E"/>
    <w:rsid w:val="00342A32"/>
    <w:rsid w:val="00342D44"/>
    <w:rsid w:val="0034319E"/>
    <w:rsid w:val="0034346E"/>
    <w:rsid w:val="003441DB"/>
    <w:rsid w:val="00344283"/>
    <w:rsid w:val="00345BB1"/>
    <w:rsid w:val="00345EB3"/>
    <w:rsid w:val="003466F0"/>
    <w:rsid w:val="00347024"/>
    <w:rsid w:val="003474D6"/>
    <w:rsid w:val="003510F9"/>
    <w:rsid w:val="003515AD"/>
    <w:rsid w:val="00351A64"/>
    <w:rsid w:val="00351EF2"/>
    <w:rsid w:val="0035289B"/>
    <w:rsid w:val="00352B91"/>
    <w:rsid w:val="0035416D"/>
    <w:rsid w:val="0035440E"/>
    <w:rsid w:val="0035592E"/>
    <w:rsid w:val="00355C1D"/>
    <w:rsid w:val="00356E24"/>
    <w:rsid w:val="00356F55"/>
    <w:rsid w:val="00356FC8"/>
    <w:rsid w:val="00356FDC"/>
    <w:rsid w:val="00356FEE"/>
    <w:rsid w:val="003574CB"/>
    <w:rsid w:val="0035752D"/>
    <w:rsid w:val="003576B8"/>
    <w:rsid w:val="00357BA8"/>
    <w:rsid w:val="003600AA"/>
    <w:rsid w:val="00360292"/>
    <w:rsid w:val="00361246"/>
    <w:rsid w:val="003621C3"/>
    <w:rsid w:val="0036226E"/>
    <w:rsid w:val="003624ED"/>
    <w:rsid w:val="0036265C"/>
    <w:rsid w:val="00363F77"/>
    <w:rsid w:val="0036414A"/>
    <w:rsid w:val="00364801"/>
    <w:rsid w:val="00364E2F"/>
    <w:rsid w:val="0036605F"/>
    <w:rsid w:val="003667F4"/>
    <w:rsid w:val="0036776C"/>
    <w:rsid w:val="0036792A"/>
    <w:rsid w:val="00367934"/>
    <w:rsid w:val="00367B0B"/>
    <w:rsid w:val="00370AD0"/>
    <w:rsid w:val="0037170A"/>
    <w:rsid w:val="00371D40"/>
    <w:rsid w:val="00372BC1"/>
    <w:rsid w:val="0037344B"/>
    <w:rsid w:val="00373617"/>
    <w:rsid w:val="003736BA"/>
    <w:rsid w:val="00373842"/>
    <w:rsid w:val="00373E4C"/>
    <w:rsid w:val="00375E05"/>
    <w:rsid w:val="00376270"/>
    <w:rsid w:val="00376514"/>
    <w:rsid w:val="00376619"/>
    <w:rsid w:val="00376833"/>
    <w:rsid w:val="003776BD"/>
    <w:rsid w:val="00377AD9"/>
    <w:rsid w:val="00377DE1"/>
    <w:rsid w:val="00380061"/>
    <w:rsid w:val="00380E13"/>
    <w:rsid w:val="003817C6"/>
    <w:rsid w:val="00381C5C"/>
    <w:rsid w:val="00382C97"/>
    <w:rsid w:val="003830BD"/>
    <w:rsid w:val="00383FC0"/>
    <w:rsid w:val="00385656"/>
    <w:rsid w:val="00385963"/>
    <w:rsid w:val="00386474"/>
    <w:rsid w:val="003865B3"/>
    <w:rsid w:val="00386ABC"/>
    <w:rsid w:val="00390A9E"/>
    <w:rsid w:val="0039125C"/>
    <w:rsid w:val="003916D4"/>
    <w:rsid w:val="0039257B"/>
    <w:rsid w:val="003925DB"/>
    <w:rsid w:val="00392E44"/>
    <w:rsid w:val="00393344"/>
    <w:rsid w:val="00393985"/>
    <w:rsid w:val="003941CD"/>
    <w:rsid w:val="0039446B"/>
    <w:rsid w:val="00394661"/>
    <w:rsid w:val="0039494A"/>
    <w:rsid w:val="00394DF8"/>
    <w:rsid w:val="00395236"/>
    <w:rsid w:val="003956A5"/>
    <w:rsid w:val="00396065"/>
    <w:rsid w:val="0039654F"/>
    <w:rsid w:val="003965D4"/>
    <w:rsid w:val="00397058"/>
    <w:rsid w:val="0039754A"/>
    <w:rsid w:val="003A05B4"/>
    <w:rsid w:val="003A06B5"/>
    <w:rsid w:val="003A2222"/>
    <w:rsid w:val="003A2A5A"/>
    <w:rsid w:val="003A32B1"/>
    <w:rsid w:val="003A37D1"/>
    <w:rsid w:val="003A40CB"/>
    <w:rsid w:val="003A67AC"/>
    <w:rsid w:val="003A69FA"/>
    <w:rsid w:val="003A70C0"/>
    <w:rsid w:val="003A74D7"/>
    <w:rsid w:val="003B00D5"/>
    <w:rsid w:val="003B01B6"/>
    <w:rsid w:val="003B030E"/>
    <w:rsid w:val="003B0542"/>
    <w:rsid w:val="003B0D7B"/>
    <w:rsid w:val="003B1580"/>
    <w:rsid w:val="003B1A54"/>
    <w:rsid w:val="003B1E10"/>
    <w:rsid w:val="003B1EC1"/>
    <w:rsid w:val="003B3580"/>
    <w:rsid w:val="003B3B78"/>
    <w:rsid w:val="003B3E52"/>
    <w:rsid w:val="003B40F4"/>
    <w:rsid w:val="003B44E2"/>
    <w:rsid w:val="003B44F4"/>
    <w:rsid w:val="003B50E3"/>
    <w:rsid w:val="003B603A"/>
    <w:rsid w:val="003B6286"/>
    <w:rsid w:val="003B6483"/>
    <w:rsid w:val="003B6666"/>
    <w:rsid w:val="003B6D4B"/>
    <w:rsid w:val="003B6FE6"/>
    <w:rsid w:val="003B70B0"/>
    <w:rsid w:val="003B715D"/>
    <w:rsid w:val="003B7AA2"/>
    <w:rsid w:val="003B7FBC"/>
    <w:rsid w:val="003C02FC"/>
    <w:rsid w:val="003C1C72"/>
    <w:rsid w:val="003C212B"/>
    <w:rsid w:val="003C32A8"/>
    <w:rsid w:val="003C35BA"/>
    <w:rsid w:val="003C364E"/>
    <w:rsid w:val="003C4BC0"/>
    <w:rsid w:val="003C638F"/>
    <w:rsid w:val="003C64A3"/>
    <w:rsid w:val="003C6D84"/>
    <w:rsid w:val="003C712A"/>
    <w:rsid w:val="003C71C9"/>
    <w:rsid w:val="003C7443"/>
    <w:rsid w:val="003C7D3F"/>
    <w:rsid w:val="003C7E12"/>
    <w:rsid w:val="003D0156"/>
    <w:rsid w:val="003D03C2"/>
    <w:rsid w:val="003D0A1B"/>
    <w:rsid w:val="003D0BEB"/>
    <w:rsid w:val="003D0F9B"/>
    <w:rsid w:val="003D115E"/>
    <w:rsid w:val="003D185C"/>
    <w:rsid w:val="003D3461"/>
    <w:rsid w:val="003D369A"/>
    <w:rsid w:val="003D4570"/>
    <w:rsid w:val="003D489A"/>
    <w:rsid w:val="003D4AC6"/>
    <w:rsid w:val="003D50DA"/>
    <w:rsid w:val="003D5441"/>
    <w:rsid w:val="003D54E8"/>
    <w:rsid w:val="003D5A2A"/>
    <w:rsid w:val="003D5BD8"/>
    <w:rsid w:val="003D6A02"/>
    <w:rsid w:val="003D6A0B"/>
    <w:rsid w:val="003E017D"/>
    <w:rsid w:val="003E0DB2"/>
    <w:rsid w:val="003E10D3"/>
    <w:rsid w:val="003E1443"/>
    <w:rsid w:val="003E25D1"/>
    <w:rsid w:val="003E3813"/>
    <w:rsid w:val="003E3D4A"/>
    <w:rsid w:val="003E3EF9"/>
    <w:rsid w:val="003E40BE"/>
    <w:rsid w:val="003E4801"/>
    <w:rsid w:val="003E4B3A"/>
    <w:rsid w:val="003E4FE7"/>
    <w:rsid w:val="003E53A5"/>
    <w:rsid w:val="003E5889"/>
    <w:rsid w:val="003E593A"/>
    <w:rsid w:val="003E5D7E"/>
    <w:rsid w:val="003E67D5"/>
    <w:rsid w:val="003E7CFC"/>
    <w:rsid w:val="003F0B08"/>
    <w:rsid w:val="003F1099"/>
    <w:rsid w:val="003F15DD"/>
    <w:rsid w:val="003F1D66"/>
    <w:rsid w:val="003F225B"/>
    <w:rsid w:val="003F265A"/>
    <w:rsid w:val="003F376A"/>
    <w:rsid w:val="003F37EB"/>
    <w:rsid w:val="003F38B8"/>
    <w:rsid w:val="003F39AE"/>
    <w:rsid w:val="003F3B8A"/>
    <w:rsid w:val="003F4017"/>
    <w:rsid w:val="003F49D6"/>
    <w:rsid w:val="003F54AE"/>
    <w:rsid w:val="003F6003"/>
    <w:rsid w:val="003F6A5E"/>
    <w:rsid w:val="003F6AFC"/>
    <w:rsid w:val="003F6BC1"/>
    <w:rsid w:val="003F6CEB"/>
    <w:rsid w:val="003F6D63"/>
    <w:rsid w:val="003F6E10"/>
    <w:rsid w:val="003F6F31"/>
    <w:rsid w:val="0040015B"/>
    <w:rsid w:val="00400682"/>
    <w:rsid w:val="004007F3"/>
    <w:rsid w:val="0040158C"/>
    <w:rsid w:val="004017A6"/>
    <w:rsid w:val="00402710"/>
    <w:rsid w:val="0040315F"/>
    <w:rsid w:val="00403472"/>
    <w:rsid w:val="00403497"/>
    <w:rsid w:val="0040483A"/>
    <w:rsid w:val="00404B6A"/>
    <w:rsid w:val="00404E2C"/>
    <w:rsid w:val="00405363"/>
    <w:rsid w:val="00405802"/>
    <w:rsid w:val="00405D45"/>
    <w:rsid w:val="00405EF5"/>
    <w:rsid w:val="00405FFC"/>
    <w:rsid w:val="004061BB"/>
    <w:rsid w:val="004068B8"/>
    <w:rsid w:val="00406968"/>
    <w:rsid w:val="00406D5B"/>
    <w:rsid w:val="00407265"/>
    <w:rsid w:val="0041050A"/>
    <w:rsid w:val="004106AC"/>
    <w:rsid w:val="00410BB2"/>
    <w:rsid w:val="00411180"/>
    <w:rsid w:val="004115CB"/>
    <w:rsid w:val="00411972"/>
    <w:rsid w:val="00411BB3"/>
    <w:rsid w:val="00412B41"/>
    <w:rsid w:val="00412C47"/>
    <w:rsid w:val="00413725"/>
    <w:rsid w:val="00413A23"/>
    <w:rsid w:val="00413BE4"/>
    <w:rsid w:val="004146D8"/>
    <w:rsid w:val="004148C2"/>
    <w:rsid w:val="00414955"/>
    <w:rsid w:val="00414B9F"/>
    <w:rsid w:val="00415020"/>
    <w:rsid w:val="004160E3"/>
    <w:rsid w:val="00416742"/>
    <w:rsid w:val="00416BCE"/>
    <w:rsid w:val="0041767F"/>
    <w:rsid w:val="00417DCE"/>
    <w:rsid w:val="00422062"/>
    <w:rsid w:val="00422B8A"/>
    <w:rsid w:val="00423297"/>
    <w:rsid w:val="00425686"/>
    <w:rsid w:val="0042578E"/>
    <w:rsid w:val="00425B7D"/>
    <w:rsid w:val="00425CB8"/>
    <w:rsid w:val="00425E85"/>
    <w:rsid w:val="00426C64"/>
    <w:rsid w:val="0042713A"/>
    <w:rsid w:val="004271A1"/>
    <w:rsid w:val="00427306"/>
    <w:rsid w:val="00427BEA"/>
    <w:rsid w:val="00430CB6"/>
    <w:rsid w:val="0043149B"/>
    <w:rsid w:val="00431761"/>
    <w:rsid w:val="00431B04"/>
    <w:rsid w:val="00431D83"/>
    <w:rsid w:val="0043227F"/>
    <w:rsid w:val="004322DC"/>
    <w:rsid w:val="0043233A"/>
    <w:rsid w:val="00432A25"/>
    <w:rsid w:val="00433C8E"/>
    <w:rsid w:val="00433E21"/>
    <w:rsid w:val="00434080"/>
    <w:rsid w:val="00434DF9"/>
    <w:rsid w:val="00434EF6"/>
    <w:rsid w:val="004352CA"/>
    <w:rsid w:val="00436392"/>
    <w:rsid w:val="00436E06"/>
    <w:rsid w:val="00436FD0"/>
    <w:rsid w:val="0043714D"/>
    <w:rsid w:val="00437767"/>
    <w:rsid w:val="00437CD0"/>
    <w:rsid w:val="00440FE7"/>
    <w:rsid w:val="0044178F"/>
    <w:rsid w:val="0044264F"/>
    <w:rsid w:val="004439AA"/>
    <w:rsid w:val="00443D09"/>
    <w:rsid w:val="00444661"/>
    <w:rsid w:val="00444A3F"/>
    <w:rsid w:val="00444FF6"/>
    <w:rsid w:val="00445282"/>
    <w:rsid w:val="004457FE"/>
    <w:rsid w:val="00445E09"/>
    <w:rsid w:val="00446803"/>
    <w:rsid w:val="00446BE5"/>
    <w:rsid w:val="00446D1D"/>
    <w:rsid w:val="00447600"/>
    <w:rsid w:val="00447A60"/>
    <w:rsid w:val="00450D2F"/>
    <w:rsid w:val="004511CF"/>
    <w:rsid w:val="00451368"/>
    <w:rsid w:val="00451567"/>
    <w:rsid w:val="00452233"/>
    <w:rsid w:val="00452602"/>
    <w:rsid w:val="00452817"/>
    <w:rsid w:val="00452835"/>
    <w:rsid w:val="004532A2"/>
    <w:rsid w:val="0045379B"/>
    <w:rsid w:val="00453C77"/>
    <w:rsid w:val="0045509C"/>
    <w:rsid w:val="004551AB"/>
    <w:rsid w:val="00455B7C"/>
    <w:rsid w:val="00455D9C"/>
    <w:rsid w:val="004566C3"/>
    <w:rsid w:val="00456DDD"/>
    <w:rsid w:val="00457179"/>
    <w:rsid w:val="004574D8"/>
    <w:rsid w:val="00457651"/>
    <w:rsid w:val="00457863"/>
    <w:rsid w:val="00460240"/>
    <w:rsid w:val="004604BD"/>
    <w:rsid w:val="00460746"/>
    <w:rsid w:val="0046078A"/>
    <w:rsid w:val="004607F6"/>
    <w:rsid w:val="00461546"/>
    <w:rsid w:val="00461F98"/>
    <w:rsid w:val="00461FE2"/>
    <w:rsid w:val="00462B18"/>
    <w:rsid w:val="00462E9B"/>
    <w:rsid w:val="0046329F"/>
    <w:rsid w:val="00463340"/>
    <w:rsid w:val="00463CCA"/>
    <w:rsid w:val="00463E1C"/>
    <w:rsid w:val="0046400A"/>
    <w:rsid w:val="004640EA"/>
    <w:rsid w:val="004643E8"/>
    <w:rsid w:val="0046468D"/>
    <w:rsid w:val="004650A5"/>
    <w:rsid w:val="004655C8"/>
    <w:rsid w:val="00465FB6"/>
    <w:rsid w:val="0046608E"/>
    <w:rsid w:val="00466144"/>
    <w:rsid w:val="00467183"/>
    <w:rsid w:val="00470777"/>
    <w:rsid w:val="00470A22"/>
    <w:rsid w:val="00471F3C"/>
    <w:rsid w:val="00472C91"/>
    <w:rsid w:val="0047337D"/>
    <w:rsid w:val="00474497"/>
    <w:rsid w:val="0047469F"/>
    <w:rsid w:val="00474969"/>
    <w:rsid w:val="00474989"/>
    <w:rsid w:val="004756F1"/>
    <w:rsid w:val="004758B2"/>
    <w:rsid w:val="00475F82"/>
    <w:rsid w:val="004766AD"/>
    <w:rsid w:val="00476C20"/>
    <w:rsid w:val="0047770C"/>
    <w:rsid w:val="0047784C"/>
    <w:rsid w:val="00480634"/>
    <w:rsid w:val="00480847"/>
    <w:rsid w:val="00480B24"/>
    <w:rsid w:val="00480BBE"/>
    <w:rsid w:val="00481322"/>
    <w:rsid w:val="00482A0E"/>
    <w:rsid w:val="00482A40"/>
    <w:rsid w:val="004832AC"/>
    <w:rsid w:val="00483E3D"/>
    <w:rsid w:val="00484FBD"/>
    <w:rsid w:val="00485B48"/>
    <w:rsid w:val="0048625A"/>
    <w:rsid w:val="0048649B"/>
    <w:rsid w:val="00486A8D"/>
    <w:rsid w:val="00486C23"/>
    <w:rsid w:val="00490899"/>
    <w:rsid w:val="00490A3E"/>
    <w:rsid w:val="00491187"/>
    <w:rsid w:val="0049172F"/>
    <w:rsid w:val="00491F78"/>
    <w:rsid w:val="00493253"/>
    <w:rsid w:val="00493620"/>
    <w:rsid w:val="00493714"/>
    <w:rsid w:val="00493AA7"/>
    <w:rsid w:val="00493B81"/>
    <w:rsid w:val="0049498A"/>
    <w:rsid w:val="00494B43"/>
    <w:rsid w:val="004958A1"/>
    <w:rsid w:val="00495F90"/>
    <w:rsid w:val="00497294"/>
    <w:rsid w:val="00497872"/>
    <w:rsid w:val="00497BFD"/>
    <w:rsid w:val="00497D52"/>
    <w:rsid w:val="004A047B"/>
    <w:rsid w:val="004A05FD"/>
    <w:rsid w:val="004A0827"/>
    <w:rsid w:val="004A0D91"/>
    <w:rsid w:val="004A1C7B"/>
    <w:rsid w:val="004A1CF7"/>
    <w:rsid w:val="004A247A"/>
    <w:rsid w:val="004A313E"/>
    <w:rsid w:val="004A3711"/>
    <w:rsid w:val="004A4B5D"/>
    <w:rsid w:val="004A5F11"/>
    <w:rsid w:val="004A646D"/>
    <w:rsid w:val="004A68D6"/>
    <w:rsid w:val="004A6959"/>
    <w:rsid w:val="004A6AD1"/>
    <w:rsid w:val="004A7334"/>
    <w:rsid w:val="004A73D4"/>
    <w:rsid w:val="004A7E05"/>
    <w:rsid w:val="004A7F4D"/>
    <w:rsid w:val="004B1347"/>
    <w:rsid w:val="004B19D0"/>
    <w:rsid w:val="004B1F31"/>
    <w:rsid w:val="004B2004"/>
    <w:rsid w:val="004B2A0C"/>
    <w:rsid w:val="004B34F6"/>
    <w:rsid w:val="004B3817"/>
    <w:rsid w:val="004B3ACF"/>
    <w:rsid w:val="004B3F47"/>
    <w:rsid w:val="004B50FF"/>
    <w:rsid w:val="004B6012"/>
    <w:rsid w:val="004B61EB"/>
    <w:rsid w:val="004B62B7"/>
    <w:rsid w:val="004B716D"/>
    <w:rsid w:val="004B7567"/>
    <w:rsid w:val="004B7A07"/>
    <w:rsid w:val="004C0DE2"/>
    <w:rsid w:val="004C0EBA"/>
    <w:rsid w:val="004C327D"/>
    <w:rsid w:val="004C3839"/>
    <w:rsid w:val="004C3CB2"/>
    <w:rsid w:val="004C425C"/>
    <w:rsid w:val="004C4923"/>
    <w:rsid w:val="004C53C9"/>
    <w:rsid w:val="004C591D"/>
    <w:rsid w:val="004C593B"/>
    <w:rsid w:val="004C5EE3"/>
    <w:rsid w:val="004C6168"/>
    <w:rsid w:val="004C644E"/>
    <w:rsid w:val="004C6548"/>
    <w:rsid w:val="004C6A1E"/>
    <w:rsid w:val="004C6F2A"/>
    <w:rsid w:val="004C7308"/>
    <w:rsid w:val="004C7694"/>
    <w:rsid w:val="004C7A0E"/>
    <w:rsid w:val="004D05C7"/>
    <w:rsid w:val="004D0A22"/>
    <w:rsid w:val="004D11B5"/>
    <w:rsid w:val="004D2390"/>
    <w:rsid w:val="004D2415"/>
    <w:rsid w:val="004D3BC4"/>
    <w:rsid w:val="004D3E4C"/>
    <w:rsid w:val="004D4DE3"/>
    <w:rsid w:val="004D5C3A"/>
    <w:rsid w:val="004D5D1D"/>
    <w:rsid w:val="004D61CA"/>
    <w:rsid w:val="004D6635"/>
    <w:rsid w:val="004D6BAE"/>
    <w:rsid w:val="004D6EA1"/>
    <w:rsid w:val="004D6FDB"/>
    <w:rsid w:val="004D7806"/>
    <w:rsid w:val="004D7869"/>
    <w:rsid w:val="004E002A"/>
    <w:rsid w:val="004E08BC"/>
    <w:rsid w:val="004E0C01"/>
    <w:rsid w:val="004E1A7F"/>
    <w:rsid w:val="004E2075"/>
    <w:rsid w:val="004E2B3D"/>
    <w:rsid w:val="004E2B85"/>
    <w:rsid w:val="004E2D72"/>
    <w:rsid w:val="004E2FEB"/>
    <w:rsid w:val="004E384E"/>
    <w:rsid w:val="004E3B7A"/>
    <w:rsid w:val="004E5B99"/>
    <w:rsid w:val="004E6622"/>
    <w:rsid w:val="004E6A76"/>
    <w:rsid w:val="004E6EB1"/>
    <w:rsid w:val="004E74B2"/>
    <w:rsid w:val="004F0210"/>
    <w:rsid w:val="004F0705"/>
    <w:rsid w:val="004F1E82"/>
    <w:rsid w:val="004F2981"/>
    <w:rsid w:val="004F2A09"/>
    <w:rsid w:val="004F2E6F"/>
    <w:rsid w:val="004F2ED0"/>
    <w:rsid w:val="004F3F9C"/>
    <w:rsid w:val="004F402C"/>
    <w:rsid w:val="004F483F"/>
    <w:rsid w:val="004F4C34"/>
    <w:rsid w:val="004F4CA3"/>
    <w:rsid w:val="004F5331"/>
    <w:rsid w:val="004F6095"/>
    <w:rsid w:val="004F615D"/>
    <w:rsid w:val="004F62D2"/>
    <w:rsid w:val="004F663F"/>
    <w:rsid w:val="004F71B8"/>
    <w:rsid w:val="004F785D"/>
    <w:rsid w:val="004F7B9B"/>
    <w:rsid w:val="00500616"/>
    <w:rsid w:val="00500E94"/>
    <w:rsid w:val="0050146A"/>
    <w:rsid w:val="005026C6"/>
    <w:rsid w:val="005026DC"/>
    <w:rsid w:val="0050518E"/>
    <w:rsid w:val="005054A3"/>
    <w:rsid w:val="00505869"/>
    <w:rsid w:val="00505B52"/>
    <w:rsid w:val="00505D1B"/>
    <w:rsid w:val="00505E4C"/>
    <w:rsid w:val="00506D30"/>
    <w:rsid w:val="0050734A"/>
    <w:rsid w:val="00507658"/>
    <w:rsid w:val="00507827"/>
    <w:rsid w:val="005078B9"/>
    <w:rsid w:val="005101D1"/>
    <w:rsid w:val="0051022E"/>
    <w:rsid w:val="005103E9"/>
    <w:rsid w:val="005106DE"/>
    <w:rsid w:val="0051132B"/>
    <w:rsid w:val="005117CD"/>
    <w:rsid w:val="0051195F"/>
    <w:rsid w:val="00512DE1"/>
    <w:rsid w:val="00512ED1"/>
    <w:rsid w:val="00513281"/>
    <w:rsid w:val="00513531"/>
    <w:rsid w:val="00513962"/>
    <w:rsid w:val="00513F0E"/>
    <w:rsid w:val="005143C0"/>
    <w:rsid w:val="00514679"/>
    <w:rsid w:val="00515190"/>
    <w:rsid w:val="005155BD"/>
    <w:rsid w:val="00515C29"/>
    <w:rsid w:val="00517273"/>
    <w:rsid w:val="00517808"/>
    <w:rsid w:val="00520095"/>
    <w:rsid w:val="00520469"/>
    <w:rsid w:val="0052170E"/>
    <w:rsid w:val="00521712"/>
    <w:rsid w:val="00521B25"/>
    <w:rsid w:val="00522932"/>
    <w:rsid w:val="00522BC6"/>
    <w:rsid w:val="00522CEC"/>
    <w:rsid w:val="00522E66"/>
    <w:rsid w:val="005230B4"/>
    <w:rsid w:val="005241D0"/>
    <w:rsid w:val="005248D0"/>
    <w:rsid w:val="00525AFC"/>
    <w:rsid w:val="00525E06"/>
    <w:rsid w:val="00526EF8"/>
    <w:rsid w:val="0052785D"/>
    <w:rsid w:val="005300BF"/>
    <w:rsid w:val="0053096E"/>
    <w:rsid w:val="00530AA3"/>
    <w:rsid w:val="00530CA0"/>
    <w:rsid w:val="00530E84"/>
    <w:rsid w:val="0053120A"/>
    <w:rsid w:val="005315A9"/>
    <w:rsid w:val="005316FB"/>
    <w:rsid w:val="0053299D"/>
    <w:rsid w:val="00532AAA"/>
    <w:rsid w:val="00532BD7"/>
    <w:rsid w:val="00532DAA"/>
    <w:rsid w:val="00533878"/>
    <w:rsid w:val="0053428A"/>
    <w:rsid w:val="00534648"/>
    <w:rsid w:val="00534B73"/>
    <w:rsid w:val="00534F6D"/>
    <w:rsid w:val="0053534C"/>
    <w:rsid w:val="00536591"/>
    <w:rsid w:val="005366BF"/>
    <w:rsid w:val="00540713"/>
    <w:rsid w:val="0054071D"/>
    <w:rsid w:val="00541408"/>
    <w:rsid w:val="005415E9"/>
    <w:rsid w:val="00542DB4"/>
    <w:rsid w:val="005445A3"/>
    <w:rsid w:val="005446AF"/>
    <w:rsid w:val="00544DF3"/>
    <w:rsid w:val="0054562E"/>
    <w:rsid w:val="00545AAB"/>
    <w:rsid w:val="00546381"/>
    <w:rsid w:val="0054643D"/>
    <w:rsid w:val="00546E49"/>
    <w:rsid w:val="0054776E"/>
    <w:rsid w:val="0054788F"/>
    <w:rsid w:val="005501A3"/>
    <w:rsid w:val="0055151D"/>
    <w:rsid w:val="00551892"/>
    <w:rsid w:val="00552762"/>
    <w:rsid w:val="00552B38"/>
    <w:rsid w:val="0055358C"/>
    <w:rsid w:val="005538C2"/>
    <w:rsid w:val="00553C86"/>
    <w:rsid w:val="00553EBC"/>
    <w:rsid w:val="0055402F"/>
    <w:rsid w:val="0055524F"/>
    <w:rsid w:val="00555952"/>
    <w:rsid w:val="0055615E"/>
    <w:rsid w:val="00556A4E"/>
    <w:rsid w:val="00556B38"/>
    <w:rsid w:val="00556F20"/>
    <w:rsid w:val="005577AA"/>
    <w:rsid w:val="00557BBC"/>
    <w:rsid w:val="00557C6F"/>
    <w:rsid w:val="005607E2"/>
    <w:rsid w:val="00560840"/>
    <w:rsid w:val="005615A5"/>
    <w:rsid w:val="00561EE2"/>
    <w:rsid w:val="00561FD7"/>
    <w:rsid w:val="005620F9"/>
    <w:rsid w:val="0056268A"/>
    <w:rsid w:val="00562B56"/>
    <w:rsid w:val="00562D84"/>
    <w:rsid w:val="00563726"/>
    <w:rsid w:val="005638D5"/>
    <w:rsid w:val="00563AD5"/>
    <w:rsid w:val="00564E1A"/>
    <w:rsid w:val="00565978"/>
    <w:rsid w:val="00566237"/>
    <w:rsid w:val="0056639C"/>
    <w:rsid w:val="005666F8"/>
    <w:rsid w:val="00566869"/>
    <w:rsid w:val="0056728C"/>
    <w:rsid w:val="005709BC"/>
    <w:rsid w:val="00570B86"/>
    <w:rsid w:val="00570C69"/>
    <w:rsid w:val="0057140C"/>
    <w:rsid w:val="00571561"/>
    <w:rsid w:val="00571A6E"/>
    <w:rsid w:val="00572726"/>
    <w:rsid w:val="00572A98"/>
    <w:rsid w:val="00572F0B"/>
    <w:rsid w:val="00573462"/>
    <w:rsid w:val="00573503"/>
    <w:rsid w:val="00573867"/>
    <w:rsid w:val="00573CCD"/>
    <w:rsid w:val="005745E7"/>
    <w:rsid w:val="00574769"/>
    <w:rsid w:val="00575FBA"/>
    <w:rsid w:val="0057688F"/>
    <w:rsid w:val="00576C0B"/>
    <w:rsid w:val="00577833"/>
    <w:rsid w:val="00577DB4"/>
    <w:rsid w:val="005806A5"/>
    <w:rsid w:val="00581438"/>
    <w:rsid w:val="00581BC2"/>
    <w:rsid w:val="00582186"/>
    <w:rsid w:val="00582E2F"/>
    <w:rsid w:val="00583245"/>
    <w:rsid w:val="00583C76"/>
    <w:rsid w:val="00584019"/>
    <w:rsid w:val="0058443D"/>
    <w:rsid w:val="00584902"/>
    <w:rsid w:val="00584A16"/>
    <w:rsid w:val="0058576F"/>
    <w:rsid w:val="00585CB3"/>
    <w:rsid w:val="00586A10"/>
    <w:rsid w:val="005876A6"/>
    <w:rsid w:val="005876A8"/>
    <w:rsid w:val="00587894"/>
    <w:rsid w:val="00587EAA"/>
    <w:rsid w:val="00590433"/>
    <w:rsid w:val="00590852"/>
    <w:rsid w:val="00590D63"/>
    <w:rsid w:val="00591172"/>
    <w:rsid w:val="00591235"/>
    <w:rsid w:val="00591563"/>
    <w:rsid w:val="005921AA"/>
    <w:rsid w:val="005935A6"/>
    <w:rsid w:val="00593A65"/>
    <w:rsid w:val="00594136"/>
    <w:rsid w:val="0059450D"/>
    <w:rsid w:val="0059489B"/>
    <w:rsid w:val="005949CE"/>
    <w:rsid w:val="00594DEB"/>
    <w:rsid w:val="00595370"/>
    <w:rsid w:val="00595932"/>
    <w:rsid w:val="00595B17"/>
    <w:rsid w:val="00595BA6"/>
    <w:rsid w:val="00595E32"/>
    <w:rsid w:val="00595E59"/>
    <w:rsid w:val="005969FE"/>
    <w:rsid w:val="00596A64"/>
    <w:rsid w:val="00596E41"/>
    <w:rsid w:val="005970BB"/>
    <w:rsid w:val="00597238"/>
    <w:rsid w:val="005A030E"/>
    <w:rsid w:val="005A0732"/>
    <w:rsid w:val="005A11EF"/>
    <w:rsid w:val="005A17F5"/>
    <w:rsid w:val="005A182C"/>
    <w:rsid w:val="005A1C9D"/>
    <w:rsid w:val="005A218D"/>
    <w:rsid w:val="005A3187"/>
    <w:rsid w:val="005A37D2"/>
    <w:rsid w:val="005A3852"/>
    <w:rsid w:val="005A48E4"/>
    <w:rsid w:val="005A55C3"/>
    <w:rsid w:val="005A641D"/>
    <w:rsid w:val="005A65B9"/>
    <w:rsid w:val="005A6B08"/>
    <w:rsid w:val="005A6B65"/>
    <w:rsid w:val="005A6E62"/>
    <w:rsid w:val="005A73D5"/>
    <w:rsid w:val="005A7A63"/>
    <w:rsid w:val="005B0411"/>
    <w:rsid w:val="005B0545"/>
    <w:rsid w:val="005B0680"/>
    <w:rsid w:val="005B0AA7"/>
    <w:rsid w:val="005B0BFB"/>
    <w:rsid w:val="005B1880"/>
    <w:rsid w:val="005B2164"/>
    <w:rsid w:val="005B2F8A"/>
    <w:rsid w:val="005B37B9"/>
    <w:rsid w:val="005B3849"/>
    <w:rsid w:val="005B41DE"/>
    <w:rsid w:val="005B494D"/>
    <w:rsid w:val="005B521C"/>
    <w:rsid w:val="005B5A58"/>
    <w:rsid w:val="005B5FA1"/>
    <w:rsid w:val="005B6085"/>
    <w:rsid w:val="005B61BA"/>
    <w:rsid w:val="005B62DB"/>
    <w:rsid w:val="005B709D"/>
    <w:rsid w:val="005B78CE"/>
    <w:rsid w:val="005C01EC"/>
    <w:rsid w:val="005C0448"/>
    <w:rsid w:val="005C192B"/>
    <w:rsid w:val="005C2A29"/>
    <w:rsid w:val="005C3192"/>
    <w:rsid w:val="005C384A"/>
    <w:rsid w:val="005C3968"/>
    <w:rsid w:val="005C3C6E"/>
    <w:rsid w:val="005C4800"/>
    <w:rsid w:val="005C505A"/>
    <w:rsid w:val="005C50C4"/>
    <w:rsid w:val="005C512B"/>
    <w:rsid w:val="005C5885"/>
    <w:rsid w:val="005C60D1"/>
    <w:rsid w:val="005C6F36"/>
    <w:rsid w:val="005C73AC"/>
    <w:rsid w:val="005C7502"/>
    <w:rsid w:val="005C7F62"/>
    <w:rsid w:val="005D0067"/>
    <w:rsid w:val="005D0B8C"/>
    <w:rsid w:val="005D0EE9"/>
    <w:rsid w:val="005D0EEB"/>
    <w:rsid w:val="005D13C6"/>
    <w:rsid w:val="005D148B"/>
    <w:rsid w:val="005D1569"/>
    <w:rsid w:val="005D1EBC"/>
    <w:rsid w:val="005D2308"/>
    <w:rsid w:val="005D30BC"/>
    <w:rsid w:val="005D3546"/>
    <w:rsid w:val="005D3ACF"/>
    <w:rsid w:val="005D3C6C"/>
    <w:rsid w:val="005D3E07"/>
    <w:rsid w:val="005D40D4"/>
    <w:rsid w:val="005D41A6"/>
    <w:rsid w:val="005D49AE"/>
    <w:rsid w:val="005D5687"/>
    <w:rsid w:val="005D5764"/>
    <w:rsid w:val="005D5818"/>
    <w:rsid w:val="005D5D39"/>
    <w:rsid w:val="005D60DB"/>
    <w:rsid w:val="005D68B2"/>
    <w:rsid w:val="005D704B"/>
    <w:rsid w:val="005D77DA"/>
    <w:rsid w:val="005D79C7"/>
    <w:rsid w:val="005E0294"/>
    <w:rsid w:val="005E1BE9"/>
    <w:rsid w:val="005E1C1E"/>
    <w:rsid w:val="005E2694"/>
    <w:rsid w:val="005E2995"/>
    <w:rsid w:val="005E2A86"/>
    <w:rsid w:val="005E3D19"/>
    <w:rsid w:val="005E40C4"/>
    <w:rsid w:val="005E46D1"/>
    <w:rsid w:val="005E5BA8"/>
    <w:rsid w:val="005E5E32"/>
    <w:rsid w:val="005E5F03"/>
    <w:rsid w:val="005E71FB"/>
    <w:rsid w:val="005E73D8"/>
    <w:rsid w:val="005E7510"/>
    <w:rsid w:val="005E779F"/>
    <w:rsid w:val="005E7A53"/>
    <w:rsid w:val="005E7E3E"/>
    <w:rsid w:val="005E7F88"/>
    <w:rsid w:val="005F0238"/>
    <w:rsid w:val="005F0B01"/>
    <w:rsid w:val="005F0D85"/>
    <w:rsid w:val="005F1088"/>
    <w:rsid w:val="005F116B"/>
    <w:rsid w:val="005F2446"/>
    <w:rsid w:val="005F2711"/>
    <w:rsid w:val="005F2934"/>
    <w:rsid w:val="005F317E"/>
    <w:rsid w:val="005F3AB8"/>
    <w:rsid w:val="005F3C5B"/>
    <w:rsid w:val="005F4EB8"/>
    <w:rsid w:val="005F52B0"/>
    <w:rsid w:val="005F5328"/>
    <w:rsid w:val="005F551D"/>
    <w:rsid w:val="005F6099"/>
    <w:rsid w:val="005F643E"/>
    <w:rsid w:val="005F69A1"/>
    <w:rsid w:val="005F7166"/>
    <w:rsid w:val="00600309"/>
    <w:rsid w:val="00600446"/>
    <w:rsid w:val="00600476"/>
    <w:rsid w:val="00600D19"/>
    <w:rsid w:val="00600D65"/>
    <w:rsid w:val="00600DA9"/>
    <w:rsid w:val="00600E63"/>
    <w:rsid w:val="00601938"/>
    <w:rsid w:val="00601BAA"/>
    <w:rsid w:val="00602697"/>
    <w:rsid w:val="006035BC"/>
    <w:rsid w:val="0060471A"/>
    <w:rsid w:val="00604C34"/>
    <w:rsid w:val="00604E0D"/>
    <w:rsid w:val="00606873"/>
    <w:rsid w:val="0060697B"/>
    <w:rsid w:val="00606C20"/>
    <w:rsid w:val="00607A34"/>
    <w:rsid w:val="00607E74"/>
    <w:rsid w:val="0061055A"/>
    <w:rsid w:val="006108CC"/>
    <w:rsid w:val="00610D15"/>
    <w:rsid w:val="0061153E"/>
    <w:rsid w:val="00611603"/>
    <w:rsid w:val="0061160C"/>
    <w:rsid w:val="00611FDC"/>
    <w:rsid w:val="0061246D"/>
    <w:rsid w:val="0061322C"/>
    <w:rsid w:val="0061334C"/>
    <w:rsid w:val="0061354C"/>
    <w:rsid w:val="00613FB0"/>
    <w:rsid w:val="00614930"/>
    <w:rsid w:val="006149FF"/>
    <w:rsid w:val="00614D2A"/>
    <w:rsid w:val="00614D44"/>
    <w:rsid w:val="00615067"/>
    <w:rsid w:val="006170EF"/>
    <w:rsid w:val="00617577"/>
    <w:rsid w:val="00617835"/>
    <w:rsid w:val="00620BB7"/>
    <w:rsid w:val="0062141F"/>
    <w:rsid w:val="0062193B"/>
    <w:rsid w:val="00621A79"/>
    <w:rsid w:val="00621FBB"/>
    <w:rsid w:val="00622170"/>
    <w:rsid w:val="00622FB0"/>
    <w:rsid w:val="006232F2"/>
    <w:rsid w:val="006235D8"/>
    <w:rsid w:val="00623FF8"/>
    <w:rsid w:val="006242A5"/>
    <w:rsid w:val="00625358"/>
    <w:rsid w:val="006258F6"/>
    <w:rsid w:val="006260C6"/>
    <w:rsid w:val="00626EC1"/>
    <w:rsid w:val="0062703C"/>
    <w:rsid w:val="0062748B"/>
    <w:rsid w:val="0062766A"/>
    <w:rsid w:val="00627DD7"/>
    <w:rsid w:val="00627ECC"/>
    <w:rsid w:val="00627FD3"/>
    <w:rsid w:val="00630C30"/>
    <w:rsid w:val="0063159A"/>
    <w:rsid w:val="006317E8"/>
    <w:rsid w:val="006328AE"/>
    <w:rsid w:val="00632BC1"/>
    <w:rsid w:val="00633219"/>
    <w:rsid w:val="00634FA5"/>
    <w:rsid w:val="00635F78"/>
    <w:rsid w:val="00635F92"/>
    <w:rsid w:val="00636289"/>
    <w:rsid w:val="00636785"/>
    <w:rsid w:val="00636A7E"/>
    <w:rsid w:val="00637F18"/>
    <w:rsid w:val="00640B0E"/>
    <w:rsid w:val="0064168D"/>
    <w:rsid w:val="00641A9D"/>
    <w:rsid w:val="006428B1"/>
    <w:rsid w:val="00643683"/>
    <w:rsid w:val="00643790"/>
    <w:rsid w:val="00643F2C"/>
    <w:rsid w:val="00643F70"/>
    <w:rsid w:val="00644378"/>
    <w:rsid w:val="00644DDE"/>
    <w:rsid w:val="0064525B"/>
    <w:rsid w:val="0064562B"/>
    <w:rsid w:val="00645E1A"/>
    <w:rsid w:val="00647EA9"/>
    <w:rsid w:val="00650169"/>
    <w:rsid w:val="00650914"/>
    <w:rsid w:val="00651286"/>
    <w:rsid w:val="00651C29"/>
    <w:rsid w:val="006528D3"/>
    <w:rsid w:val="00652E80"/>
    <w:rsid w:val="00653220"/>
    <w:rsid w:val="00653C15"/>
    <w:rsid w:val="00653EB8"/>
    <w:rsid w:val="0065463A"/>
    <w:rsid w:val="0065488B"/>
    <w:rsid w:val="00654ADC"/>
    <w:rsid w:val="006553C3"/>
    <w:rsid w:val="00655AD5"/>
    <w:rsid w:val="00656177"/>
    <w:rsid w:val="00656205"/>
    <w:rsid w:val="006565F4"/>
    <w:rsid w:val="006567E9"/>
    <w:rsid w:val="00656BD6"/>
    <w:rsid w:val="0065709B"/>
    <w:rsid w:val="0066171C"/>
    <w:rsid w:val="006623B3"/>
    <w:rsid w:val="00663F98"/>
    <w:rsid w:val="00664082"/>
    <w:rsid w:val="0066408A"/>
    <w:rsid w:val="006647D5"/>
    <w:rsid w:val="00665C4B"/>
    <w:rsid w:val="006673CA"/>
    <w:rsid w:val="00667484"/>
    <w:rsid w:val="006674FD"/>
    <w:rsid w:val="00667D7F"/>
    <w:rsid w:val="00670273"/>
    <w:rsid w:val="006703A1"/>
    <w:rsid w:val="006703A9"/>
    <w:rsid w:val="0067046E"/>
    <w:rsid w:val="00670713"/>
    <w:rsid w:val="00670D72"/>
    <w:rsid w:val="00672078"/>
    <w:rsid w:val="00672ADD"/>
    <w:rsid w:val="00672C10"/>
    <w:rsid w:val="006731FA"/>
    <w:rsid w:val="0067341C"/>
    <w:rsid w:val="0067342F"/>
    <w:rsid w:val="00673E0A"/>
    <w:rsid w:val="0067642C"/>
    <w:rsid w:val="006779D4"/>
    <w:rsid w:val="00680300"/>
    <w:rsid w:val="00680964"/>
    <w:rsid w:val="00681A70"/>
    <w:rsid w:val="00682C8D"/>
    <w:rsid w:val="00682D2C"/>
    <w:rsid w:val="00683525"/>
    <w:rsid w:val="0068389D"/>
    <w:rsid w:val="006842DF"/>
    <w:rsid w:val="00685539"/>
    <w:rsid w:val="00685756"/>
    <w:rsid w:val="00686108"/>
    <w:rsid w:val="00687C0B"/>
    <w:rsid w:val="00690268"/>
    <w:rsid w:val="00690C95"/>
    <w:rsid w:val="00690E46"/>
    <w:rsid w:val="00690F1F"/>
    <w:rsid w:val="0069152F"/>
    <w:rsid w:val="0069202C"/>
    <w:rsid w:val="006922CE"/>
    <w:rsid w:val="00693001"/>
    <w:rsid w:val="00694485"/>
    <w:rsid w:val="006954D8"/>
    <w:rsid w:val="00695A43"/>
    <w:rsid w:val="00696779"/>
    <w:rsid w:val="006967EB"/>
    <w:rsid w:val="00696C2D"/>
    <w:rsid w:val="00697023"/>
    <w:rsid w:val="00697736"/>
    <w:rsid w:val="00697B02"/>
    <w:rsid w:val="006A01F9"/>
    <w:rsid w:val="006A02E6"/>
    <w:rsid w:val="006A0470"/>
    <w:rsid w:val="006A1CE9"/>
    <w:rsid w:val="006A27BE"/>
    <w:rsid w:val="006A2A43"/>
    <w:rsid w:val="006A2C5F"/>
    <w:rsid w:val="006A2E3D"/>
    <w:rsid w:val="006A38AD"/>
    <w:rsid w:val="006A38F1"/>
    <w:rsid w:val="006A3BAC"/>
    <w:rsid w:val="006A45FE"/>
    <w:rsid w:val="006A47D3"/>
    <w:rsid w:val="006A4CAD"/>
    <w:rsid w:val="006A54A9"/>
    <w:rsid w:val="006A6023"/>
    <w:rsid w:val="006A78B2"/>
    <w:rsid w:val="006B1592"/>
    <w:rsid w:val="006B1960"/>
    <w:rsid w:val="006B1E7F"/>
    <w:rsid w:val="006B204C"/>
    <w:rsid w:val="006B2450"/>
    <w:rsid w:val="006B2821"/>
    <w:rsid w:val="006B28B3"/>
    <w:rsid w:val="006B3127"/>
    <w:rsid w:val="006B459A"/>
    <w:rsid w:val="006B492D"/>
    <w:rsid w:val="006B4B65"/>
    <w:rsid w:val="006B54A7"/>
    <w:rsid w:val="006B56E7"/>
    <w:rsid w:val="006B5768"/>
    <w:rsid w:val="006B63AB"/>
    <w:rsid w:val="006B779D"/>
    <w:rsid w:val="006B7ABC"/>
    <w:rsid w:val="006C0FF9"/>
    <w:rsid w:val="006C146C"/>
    <w:rsid w:val="006C164F"/>
    <w:rsid w:val="006C1C46"/>
    <w:rsid w:val="006C1EEF"/>
    <w:rsid w:val="006C24AC"/>
    <w:rsid w:val="006C2CD4"/>
    <w:rsid w:val="006C324F"/>
    <w:rsid w:val="006C3260"/>
    <w:rsid w:val="006C327A"/>
    <w:rsid w:val="006C335E"/>
    <w:rsid w:val="006C3F8C"/>
    <w:rsid w:val="006C40D3"/>
    <w:rsid w:val="006C4853"/>
    <w:rsid w:val="006C55D5"/>
    <w:rsid w:val="006C59FA"/>
    <w:rsid w:val="006C5ED2"/>
    <w:rsid w:val="006C6B18"/>
    <w:rsid w:val="006C710E"/>
    <w:rsid w:val="006C7510"/>
    <w:rsid w:val="006D00C7"/>
    <w:rsid w:val="006D0206"/>
    <w:rsid w:val="006D03FE"/>
    <w:rsid w:val="006D0616"/>
    <w:rsid w:val="006D0C5F"/>
    <w:rsid w:val="006D1E7D"/>
    <w:rsid w:val="006D203C"/>
    <w:rsid w:val="006D2048"/>
    <w:rsid w:val="006D22BD"/>
    <w:rsid w:val="006D28E7"/>
    <w:rsid w:val="006D2F34"/>
    <w:rsid w:val="006D43CD"/>
    <w:rsid w:val="006D497C"/>
    <w:rsid w:val="006D4A6C"/>
    <w:rsid w:val="006D5E9B"/>
    <w:rsid w:val="006D6557"/>
    <w:rsid w:val="006D6635"/>
    <w:rsid w:val="006D6E20"/>
    <w:rsid w:val="006D6ECF"/>
    <w:rsid w:val="006D7071"/>
    <w:rsid w:val="006D71F4"/>
    <w:rsid w:val="006D78F4"/>
    <w:rsid w:val="006E0AB2"/>
    <w:rsid w:val="006E0CA4"/>
    <w:rsid w:val="006E0D15"/>
    <w:rsid w:val="006E338F"/>
    <w:rsid w:val="006E33AA"/>
    <w:rsid w:val="006E37C5"/>
    <w:rsid w:val="006E44B8"/>
    <w:rsid w:val="006E478E"/>
    <w:rsid w:val="006E4877"/>
    <w:rsid w:val="006E56C4"/>
    <w:rsid w:val="006E5D75"/>
    <w:rsid w:val="006E6A0F"/>
    <w:rsid w:val="006E756D"/>
    <w:rsid w:val="006E7D59"/>
    <w:rsid w:val="006E7F09"/>
    <w:rsid w:val="006F08A9"/>
    <w:rsid w:val="006F08BF"/>
    <w:rsid w:val="006F122B"/>
    <w:rsid w:val="006F12EE"/>
    <w:rsid w:val="006F161D"/>
    <w:rsid w:val="006F1A72"/>
    <w:rsid w:val="006F31E0"/>
    <w:rsid w:val="006F3403"/>
    <w:rsid w:val="006F34AE"/>
    <w:rsid w:val="006F34C2"/>
    <w:rsid w:val="006F3954"/>
    <w:rsid w:val="006F42BD"/>
    <w:rsid w:val="006F42DE"/>
    <w:rsid w:val="006F4D95"/>
    <w:rsid w:val="006F6387"/>
    <w:rsid w:val="006F6CA2"/>
    <w:rsid w:val="006F6DD9"/>
    <w:rsid w:val="006F6FF1"/>
    <w:rsid w:val="006F78AB"/>
    <w:rsid w:val="00700531"/>
    <w:rsid w:val="007006E5"/>
    <w:rsid w:val="007009FB"/>
    <w:rsid w:val="00701E0F"/>
    <w:rsid w:val="0070223A"/>
    <w:rsid w:val="007033CC"/>
    <w:rsid w:val="00703CA0"/>
    <w:rsid w:val="007040E5"/>
    <w:rsid w:val="00704A4D"/>
    <w:rsid w:val="007059D0"/>
    <w:rsid w:val="007062E3"/>
    <w:rsid w:val="00706565"/>
    <w:rsid w:val="00706FDB"/>
    <w:rsid w:val="00707211"/>
    <w:rsid w:val="0070760E"/>
    <w:rsid w:val="00707984"/>
    <w:rsid w:val="00710392"/>
    <w:rsid w:val="00710A8D"/>
    <w:rsid w:val="00710C79"/>
    <w:rsid w:val="00710DD1"/>
    <w:rsid w:val="00710F4E"/>
    <w:rsid w:val="007128F0"/>
    <w:rsid w:val="007140D5"/>
    <w:rsid w:val="00714C6A"/>
    <w:rsid w:val="00714ED6"/>
    <w:rsid w:val="0071530F"/>
    <w:rsid w:val="00715AB4"/>
    <w:rsid w:val="007166A1"/>
    <w:rsid w:val="007168F9"/>
    <w:rsid w:val="00716AB4"/>
    <w:rsid w:val="007172F7"/>
    <w:rsid w:val="0071751A"/>
    <w:rsid w:val="0071758F"/>
    <w:rsid w:val="00720265"/>
    <w:rsid w:val="00720D5B"/>
    <w:rsid w:val="00723854"/>
    <w:rsid w:val="0072397F"/>
    <w:rsid w:val="00723CA3"/>
    <w:rsid w:val="00724066"/>
    <w:rsid w:val="007246A1"/>
    <w:rsid w:val="0072493C"/>
    <w:rsid w:val="00724F77"/>
    <w:rsid w:val="007254C9"/>
    <w:rsid w:val="007259A4"/>
    <w:rsid w:val="00726C55"/>
    <w:rsid w:val="00726F36"/>
    <w:rsid w:val="00727814"/>
    <w:rsid w:val="00727AFC"/>
    <w:rsid w:val="00727AFE"/>
    <w:rsid w:val="007311DB"/>
    <w:rsid w:val="007317EB"/>
    <w:rsid w:val="007325C1"/>
    <w:rsid w:val="00732A74"/>
    <w:rsid w:val="00733A1F"/>
    <w:rsid w:val="00733E77"/>
    <w:rsid w:val="00734578"/>
    <w:rsid w:val="00734ABD"/>
    <w:rsid w:val="00734F11"/>
    <w:rsid w:val="00734F56"/>
    <w:rsid w:val="007353D8"/>
    <w:rsid w:val="007354E0"/>
    <w:rsid w:val="007355DC"/>
    <w:rsid w:val="00735BF6"/>
    <w:rsid w:val="00735C44"/>
    <w:rsid w:val="00735D4C"/>
    <w:rsid w:val="00736761"/>
    <w:rsid w:val="007379CD"/>
    <w:rsid w:val="00740796"/>
    <w:rsid w:val="00740A51"/>
    <w:rsid w:val="00741326"/>
    <w:rsid w:val="00741364"/>
    <w:rsid w:val="00741457"/>
    <w:rsid w:val="007419AC"/>
    <w:rsid w:val="00742EA6"/>
    <w:rsid w:val="00743297"/>
    <w:rsid w:val="0074378D"/>
    <w:rsid w:val="00744A09"/>
    <w:rsid w:val="00744DF3"/>
    <w:rsid w:val="00745E71"/>
    <w:rsid w:val="00745F15"/>
    <w:rsid w:val="00745F33"/>
    <w:rsid w:val="00746303"/>
    <w:rsid w:val="00747AEB"/>
    <w:rsid w:val="00750687"/>
    <w:rsid w:val="00750F73"/>
    <w:rsid w:val="00750FCD"/>
    <w:rsid w:val="007513E7"/>
    <w:rsid w:val="00751560"/>
    <w:rsid w:val="00752011"/>
    <w:rsid w:val="00754203"/>
    <w:rsid w:val="007548EE"/>
    <w:rsid w:val="007552AE"/>
    <w:rsid w:val="00755DC6"/>
    <w:rsid w:val="00755E2A"/>
    <w:rsid w:val="00756183"/>
    <w:rsid w:val="00756B44"/>
    <w:rsid w:val="00756C71"/>
    <w:rsid w:val="007572B1"/>
    <w:rsid w:val="00760353"/>
    <w:rsid w:val="00760845"/>
    <w:rsid w:val="00761169"/>
    <w:rsid w:val="007616FE"/>
    <w:rsid w:val="00761B02"/>
    <w:rsid w:val="00761E12"/>
    <w:rsid w:val="007625E2"/>
    <w:rsid w:val="00762A24"/>
    <w:rsid w:val="00762ADC"/>
    <w:rsid w:val="00763406"/>
    <w:rsid w:val="007636D7"/>
    <w:rsid w:val="00764055"/>
    <w:rsid w:val="0076422E"/>
    <w:rsid w:val="00765120"/>
    <w:rsid w:val="00765B1A"/>
    <w:rsid w:val="00766C20"/>
    <w:rsid w:val="00766C67"/>
    <w:rsid w:val="007679E1"/>
    <w:rsid w:val="0077018D"/>
    <w:rsid w:val="00770389"/>
    <w:rsid w:val="00770913"/>
    <w:rsid w:val="007709FC"/>
    <w:rsid w:val="007714AD"/>
    <w:rsid w:val="007714BC"/>
    <w:rsid w:val="007719FE"/>
    <w:rsid w:val="00771B95"/>
    <w:rsid w:val="00771BE2"/>
    <w:rsid w:val="00772674"/>
    <w:rsid w:val="00772E25"/>
    <w:rsid w:val="007731C0"/>
    <w:rsid w:val="00773C05"/>
    <w:rsid w:val="007747B7"/>
    <w:rsid w:val="007753E4"/>
    <w:rsid w:val="00775832"/>
    <w:rsid w:val="00775E89"/>
    <w:rsid w:val="00776147"/>
    <w:rsid w:val="00777E1A"/>
    <w:rsid w:val="00780D98"/>
    <w:rsid w:val="00780E5A"/>
    <w:rsid w:val="007811D5"/>
    <w:rsid w:val="0078147A"/>
    <w:rsid w:val="00781ECE"/>
    <w:rsid w:val="00781F42"/>
    <w:rsid w:val="00782AB1"/>
    <w:rsid w:val="00783E88"/>
    <w:rsid w:val="00783FB2"/>
    <w:rsid w:val="00784586"/>
    <w:rsid w:val="00784744"/>
    <w:rsid w:val="00784BC6"/>
    <w:rsid w:val="00784E17"/>
    <w:rsid w:val="00785471"/>
    <w:rsid w:val="00785AA7"/>
    <w:rsid w:val="00786433"/>
    <w:rsid w:val="00787121"/>
    <w:rsid w:val="007873C6"/>
    <w:rsid w:val="00787B29"/>
    <w:rsid w:val="00790286"/>
    <w:rsid w:val="00790663"/>
    <w:rsid w:val="007908FF"/>
    <w:rsid w:val="007913C7"/>
    <w:rsid w:val="00792021"/>
    <w:rsid w:val="007922A9"/>
    <w:rsid w:val="007922FA"/>
    <w:rsid w:val="007925D4"/>
    <w:rsid w:val="007927B0"/>
    <w:rsid w:val="00792C50"/>
    <w:rsid w:val="00792DA2"/>
    <w:rsid w:val="00793CB9"/>
    <w:rsid w:val="00794BE8"/>
    <w:rsid w:val="00795541"/>
    <w:rsid w:val="007959D7"/>
    <w:rsid w:val="00795E16"/>
    <w:rsid w:val="0079699B"/>
    <w:rsid w:val="00796D23"/>
    <w:rsid w:val="007974AA"/>
    <w:rsid w:val="007977D2"/>
    <w:rsid w:val="007A0554"/>
    <w:rsid w:val="007A1EB5"/>
    <w:rsid w:val="007A23D3"/>
    <w:rsid w:val="007A270F"/>
    <w:rsid w:val="007A3020"/>
    <w:rsid w:val="007A3682"/>
    <w:rsid w:val="007A38F8"/>
    <w:rsid w:val="007A4E99"/>
    <w:rsid w:val="007A5945"/>
    <w:rsid w:val="007A5B19"/>
    <w:rsid w:val="007A5C5E"/>
    <w:rsid w:val="007A6AF0"/>
    <w:rsid w:val="007A6B22"/>
    <w:rsid w:val="007A776B"/>
    <w:rsid w:val="007A7AC9"/>
    <w:rsid w:val="007B0371"/>
    <w:rsid w:val="007B0B24"/>
    <w:rsid w:val="007B0C6A"/>
    <w:rsid w:val="007B15D7"/>
    <w:rsid w:val="007B19D6"/>
    <w:rsid w:val="007B1C15"/>
    <w:rsid w:val="007B1C19"/>
    <w:rsid w:val="007B2059"/>
    <w:rsid w:val="007B2AD2"/>
    <w:rsid w:val="007B3317"/>
    <w:rsid w:val="007B35A8"/>
    <w:rsid w:val="007B43A4"/>
    <w:rsid w:val="007B4BCC"/>
    <w:rsid w:val="007B4C3A"/>
    <w:rsid w:val="007B51D7"/>
    <w:rsid w:val="007B62AF"/>
    <w:rsid w:val="007B63DE"/>
    <w:rsid w:val="007C082A"/>
    <w:rsid w:val="007C0938"/>
    <w:rsid w:val="007C0AB3"/>
    <w:rsid w:val="007C198F"/>
    <w:rsid w:val="007C1B4F"/>
    <w:rsid w:val="007C1B5B"/>
    <w:rsid w:val="007C2248"/>
    <w:rsid w:val="007C326E"/>
    <w:rsid w:val="007C37D8"/>
    <w:rsid w:val="007C3C12"/>
    <w:rsid w:val="007C400B"/>
    <w:rsid w:val="007C48C1"/>
    <w:rsid w:val="007C4B5D"/>
    <w:rsid w:val="007C4C1D"/>
    <w:rsid w:val="007C5154"/>
    <w:rsid w:val="007C5206"/>
    <w:rsid w:val="007C5250"/>
    <w:rsid w:val="007C52C3"/>
    <w:rsid w:val="007C5FDD"/>
    <w:rsid w:val="007C6AAA"/>
    <w:rsid w:val="007C6F80"/>
    <w:rsid w:val="007D08F6"/>
    <w:rsid w:val="007D140D"/>
    <w:rsid w:val="007D1524"/>
    <w:rsid w:val="007D1CEE"/>
    <w:rsid w:val="007D2602"/>
    <w:rsid w:val="007D29C1"/>
    <w:rsid w:val="007D2E7D"/>
    <w:rsid w:val="007D39FA"/>
    <w:rsid w:val="007D3B99"/>
    <w:rsid w:val="007D3D78"/>
    <w:rsid w:val="007D456E"/>
    <w:rsid w:val="007D526C"/>
    <w:rsid w:val="007D5753"/>
    <w:rsid w:val="007D6F29"/>
    <w:rsid w:val="007D767B"/>
    <w:rsid w:val="007D768B"/>
    <w:rsid w:val="007D78E7"/>
    <w:rsid w:val="007E0390"/>
    <w:rsid w:val="007E0513"/>
    <w:rsid w:val="007E1242"/>
    <w:rsid w:val="007E145E"/>
    <w:rsid w:val="007E1914"/>
    <w:rsid w:val="007E2670"/>
    <w:rsid w:val="007E277F"/>
    <w:rsid w:val="007E31C8"/>
    <w:rsid w:val="007E3703"/>
    <w:rsid w:val="007E3FEB"/>
    <w:rsid w:val="007E4065"/>
    <w:rsid w:val="007E4109"/>
    <w:rsid w:val="007E4A12"/>
    <w:rsid w:val="007E5671"/>
    <w:rsid w:val="007E64CE"/>
    <w:rsid w:val="007E66CF"/>
    <w:rsid w:val="007E7541"/>
    <w:rsid w:val="007E7C74"/>
    <w:rsid w:val="007E7DBB"/>
    <w:rsid w:val="007F0167"/>
    <w:rsid w:val="007F04C2"/>
    <w:rsid w:val="007F0740"/>
    <w:rsid w:val="007F0941"/>
    <w:rsid w:val="007F0C2F"/>
    <w:rsid w:val="007F0F43"/>
    <w:rsid w:val="007F10FB"/>
    <w:rsid w:val="007F1368"/>
    <w:rsid w:val="007F1494"/>
    <w:rsid w:val="007F1C02"/>
    <w:rsid w:val="007F1E65"/>
    <w:rsid w:val="007F24B1"/>
    <w:rsid w:val="007F3B5E"/>
    <w:rsid w:val="007F3C5D"/>
    <w:rsid w:val="007F4342"/>
    <w:rsid w:val="007F43FD"/>
    <w:rsid w:val="007F4F2D"/>
    <w:rsid w:val="007F6DCC"/>
    <w:rsid w:val="007F74AD"/>
    <w:rsid w:val="00800462"/>
    <w:rsid w:val="00800759"/>
    <w:rsid w:val="00800BB6"/>
    <w:rsid w:val="00800C57"/>
    <w:rsid w:val="0080118E"/>
    <w:rsid w:val="00801BF7"/>
    <w:rsid w:val="00802001"/>
    <w:rsid w:val="008023BD"/>
    <w:rsid w:val="0080365E"/>
    <w:rsid w:val="00803DD1"/>
    <w:rsid w:val="0080430F"/>
    <w:rsid w:val="00804656"/>
    <w:rsid w:val="0080494A"/>
    <w:rsid w:val="00804F82"/>
    <w:rsid w:val="00805F38"/>
    <w:rsid w:val="00806AF3"/>
    <w:rsid w:val="008074AC"/>
    <w:rsid w:val="00807928"/>
    <w:rsid w:val="00807A95"/>
    <w:rsid w:val="00807C6F"/>
    <w:rsid w:val="00807FAD"/>
    <w:rsid w:val="008101A6"/>
    <w:rsid w:val="0081050D"/>
    <w:rsid w:val="00810517"/>
    <w:rsid w:val="0081136E"/>
    <w:rsid w:val="008113F1"/>
    <w:rsid w:val="008114C9"/>
    <w:rsid w:val="0081156E"/>
    <w:rsid w:val="00811A71"/>
    <w:rsid w:val="00811FAE"/>
    <w:rsid w:val="008122BE"/>
    <w:rsid w:val="00813234"/>
    <w:rsid w:val="008132ED"/>
    <w:rsid w:val="0081341A"/>
    <w:rsid w:val="00813722"/>
    <w:rsid w:val="00813A71"/>
    <w:rsid w:val="00813FD8"/>
    <w:rsid w:val="008140D9"/>
    <w:rsid w:val="00814358"/>
    <w:rsid w:val="0081437B"/>
    <w:rsid w:val="00814F21"/>
    <w:rsid w:val="0081508A"/>
    <w:rsid w:val="0081538B"/>
    <w:rsid w:val="0081572E"/>
    <w:rsid w:val="0081601F"/>
    <w:rsid w:val="008163F4"/>
    <w:rsid w:val="008163F6"/>
    <w:rsid w:val="00817055"/>
    <w:rsid w:val="008176D4"/>
    <w:rsid w:val="008176F6"/>
    <w:rsid w:val="00817CC3"/>
    <w:rsid w:val="00817F5C"/>
    <w:rsid w:val="0082091A"/>
    <w:rsid w:val="00820E5B"/>
    <w:rsid w:val="00821078"/>
    <w:rsid w:val="00821B9D"/>
    <w:rsid w:val="0082231F"/>
    <w:rsid w:val="00822D68"/>
    <w:rsid w:val="008236B8"/>
    <w:rsid w:val="00823C13"/>
    <w:rsid w:val="00824C2C"/>
    <w:rsid w:val="00824DB0"/>
    <w:rsid w:val="00825095"/>
    <w:rsid w:val="008250A4"/>
    <w:rsid w:val="00825911"/>
    <w:rsid w:val="00825D97"/>
    <w:rsid w:val="00825F6D"/>
    <w:rsid w:val="008264F8"/>
    <w:rsid w:val="0082793D"/>
    <w:rsid w:val="008279F9"/>
    <w:rsid w:val="00827B1D"/>
    <w:rsid w:val="0083026F"/>
    <w:rsid w:val="008304FF"/>
    <w:rsid w:val="008305F3"/>
    <w:rsid w:val="00830BDA"/>
    <w:rsid w:val="00830BF7"/>
    <w:rsid w:val="00830EB7"/>
    <w:rsid w:val="00831343"/>
    <w:rsid w:val="0083211F"/>
    <w:rsid w:val="00832785"/>
    <w:rsid w:val="00832C46"/>
    <w:rsid w:val="00833172"/>
    <w:rsid w:val="00834DD3"/>
    <w:rsid w:val="00834F22"/>
    <w:rsid w:val="00835812"/>
    <w:rsid w:val="00835CAF"/>
    <w:rsid w:val="008364A9"/>
    <w:rsid w:val="00836881"/>
    <w:rsid w:val="00836C1D"/>
    <w:rsid w:val="00836F50"/>
    <w:rsid w:val="0083712F"/>
    <w:rsid w:val="00837246"/>
    <w:rsid w:val="008376B6"/>
    <w:rsid w:val="0083799D"/>
    <w:rsid w:val="00837A9F"/>
    <w:rsid w:val="00841E1D"/>
    <w:rsid w:val="008435EA"/>
    <w:rsid w:val="00843872"/>
    <w:rsid w:val="0084473E"/>
    <w:rsid w:val="00844A2B"/>
    <w:rsid w:val="008451C3"/>
    <w:rsid w:val="0084521C"/>
    <w:rsid w:val="00845E7F"/>
    <w:rsid w:val="00845EAA"/>
    <w:rsid w:val="00845F9B"/>
    <w:rsid w:val="0084617A"/>
    <w:rsid w:val="00846957"/>
    <w:rsid w:val="00846BE9"/>
    <w:rsid w:val="0084753C"/>
    <w:rsid w:val="00847985"/>
    <w:rsid w:val="00847ABD"/>
    <w:rsid w:val="00850D74"/>
    <w:rsid w:val="008516A8"/>
    <w:rsid w:val="008519EC"/>
    <w:rsid w:val="00851A28"/>
    <w:rsid w:val="008521AC"/>
    <w:rsid w:val="008524F8"/>
    <w:rsid w:val="008526BF"/>
    <w:rsid w:val="0085270B"/>
    <w:rsid w:val="00852B9F"/>
    <w:rsid w:val="00853575"/>
    <w:rsid w:val="00853ED6"/>
    <w:rsid w:val="00853F5B"/>
    <w:rsid w:val="0085418D"/>
    <w:rsid w:val="00854B19"/>
    <w:rsid w:val="00854C9E"/>
    <w:rsid w:val="008551DF"/>
    <w:rsid w:val="008555E3"/>
    <w:rsid w:val="00855621"/>
    <w:rsid w:val="00855660"/>
    <w:rsid w:val="00855849"/>
    <w:rsid w:val="008560C0"/>
    <w:rsid w:val="008607CB"/>
    <w:rsid w:val="00860C67"/>
    <w:rsid w:val="00860E47"/>
    <w:rsid w:val="0086114F"/>
    <w:rsid w:val="00861413"/>
    <w:rsid w:val="00861FF9"/>
    <w:rsid w:val="00863A18"/>
    <w:rsid w:val="00864221"/>
    <w:rsid w:val="008644EC"/>
    <w:rsid w:val="008655F3"/>
    <w:rsid w:val="00865DD8"/>
    <w:rsid w:val="008673B8"/>
    <w:rsid w:val="00867958"/>
    <w:rsid w:val="00867E94"/>
    <w:rsid w:val="00867F82"/>
    <w:rsid w:val="00870A59"/>
    <w:rsid w:val="008716E7"/>
    <w:rsid w:val="0087345D"/>
    <w:rsid w:val="00873534"/>
    <w:rsid w:val="008737F3"/>
    <w:rsid w:val="00873C85"/>
    <w:rsid w:val="008746A0"/>
    <w:rsid w:val="00874A9C"/>
    <w:rsid w:val="00875791"/>
    <w:rsid w:val="00875A8E"/>
    <w:rsid w:val="00875C24"/>
    <w:rsid w:val="008765A7"/>
    <w:rsid w:val="00876DEB"/>
    <w:rsid w:val="00877120"/>
    <w:rsid w:val="008771E3"/>
    <w:rsid w:val="008775B7"/>
    <w:rsid w:val="00877943"/>
    <w:rsid w:val="00877E35"/>
    <w:rsid w:val="00880073"/>
    <w:rsid w:val="00880347"/>
    <w:rsid w:val="00880ABB"/>
    <w:rsid w:val="00881209"/>
    <w:rsid w:val="0088155E"/>
    <w:rsid w:val="0088157D"/>
    <w:rsid w:val="00881F8E"/>
    <w:rsid w:val="008835FF"/>
    <w:rsid w:val="00883DB9"/>
    <w:rsid w:val="00884152"/>
    <w:rsid w:val="008854A4"/>
    <w:rsid w:val="00885D62"/>
    <w:rsid w:val="0088613B"/>
    <w:rsid w:val="008864AF"/>
    <w:rsid w:val="008868B8"/>
    <w:rsid w:val="0088694F"/>
    <w:rsid w:val="00886F4C"/>
    <w:rsid w:val="00886FD4"/>
    <w:rsid w:val="008875E9"/>
    <w:rsid w:val="0088789A"/>
    <w:rsid w:val="00887A62"/>
    <w:rsid w:val="00890561"/>
    <w:rsid w:val="00890C48"/>
    <w:rsid w:val="00892F8D"/>
    <w:rsid w:val="008947D1"/>
    <w:rsid w:val="00894800"/>
    <w:rsid w:val="008948AF"/>
    <w:rsid w:val="00894AE4"/>
    <w:rsid w:val="00894DA6"/>
    <w:rsid w:val="00895161"/>
    <w:rsid w:val="00895265"/>
    <w:rsid w:val="00895B39"/>
    <w:rsid w:val="00895F8B"/>
    <w:rsid w:val="0089673E"/>
    <w:rsid w:val="00896B49"/>
    <w:rsid w:val="00896B4E"/>
    <w:rsid w:val="0089700F"/>
    <w:rsid w:val="00897675"/>
    <w:rsid w:val="008A1270"/>
    <w:rsid w:val="008A18F0"/>
    <w:rsid w:val="008A1A92"/>
    <w:rsid w:val="008A27CB"/>
    <w:rsid w:val="008A2B10"/>
    <w:rsid w:val="008A4012"/>
    <w:rsid w:val="008A451A"/>
    <w:rsid w:val="008A4D94"/>
    <w:rsid w:val="008A538C"/>
    <w:rsid w:val="008A553F"/>
    <w:rsid w:val="008A5A8D"/>
    <w:rsid w:val="008A5E60"/>
    <w:rsid w:val="008A6355"/>
    <w:rsid w:val="008A6A16"/>
    <w:rsid w:val="008B0680"/>
    <w:rsid w:val="008B0B6F"/>
    <w:rsid w:val="008B113F"/>
    <w:rsid w:val="008B1207"/>
    <w:rsid w:val="008B146D"/>
    <w:rsid w:val="008B17D6"/>
    <w:rsid w:val="008B3237"/>
    <w:rsid w:val="008B34C4"/>
    <w:rsid w:val="008B4E23"/>
    <w:rsid w:val="008B5139"/>
    <w:rsid w:val="008B522E"/>
    <w:rsid w:val="008B5B5D"/>
    <w:rsid w:val="008B5F1E"/>
    <w:rsid w:val="008B6CAD"/>
    <w:rsid w:val="008B7AF5"/>
    <w:rsid w:val="008C157D"/>
    <w:rsid w:val="008C15AC"/>
    <w:rsid w:val="008C1DDA"/>
    <w:rsid w:val="008C1ED0"/>
    <w:rsid w:val="008C2931"/>
    <w:rsid w:val="008C300B"/>
    <w:rsid w:val="008C374B"/>
    <w:rsid w:val="008C3EAB"/>
    <w:rsid w:val="008C3F74"/>
    <w:rsid w:val="008C4519"/>
    <w:rsid w:val="008C47C4"/>
    <w:rsid w:val="008C488B"/>
    <w:rsid w:val="008C4B76"/>
    <w:rsid w:val="008C4FB3"/>
    <w:rsid w:val="008C50EE"/>
    <w:rsid w:val="008C53D3"/>
    <w:rsid w:val="008C6619"/>
    <w:rsid w:val="008C6EB4"/>
    <w:rsid w:val="008C7443"/>
    <w:rsid w:val="008C7A9E"/>
    <w:rsid w:val="008C7EE1"/>
    <w:rsid w:val="008D082C"/>
    <w:rsid w:val="008D0B5E"/>
    <w:rsid w:val="008D11B9"/>
    <w:rsid w:val="008D16DB"/>
    <w:rsid w:val="008D1829"/>
    <w:rsid w:val="008D18E3"/>
    <w:rsid w:val="008D1FAF"/>
    <w:rsid w:val="008D242E"/>
    <w:rsid w:val="008D3128"/>
    <w:rsid w:val="008D3405"/>
    <w:rsid w:val="008D38BB"/>
    <w:rsid w:val="008D5170"/>
    <w:rsid w:val="008D536C"/>
    <w:rsid w:val="008D5375"/>
    <w:rsid w:val="008D5E53"/>
    <w:rsid w:val="008D6F59"/>
    <w:rsid w:val="008D76F6"/>
    <w:rsid w:val="008D7E6B"/>
    <w:rsid w:val="008E08F7"/>
    <w:rsid w:val="008E0FB5"/>
    <w:rsid w:val="008E103B"/>
    <w:rsid w:val="008E212E"/>
    <w:rsid w:val="008E2C74"/>
    <w:rsid w:val="008E2D2B"/>
    <w:rsid w:val="008E38AB"/>
    <w:rsid w:val="008E41D4"/>
    <w:rsid w:val="008E474F"/>
    <w:rsid w:val="008E4B40"/>
    <w:rsid w:val="008E51B5"/>
    <w:rsid w:val="008E58F0"/>
    <w:rsid w:val="008E7B47"/>
    <w:rsid w:val="008F2576"/>
    <w:rsid w:val="008F35B1"/>
    <w:rsid w:val="008F394C"/>
    <w:rsid w:val="008F4374"/>
    <w:rsid w:val="008F48C4"/>
    <w:rsid w:val="008F4F34"/>
    <w:rsid w:val="008F6927"/>
    <w:rsid w:val="008F70D9"/>
    <w:rsid w:val="00900080"/>
    <w:rsid w:val="00900CB9"/>
    <w:rsid w:val="009012A0"/>
    <w:rsid w:val="00901385"/>
    <w:rsid w:val="00901C3B"/>
    <w:rsid w:val="00902113"/>
    <w:rsid w:val="0090230E"/>
    <w:rsid w:val="00902669"/>
    <w:rsid w:val="00902B8F"/>
    <w:rsid w:val="00902C3A"/>
    <w:rsid w:val="0090350A"/>
    <w:rsid w:val="00903964"/>
    <w:rsid w:val="009039CC"/>
    <w:rsid w:val="0090424B"/>
    <w:rsid w:val="00904A9C"/>
    <w:rsid w:val="00904EA5"/>
    <w:rsid w:val="00905291"/>
    <w:rsid w:val="00907C67"/>
    <w:rsid w:val="00907F28"/>
    <w:rsid w:val="0091073C"/>
    <w:rsid w:val="00910F92"/>
    <w:rsid w:val="009116F5"/>
    <w:rsid w:val="0091210D"/>
    <w:rsid w:val="00912A97"/>
    <w:rsid w:val="00913222"/>
    <w:rsid w:val="0091356F"/>
    <w:rsid w:val="00914286"/>
    <w:rsid w:val="00914CF3"/>
    <w:rsid w:val="00914E3D"/>
    <w:rsid w:val="00914F85"/>
    <w:rsid w:val="009156D7"/>
    <w:rsid w:val="00915DCD"/>
    <w:rsid w:val="00916C74"/>
    <w:rsid w:val="00916D40"/>
    <w:rsid w:val="00917266"/>
    <w:rsid w:val="00917701"/>
    <w:rsid w:val="009179AD"/>
    <w:rsid w:val="00917A56"/>
    <w:rsid w:val="00920030"/>
    <w:rsid w:val="00921F58"/>
    <w:rsid w:val="0092202F"/>
    <w:rsid w:val="00922506"/>
    <w:rsid w:val="0092292F"/>
    <w:rsid w:val="00922CAA"/>
    <w:rsid w:val="00922DDB"/>
    <w:rsid w:val="009230C2"/>
    <w:rsid w:val="0092366F"/>
    <w:rsid w:val="009239B3"/>
    <w:rsid w:val="00923DDE"/>
    <w:rsid w:val="00924BD1"/>
    <w:rsid w:val="009256B9"/>
    <w:rsid w:val="00925A24"/>
    <w:rsid w:val="00925FCF"/>
    <w:rsid w:val="00926620"/>
    <w:rsid w:val="00926729"/>
    <w:rsid w:val="00926776"/>
    <w:rsid w:val="00926B89"/>
    <w:rsid w:val="0092731E"/>
    <w:rsid w:val="009279D5"/>
    <w:rsid w:val="00930356"/>
    <w:rsid w:val="009308CD"/>
    <w:rsid w:val="00930E0E"/>
    <w:rsid w:val="00931115"/>
    <w:rsid w:val="00931274"/>
    <w:rsid w:val="00931919"/>
    <w:rsid w:val="00931DCE"/>
    <w:rsid w:val="00932138"/>
    <w:rsid w:val="0093280F"/>
    <w:rsid w:val="0093292B"/>
    <w:rsid w:val="009339AE"/>
    <w:rsid w:val="00933ABC"/>
    <w:rsid w:val="00933B5A"/>
    <w:rsid w:val="00933C4C"/>
    <w:rsid w:val="00933F76"/>
    <w:rsid w:val="009343AD"/>
    <w:rsid w:val="009346C0"/>
    <w:rsid w:val="00935064"/>
    <w:rsid w:val="009360EE"/>
    <w:rsid w:val="009362CD"/>
    <w:rsid w:val="00936FA5"/>
    <w:rsid w:val="00937047"/>
    <w:rsid w:val="00937085"/>
    <w:rsid w:val="009371B4"/>
    <w:rsid w:val="00937866"/>
    <w:rsid w:val="00940133"/>
    <w:rsid w:val="00940421"/>
    <w:rsid w:val="00940B61"/>
    <w:rsid w:val="009416E3"/>
    <w:rsid w:val="009420ED"/>
    <w:rsid w:val="00942A9C"/>
    <w:rsid w:val="00942FA9"/>
    <w:rsid w:val="00943051"/>
    <w:rsid w:val="0094486C"/>
    <w:rsid w:val="00944C03"/>
    <w:rsid w:val="00944C56"/>
    <w:rsid w:val="00945015"/>
    <w:rsid w:val="009457B5"/>
    <w:rsid w:val="009462D7"/>
    <w:rsid w:val="00946E77"/>
    <w:rsid w:val="009473D1"/>
    <w:rsid w:val="00947722"/>
    <w:rsid w:val="0094788F"/>
    <w:rsid w:val="00947B40"/>
    <w:rsid w:val="0095141B"/>
    <w:rsid w:val="009514AE"/>
    <w:rsid w:val="0095222B"/>
    <w:rsid w:val="00952D0E"/>
    <w:rsid w:val="00952F00"/>
    <w:rsid w:val="009541C6"/>
    <w:rsid w:val="009542C8"/>
    <w:rsid w:val="00954D65"/>
    <w:rsid w:val="00955AE6"/>
    <w:rsid w:val="00955CF8"/>
    <w:rsid w:val="009560B0"/>
    <w:rsid w:val="0095613E"/>
    <w:rsid w:val="00957041"/>
    <w:rsid w:val="00957B3D"/>
    <w:rsid w:val="009602DA"/>
    <w:rsid w:val="00960EAA"/>
    <w:rsid w:val="00961352"/>
    <w:rsid w:val="0096173D"/>
    <w:rsid w:val="009619C5"/>
    <w:rsid w:val="00961E40"/>
    <w:rsid w:val="00962209"/>
    <w:rsid w:val="009622DB"/>
    <w:rsid w:val="00962D60"/>
    <w:rsid w:val="00962FFF"/>
    <w:rsid w:val="00963F83"/>
    <w:rsid w:val="009642A4"/>
    <w:rsid w:val="00964975"/>
    <w:rsid w:val="00964C22"/>
    <w:rsid w:val="0096776B"/>
    <w:rsid w:val="00970C80"/>
    <w:rsid w:val="00970D0A"/>
    <w:rsid w:val="00970E32"/>
    <w:rsid w:val="009716A6"/>
    <w:rsid w:val="009718BB"/>
    <w:rsid w:val="00972817"/>
    <w:rsid w:val="00973811"/>
    <w:rsid w:val="00973904"/>
    <w:rsid w:val="00973EA4"/>
    <w:rsid w:val="009741CF"/>
    <w:rsid w:val="00974C1C"/>
    <w:rsid w:val="00974F5A"/>
    <w:rsid w:val="00975495"/>
    <w:rsid w:val="00975CF9"/>
    <w:rsid w:val="0097723F"/>
    <w:rsid w:val="00977763"/>
    <w:rsid w:val="0098012F"/>
    <w:rsid w:val="00980920"/>
    <w:rsid w:val="00981BBD"/>
    <w:rsid w:val="00982D2E"/>
    <w:rsid w:val="00983FF8"/>
    <w:rsid w:val="00984722"/>
    <w:rsid w:val="00984B54"/>
    <w:rsid w:val="009852B0"/>
    <w:rsid w:val="009852E0"/>
    <w:rsid w:val="009855FF"/>
    <w:rsid w:val="00985A71"/>
    <w:rsid w:val="00985E25"/>
    <w:rsid w:val="0098678E"/>
    <w:rsid w:val="00987212"/>
    <w:rsid w:val="009873CF"/>
    <w:rsid w:val="00987626"/>
    <w:rsid w:val="0099051F"/>
    <w:rsid w:val="00992364"/>
    <w:rsid w:val="009931B8"/>
    <w:rsid w:val="0099392D"/>
    <w:rsid w:val="009939D1"/>
    <w:rsid w:val="00993B2B"/>
    <w:rsid w:val="009942F0"/>
    <w:rsid w:val="00994505"/>
    <w:rsid w:val="00994ED3"/>
    <w:rsid w:val="0099516D"/>
    <w:rsid w:val="00995A21"/>
    <w:rsid w:val="00995E92"/>
    <w:rsid w:val="00996946"/>
    <w:rsid w:val="0099751E"/>
    <w:rsid w:val="0099758C"/>
    <w:rsid w:val="00997807"/>
    <w:rsid w:val="009A0E22"/>
    <w:rsid w:val="009A16A6"/>
    <w:rsid w:val="009A16FB"/>
    <w:rsid w:val="009A1A7B"/>
    <w:rsid w:val="009A232E"/>
    <w:rsid w:val="009A26DF"/>
    <w:rsid w:val="009A304D"/>
    <w:rsid w:val="009A31E9"/>
    <w:rsid w:val="009A38D3"/>
    <w:rsid w:val="009A3F80"/>
    <w:rsid w:val="009A46D3"/>
    <w:rsid w:val="009A58D6"/>
    <w:rsid w:val="009B0237"/>
    <w:rsid w:val="009B064A"/>
    <w:rsid w:val="009B0A55"/>
    <w:rsid w:val="009B1647"/>
    <w:rsid w:val="009B1843"/>
    <w:rsid w:val="009B1A63"/>
    <w:rsid w:val="009B2487"/>
    <w:rsid w:val="009B2836"/>
    <w:rsid w:val="009B2FA6"/>
    <w:rsid w:val="009B3448"/>
    <w:rsid w:val="009B4176"/>
    <w:rsid w:val="009B4C78"/>
    <w:rsid w:val="009B601B"/>
    <w:rsid w:val="009B6821"/>
    <w:rsid w:val="009B69F7"/>
    <w:rsid w:val="009B6BA8"/>
    <w:rsid w:val="009C016C"/>
    <w:rsid w:val="009C0344"/>
    <w:rsid w:val="009C13FC"/>
    <w:rsid w:val="009C1B82"/>
    <w:rsid w:val="009C239B"/>
    <w:rsid w:val="009C2EC8"/>
    <w:rsid w:val="009C305C"/>
    <w:rsid w:val="009C3C54"/>
    <w:rsid w:val="009C3E48"/>
    <w:rsid w:val="009C411B"/>
    <w:rsid w:val="009C4194"/>
    <w:rsid w:val="009C434B"/>
    <w:rsid w:val="009C44CE"/>
    <w:rsid w:val="009C491B"/>
    <w:rsid w:val="009C4B91"/>
    <w:rsid w:val="009C5083"/>
    <w:rsid w:val="009C551D"/>
    <w:rsid w:val="009C5C03"/>
    <w:rsid w:val="009C72CF"/>
    <w:rsid w:val="009C76E2"/>
    <w:rsid w:val="009D0262"/>
    <w:rsid w:val="009D0979"/>
    <w:rsid w:val="009D0AC5"/>
    <w:rsid w:val="009D107D"/>
    <w:rsid w:val="009D1500"/>
    <w:rsid w:val="009D1868"/>
    <w:rsid w:val="009D1DF5"/>
    <w:rsid w:val="009D2BE4"/>
    <w:rsid w:val="009D3268"/>
    <w:rsid w:val="009D3388"/>
    <w:rsid w:val="009D38AD"/>
    <w:rsid w:val="009D4748"/>
    <w:rsid w:val="009D4F72"/>
    <w:rsid w:val="009D5245"/>
    <w:rsid w:val="009D597B"/>
    <w:rsid w:val="009D5E0C"/>
    <w:rsid w:val="009D5E3A"/>
    <w:rsid w:val="009D6310"/>
    <w:rsid w:val="009D6972"/>
    <w:rsid w:val="009D6EBA"/>
    <w:rsid w:val="009D7720"/>
    <w:rsid w:val="009D7DB5"/>
    <w:rsid w:val="009E0484"/>
    <w:rsid w:val="009E0AF5"/>
    <w:rsid w:val="009E1FF7"/>
    <w:rsid w:val="009E2013"/>
    <w:rsid w:val="009E267C"/>
    <w:rsid w:val="009E378C"/>
    <w:rsid w:val="009E4690"/>
    <w:rsid w:val="009E499B"/>
    <w:rsid w:val="009E4D92"/>
    <w:rsid w:val="009E5320"/>
    <w:rsid w:val="009E5767"/>
    <w:rsid w:val="009E5B68"/>
    <w:rsid w:val="009E6049"/>
    <w:rsid w:val="009F09B5"/>
    <w:rsid w:val="009F1170"/>
    <w:rsid w:val="009F12EF"/>
    <w:rsid w:val="009F1398"/>
    <w:rsid w:val="009F1AD9"/>
    <w:rsid w:val="009F1E18"/>
    <w:rsid w:val="009F1EC5"/>
    <w:rsid w:val="009F2078"/>
    <w:rsid w:val="009F229A"/>
    <w:rsid w:val="009F299E"/>
    <w:rsid w:val="009F2CFC"/>
    <w:rsid w:val="009F3A2B"/>
    <w:rsid w:val="009F40E7"/>
    <w:rsid w:val="009F49A4"/>
    <w:rsid w:val="009F4C97"/>
    <w:rsid w:val="009F5058"/>
    <w:rsid w:val="009F51E2"/>
    <w:rsid w:val="009F52EB"/>
    <w:rsid w:val="009F6A04"/>
    <w:rsid w:val="009F6CE9"/>
    <w:rsid w:val="009F7199"/>
    <w:rsid w:val="009F7B4C"/>
    <w:rsid w:val="009F7D30"/>
    <w:rsid w:val="00A006C1"/>
    <w:rsid w:val="00A00B28"/>
    <w:rsid w:val="00A01810"/>
    <w:rsid w:val="00A01F0C"/>
    <w:rsid w:val="00A020CC"/>
    <w:rsid w:val="00A026F9"/>
    <w:rsid w:val="00A037C4"/>
    <w:rsid w:val="00A047C8"/>
    <w:rsid w:val="00A04C6A"/>
    <w:rsid w:val="00A05761"/>
    <w:rsid w:val="00A10171"/>
    <w:rsid w:val="00A10526"/>
    <w:rsid w:val="00A106BB"/>
    <w:rsid w:val="00A10A47"/>
    <w:rsid w:val="00A10BA9"/>
    <w:rsid w:val="00A10D02"/>
    <w:rsid w:val="00A11A30"/>
    <w:rsid w:val="00A11EEA"/>
    <w:rsid w:val="00A1203D"/>
    <w:rsid w:val="00A12874"/>
    <w:rsid w:val="00A12BF9"/>
    <w:rsid w:val="00A14CFA"/>
    <w:rsid w:val="00A14E45"/>
    <w:rsid w:val="00A153AE"/>
    <w:rsid w:val="00A158F7"/>
    <w:rsid w:val="00A16245"/>
    <w:rsid w:val="00A167F1"/>
    <w:rsid w:val="00A16AC3"/>
    <w:rsid w:val="00A17E1A"/>
    <w:rsid w:val="00A17E92"/>
    <w:rsid w:val="00A205F7"/>
    <w:rsid w:val="00A208E9"/>
    <w:rsid w:val="00A20DBE"/>
    <w:rsid w:val="00A2123C"/>
    <w:rsid w:val="00A218F8"/>
    <w:rsid w:val="00A21D59"/>
    <w:rsid w:val="00A22FD8"/>
    <w:rsid w:val="00A23D2F"/>
    <w:rsid w:val="00A23D72"/>
    <w:rsid w:val="00A24173"/>
    <w:rsid w:val="00A24404"/>
    <w:rsid w:val="00A24A2A"/>
    <w:rsid w:val="00A24B52"/>
    <w:rsid w:val="00A25301"/>
    <w:rsid w:val="00A25356"/>
    <w:rsid w:val="00A25A6D"/>
    <w:rsid w:val="00A25FCD"/>
    <w:rsid w:val="00A26262"/>
    <w:rsid w:val="00A263B3"/>
    <w:rsid w:val="00A263D7"/>
    <w:rsid w:val="00A272DB"/>
    <w:rsid w:val="00A27354"/>
    <w:rsid w:val="00A27B53"/>
    <w:rsid w:val="00A3140B"/>
    <w:rsid w:val="00A3159D"/>
    <w:rsid w:val="00A32419"/>
    <w:rsid w:val="00A324A9"/>
    <w:rsid w:val="00A327D1"/>
    <w:rsid w:val="00A32BD6"/>
    <w:rsid w:val="00A339BE"/>
    <w:rsid w:val="00A33C42"/>
    <w:rsid w:val="00A3408A"/>
    <w:rsid w:val="00A34450"/>
    <w:rsid w:val="00A3472E"/>
    <w:rsid w:val="00A3516F"/>
    <w:rsid w:val="00A354DF"/>
    <w:rsid w:val="00A357C0"/>
    <w:rsid w:val="00A358D0"/>
    <w:rsid w:val="00A35C0C"/>
    <w:rsid w:val="00A35C62"/>
    <w:rsid w:val="00A35EC6"/>
    <w:rsid w:val="00A36496"/>
    <w:rsid w:val="00A371AE"/>
    <w:rsid w:val="00A374C0"/>
    <w:rsid w:val="00A3799C"/>
    <w:rsid w:val="00A37A91"/>
    <w:rsid w:val="00A40662"/>
    <w:rsid w:val="00A406D6"/>
    <w:rsid w:val="00A4083B"/>
    <w:rsid w:val="00A40B26"/>
    <w:rsid w:val="00A42BC9"/>
    <w:rsid w:val="00A43577"/>
    <w:rsid w:val="00A43685"/>
    <w:rsid w:val="00A43B41"/>
    <w:rsid w:val="00A4458F"/>
    <w:rsid w:val="00A44F83"/>
    <w:rsid w:val="00A46422"/>
    <w:rsid w:val="00A464D3"/>
    <w:rsid w:val="00A465C4"/>
    <w:rsid w:val="00A46683"/>
    <w:rsid w:val="00A46EB8"/>
    <w:rsid w:val="00A472E3"/>
    <w:rsid w:val="00A47CAA"/>
    <w:rsid w:val="00A50BE0"/>
    <w:rsid w:val="00A5114A"/>
    <w:rsid w:val="00A512C1"/>
    <w:rsid w:val="00A514BA"/>
    <w:rsid w:val="00A51697"/>
    <w:rsid w:val="00A5184A"/>
    <w:rsid w:val="00A5189D"/>
    <w:rsid w:val="00A51EB9"/>
    <w:rsid w:val="00A5209D"/>
    <w:rsid w:val="00A52EBA"/>
    <w:rsid w:val="00A53582"/>
    <w:rsid w:val="00A53E27"/>
    <w:rsid w:val="00A540FB"/>
    <w:rsid w:val="00A547B5"/>
    <w:rsid w:val="00A54939"/>
    <w:rsid w:val="00A549B4"/>
    <w:rsid w:val="00A54A1F"/>
    <w:rsid w:val="00A54B45"/>
    <w:rsid w:val="00A54C8D"/>
    <w:rsid w:val="00A55AC2"/>
    <w:rsid w:val="00A55B0F"/>
    <w:rsid w:val="00A55E6B"/>
    <w:rsid w:val="00A56443"/>
    <w:rsid w:val="00A57336"/>
    <w:rsid w:val="00A57724"/>
    <w:rsid w:val="00A57AE0"/>
    <w:rsid w:val="00A57C92"/>
    <w:rsid w:val="00A57FD3"/>
    <w:rsid w:val="00A606E5"/>
    <w:rsid w:val="00A60B47"/>
    <w:rsid w:val="00A60DE8"/>
    <w:rsid w:val="00A614F3"/>
    <w:rsid w:val="00A617FA"/>
    <w:rsid w:val="00A61D13"/>
    <w:rsid w:val="00A62621"/>
    <w:rsid w:val="00A62843"/>
    <w:rsid w:val="00A628EC"/>
    <w:rsid w:val="00A633AC"/>
    <w:rsid w:val="00A635A3"/>
    <w:rsid w:val="00A63ACD"/>
    <w:rsid w:val="00A63FA8"/>
    <w:rsid w:val="00A6477E"/>
    <w:rsid w:val="00A64944"/>
    <w:rsid w:val="00A6608F"/>
    <w:rsid w:val="00A66343"/>
    <w:rsid w:val="00A66763"/>
    <w:rsid w:val="00A708D4"/>
    <w:rsid w:val="00A7224E"/>
    <w:rsid w:val="00A72843"/>
    <w:rsid w:val="00A72B8A"/>
    <w:rsid w:val="00A7324F"/>
    <w:rsid w:val="00A736C7"/>
    <w:rsid w:val="00A75284"/>
    <w:rsid w:val="00A75B35"/>
    <w:rsid w:val="00A77AAB"/>
    <w:rsid w:val="00A77C6D"/>
    <w:rsid w:val="00A80E71"/>
    <w:rsid w:val="00A820E7"/>
    <w:rsid w:val="00A82661"/>
    <w:rsid w:val="00A82A8A"/>
    <w:rsid w:val="00A83920"/>
    <w:rsid w:val="00A8428A"/>
    <w:rsid w:val="00A8507A"/>
    <w:rsid w:val="00A857CB"/>
    <w:rsid w:val="00A85BC6"/>
    <w:rsid w:val="00A85FF4"/>
    <w:rsid w:val="00A86AE1"/>
    <w:rsid w:val="00A86D49"/>
    <w:rsid w:val="00A874E4"/>
    <w:rsid w:val="00A90516"/>
    <w:rsid w:val="00A9055A"/>
    <w:rsid w:val="00A908B9"/>
    <w:rsid w:val="00A9095D"/>
    <w:rsid w:val="00A90BC9"/>
    <w:rsid w:val="00A92300"/>
    <w:rsid w:val="00A929AB"/>
    <w:rsid w:val="00A952AC"/>
    <w:rsid w:val="00A95307"/>
    <w:rsid w:val="00A95499"/>
    <w:rsid w:val="00A9602F"/>
    <w:rsid w:val="00A96305"/>
    <w:rsid w:val="00A96500"/>
    <w:rsid w:val="00A96719"/>
    <w:rsid w:val="00A96F77"/>
    <w:rsid w:val="00AA03EE"/>
    <w:rsid w:val="00AA1B39"/>
    <w:rsid w:val="00AA1BF1"/>
    <w:rsid w:val="00AA1DF8"/>
    <w:rsid w:val="00AA22BA"/>
    <w:rsid w:val="00AA243E"/>
    <w:rsid w:val="00AA2673"/>
    <w:rsid w:val="00AA343C"/>
    <w:rsid w:val="00AA40DA"/>
    <w:rsid w:val="00AA4D21"/>
    <w:rsid w:val="00AA551C"/>
    <w:rsid w:val="00AA5DAD"/>
    <w:rsid w:val="00AA5DE4"/>
    <w:rsid w:val="00AA68C3"/>
    <w:rsid w:val="00AA6D9D"/>
    <w:rsid w:val="00AA7095"/>
    <w:rsid w:val="00AA77F7"/>
    <w:rsid w:val="00AA7F05"/>
    <w:rsid w:val="00AB002F"/>
    <w:rsid w:val="00AB02BE"/>
    <w:rsid w:val="00AB04AD"/>
    <w:rsid w:val="00AB07DC"/>
    <w:rsid w:val="00AB0BDF"/>
    <w:rsid w:val="00AB0CC3"/>
    <w:rsid w:val="00AB1455"/>
    <w:rsid w:val="00AB1C22"/>
    <w:rsid w:val="00AB2C4D"/>
    <w:rsid w:val="00AB2C81"/>
    <w:rsid w:val="00AB318B"/>
    <w:rsid w:val="00AB3AD7"/>
    <w:rsid w:val="00AB5824"/>
    <w:rsid w:val="00AB5D62"/>
    <w:rsid w:val="00AB6CAE"/>
    <w:rsid w:val="00AB6EE8"/>
    <w:rsid w:val="00AB785E"/>
    <w:rsid w:val="00AC02F2"/>
    <w:rsid w:val="00AC063C"/>
    <w:rsid w:val="00AC12D2"/>
    <w:rsid w:val="00AC16AD"/>
    <w:rsid w:val="00AC1B2D"/>
    <w:rsid w:val="00AC2A6B"/>
    <w:rsid w:val="00AC2F5E"/>
    <w:rsid w:val="00AC58A9"/>
    <w:rsid w:val="00AC5D35"/>
    <w:rsid w:val="00AC735A"/>
    <w:rsid w:val="00AC7846"/>
    <w:rsid w:val="00AC7D0C"/>
    <w:rsid w:val="00AC7FF6"/>
    <w:rsid w:val="00AD079C"/>
    <w:rsid w:val="00AD0C88"/>
    <w:rsid w:val="00AD1402"/>
    <w:rsid w:val="00AD16E0"/>
    <w:rsid w:val="00AD1BF8"/>
    <w:rsid w:val="00AD1C59"/>
    <w:rsid w:val="00AD27FE"/>
    <w:rsid w:val="00AD2B4F"/>
    <w:rsid w:val="00AD2EFD"/>
    <w:rsid w:val="00AD32F6"/>
    <w:rsid w:val="00AD33FD"/>
    <w:rsid w:val="00AD366C"/>
    <w:rsid w:val="00AD36E8"/>
    <w:rsid w:val="00AD4B3B"/>
    <w:rsid w:val="00AD4F99"/>
    <w:rsid w:val="00AD58AE"/>
    <w:rsid w:val="00AD6458"/>
    <w:rsid w:val="00AD6518"/>
    <w:rsid w:val="00AD7834"/>
    <w:rsid w:val="00AD788F"/>
    <w:rsid w:val="00AD7A51"/>
    <w:rsid w:val="00AD7EAE"/>
    <w:rsid w:val="00AE04AC"/>
    <w:rsid w:val="00AE23C4"/>
    <w:rsid w:val="00AE2703"/>
    <w:rsid w:val="00AE3872"/>
    <w:rsid w:val="00AE4059"/>
    <w:rsid w:val="00AE4DFF"/>
    <w:rsid w:val="00AE6A55"/>
    <w:rsid w:val="00AE6C49"/>
    <w:rsid w:val="00AE78D6"/>
    <w:rsid w:val="00AE7AB7"/>
    <w:rsid w:val="00AE7C2A"/>
    <w:rsid w:val="00AF02FF"/>
    <w:rsid w:val="00AF05F5"/>
    <w:rsid w:val="00AF08FA"/>
    <w:rsid w:val="00AF0B6F"/>
    <w:rsid w:val="00AF0D8C"/>
    <w:rsid w:val="00AF11BA"/>
    <w:rsid w:val="00AF1BB6"/>
    <w:rsid w:val="00AF1DA6"/>
    <w:rsid w:val="00AF2270"/>
    <w:rsid w:val="00AF266B"/>
    <w:rsid w:val="00AF4D9A"/>
    <w:rsid w:val="00AF4FC9"/>
    <w:rsid w:val="00AF53BA"/>
    <w:rsid w:val="00AF5623"/>
    <w:rsid w:val="00AF5853"/>
    <w:rsid w:val="00AF610E"/>
    <w:rsid w:val="00AF758C"/>
    <w:rsid w:val="00AF7CC4"/>
    <w:rsid w:val="00B003E8"/>
    <w:rsid w:val="00B00802"/>
    <w:rsid w:val="00B00D07"/>
    <w:rsid w:val="00B01B47"/>
    <w:rsid w:val="00B01D4F"/>
    <w:rsid w:val="00B02F31"/>
    <w:rsid w:val="00B03065"/>
    <w:rsid w:val="00B0317D"/>
    <w:rsid w:val="00B0341C"/>
    <w:rsid w:val="00B03DCF"/>
    <w:rsid w:val="00B04829"/>
    <w:rsid w:val="00B04E6E"/>
    <w:rsid w:val="00B05545"/>
    <w:rsid w:val="00B05808"/>
    <w:rsid w:val="00B06E8A"/>
    <w:rsid w:val="00B06F17"/>
    <w:rsid w:val="00B07436"/>
    <w:rsid w:val="00B10C95"/>
    <w:rsid w:val="00B1106B"/>
    <w:rsid w:val="00B118FE"/>
    <w:rsid w:val="00B11CF4"/>
    <w:rsid w:val="00B11D34"/>
    <w:rsid w:val="00B11DD2"/>
    <w:rsid w:val="00B13741"/>
    <w:rsid w:val="00B1374F"/>
    <w:rsid w:val="00B13C9A"/>
    <w:rsid w:val="00B13DC0"/>
    <w:rsid w:val="00B13EB6"/>
    <w:rsid w:val="00B14A77"/>
    <w:rsid w:val="00B14B4A"/>
    <w:rsid w:val="00B15291"/>
    <w:rsid w:val="00B153B0"/>
    <w:rsid w:val="00B16806"/>
    <w:rsid w:val="00B16845"/>
    <w:rsid w:val="00B174D1"/>
    <w:rsid w:val="00B17838"/>
    <w:rsid w:val="00B17892"/>
    <w:rsid w:val="00B20095"/>
    <w:rsid w:val="00B20153"/>
    <w:rsid w:val="00B2016B"/>
    <w:rsid w:val="00B212D4"/>
    <w:rsid w:val="00B21362"/>
    <w:rsid w:val="00B21729"/>
    <w:rsid w:val="00B21AA4"/>
    <w:rsid w:val="00B231A6"/>
    <w:rsid w:val="00B23536"/>
    <w:rsid w:val="00B236F3"/>
    <w:rsid w:val="00B23DD9"/>
    <w:rsid w:val="00B246DD"/>
    <w:rsid w:val="00B249D5"/>
    <w:rsid w:val="00B250B7"/>
    <w:rsid w:val="00B252C2"/>
    <w:rsid w:val="00B2555F"/>
    <w:rsid w:val="00B263C0"/>
    <w:rsid w:val="00B267C3"/>
    <w:rsid w:val="00B26C08"/>
    <w:rsid w:val="00B271D9"/>
    <w:rsid w:val="00B2775D"/>
    <w:rsid w:val="00B278D7"/>
    <w:rsid w:val="00B27B86"/>
    <w:rsid w:val="00B27C21"/>
    <w:rsid w:val="00B301F5"/>
    <w:rsid w:val="00B3023B"/>
    <w:rsid w:val="00B30E7E"/>
    <w:rsid w:val="00B32B06"/>
    <w:rsid w:val="00B3329E"/>
    <w:rsid w:val="00B33785"/>
    <w:rsid w:val="00B34485"/>
    <w:rsid w:val="00B349EB"/>
    <w:rsid w:val="00B35C30"/>
    <w:rsid w:val="00B35D1B"/>
    <w:rsid w:val="00B35E5D"/>
    <w:rsid w:val="00B36F58"/>
    <w:rsid w:val="00B37F86"/>
    <w:rsid w:val="00B400F9"/>
    <w:rsid w:val="00B413D9"/>
    <w:rsid w:val="00B41BAF"/>
    <w:rsid w:val="00B41D8C"/>
    <w:rsid w:val="00B42593"/>
    <w:rsid w:val="00B44849"/>
    <w:rsid w:val="00B453F4"/>
    <w:rsid w:val="00B454C5"/>
    <w:rsid w:val="00B45981"/>
    <w:rsid w:val="00B45A12"/>
    <w:rsid w:val="00B46A92"/>
    <w:rsid w:val="00B47018"/>
    <w:rsid w:val="00B4773C"/>
    <w:rsid w:val="00B502DC"/>
    <w:rsid w:val="00B509D1"/>
    <w:rsid w:val="00B50E27"/>
    <w:rsid w:val="00B51BE0"/>
    <w:rsid w:val="00B51DC8"/>
    <w:rsid w:val="00B51F7E"/>
    <w:rsid w:val="00B51FE7"/>
    <w:rsid w:val="00B52045"/>
    <w:rsid w:val="00B526F8"/>
    <w:rsid w:val="00B52719"/>
    <w:rsid w:val="00B5376D"/>
    <w:rsid w:val="00B5390B"/>
    <w:rsid w:val="00B53BEE"/>
    <w:rsid w:val="00B54537"/>
    <w:rsid w:val="00B5484D"/>
    <w:rsid w:val="00B54958"/>
    <w:rsid w:val="00B54B85"/>
    <w:rsid w:val="00B54BF9"/>
    <w:rsid w:val="00B54EC7"/>
    <w:rsid w:val="00B55A56"/>
    <w:rsid w:val="00B55CC1"/>
    <w:rsid w:val="00B564C4"/>
    <w:rsid w:val="00B568AB"/>
    <w:rsid w:val="00B57188"/>
    <w:rsid w:val="00B57AA3"/>
    <w:rsid w:val="00B60133"/>
    <w:rsid w:val="00B6015F"/>
    <w:rsid w:val="00B60723"/>
    <w:rsid w:val="00B64A5C"/>
    <w:rsid w:val="00B64AAB"/>
    <w:rsid w:val="00B64E1C"/>
    <w:rsid w:val="00B65430"/>
    <w:rsid w:val="00B657E4"/>
    <w:rsid w:val="00B669FB"/>
    <w:rsid w:val="00B66E9F"/>
    <w:rsid w:val="00B6764E"/>
    <w:rsid w:val="00B676DF"/>
    <w:rsid w:val="00B67737"/>
    <w:rsid w:val="00B7064B"/>
    <w:rsid w:val="00B708E1"/>
    <w:rsid w:val="00B71615"/>
    <w:rsid w:val="00B716E6"/>
    <w:rsid w:val="00B719A9"/>
    <w:rsid w:val="00B720C5"/>
    <w:rsid w:val="00B723CE"/>
    <w:rsid w:val="00B72410"/>
    <w:rsid w:val="00B724A3"/>
    <w:rsid w:val="00B72FA0"/>
    <w:rsid w:val="00B732BA"/>
    <w:rsid w:val="00B73687"/>
    <w:rsid w:val="00B73880"/>
    <w:rsid w:val="00B7445E"/>
    <w:rsid w:val="00B7462B"/>
    <w:rsid w:val="00B74B54"/>
    <w:rsid w:val="00B74FF0"/>
    <w:rsid w:val="00B75BBC"/>
    <w:rsid w:val="00B75E3F"/>
    <w:rsid w:val="00B75F9D"/>
    <w:rsid w:val="00B763AA"/>
    <w:rsid w:val="00B773F6"/>
    <w:rsid w:val="00B7793D"/>
    <w:rsid w:val="00B80C8F"/>
    <w:rsid w:val="00B80E1B"/>
    <w:rsid w:val="00B80E3E"/>
    <w:rsid w:val="00B81579"/>
    <w:rsid w:val="00B819B1"/>
    <w:rsid w:val="00B82BF8"/>
    <w:rsid w:val="00B82FDE"/>
    <w:rsid w:val="00B83E79"/>
    <w:rsid w:val="00B84A0C"/>
    <w:rsid w:val="00B85566"/>
    <w:rsid w:val="00B85727"/>
    <w:rsid w:val="00B85D36"/>
    <w:rsid w:val="00B86271"/>
    <w:rsid w:val="00B866B0"/>
    <w:rsid w:val="00B866F4"/>
    <w:rsid w:val="00B868C4"/>
    <w:rsid w:val="00B8752B"/>
    <w:rsid w:val="00B87982"/>
    <w:rsid w:val="00B91718"/>
    <w:rsid w:val="00B91FC3"/>
    <w:rsid w:val="00B925E0"/>
    <w:rsid w:val="00B92833"/>
    <w:rsid w:val="00B928EC"/>
    <w:rsid w:val="00B92B0A"/>
    <w:rsid w:val="00B934E2"/>
    <w:rsid w:val="00B9498B"/>
    <w:rsid w:val="00B9558E"/>
    <w:rsid w:val="00B95656"/>
    <w:rsid w:val="00B95ADD"/>
    <w:rsid w:val="00B95C58"/>
    <w:rsid w:val="00B96BF9"/>
    <w:rsid w:val="00BA03B8"/>
    <w:rsid w:val="00BA099F"/>
    <w:rsid w:val="00BA09A0"/>
    <w:rsid w:val="00BA10E5"/>
    <w:rsid w:val="00BA1487"/>
    <w:rsid w:val="00BA1657"/>
    <w:rsid w:val="00BA1AD4"/>
    <w:rsid w:val="00BA30AE"/>
    <w:rsid w:val="00BA3CA9"/>
    <w:rsid w:val="00BA3F0B"/>
    <w:rsid w:val="00BA482D"/>
    <w:rsid w:val="00BA4DB2"/>
    <w:rsid w:val="00BA4EFC"/>
    <w:rsid w:val="00BA51D6"/>
    <w:rsid w:val="00BA563E"/>
    <w:rsid w:val="00BA5CD7"/>
    <w:rsid w:val="00BA63F5"/>
    <w:rsid w:val="00BA6A26"/>
    <w:rsid w:val="00BA71ED"/>
    <w:rsid w:val="00BA724E"/>
    <w:rsid w:val="00BA73CF"/>
    <w:rsid w:val="00BA7743"/>
    <w:rsid w:val="00BA7CFB"/>
    <w:rsid w:val="00BA7D12"/>
    <w:rsid w:val="00BB0548"/>
    <w:rsid w:val="00BB0C10"/>
    <w:rsid w:val="00BB15C4"/>
    <w:rsid w:val="00BB1BC0"/>
    <w:rsid w:val="00BB2C95"/>
    <w:rsid w:val="00BB2D00"/>
    <w:rsid w:val="00BB2E7A"/>
    <w:rsid w:val="00BB38C2"/>
    <w:rsid w:val="00BB3A60"/>
    <w:rsid w:val="00BB44BA"/>
    <w:rsid w:val="00BB5497"/>
    <w:rsid w:val="00BB5FF5"/>
    <w:rsid w:val="00BB70E7"/>
    <w:rsid w:val="00BB749F"/>
    <w:rsid w:val="00BB74C7"/>
    <w:rsid w:val="00BB74F0"/>
    <w:rsid w:val="00BB7983"/>
    <w:rsid w:val="00BC0423"/>
    <w:rsid w:val="00BC164B"/>
    <w:rsid w:val="00BC1D51"/>
    <w:rsid w:val="00BC1F05"/>
    <w:rsid w:val="00BC2597"/>
    <w:rsid w:val="00BC272A"/>
    <w:rsid w:val="00BC2AF6"/>
    <w:rsid w:val="00BC2CBA"/>
    <w:rsid w:val="00BC3A4A"/>
    <w:rsid w:val="00BC4082"/>
    <w:rsid w:val="00BC46D5"/>
    <w:rsid w:val="00BC5B62"/>
    <w:rsid w:val="00BC5E98"/>
    <w:rsid w:val="00BC63E0"/>
    <w:rsid w:val="00BC67F2"/>
    <w:rsid w:val="00BC68F9"/>
    <w:rsid w:val="00BC69AF"/>
    <w:rsid w:val="00BC6F28"/>
    <w:rsid w:val="00BC7096"/>
    <w:rsid w:val="00BC7D55"/>
    <w:rsid w:val="00BD02F0"/>
    <w:rsid w:val="00BD1274"/>
    <w:rsid w:val="00BD12E8"/>
    <w:rsid w:val="00BD2EB7"/>
    <w:rsid w:val="00BD331A"/>
    <w:rsid w:val="00BD341F"/>
    <w:rsid w:val="00BD358B"/>
    <w:rsid w:val="00BD4A28"/>
    <w:rsid w:val="00BD4DB8"/>
    <w:rsid w:val="00BD51CD"/>
    <w:rsid w:val="00BD5365"/>
    <w:rsid w:val="00BD5DAC"/>
    <w:rsid w:val="00BD5E6F"/>
    <w:rsid w:val="00BD5EAD"/>
    <w:rsid w:val="00BD64F6"/>
    <w:rsid w:val="00BD68BE"/>
    <w:rsid w:val="00BD6ABF"/>
    <w:rsid w:val="00BD6B9B"/>
    <w:rsid w:val="00BE02C2"/>
    <w:rsid w:val="00BE03F7"/>
    <w:rsid w:val="00BE1922"/>
    <w:rsid w:val="00BE22B2"/>
    <w:rsid w:val="00BE2E94"/>
    <w:rsid w:val="00BE2ECC"/>
    <w:rsid w:val="00BE2F6C"/>
    <w:rsid w:val="00BE41F2"/>
    <w:rsid w:val="00BE4743"/>
    <w:rsid w:val="00BE5627"/>
    <w:rsid w:val="00BE5F71"/>
    <w:rsid w:val="00BE6039"/>
    <w:rsid w:val="00BE63CA"/>
    <w:rsid w:val="00BE64BA"/>
    <w:rsid w:val="00BE6836"/>
    <w:rsid w:val="00BE6EE7"/>
    <w:rsid w:val="00BE75CD"/>
    <w:rsid w:val="00BE773F"/>
    <w:rsid w:val="00BE7B8A"/>
    <w:rsid w:val="00BE7BDE"/>
    <w:rsid w:val="00BF0551"/>
    <w:rsid w:val="00BF0DD4"/>
    <w:rsid w:val="00BF0EAD"/>
    <w:rsid w:val="00BF0FC5"/>
    <w:rsid w:val="00BF1329"/>
    <w:rsid w:val="00BF1679"/>
    <w:rsid w:val="00BF169F"/>
    <w:rsid w:val="00BF1713"/>
    <w:rsid w:val="00BF1F52"/>
    <w:rsid w:val="00BF24E9"/>
    <w:rsid w:val="00BF3638"/>
    <w:rsid w:val="00BF37AC"/>
    <w:rsid w:val="00BF4403"/>
    <w:rsid w:val="00BF44DA"/>
    <w:rsid w:val="00BF5888"/>
    <w:rsid w:val="00BF6B96"/>
    <w:rsid w:val="00BF6CDB"/>
    <w:rsid w:val="00BF6CE1"/>
    <w:rsid w:val="00BF6D67"/>
    <w:rsid w:val="00BF729E"/>
    <w:rsid w:val="00C001C2"/>
    <w:rsid w:val="00C004A2"/>
    <w:rsid w:val="00C00D6E"/>
    <w:rsid w:val="00C01DCB"/>
    <w:rsid w:val="00C02E7A"/>
    <w:rsid w:val="00C035BC"/>
    <w:rsid w:val="00C036AB"/>
    <w:rsid w:val="00C047DB"/>
    <w:rsid w:val="00C05751"/>
    <w:rsid w:val="00C104C6"/>
    <w:rsid w:val="00C10DB3"/>
    <w:rsid w:val="00C11E52"/>
    <w:rsid w:val="00C12392"/>
    <w:rsid w:val="00C1277D"/>
    <w:rsid w:val="00C14957"/>
    <w:rsid w:val="00C14EB7"/>
    <w:rsid w:val="00C15319"/>
    <w:rsid w:val="00C159F9"/>
    <w:rsid w:val="00C16637"/>
    <w:rsid w:val="00C16EF3"/>
    <w:rsid w:val="00C1746A"/>
    <w:rsid w:val="00C1770C"/>
    <w:rsid w:val="00C178D4"/>
    <w:rsid w:val="00C17EE0"/>
    <w:rsid w:val="00C202B1"/>
    <w:rsid w:val="00C2100A"/>
    <w:rsid w:val="00C2103F"/>
    <w:rsid w:val="00C21409"/>
    <w:rsid w:val="00C21858"/>
    <w:rsid w:val="00C21D86"/>
    <w:rsid w:val="00C24907"/>
    <w:rsid w:val="00C24FAE"/>
    <w:rsid w:val="00C25424"/>
    <w:rsid w:val="00C25E47"/>
    <w:rsid w:val="00C2645F"/>
    <w:rsid w:val="00C26C3D"/>
    <w:rsid w:val="00C26DC4"/>
    <w:rsid w:val="00C26E54"/>
    <w:rsid w:val="00C27BD6"/>
    <w:rsid w:val="00C311C8"/>
    <w:rsid w:val="00C32830"/>
    <w:rsid w:val="00C329E0"/>
    <w:rsid w:val="00C33D97"/>
    <w:rsid w:val="00C33FE2"/>
    <w:rsid w:val="00C34609"/>
    <w:rsid w:val="00C34AB9"/>
    <w:rsid w:val="00C34C65"/>
    <w:rsid w:val="00C35859"/>
    <w:rsid w:val="00C35A12"/>
    <w:rsid w:val="00C35E3E"/>
    <w:rsid w:val="00C365E3"/>
    <w:rsid w:val="00C366FA"/>
    <w:rsid w:val="00C36F8E"/>
    <w:rsid w:val="00C374E6"/>
    <w:rsid w:val="00C4110C"/>
    <w:rsid w:val="00C42314"/>
    <w:rsid w:val="00C42A08"/>
    <w:rsid w:val="00C4412C"/>
    <w:rsid w:val="00C447CB"/>
    <w:rsid w:val="00C4484B"/>
    <w:rsid w:val="00C44B7D"/>
    <w:rsid w:val="00C458AE"/>
    <w:rsid w:val="00C4608D"/>
    <w:rsid w:val="00C46606"/>
    <w:rsid w:val="00C46962"/>
    <w:rsid w:val="00C47087"/>
    <w:rsid w:val="00C511BC"/>
    <w:rsid w:val="00C514F2"/>
    <w:rsid w:val="00C5168F"/>
    <w:rsid w:val="00C51BE8"/>
    <w:rsid w:val="00C52042"/>
    <w:rsid w:val="00C5216F"/>
    <w:rsid w:val="00C52175"/>
    <w:rsid w:val="00C525B0"/>
    <w:rsid w:val="00C52DB5"/>
    <w:rsid w:val="00C53652"/>
    <w:rsid w:val="00C53BEA"/>
    <w:rsid w:val="00C542CD"/>
    <w:rsid w:val="00C5527B"/>
    <w:rsid w:val="00C56151"/>
    <w:rsid w:val="00C5695B"/>
    <w:rsid w:val="00C56FC1"/>
    <w:rsid w:val="00C57084"/>
    <w:rsid w:val="00C570FA"/>
    <w:rsid w:val="00C571C9"/>
    <w:rsid w:val="00C57CA2"/>
    <w:rsid w:val="00C57DA6"/>
    <w:rsid w:val="00C57E94"/>
    <w:rsid w:val="00C57F70"/>
    <w:rsid w:val="00C608F4"/>
    <w:rsid w:val="00C60C12"/>
    <w:rsid w:val="00C61130"/>
    <w:rsid w:val="00C613A7"/>
    <w:rsid w:val="00C61EAC"/>
    <w:rsid w:val="00C62026"/>
    <w:rsid w:val="00C622D3"/>
    <w:rsid w:val="00C62A4D"/>
    <w:rsid w:val="00C634F9"/>
    <w:rsid w:val="00C63AC6"/>
    <w:rsid w:val="00C64447"/>
    <w:rsid w:val="00C648D1"/>
    <w:rsid w:val="00C65325"/>
    <w:rsid w:val="00C657D8"/>
    <w:rsid w:val="00C65891"/>
    <w:rsid w:val="00C65C15"/>
    <w:rsid w:val="00C66187"/>
    <w:rsid w:val="00C66266"/>
    <w:rsid w:val="00C673E2"/>
    <w:rsid w:val="00C676EB"/>
    <w:rsid w:val="00C7021E"/>
    <w:rsid w:val="00C7089E"/>
    <w:rsid w:val="00C70B37"/>
    <w:rsid w:val="00C70C05"/>
    <w:rsid w:val="00C710E5"/>
    <w:rsid w:val="00C716C3"/>
    <w:rsid w:val="00C71DDC"/>
    <w:rsid w:val="00C72A38"/>
    <w:rsid w:val="00C73AC2"/>
    <w:rsid w:val="00C747AE"/>
    <w:rsid w:val="00C74A1B"/>
    <w:rsid w:val="00C74ABB"/>
    <w:rsid w:val="00C7539A"/>
    <w:rsid w:val="00C755BC"/>
    <w:rsid w:val="00C76485"/>
    <w:rsid w:val="00C76E0D"/>
    <w:rsid w:val="00C779EA"/>
    <w:rsid w:val="00C8047B"/>
    <w:rsid w:val="00C80882"/>
    <w:rsid w:val="00C80E43"/>
    <w:rsid w:val="00C8101C"/>
    <w:rsid w:val="00C8193B"/>
    <w:rsid w:val="00C81D7E"/>
    <w:rsid w:val="00C823CB"/>
    <w:rsid w:val="00C82EB3"/>
    <w:rsid w:val="00C82F7E"/>
    <w:rsid w:val="00C836AC"/>
    <w:rsid w:val="00C83D78"/>
    <w:rsid w:val="00C841F5"/>
    <w:rsid w:val="00C844A6"/>
    <w:rsid w:val="00C84BC0"/>
    <w:rsid w:val="00C85287"/>
    <w:rsid w:val="00C86326"/>
    <w:rsid w:val="00C86D72"/>
    <w:rsid w:val="00C877FF"/>
    <w:rsid w:val="00C87A9F"/>
    <w:rsid w:val="00C87DB0"/>
    <w:rsid w:val="00C9053E"/>
    <w:rsid w:val="00C90A06"/>
    <w:rsid w:val="00C911AD"/>
    <w:rsid w:val="00C93538"/>
    <w:rsid w:val="00C935C5"/>
    <w:rsid w:val="00C9366E"/>
    <w:rsid w:val="00C9440E"/>
    <w:rsid w:val="00C948D6"/>
    <w:rsid w:val="00C94AA6"/>
    <w:rsid w:val="00C94FF5"/>
    <w:rsid w:val="00C9539C"/>
    <w:rsid w:val="00C9681C"/>
    <w:rsid w:val="00C96A87"/>
    <w:rsid w:val="00C96AB4"/>
    <w:rsid w:val="00C9755C"/>
    <w:rsid w:val="00C9774E"/>
    <w:rsid w:val="00CA0036"/>
    <w:rsid w:val="00CA0798"/>
    <w:rsid w:val="00CA106C"/>
    <w:rsid w:val="00CA116C"/>
    <w:rsid w:val="00CA124C"/>
    <w:rsid w:val="00CA146E"/>
    <w:rsid w:val="00CA1913"/>
    <w:rsid w:val="00CA279C"/>
    <w:rsid w:val="00CA3BD6"/>
    <w:rsid w:val="00CA3C48"/>
    <w:rsid w:val="00CA3E29"/>
    <w:rsid w:val="00CA400A"/>
    <w:rsid w:val="00CA44B6"/>
    <w:rsid w:val="00CA55CF"/>
    <w:rsid w:val="00CA57EC"/>
    <w:rsid w:val="00CA588F"/>
    <w:rsid w:val="00CA5AD7"/>
    <w:rsid w:val="00CA6122"/>
    <w:rsid w:val="00CA636E"/>
    <w:rsid w:val="00CA63AA"/>
    <w:rsid w:val="00CA68DD"/>
    <w:rsid w:val="00CA6ED1"/>
    <w:rsid w:val="00CA7B38"/>
    <w:rsid w:val="00CB0162"/>
    <w:rsid w:val="00CB17FA"/>
    <w:rsid w:val="00CB28F7"/>
    <w:rsid w:val="00CB2B4E"/>
    <w:rsid w:val="00CB2C25"/>
    <w:rsid w:val="00CB34F6"/>
    <w:rsid w:val="00CB39CB"/>
    <w:rsid w:val="00CB39DF"/>
    <w:rsid w:val="00CB3FBC"/>
    <w:rsid w:val="00CB417C"/>
    <w:rsid w:val="00CB496E"/>
    <w:rsid w:val="00CB5C80"/>
    <w:rsid w:val="00CB5F4C"/>
    <w:rsid w:val="00CB6119"/>
    <w:rsid w:val="00CB64F1"/>
    <w:rsid w:val="00CB6E35"/>
    <w:rsid w:val="00CB75BC"/>
    <w:rsid w:val="00CB7CAB"/>
    <w:rsid w:val="00CB7FD7"/>
    <w:rsid w:val="00CC00CA"/>
    <w:rsid w:val="00CC07A5"/>
    <w:rsid w:val="00CC14F3"/>
    <w:rsid w:val="00CC15AB"/>
    <w:rsid w:val="00CC181C"/>
    <w:rsid w:val="00CC1F30"/>
    <w:rsid w:val="00CC221F"/>
    <w:rsid w:val="00CC268A"/>
    <w:rsid w:val="00CC281C"/>
    <w:rsid w:val="00CC2E0F"/>
    <w:rsid w:val="00CC39DC"/>
    <w:rsid w:val="00CC46CD"/>
    <w:rsid w:val="00CC482C"/>
    <w:rsid w:val="00CC50E3"/>
    <w:rsid w:val="00CC56B4"/>
    <w:rsid w:val="00CC5908"/>
    <w:rsid w:val="00CC5D06"/>
    <w:rsid w:val="00CC6A56"/>
    <w:rsid w:val="00CC6AB3"/>
    <w:rsid w:val="00CC6CE6"/>
    <w:rsid w:val="00CC6E23"/>
    <w:rsid w:val="00CC7463"/>
    <w:rsid w:val="00CC7AD2"/>
    <w:rsid w:val="00CD07D1"/>
    <w:rsid w:val="00CD1212"/>
    <w:rsid w:val="00CD1500"/>
    <w:rsid w:val="00CD2092"/>
    <w:rsid w:val="00CD3003"/>
    <w:rsid w:val="00CD592B"/>
    <w:rsid w:val="00CD5C58"/>
    <w:rsid w:val="00CD7C15"/>
    <w:rsid w:val="00CE05D8"/>
    <w:rsid w:val="00CE08A7"/>
    <w:rsid w:val="00CE124C"/>
    <w:rsid w:val="00CE13A7"/>
    <w:rsid w:val="00CE159F"/>
    <w:rsid w:val="00CE25EF"/>
    <w:rsid w:val="00CE27F4"/>
    <w:rsid w:val="00CE27F7"/>
    <w:rsid w:val="00CE2F39"/>
    <w:rsid w:val="00CE35AD"/>
    <w:rsid w:val="00CE3D38"/>
    <w:rsid w:val="00CE41E5"/>
    <w:rsid w:val="00CE426F"/>
    <w:rsid w:val="00CE4CBF"/>
    <w:rsid w:val="00CE4EC8"/>
    <w:rsid w:val="00CE54D3"/>
    <w:rsid w:val="00CE5EA1"/>
    <w:rsid w:val="00CE6A7C"/>
    <w:rsid w:val="00CE72BD"/>
    <w:rsid w:val="00CE7449"/>
    <w:rsid w:val="00CF004D"/>
    <w:rsid w:val="00CF03B3"/>
    <w:rsid w:val="00CF04F9"/>
    <w:rsid w:val="00CF05C8"/>
    <w:rsid w:val="00CF18E5"/>
    <w:rsid w:val="00CF27BE"/>
    <w:rsid w:val="00CF388D"/>
    <w:rsid w:val="00CF3CA7"/>
    <w:rsid w:val="00CF45C8"/>
    <w:rsid w:val="00CF497B"/>
    <w:rsid w:val="00CF4C21"/>
    <w:rsid w:val="00CF4DA2"/>
    <w:rsid w:val="00CF5A69"/>
    <w:rsid w:val="00CF5A83"/>
    <w:rsid w:val="00CF611C"/>
    <w:rsid w:val="00CF6747"/>
    <w:rsid w:val="00CF6CDF"/>
    <w:rsid w:val="00CF6F54"/>
    <w:rsid w:val="00CF735B"/>
    <w:rsid w:val="00CF7B18"/>
    <w:rsid w:val="00CF7D4C"/>
    <w:rsid w:val="00CF7D9A"/>
    <w:rsid w:val="00D00917"/>
    <w:rsid w:val="00D020B3"/>
    <w:rsid w:val="00D035E6"/>
    <w:rsid w:val="00D0380A"/>
    <w:rsid w:val="00D0397E"/>
    <w:rsid w:val="00D03A3F"/>
    <w:rsid w:val="00D03EA9"/>
    <w:rsid w:val="00D048CE"/>
    <w:rsid w:val="00D0506D"/>
    <w:rsid w:val="00D050E9"/>
    <w:rsid w:val="00D054E8"/>
    <w:rsid w:val="00D0580D"/>
    <w:rsid w:val="00D0623E"/>
    <w:rsid w:val="00D0677E"/>
    <w:rsid w:val="00D067F6"/>
    <w:rsid w:val="00D06DF9"/>
    <w:rsid w:val="00D06EFF"/>
    <w:rsid w:val="00D0793B"/>
    <w:rsid w:val="00D07E2F"/>
    <w:rsid w:val="00D100AE"/>
    <w:rsid w:val="00D102B1"/>
    <w:rsid w:val="00D103D0"/>
    <w:rsid w:val="00D10403"/>
    <w:rsid w:val="00D10B60"/>
    <w:rsid w:val="00D10E5F"/>
    <w:rsid w:val="00D11446"/>
    <w:rsid w:val="00D11698"/>
    <w:rsid w:val="00D118F8"/>
    <w:rsid w:val="00D121E4"/>
    <w:rsid w:val="00D1260F"/>
    <w:rsid w:val="00D12B70"/>
    <w:rsid w:val="00D130BE"/>
    <w:rsid w:val="00D13AE6"/>
    <w:rsid w:val="00D13BDE"/>
    <w:rsid w:val="00D14228"/>
    <w:rsid w:val="00D142AF"/>
    <w:rsid w:val="00D14830"/>
    <w:rsid w:val="00D14D73"/>
    <w:rsid w:val="00D16126"/>
    <w:rsid w:val="00D165BF"/>
    <w:rsid w:val="00D20DD7"/>
    <w:rsid w:val="00D2112C"/>
    <w:rsid w:val="00D214E6"/>
    <w:rsid w:val="00D219B8"/>
    <w:rsid w:val="00D22283"/>
    <w:rsid w:val="00D22E8F"/>
    <w:rsid w:val="00D2415F"/>
    <w:rsid w:val="00D24484"/>
    <w:rsid w:val="00D24673"/>
    <w:rsid w:val="00D24692"/>
    <w:rsid w:val="00D24FA8"/>
    <w:rsid w:val="00D2514B"/>
    <w:rsid w:val="00D25398"/>
    <w:rsid w:val="00D26325"/>
    <w:rsid w:val="00D27255"/>
    <w:rsid w:val="00D272C1"/>
    <w:rsid w:val="00D2731B"/>
    <w:rsid w:val="00D3077E"/>
    <w:rsid w:val="00D31429"/>
    <w:rsid w:val="00D31D52"/>
    <w:rsid w:val="00D3227B"/>
    <w:rsid w:val="00D32FED"/>
    <w:rsid w:val="00D33024"/>
    <w:rsid w:val="00D33A9D"/>
    <w:rsid w:val="00D33DB3"/>
    <w:rsid w:val="00D342AA"/>
    <w:rsid w:val="00D3444A"/>
    <w:rsid w:val="00D34684"/>
    <w:rsid w:val="00D34ACC"/>
    <w:rsid w:val="00D34D07"/>
    <w:rsid w:val="00D351E0"/>
    <w:rsid w:val="00D360FC"/>
    <w:rsid w:val="00D365CA"/>
    <w:rsid w:val="00D36812"/>
    <w:rsid w:val="00D36828"/>
    <w:rsid w:val="00D36BF3"/>
    <w:rsid w:val="00D37201"/>
    <w:rsid w:val="00D37B3D"/>
    <w:rsid w:val="00D4007D"/>
    <w:rsid w:val="00D401B3"/>
    <w:rsid w:val="00D4033E"/>
    <w:rsid w:val="00D40691"/>
    <w:rsid w:val="00D422C1"/>
    <w:rsid w:val="00D42438"/>
    <w:rsid w:val="00D42472"/>
    <w:rsid w:val="00D426CF"/>
    <w:rsid w:val="00D42FDF"/>
    <w:rsid w:val="00D44612"/>
    <w:rsid w:val="00D4530F"/>
    <w:rsid w:val="00D454E9"/>
    <w:rsid w:val="00D45709"/>
    <w:rsid w:val="00D45B2E"/>
    <w:rsid w:val="00D45F1F"/>
    <w:rsid w:val="00D4690D"/>
    <w:rsid w:val="00D46CA5"/>
    <w:rsid w:val="00D4758F"/>
    <w:rsid w:val="00D47BEA"/>
    <w:rsid w:val="00D50569"/>
    <w:rsid w:val="00D526AC"/>
    <w:rsid w:val="00D527D7"/>
    <w:rsid w:val="00D52F91"/>
    <w:rsid w:val="00D5477E"/>
    <w:rsid w:val="00D553E7"/>
    <w:rsid w:val="00D556AF"/>
    <w:rsid w:val="00D55D8B"/>
    <w:rsid w:val="00D55EC2"/>
    <w:rsid w:val="00D5739F"/>
    <w:rsid w:val="00D577A9"/>
    <w:rsid w:val="00D5783D"/>
    <w:rsid w:val="00D57CFF"/>
    <w:rsid w:val="00D60578"/>
    <w:rsid w:val="00D6059B"/>
    <w:rsid w:val="00D6064E"/>
    <w:rsid w:val="00D60926"/>
    <w:rsid w:val="00D60E54"/>
    <w:rsid w:val="00D60F83"/>
    <w:rsid w:val="00D616FD"/>
    <w:rsid w:val="00D617C4"/>
    <w:rsid w:val="00D620AF"/>
    <w:rsid w:val="00D62279"/>
    <w:rsid w:val="00D629B0"/>
    <w:rsid w:val="00D62E02"/>
    <w:rsid w:val="00D639F9"/>
    <w:rsid w:val="00D63DBB"/>
    <w:rsid w:val="00D645D6"/>
    <w:rsid w:val="00D649BC"/>
    <w:rsid w:val="00D64CE5"/>
    <w:rsid w:val="00D64FD3"/>
    <w:rsid w:val="00D6541C"/>
    <w:rsid w:val="00D65462"/>
    <w:rsid w:val="00D65483"/>
    <w:rsid w:val="00D657A9"/>
    <w:rsid w:val="00D659DC"/>
    <w:rsid w:val="00D65B10"/>
    <w:rsid w:val="00D65FC6"/>
    <w:rsid w:val="00D66687"/>
    <w:rsid w:val="00D677A1"/>
    <w:rsid w:val="00D7019A"/>
    <w:rsid w:val="00D70BFF"/>
    <w:rsid w:val="00D7148F"/>
    <w:rsid w:val="00D71A5D"/>
    <w:rsid w:val="00D72F88"/>
    <w:rsid w:val="00D7475B"/>
    <w:rsid w:val="00D74ED1"/>
    <w:rsid w:val="00D7514E"/>
    <w:rsid w:val="00D752CC"/>
    <w:rsid w:val="00D7546C"/>
    <w:rsid w:val="00D75CFD"/>
    <w:rsid w:val="00D7625E"/>
    <w:rsid w:val="00D7641F"/>
    <w:rsid w:val="00D76C20"/>
    <w:rsid w:val="00D76C5A"/>
    <w:rsid w:val="00D777F2"/>
    <w:rsid w:val="00D77859"/>
    <w:rsid w:val="00D77E42"/>
    <w:rsid w:val="00D77E63"/>
    <w:rsid w:val="00D806FD"/>
    <w:rsid w:val="00D8118B"/>
    <w:rsid w:val="00D81276"/>
    <w:rsid w:val="00D815E3"/>
    <w:rsid w:val="00D816AC"/>
    <w:rsid w:val="00D817AD"/>
    <w:rsid w:val="00D8182C"/>
    <w:rsid w:val="00D820BA"/>
    <w:rsid w:val="00D82266"/>
    <w:rsid w:val="00D825A5"/>
    <w:rsid w:val="00D826CC"/>
    <w:rsid w:val="00D827A6"/>
    <w:rsid w:val="00D82FCF"/>
    <w:rsid w:val="00D83129"/>
    <w:rsid w:val="00D83757"/>
    <w:rsid w:val="00D84048"/>
    <w:rsid w:val="00D842B6"/>
    <w:rsid w:val="00D843A5"/>
    <w:rsid w:val="00D8530A"/>
    <w:rsid w:val="00D85A74"/>
    <w:rsid w:val="00D85BF3"/>
    <w:rsid w:val="00D865AF"/>
    <w:rsid w:val="00D87500"/>
    <w:rsid w:val="00D87CBE"/>
    <w:rsid w:val="00D87EDF"/>
    <w:rsid w:val="00D909DB"/>
    <w:rsid w:val="00D913D1"/>
    <w:rsid w:val="00D9151F"/>
    <w:rsid w:val="00D91894"/>
    <w:rsid w:val="00D91D3F"/>
    <w:rsid w:val="00D92567"/>
    <w:rsid w:val="00D93252"/>
    <w:rsid w:val="00D93CEE"/>
    <w:rsid w:val="00D941AE"/>
    <w:rsid w:val="00D9442A"/>
    <w:rsid w:val="00D94F7B"/>
    <w:rsid w:val="00D95083"/>
    <w:rsid w:val="00D95946"/>
    <w:rsid w:val="00D966A3"/>
    <w:rsid w:val="00D96829"/>
    <w:rsid w:val="00D969DC"/>
    <w:rsid w:val="00D973E5"/>
    <w:rsid w:val="00DA0AA3"/>
    <w:rsid w:val="00DA116D"/>
    <w:rsid w:val="00DA1A36"/>
    <w:rsid w:val="00DA378B"/>
    <w:rsid w:val="00DA3857"/>
    <w:rsid w:val="00DA387D"/>
    <w:rsid w:val="00DA3BE2"/>
    <w:rsid w:val="00DA3E70"/>
    <w:rsid w:val="00DA42CE"/>
    <w:rsid w:val="00DA4345"/>
    <w:rsid w:val="00DA4357"/>
    <w:rsid w:val="00DA48EC"/>
    <w:rsid w:val="00DA65C4"/>
    <w:rsid w:val="00DA6BE0"/>
    <w:rsid w:val="00DA7AC2"/>
    <w:rsid w:val="00DB17D9"/>
    <w:rsid w:val="00DB1C24"/>
    <w:rsid w:val="00DB1E95"/>
    <w:rsid w:val="00DB2107"/>
    <w:rsid w:val="00DB3324"/>
    <w:rsid w:val="00DB3ABC"/>
    <w:rsid w:val="00DB41D6"/>
    <w:rsid w:val="00DB4908"/>
    <w:rsid w:val="00DB4C0D"/>
    <w:rsid w:val="00DB4DE8"/>
    <w:rsid w:val="00DB5276"/>
    <w:rsid w:val="00DB5327"/>
    <w:rsid w:val="00DB53FA"/>
    <w:rsid w:val="00DB5C1A"/>
    <w:rsid w:val="00DB6875"/>
    <w:rsid w:val="00DB68AB"/>
    <w:rsid w:val="00DB6CE8"/>
    <w:rsid w:val="00DB6D1A"/>
    <w:rsid w:val="00DB706B"/>
    <w:rsid w:val="00DB76F1"/>
    <w:rsid w:val="00DB7820"/>
    <w:rsid w:val="00DC0202"/>
    <w:rsid w:val="00DC03D2"/>
    <w:rsid w:val="00DC0E9E"/>
    <w:rsid w:val="00DC0F11"/>
    <w:rsid w:val="00DC17EF"/>
    <w:rsid w:val="00DC2263"/>
    <w:rsid w:val="00DC25B5"/>
    <w:rsid w:val="00DC2D8E"/>
    <w:rsid w:val="00DC31AE"/>
    <w:rsid w:val="00DC3AD8"/>
    <w:rsid w:val="00DC496A"/>
    <w:rsid w:val="00DC4C58"/>
    <w:rsid w:val="00DC4CDF"/>
    <w:rsid w:val="00DC57D3"/>
    <w:rsid w:val="00DC5F00"/>
    <w:rsid w:val="00DC61AE"/>
    <w:rsid w:val="00DC627D"/>
    <w:rsid w:val="00DC641B"/>
    <w:rsid w:val="00DC6539"/>
    <w:rsid w:val="00DD0AEA"/>
    <w:rsid w:val="00DD1814"/>
    <w:rsid w:val="00DD19D4"/>
    <w:rsid w:val="00DD2171"/>
    <w:rsid w:val="00DD2337"/>
    <w:rsid w:val="00DD25D0"/>
    <w:rsid w:val="00DD2A9F"/>
    <w:rsid w:val="00DD2F96"/>
    <w:rsid w:val="00DD3DA9"/>
    <w:rsid w:val="00DD4084"/>
    <w:rsid w:val="00DD4469"/>
    <w:rsid w:val="00DD4A47"/>
    <w:rsid w:val="00DD4E91"/>
    <w:rsid w:val="00DD5844"/>
    <w:rsid w:val="00DD5C47"/>
    <w:rsid w:val="00DD6250"/>
    <w:rsid w:val="00DD6596"/>
    <w:rsid w:val="00DD6825"/>
    <w:rsid w:val="00DD6937"/>
    <w:rsid w:val="00DD6CD4"/>
    <w:rsid w:val="00DD6DAF"/>
    <w:rsid w:val="00DD73D9"/>
    <w:rsid w:val="00DE05C2"/>
    <w:rsid w:val="00DE07C9"/>
    <w:rsid w:val="00DE11DD"/>
    <w:rsid w:val="00DE15B0"/>
    <w:rsid w:val="00DE15E7"/>
    <w:rsid w:val="00DE1DCE"/>
    <w:rsid w:val="00DE1FDF"/>
    <w:rsid w:val="00DE29A4"/>
    <w:rsid w:val="00DE3C98"/>
    <w:rsid w:val="00DE42F7"/>
    <w:rsid w:val="00DE4F25"/>
    <w:rsid w:val="00DE4FE9"/>
    <w:rsid w:val="00DE54D4"/>
    <w:rsid w:val="00DE6FDF"/>
    <w:rsid w:val="00DE7503"/>
    <w:rsid w:val="00DF1E0A"/>
    <w:rsid w:val="00DF1F82"/>
    <w:rsid w:val="00DF244D"/>
    <w:rsid w:val="00DF256D"/>
    <w:rsid w:val="00DF2804"/>
    <w:rsid w:val="00DF3AA2"/>
    <w:rsid w:val="00DF3EE9"/>
    <w:rsid w:val="00DF3F1B"/>
    <w:rsid w:val="00DF51D1"/>
    <w:rsid w:val="00DF5FB8"/>
    <w:rsid w:val="00DF6363"/>
    <w:rsid w:val="00DF6466"/>
    <w:rsid w:val="00DF651E"/>
    <w:rsid w:val="00DF65D7"/>
    <w:rsid w:val="00DF723E"/>
    <w:rsid w:val="00DF7900"/>
    <w:rsid w:val="00E00339"/>
    <w:rsid w:val="00E00D95"/>
    <w:rsid w:val="00E00E94"/>
    <w:rsid w:val="00E0167E"/>
    <w:rsid w:val="00E01843"/>
    <w:rsid w:val="00E019F2"/>
    <w:rsid w:val="00E020DE"/>
    <w:rsid w:val="00E02343"/>
    <w:rsid w:val="00E0248B"/>
    <w:rsid w:val="00E026A8"/>
    <w:rsid w:val="00E02958"/>
    <w:rsid w:val="00E02D52"/>
    <w:rsid w:val="00E0333E"/>
    <w:rsid w:val="00E03EC4"/>
    <w:rsid w:val="00E04010"/>
    <w:rsid w:val="00E042AA"/>
    <w:rsid w:val="00E04882"/>
    <w:rsid w:val="00E05B5B"/>
    <w:rsid w:val="00E068EE"/>
    <w:rsid w:val="00E07308"/>
    <w:rsid w:val="00E1029F"/>
    <w:rsid w:val="00E10614"/>
    <w:rsid w:val="00E107C3"/>
    <w:rsid w:val="00E1110E"/>
    <w:rsid w:val="00E11204"/>
    <w:rsid w:val="00E11504"/>
    <w:rsid w:val="00E115DE"/>
    <w:rsid w:val="00E124E4"/>
    <w:rsid w:val="00E12C42"/>
    <w:rsid w:val="00E12D7A"/>
    <w:rsid w:val="00E12EFD"/>
    <w:rsid w:val="00E13226"/>
    <w:rsid w:val="00E13974"/>
    <w:rsid w:val="00E13BA1"/>
    <w:rsid w:val="00E14183"/>
    <w:rsid w:val="00E14593"/>
    <w:rsid w:val="00E14655"/>
    <w:rsid w:val="00E14714"/>
    <w:rsid w:val="00E1537D"/>
    <w:rsid w:val="00E15537"/>
    <w:rsid w:val="00E15CD4"/>
    <w:rsid w:val="00E16BDC"/>
    <w:rsid w:val="00E170BE"/>
    <w:rsid w:val="00E17AD4"/>
    <w:rsid w:val="00E2019E"/>
    <w:rsid w:val="00E206BA"/>
    <w:rsid w:val="00E207C2"/>
    <w:rsid w:val="00E20A8D"/>
    <w:rsid w:val="00E20B53"/>
    <w:rsid w:val="00E21833"/>
    <w:rsid w:val="00E21B17"/>
    <w:rsid w:val="00E225FF"/>
    <w:rsid w:val="00E22871"/>
    <w:rsid w:val="00E237E6"/>
    <w:rsid w:val="00E23B86"/>
    <w:rsid w:val="00E242FA"/>
    <w:rsid w:val="00E24998"/>
    <w:rsid w:val="00E258E9"/>
    <w:rsid w:val="00E25CF5"/>
    <w:rsid w:val="00E26C0A"/>
    <w:rsid w:val="00E26DC0"/>
    <w:rsid w:val="00E27A7E"/>
    <w:rsid w:val="00E301FD"/>
    <w:rsid w:val="00E309F6"/>
    <w:rsid w:val="00E30D79"/>
    <w:rsid w:val="00E313BE"/>
    <w:rsid w:val="00E3279C"/>
    <w:rsid w:val="00E32EB8"/>
    <w:rsid w:val="00E338ED"/>
    <w:rsid w:val="00E33A89"/>
    <w:rsid w:val="00E34B13"/>
    <w:rsid w:val="00E350E4"/>
    <w:rsid w:val="00E35D4F"/>
    <w:rsid w:val="00E36113"/>
    <w:rsid w:val="00E36333"/>
    <w:rsid w:val="00E3654A"/>
    <w:rsid w:val="00E3688F"/>
    <w:rsid w:val="00E37190"/>
    <w:rsid w:val="00E3788A"/>
    <w:rsid w:val="00E37934"/>
    <w:rsid w:val="00E37E6B"/>
    <w:rsid w:val="00E400B8"/>
    <w:rsid w:val="00E40415"/>
    <w:rsid w:val="00E40545"/>
    <w:rsid w:val="00E408EE"/>
    <w:rsid w:val="00E420A0"/>
    <w:rsid w:val="00E42571"/>
    <w:rsid w:val="00E42636"/>
    <w:rsid w:val="00E4313A"/>
    <w:rsid w:val="00E44806"/>
    <w:rsid w:val="00E44B8E"/>
    <w:rsid w:val="00E450F8"/>
    <w:rsid w:val="00E45966"/>
    <w:rsid w:val="00E4648E"/>
    <w:rsid w:val="00E46DE8"/>
    <w:rsid w:val="00E46F1E"/>
    <w:rsid w:val="00E4716D"/>
    <w:rsid w:val="00E475D7"/>
    <w:rsid w:val="00E47AE8"/>
    <w:rsid w:val="00E47C4D"/>
    <w:rsid w:val="00E507B1"/>
    <w:rsid w:val="00E50E95"/>
    <w:rsid w:val="00E51297"/>
    <w:rsid w:val="00E51893"/>
    <w:rsid w:val="00E5190A"/>
    <w:rsid w:val="00E531E0"/>
    <w:rsid w:val="00E5335D"/>
    <w:rsid w:val="00E556D1"/>
    <w:rsid w:val="00E558DA"/>
    <w:rsid w:val="00E561FE"/>
    <w:rsid w:val="00E57562"/>
    <w:rsid w:val="00E57A8E"/>
    <w:rsid w:val="00E57BBE"/>
    <w:rsid w:val="00E602CA"/>
    <w:rsid w:val="00E60A52"/>
    <w:rsid w:val="00E60BF6"/>
    <w:rsid w:val="00E61776"/>
    <w:rsid w:val="00E623A8"/>
    <w:rsid w:val="00E6246B"/>
    <w:rsid w:val="00E624EB"/>
    <w:rsid w:val="00E62C9B"/>
    <w:rsid w:val="00E62FFC"/>
    <w:rsid w:val="00E636D1"/>
    <w:rsid w:val="00E645BD"/>
    <w:rsid w:val="00E65265"/>
    <w:rsid w:val="00E65354"/>
    <w:rsid w:val="00E656CE"/>
    <w:rsid w:val="00E67274"/>
    <w:rsid w:val="00E676EB"/>
    <w:rsid w:val="00E7023F"/>
    <w:rsid w:val="00E702BD"/>
    <w:rsid w:val="00E70718"/>
    <w:rsid w:val="00E70832"/>
    <w:rsid w:val="00E70AB5"/>
    <w:rsid w:val="00E70E98"/>
    <w:rsid w:val="00E727C8"/>
    <w:rsid w:val="00E731AE"/>
    <w:rsid w:val="00E73285"/>
    <w:rsid w:val="00E7349C"/>
    <w:rsid w:val="00E73D18"/>
    <w:rsid w:val="00E750B9"/>
    <w:rsid w:val="00E756AA"/>
    <w:rsid w:val="00E75977"/>
    <w:rsid w:val="00E763CA"/>
    <w:rsid w:val="00E764BE"/>
    <w:rsid w:val="00E76521"/>
    <w:rsid w:val="00E76535"/>
    <w:rsid w:val="00E77AA7"/>
    <w:rsid w:val="00E77C4D"/>
    <w:rsid w:val="00E77E27"/>
    <w:rsid w:val="00E80004"/>
    <w:rsid w:val="00E8041B"/>
    <w:rsid w:val="00E80B2C"/>
    <w:rsid w:val="00E8103D"/>
    <w:rsid w:val="00E81993"/>
    <w:rsid w:val="00E8203D"/>
    <w:rsid w:val="00E824C1"/>
    <w:rsid w:val="00E82E20"/>
    <w:rsid w:val="00E82FAF"/>
    <w:rsid w:val="00E831BE"/>
    <w:rsid w:val="00E83653"/>
    <w:rsid w:val="00E83D40"/>
    <w:rsid w:val="00E8428B"/>
    <w:rsid w:val="00E84828"/>
    <w:rsid w:val="00E84BAD"/>
    <w:rsid w:val="00E850C4"/>
    <w:rsid w:val="00E85417"/>
    <w:rsid w:val="00E8647E"/>
    <w:rsid w:val="00E86714"/>
    <w:rsid w:val="00E867BE"/>
    <w:rsid w:val="00E86816"/>
    <w:rsid w:val="00E869D0"/>
    <w:rsid w:val="00E86CFB"/>
    <w:rsid w:val="00E8718E"/>
    <w:rsid w:val="00E90327"/>
    <w:rsid w:val="00E915FB"/>
    <w:rsid w:val="00E923C6"/>
    <w:rsid w:val="00E92AEA"/>
    <w:rsid w:val="00E92E68"/>
    <w:rsid w:val="00E92F1C"/>
    <w:rsid w:val="00E93366"/>
    <w:rsid w:val="00E936AE"/>
    <w:rsid w:val="00E942C2"/>
    <w:rsid w:val="00E94363"/>
    <w:rsid w:val="00E94A38"/>
    <w:rsid w:val="00E94A94"/>
    <w:rsid w:val="00E95AF3"/>
    <w:rsid w:val="00E96297"/>
    <w:rsid w:val="00E97CBE"/>
    <w:rsid w:val="00EA077D"/>
    <w:rsid w:val="00EA120B"/>
    <w:rsid w:val="00EA2A34"/>
    <w:rsid w:val="00EA2F35"/>
    <w:rsid w:val="00EA4C79"/>
    <w:rsid w:val="00EA515D"/>
    <w:rsid w:val="00EA5931"/>
    <w:rsid w:val="00EA5D01"/>
    <w:rsid w:val="00EA6EFE"/>
    <w:rsid w:val="00EB07DA"/>
    <w:rsid w:val="00EB11A4"/>
    <w:rsid w:val="00EB1316"/>
    <w:rsid w:val="00EB1C62"/>
    <w:rsid w:val="00EB21CD"/>
    <w:rsid w:val="00EB36C1"/>
    <w:rsid w:val="00EB3784"/>
    <w:rsid w:val="00EB3D7A"/>
    <w:rsid w:val="00EB4C45"/>
    <w:rsid w:val="00EB6561"/>
    <w:rsid w:val="00EB7171"/>
    <w:rsid w:val="00EC06C6"/>
    <w:rsid w:val="00EC07AE"/>
    <w:rsid w:val="00EC1FD9"/>
    <w:rsid w:val="00EC2533"/>
    <w:rsid w:val="00EC26F5"/>
    <w:rsid w:val="00EC2710"/>
    <w:rsid w:val="00EC28EC"/>
    <w:rsid w:val="00EC28FE"/>
    <w:rsid w:val="00EC3BD1"/>
    <w:rsid w:val="00EC49B9"/>
    <w:rsid w:val="00EC4C8D"/>
    <w:rsid w:val="00EC4F13"/>
    <w:rsid w:val="00EC5E81"/>
    <w:rsid w:val="00EC61D5"/>
    <w:rsid w:val="00EC6646"/>
    <w:rsid w:val="00EC6E32"/>
    <w:rsid w:val="00ED0802"/>
    <w:rsid w:val="00ED0AFE"/>
    <w:rsid w:val="00ED0D88"/>
    <w:rsid w:val="00ED12F1"/>
    <w:rsid w:val="00ED1627"/>
    <w:rsid w:val="00ED1AB7"/>
    <w:rsid w:val="00ED1FA4"/>
    <w:rsid w:val="00ED3129"/>
    <w:rsid w:val="00ED3B91"/>
    <w:rsid w:val="00ED3BFB"/>
    <w:rsid w:val="00ED3E86"/>
    <w:rsid w:val="00ED4AF4"/>
    <w:rsid w:val="00ED5D07"/>
    <w:rsid w:val="00ED70AA"/>
    <w:rsid w:val="00ED75D8"/>
    <w:rsid w:val="00ED7B53"/>
    <w:rsid w:val="00ED7DC0"/>
    <w:rsid w:val="00EE1474"/>
    <w:rsid w:val="00EE15B9"/>
    <w:rsid w:val="00EE18A3"/>
    <w:rsid w:val="00EE237F"/>
    <w:rsid w:val="00EE32B1"/>
    <w:rsid w:val="00EE36FD"/>
    <w:rsid w:val="00EE4383"/>
    <w:rsid w:val="00EE49EF"/>
    <w:rsid w:val="00EE4D9F"/>
    <w:rsid w:val="00EE53BA"/>
    <w:rsid w:val="00EE5E31"/>
    <w:rsid w:val="00EE5E5C"/>
    <w:rsid w:val="00EE683F"/>
    <w:rsid w:val="00EE73F5"/>
    <w:rsid w:val="00EE77B0"/>
    <w:rsid w:val="00EE7F36"/>
    <w:rsid w:val="00EF0144"/>
    <w:rsid w:val="00EF0228"/>
    <w:rsid w:val="00EF08A0"/>
    <w:rsid w:val="00EF08AB"/>
    <w:rsid w:val="00EF0ADE"/>
    <w:rsid w:val="00EF0CF4"/>
    <w:rsid w:val="00EF0D63"/>
    <w:rsid w:val="00EF2C1F"/>
    <w:rsid w:val="00EF31C7"/>
    <w:rsid w:val="00EF3A8A"/>
    <w:rsid w:val="00EF432A"/>
    <w:rsid w:val="00EF44C1"/>
    <w:rsid w:val="00EF4790"/>
    <w:rsid w:val="00EF4A52"/>
    <w:rsid w:val="00EF4BBC"/>
    <w:rsid w:val="00EF5627"/>
    <w:rsid w:val="00EF5658"/>
    <w:rsid w:val="00EF5D24"/>
    <w:rsid w:val="00EF5EDF"/>
    <w:rsid w:val="00EF5FF5"/>
    <w:rsid w:val="00EF644E"/>
    <w:rsid w:val="00EF64B8"/>
    <w:rsid w:val="00EF6E79"/>
    <w:rsid w:val="00EF75BA"/>
    <w:rsid w:val="00EF7703"/>
    <w:rsid w:val="00EF78F8"/>
    <w:rsid w:val="00EF7BF7"/>
    <w:rsid w:val="00F000E6"/>
    <w:rsid w:val="00F00B4F"/>
    <w:rsid w:val="00F00CE4"/>
    <w:rsid w:val="00F0141D"/>
    <w:rsid w:val="00F0201C"/>
    <w:rsid w:val="00F0229C"/>
    <w:rsid w:val="00F024A9"/>
    <w:rsid w:val="00F03234"/>
    <w:rsid w:val="00F039FF"/>
    <w:rsid w:val="00F056E2"/>
    <w:rsid w:val="00F05DA7"/>
    <w:rsid w:val="00F06A5B"/>
    <w:rsid w:val="00F06F5C"/>
    <w:rsid w:val="00F07706"/>
    <w:rsid w:val="00F07921"/>
    <w:rsid w:val="00F07938"/>
    <w:rsid w:val="00F11855"/>
    <w:rsid w:val="00F12287"/>
    <w:rsid w:val="00F12894"/>
    <w:rsid w:val="00F128D7"/>
    <w:rsid w:val="00F1317F"/>
    <w:rsid w:val="00F1397A"/>
    <w:rsid w:val="00F13A22"/>
    <w:rsid w:val="00F13CF5"/>
    <w:rsid w:val="00F13F59"/>
    <w:rsid w:val="00F15A16"/>
    <w:rsid w:val="00F15ACB"/>
    <w:rsid w:val="00F16052"/>
    <w:rsid w:val="00F169CE"/>
    <w:rsid w:val="00F16AEC"/>
    <w:rsid w:val="00F16AF7"/>
    <w:rsid w:val="00F1717B"/>
    <w:rsid w:val="00F17596"/>
    <w:rsid w:val="00F20B4E"/>
    <w:rsid w:val="00F21CC3"/>
    <w:rsid w:val="00F2205F"/>
    <w:rsid w:val="00F22328"/>
    <w:rsid w:val="00F22CAE"/>
    <w:rsid w:val="00F23256"/>
    <w:rsid w:val="00F24ABF"/>
    <w:rsid w:val="00F24F97"/>
    <w:rsid w:val="00F25139"/>
    <w:rsid w:val="00F25979"/>
    <w:rsid w:val="00F25AB3"/>
    <w:rsid w:val="00F26D55"/>
    <w:rsid w:val="00F26F90"/>
    <w:rsid w:val="00F2752F"/>
    <w:rsid w:val="00F27CBB"/>
    <w:rsid w:val="00F3046B"/>
    <w:rsid w:val="00F3062B"/>
    <w:rsid w:val="00F30C02"/>
    <w:rsid w:val="00F30C17"/>
    <w:rsid w:val="00F30D1E"/>
    <w:rsid w:val="00F31242"/>
    <w:rsid w:val="00F3256A"/>
    <w:rsid w:val="00F33304"/>
    <w:rsid w:val="00F3346A"/>
    <w:rsid w:val="00F33E01"/>
    <w:rsid w:val="00F34274"/>
    <w:rsid w:val="00F3479C"/>
    <w:rsid w:val="00F35151"/>
    <w:rsid w:val="00F351BB"/>
    <w:rsid w:val="00F3529D"/>
    <w:rsid w:val="00F36483"/>
    <w:rsid w:val="00F36F0E"/>
    <w:rsid w:val="00F40225"/>
    <w:rsid w:val="00F40E1A"/>
    <w:rsid w:val="00F410B0"/>
    <w:rsid w:val="00F4125C"/>
    <w:rsid w:val="00F412E8"/>
    <w:rsid w:val="00F412F5"/>
    <w:rsid w:val="00F41360"/>
    <w:rsid w:val="00F41946"/>
    <w:rsid w:val="00F41B5A"/>
    <w:rsid w:val="00F4208A"/>
    <w:rsid w:val="00F4280F"/>
    <w:rsid w:val="00F43444"/>
    <w:rsid w:val="00F437AB"/>
    <w:rsid w:val="00F43B04"/>
    <w:rsid w:val="00F444AE"/>
    <w:rsid w:val="00F44BBD"/>
    <w:rsid w:val="00F45059"/>
    <w:rsid w:val="00F457EE"/>
    <w:rsid w:val="00F4587B"/>
    <w:rsid w:val="00F45DB8"/>
    <w:rsid w:val="00F45F39"/>
    <w:rsid w:val="00F46081"/>
    <w:rsid w:val="00F4660B"/>
    <w:rsid w:val="00F46632"/>
    <w:rsid w:val="00F46B86"/>
    <w:rsid w:val="00F46C71"/>
    <w:rsid w:val="00F46D79"/>
    <w:rsid w:val="00F4739A"/>
    <w:rsid w:val="00F473C6"/>
    <w:rsid w:val="00F504DA"/>
    <w:rsid w:val="00F50F4D"/>
    <w:rsid w:val="00F529B6"/>
    <w:rsid w:val="00F52C22"/>
    <w:rsid w:val="00F5329E"/>
    <w:rsid w:val="00F541D6"/>
    <w:rsid w:val="00F54849"/>
    <w:rsid w:val="00F549B3"/>
    <w:rsid w:val="00F55176"/>
    <w:rsid w:val="00F557FC"/>
    <w:rsid w:val="00F56944"/>
    <w:rsid w:val="00F574EB"/>
    <w:rsid w:val="00F57CB9"/>
    <w:rsid w:val="00F6001D"/>
    <w:rsid w:val="00F60682"/>
    <w:rsid w:val="00F60B7C"/>
    <w:rsid w:val="00F61972"/>
    <w:rsid w:val="00F61E0F"/>
    <w:rsid w:val="00F62A87"/>
    <w:rsid w:val="00F62A9A"/>
    <w:rsid w:val="00F62F0B"/>
    <w:rsid w:val="00F636F3"/>
    <w:rsid w:val="00F63CBD"/>
    <w:rsid w:val="00F642E0"/>
    <w:rsid w:val="00F64B8A"/>
    <w:rsid w:val="00F64C7F"/>
    <w:rsid w:val="00F64F28"/>
    <w:rsid w:val="00F64F2C"/>
    <w:rsid w:val="00F6505F"/>
    <w:rsid w:val="00F65555"/>
    <w:rsid w:val="00F658A8"/>
    <w:rsid w:val="00F65ABE"/>
    <w:rsid w:val="00F65CF0"/>
    <w:rsid w:val="00F66082"/>
    <w:rsid w:val="00F671E6"/>
    <w:rsid w:val="00F6797C"/>
    <w:rsid w:val="00F67DA5"/>
    <w:rsid w:val="00F7064C"/>
    <w:rsid w:val="00F70EDD"/>
    <w:rsid w:val="00F71710"/>
    <w:rsid w:val="00F72405"/>
    <w:rsid w:val="00F73DF3"/>
    <w:rsid w:val="00F74343"/>
    <w:rsid w:val="00F74722"/>
    <w:rsid w:val="00F74D85"/>
    <w:rsid w:val="00F75014"/>
    <w:rsid w:val="00F752EF"/>
    <w:rsid w:val="00F77A2B"/>
    <w:rsid w:val="00F77B3B"/>
    <w:rsid w:val="00F77C68"/>
    <w:rsid w:val="00F8039A"/>
    <w:rsid w:val="00F807E3"/>
    <w:rsid w:val="00F80A10"/>
    <w:rsid w:val="00F80A86"/>
    <w:rsid w:val="00F80A8E"/>
    <w:rsid w:val="00F80FB0"/>
    <w:rsid w:val="00F8168B"/>
    <w:rsid w:val="00F81BCC"/>
    <w:rsid w:val="00F82C4D"/>
    <w:rsid w:val="00F83590"/>
    <w:rsid w:val="00F84C40"/>
    <w:rsid w:val="00F85537"/>
    <w:rsid w:val="00F85558"/>
    <w:rsid w:val="00F85C4D"/>
    <w:rsid w:val="00F862F6"/>
    <w:rsid w:val="00F866DE"/>
    <w:rsid w:val="00F86B93"/>
    <w:rsid w:val="00F8705F"/>
    <w:rsid w:val="00F8739A"/>
    <w:rsid w:val="00F8768C"/>
    <w:rsid w:val="00F87837"/>
    <w:rsid w:val="00F87991"/>
    <w:rsid w:val="00F87C48"/>
    <w:rsid w:val="00F900FB"/>
    <w:rsid w:val="00F90520"/>
    <w:rsid w:val="00F92578"/>
    <w:rsid w:val="00F928BA"/>
    <w:rsid w:val="00F92C0E"/>
    <w:rsid w:val="00F9310E"/>
    <w:rsid w:val="00F933BD"/>
    <w:rsid w:val="00F93671"/>
    <w:rsid w:val="00F9431C"/>
    <w:rsid w:val="00F94C28"/>
    <w:rsid w:val="00F94FFB"/>
    <w:rsid w:val="00F95EF6"/>
    <w:rsid w:val="00F967E5"/>
    <w:rsid w:val="00FA002F"/>
    <w:rsid w:val="00FA1189"/>
    <w:rsid w:val="00FA15DE"/>
    <w:rsid w:val="00FA1A2C"/>
    <w:rsid w:val="00FA205E"/>
    <w:rsid w:val="00FA2A11"/>
    <w:rsid w:val="00FA2EEC"/>
    <w:rsid w:val="00FA35C1"/>
    <w:rsid w:val="00FA4016"/>
    <w:rsid w:val="00FA41C3"/>
    <w:rsid w:val="00FA449A"/>
    <w:rsid w:val="00FA49FF"/>
    <w:rsid w:val="00FA4B1E"/>
    <w:rsid w:val="00FA4F2D"/>
    <w:rsid w:val="00FA52A2"/>
    <w:rsid w:val="00FA5A5E"/>
    <w:rsid w:val="00FA6622"/>
    <w:rsid w:val="00FA66E8"/>
    <w:rsid w:val="00FA6FBC"/>
    <w:rsid w:val="00FA78CA"/>
    <w:rsid w:val="00FB034F"/>
    <w:rsid w:val="00FB0748"/>
    <w:rsid w:val="00FB0BCF"/>
    <w:rsid w:val="00FB0D21"/>
    <w:rsid w:val="00FB0F1F"/>
    <w:rsid w:val="00FB0F39"/>
    <w:rsid w:val="00FB0F68"/>
    <w:rsid w:val="00FB1A77"/>
    <w:rsid w:val="00FB1C9E"/>
    <w:rsid w:val="00FB27A4"/>
    <w:rsid w:val="00FB38D8"/>
    <w:rsid w:val="00FB3965"/>
    <w:rsid w:val="00FB3A82"/>
    <w:rsid w:val="00FB3B41"/>
    <w:rsid w:val="00FB3F61"/>
    <w:rsid w:val="00FB4088"/>
    <w:rsid w:val="00FB444B"/>
    <w:rsid w:val="00FB4D3E"/>
    <w:rsid w:val="00FB4FF0"/>
    <w:rsid w:val="00FB5290"/>
    <w:rsid w:val="00FB593A"/>
    <w:rsid w:val="00FB5AFC"/>
    <w:rsid w:val="00FB5D19"/>
    <w:rsid w:val="00FB6728"/>
    <w:rsid w:val="00FB6917"/>
    <w:rsid w:val="00FB69C1"/>
    <w:rsid w:val="00FB6AD6"/>
    <w:rsid w:val="00FB6DFD"/>
    <w:rsid w:val="00FB6F55"/>
    <w:rsid w:val="00FB70B3"/>
    <w:rsid w:val="00FB777C"/>
    <w:rsid w:val="00FB7FCA"/>
    <w:rsid w:val="00FC017F"/>
    <w:rsid w:val="00FC1B77"/>
    <w:rsid w:val="00FC20E1"/>
    <w:rsid w:val="00FC2211"/>
    <w:rsid w:val="00FC2260"/>
    <w:rsid w:val="00FC264E"/>
    <w:rsid w:val="00FC2F29"/>
    <w:rsid w:val="00FC32CC"/>
    <w:rsid w:val="00FC4ABF"/>
    <w:rsid w:val="00FC52FE"/>
    <w:rsid w:val="00FC5566"/>
    <w:rsid w:val="00FC59DA"/>
    <w:rsid w:val="00FC6045"/>
    <w:rsid w:val="00FC659A"/>
    <w:rsid w:val="00FC71AB"/>
    <w:rsid w:val="00FC7562"/>
    <w:rsid w:val="00FD07D7"/>
    <w:rsid w:val="00FD103C"/>
    <w:rsid w:val="00FD1B47"/>
    <w:rsid w:val="00FD23F1"/>
    <w:rsid w:val="00FD2809"/>
    <w:rsid w:val="00FD2869"/>
    <w:rsid w:val="00FD2916"/>
    <w:rsid w:val="00FD2937"/>
    <w:rsid w:val="00FD326E"/>
    <w:rsid w:val="00FD355B"/>
    <w:rsid w:val="00FD3653"/>
    <w:rsid w:val="00FD4A53"/>
    <w:rsid w:val="00FD4EAF"/>
    <w:rsid w:val="00FD5107"/>
    <w:rsid w:val="00FD58E1"/>
    <w:rsid w:val="00FD5D54"/>
    <w:rsid w:val="00FD6352"/>
    <w:rsid w:val="00FD67A2"/>
    <w:rsid w:val="00FD6ED4"/>
    <w:rsid w:val="00FD71A0"/>
    <w:rsid w:val="00FD7409"/>
    <w:rsid w:val="00FD7AAF"/>
    <w:rsid w:val="00FD7F18"/>
    <w:rsid w:val="00FE2823"/>
    <w:rsid w:val="00FE2991"/>
    <w:rsid w:val="00FE34A5"/>
    <w:rsid w:val="00FE34FB"/>
    <w:rsid w:val="00FE379B"/>
    <w:rsid w:val="00FE54D9"/>
    <w:rsid w:val="00FE6DA6"/>
    <w:rsid w:val="00FE6E6C"/>
    <w:rsid w:val="00FE7D9B"/>
    <w:rsid w:val="00FF0CCE"/>
    <w:rsid w:val="00FF1105"/>
    <w:rsid w:val="00FF129B"/>
    <w:rsid w:val="00FF15E4"/>
    <w:rsid w:val="00FF16DA"/>
    <w:rsid w:val="00FF2606"/>
    <w:rsid w:val="00FF2D57"/>
    <w:rsid w:val="00FF3BAB"/>
    <w:rsid w:val="00FF3C75"/>
    <w:rsid w:val="00FF3F33"/>
    <w:rsid w:val="00FF4E45"/>
    <w:rsid w:val="00FF51C9"/>
    <w:rsid w:val="00FF544E"/>
    <w:rsid w:val="00FF54C3"/>
    <w:rsid w:val="00FF579E"/>
    <w:rsid w:val="00FF5A91"/>
    <w:rsid w:val="00FF613A"/>
    <w:rsid w:val="00FF66B9"/>
    <w:rsid w:val="00FF6FF1"/>
    <w:rsid w:val="00FF7205"/>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7BDB"/>
  <w15:docId w15:val="{C38D88E2-877C-4C97-B1A0-AB282ACC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4F77"/>
    <w:pPr>
      <w:keepNext/>
      <w:numPr>
        <w:numId w:val="1"/>
      </w:numPr>
      <w:tabs>
        <w:tab w:val="left" w:pos="1080"/>
      </w:tabs>
      <w:spacing w:after="0" w:line="240" w:lineRule="auto"/>
      <w:outlineLvl w:val="0"/>
    </w:pPr>
    <w:rPr>
      <w:rFonts w:ascii="Times New Roman" w:eastAsia="Times New Roman" w:hAnsi="Times New Roman" w:cs="Times New Roman"/>
      <w:b/>
      <w:sz w:val="28"/>
      <w:szCs w:val="20"/>
      <w:lang w:val="x-none" w:eastAsia="x-none"/>
    </w:rPr>
  </w:style>
  <w:style w:type="paragraph" w:styleId="Heading2">
    <w:name w:val="heading 2"/>
    <w:basedOn w:val="Normal"/>
    <w:next w:val="Normal"/>
    <w:link w:val="Heading2Char"/>
    <w:uiPriority w:val="9"/>
    <w:qFormat/>
    <w:rsid w:val="00724F77"/>
    <w:pPr>
      <w:keepNext/>
      <w:numPr>
        <w:numId w:val="4"/>
      </w:numPr>
      <w:tabs>
        <w:tab w:val="left" w:pos="1080"/>
      </w:tabs>
      <w:spacing w:after="0" w:line="240" w:lineRule="auto"/>
      <w:outlineLvl w:val="1"/>
    </w:pPr>
    <w:rPr>
      <w:rFonts w:ascii="Times New Roman" w:eastAsia="Times New Roman" w:hAnsi="Times New Roman" w:cs="Times New Roman"/>
      <w:b/>
      <w:sz w:val="24"/>
      <w:szCs w:val="20"/>
      <w:lang w:val="x-none" w:eastAsia="x-none"/>
    </w:rPr>
  </w:style>
  <w:style w:type="paragraph" w:styleId="Heading3">
    <w:name w:val="heading 3"/>
    <w:basedOn w:val="Normal"/>
    <w:next w:val="Normal"/>
    <w:link w:val="Heading3Char"/>
    <w:uiPriority w:val="9"/>
    <w:qFormat/>
    <w:rsid w:val="00724F77"/>
    <w:pPr>
      <w:keepNext/>
      <w:numPr>
        <w:numId w:val="3"/>
      </w:numPr>
      <w:spacing w:after="0" w:line="240" w:lineRule="auto"/>
      <w:ind w:left="1440"/>
      <w:outlineLvl w:val="2"/>
    </w:pPr>
    <w:rPr>
      <w:rFonts w:ascii="Times New Roman" w:eastAsia="Times New Roman" w:hAnsi="Times New Roman" w:cs="Times New Roman"/>
      <w:b/>
      <w:szCs w:val="20"/>
      <w:lang w:val="x-none" w:eastAsia="x-none"/>
    </w:rPr>
  </w:style>
  <w:style w:type="paragraph" w:styleId="Heading4">
    <w:name w:val="heading 4"/>
    <w:basedOn w:val="Normal"/>
    <w:next w:val="Normal"/>
    <w:link w:val="Heading4Char"/>
    <w:uiPriority w:val="99"/>
    <w:qFormat/>
    <w:rsid w:val="00724F77"/>
    <w:pPr>
      <w:keepNext/>
      <w:spacing w:after="0" w:line="240" w:lineRule="auto"/>
      <w:jc w:val="center"/>
      <w:outlineLvl w:val="3"/>
    </w:pPr>
    <w:rPr>
      <w:rFonts w:ascii="Times New Roman" w:eastAsia="Times New Roman" w:hAnsi="Times New Roman" w:cs="Times New Roman"/>
      <w:sz w:val="20"/>
      <w:szCs w:val="20"/>
      <w:u w:val="single"/>
      <w:lang w:val="x-none" w:eastAsia="x-none"/>
    </w:rPr>
  </w:style>
  <w:style w:type="paragraph" w:styleId="Heading5">
    <w:name w:val="heading 5"/>
    <w:basedOn w:val="Normal"/>
    <w:next w:val="Normal"/>
    <w:link w:val="Heading5Char"/>
    <w:qFormat/>
    <w:rsid w:val="00724F77"/>
    <w:pPr>
      <w:keepNext/>
      <w:numPr>
        <w:numId w:val="2"/>
      </w:numPr>
      <w:tabs>
        <w:tab w:val="center" w:pos="4680"/>
      </w:tabs>
      <w:spacing w:after="0" w:line="240" w:lineRule="auto"/>
      <w:jc w:val="center"/>
      <w:outlineLvl w:val="4"/>
    </w:pPr>
    <w:rPr>
      <w:rFonts w:ascii="Times New Roman" w:eastAsia="Times New Roman" w:hAnsi="Times New Roman" w:cs="Times New Roman"/>
      <w:sz w:val="20"/>
      <w:szCs w:val="20"/>
      <w:u w:val="single"/>
      <w:lang w:val="en-GB" w:eastAsia="en-US"/>
    </w:rPr>
  </w:style>
  <w:style w:type="paragraph" w:styleId="Heading6">
    <w:name w:val="heading 6"/>
    <w:basedOn w:val="Normal"/>
    <w:next w:val="Normal"/>
    <w:link w:val="Heading6Char"/>
    <w:uiPriority w:val="99"/>
    <w:qFormat/>
    <w:rsid w:val="00724F77"/>
    <w:pPr>
      <w:keepNext/>
      <w:spacing w:after="0" w:line="240" w:lineRule="auto"/>
      <w:outlineLvl w:val="5"/>
    </w:pPr>
    <w:rPr>
      <w:rFonts w:ascii="Arial" w:eastAsia="Times New Roman" w:hAnsi="Arial" w:cs="Times New Roman"/>
      <w:b/>
      <w:sz w:val="32"/>
      <w:szCs w:val="20"/>
      <w:lang w:val="x-none" w:eastAsia="x-none"/>
    </w:rPr>
  </w:style>
  <w:style w:type="paragraph" w:styleId="Heading7">
    <w:name w:val="heading 7"/>
    <w:basedOn w:val="Normal"/>
    <w:next w:val="Normal"/>
    <w:link w:val="Heading7Char"/>
    <w:qFormat/>
    <w:rsid w:val="00724F77"/>
    <w:pPr>
      <w:keepNext/>
      <w:spacing w:after="0" w:line="240" w:lineRule="auto"/>
      <w:ind w:left="720"/>
      <w:outlineLvl w:val="6"/>
    </w:pPr>
    <w:rPr>
      <w:rFonts w:ascii="Times New Roman" w:eastAsia="Times New Roman" w:hAnsi="Times New Roman" w:cs="Times New Roman"/>
      <w:sz w:val="20"/>
      <w:szCs w:val="20"/>
      <w:lang w:val="en-GB" w:eastAsia="en-US"/>
    </w:rPr>
  </w:style>
  <w:style w:type="paragraph" w:styleId="Heading8">
    <w:name w:val="heading 8"/>
    <w:basedOn w:val="Normal"/>
    <w:next w:val="Normal"/>
    <w:link w:val="Heading8Char"/>
    <w:qFormat/>
    <w:rsid w:val="00724F77"/>
    <w:pPr>
      <w:keepNext/>
      <w:spacing w:after="0" w:line="240" w:lineRule="auto"/>
      <w:jc w:val="both"/>
      <w:outlineLvl w:val="7"/>
    </w:pPr>
    <w:rPr>
      <w:rFonts w:ascii="Times New Roman" w:eastAsia="Times New Roman" w:hAnsi="Times New Roman" w:cs="Times New Roman"/>
      <w:i/>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WB Para"/>
    <w:basedOn w:val="Normal"/>
    <w:link w:val="ListParagraphChar"/>
    <w:uiPriority w:val="34"/>
    <w:qFormat/>
    <w:rsid w:val="00126B70"/>
    <w:pPr>
      <w:spacing w:after="0" w:line="240" w:lineRule="auto"/>
      <w:ind w:left="720"/>
    </w:pPr>
    <w:rPr>
      <w:rFonts w:ascii="Calibri" w:hAnsi="Calibri" w:cs="Times New Roman"/>
    </w:rPr>
  </w:style>
  <w:style w:type="paragraph" w:styleId="Header">
    <w:name w:val="header"/>
    <w:basedOn w:val="Normal"/>
    <w:link w:val="HeaderChar"/>
    <w:uiPriority w:val="99"/>
    <w:unhideWhenUsed/>
    <w:rsid w:val="001A1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7AC"/>
  </w:style>
  <w:style w:type="paragraph" w:styleId="Footer">
    <w:name w:val="footer"/>
    <w:basedOn w:val="Normal"/>
    <w:link w:val="FooterChar"/>
    <w:uiPriority w:val="99"/>
    <w:unhideWhenUsed/>
    <w:rsid w:val="001A1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7AC"/>
  </w:style>
  <w:style w:type="character" w:styleId="CommentReference">
    <w:name w:val="annotation reference"/>
    <w:basedOn w:val="DefaultParagraphFont"/>
    <w:uiPriority w:val="99"/>
    <w:semiHidden/>
    <w:unhideWhenUsed/>
    <w:rsid w:val="00AA22BA"/>
    <w:rPr>
      <w:sz w:val="16"/>
      <w:szCs w:val="16"/>
    </w:rPr>
  </w:style>
  <w:style w:type="paragraph" w:styleId="CommentText">
    <w:name w:val="annotation text"/>
    <w:basedOn w:val="Normal"/>
    <w:link w:val="CommentTextChar"/>
    <w:uiPriority w:val="99"/>
    <w:unhideWhenUsed/>
    <w:rsid w:val="00AA22BA"/>
    <w:pPr>
      <w:spacing w:line="240" w:lineRule="auto"/>
    </w:pPr>
    <w:rPr>
      <w:sz w:val="20"/>
      <w:szCs w:val="20"/>
    </w:rPr>
  </w:style>
  <w:style w:type="character" w:customStyle="1" w:styleId="CommentTextChar">
    <w:name w:val="Comment Text Char"/>
    <w:basedOn w:val="DefaultParagraphFont"/>
    <w:link w:val="CommentText"/>
    <w:uiPriority w:val="99"/>
    <w:rsid w:val="00AA22BA"/>
    <w:rPr>
      <w:sz w:val="20"/>
      <w:szCs w:val="20"/>
    </w:rPr>
  </w:style>
  <w:style w:type="paragraph" w:styleId="CommentSubject">
    <w:name w:val="annotation subject"/>
    <w:basedOn w:val="CommentText"/>
    <w:next w:val="CommentText"/>
    <w:link w:val="CommentSubjectChar"/>
    <w:uiPriority w:val="99"/>
    <w:unhideWhenUsed/>
    <w:rsid w:val="00AA22BA"/>
    <w:rPr>
      <w:b/>
      <w:bCs/>
    </w:rPr>
  </w:style>
  <w:style w:type="character" w:customStyle="1" w:styleId="CommentSubjectChar">
    <w:name w:val="Comment Subject Char"/>
    <w:basedOn w:val="CommentTextChar"/>
    <w:link w:val="CommentSubject"/>
    <w:uiPriority w:val="99"/>
    <w:rsid w:val="00AA22BA"/>
    <w:rPr>
      <w:b/>
      <w:bCs/>
      <w:sz w:val="20"/>
      <w:szCs w:val="20"/>
    </w:rPr>
  </w:style>
  <w:style w:type="paragraph" w:styleId="BalloonText">
    <w:name w:val="Balloon Text"/>
    <w:basedOn w:val="Normal"/>
    <w:link w:val="BalloonTextChar"/>
    <w:uiPriority w:val="99"/>
    <w:unhideWhenUsed/>
    <w:rsid w:val="00AA2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A22BA"/>
    <w:rPr>
      <w:rFonts w:ascii="Segoe UI" w:hAnsi="Segoe UI" w:cs="Segoe UI"/>
      <w:sz w:val="18"/>
      <w:szCs w:val="18"/>
    </w:rPr>
  </w:style>
  <w:style w:type="character" w:styleId="Hyperlink">
    <w:name w:val="Hyperlink"/>
    <w:basedOn w:val="DefaultParagraphFont"/>
    <w:uiPriority w:val="99"/>
    <w:unhideWhenUsed/>
    <w:rsid w:val="00B07436"/>
    <w:rPr>
      <w:color w:val="0000FF" w:themeColor="hyperlink"/>
      <w:u w:val="single"/>
    </w:rPr>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
    <w:basedOn w:val="Normal"/>
    <w:link w:val="FootnoteTextChar"/>
    <w:uiPriority w:val="99"/>
    <w:unhideWhenUsed/>
    <w:rsid w:val="007977D2"/>
    <w:pPr>
      <w:spacing w:after="0" w:line="240" w:lineRule="auto"/>
    </w:pPr>
    <w:rPr>
      <w:sz w:val="20"/>
      <w:szCs w:val="20"/>
    </w:rPr>
  </w:style>
  <w:style w:type="character" w:customStyle="1" w:styleId="FootnoteTextChar">
    <w:name w:val="Footnote Text Char"/>
    <w:aliases w:val="ft Char,Footnote Text Char2 Char,Footnote Text Char Char2 Char,Footnote Text Char Char Char Char Char Char Char Char,Footnote Text Char Char1 Char Char,Footnote Text Char Char Char Char Char Char Char1,Footnote Text Char Char1 Char1"/>
    <w:basedOn w:val="DefaultParagraphFont"/>
    <w:link w:val="FootnoteText"/>
    <w:uiPriority w:val="99"/>
    <w:rsid w:val="007977D2"/>
    <w:rPr>
      <w:sz w:val="20"/>
      <w:szCs w:val="20"/>
    </w:rPr>
  </w:style>
  <w:style w:type="character" w:styleId="FootnoteReference">
    <w:name w:val="footnote reference"/>
    <w:basedOn w:val="DefaultParagraphFont"/>
    <w:uiPriority w:val="99"/>
    <w:unhideWhenUsed/>
    <w:rsid w:val="007977D2"/>
    <w:rPr>
      <w:vertAlign w:val="superscript"/>
    </w:rPr>
  </w:style>
  <w:style w:type="table" w:styleId="TableGrid">
    <w:name w:val="Table Grid"/>
    <w:basedOn w:val="TableNormal"/>
    <w:uiPriority w:val="39"/>
    <w:rsid w:val="001F7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4F77"/>
    <w:rPr>
      <w:rFonts w:ascii="Times New Roman" w:eastAsia="Times New Roman" w:hAnsi="Times New Roman" w:cs="Times New Roman"/>
      <w:b/>
      <w:sz w:val="28"/>
      <w:szCs w:val="20"/>
      <w:lang w:val="x-none" w:eastAsia="x-none"/>
    </w:rPr>
  </w:style>
  <w:style w:type="character" w:customStyle="1" w:styleId="Heading2Char">
    <w:name w:val="Heading 2 Char"/>
    <w:basedOn w:val="DefaultParagraphFont"/>
    <w:link w:val="Heading2"/>
    <w:uiPriority w:val="9"/>
    <w:rsid w:val="00724F77"/>
    <w:rPr>
      <w:rFonts w:ascii="Times New Roman" w:eastAsia="Times New Roman" w:hAnsi="Times New Roman" w:cs="Times New Roman"/>
      <w:b/>
      <w:sz w:val="24"/>
      <w:szCs w:val="20"/>
      <w:lang w:val="x-none" w:eastAsia="x-none"/>
    </w:rPr>
  </w:style>
  <w:style w:type="character" w:customStyle="1" w:styleId="Heading3Char">
    <w:name w:val="Heading 3 Char"/>
    <w:basedOn w:val="DefaultParagraphFont"/>
    <w:link w:val="Heading3"/>
    <w:uiPriority w:val="9"/>
    <w:rsid w:val="00724F77"/>
    <w:rPr>
      <w:rFonts w:ascii="Times New Roman" w:eastAsia="Times New Roman" w:hAnsi="Times New Roman" w:cs="Times New Roman"/>
      <w:b/>
      <w:szCs w:val="20"/>
      <w:lang w:val="x-none" w:eastAsia="x-none"/>
    </w:rPr>
  </w:style>
  <w:style w:type="character" w:customStyle="1" w:styleId="Heading4Char">
    <w:name w:val="Heading 4 Char"/>
    <w:basedOn w:val="DefaultParagraphFont"/>
    <w:link w:val="Heading4"/>
    <w:uiPriority w:val="99"/>
    <w:rsid w:val="00724F77"/>
    <w:rPr>
      <w:rFonts w:ascii="Times New Roman" w:eastAsia="Times New Roman" w:hAnsi="Times New Roman" w:cs="Times New Roman"/>
      <w:sz w:val="20"/>
      <w:szCs w:val="20"/>
      <w:u w:val="single"/>
      <w:lang w:val="x-none" w:eastAsia="x-none"/>
    </w:rPr>
  </w:style>
  <w:style w:type="character" w:customStyle="1" w:styleId="Heading5Char">
    <w:name w:val="Heading 5 Char"/>
    <w:basedOn w:val="DefaultParagraphFont"/>
    <w:link w:val="Heading5"/>
    <w:rsid w:val="00724F77"/>
    <w:rPr>
      <w:rFonts w:ascii="Times New Roman" w:eastAsia="Times New Roman" w:hAnsi="Times New Roman" w:cs="Times New Roman"/>
      <w:sz w:val="20"/>
      <w:szCs w:val="20"/>
      <w:u w:val="single"/>
      <w:lang w:val="en-GB" w:eastAsia="en-US"/>
    </w:rPr>
  </w:style>
  <w:style w:type="character" w:customStyle="1" w:styleId="Heading6Char">
    <w:name w:val="Heading 6 Char"/>
    <w:basedOn w:val="DefaultParagraphFont"/>
    <w:link w:val="Heading6"/>
    <w:uiPriority w:val="99"/>
    <w:rsid w:val="00724F77"/>
    <w:rPr>
      <w:rFonts w:ascii="Arial" w:eastAsia="Times New Roman" w:hAnsi="Arial" w:cs="Times New Roman"/>
      <w:b/>
      <w:sz w:val="32"/>
      <w:szCs w:val="20"/>
      <w:lang w:val="x-none" w:eastAsia="x-none"/>
    </w:rPr>
  </w:style>
  <w:style w:type="character" w:customStyle="1" w:styleId="Heading7Char">
    <w:name w:val="Heading 7 Char"/>
    <w:basedOn w:val="DefaultParagraphFont"/>
    <w:link w:val="Heading7"/>
    <w:rsid w:val="00724F77"/>
    <w:rPr>
      <w:rFonts w:ascii="Times New Roman" w:eastAsia="Times New Roman" w:hAnsi="Times New Roman" w:cs="Times New Roman"/>
      <w:sz w:val="20"/>
      <w:szCs w:val="20"/>
      <w:lang w:val="en-GB" w:eastAsia="en-US"/>
    </w:rPr>
  </w:style>
  <w:style w:type="character" w:customStyle="1" w:styleId="Heading8Char">
    <w:name w:val="Heading 8 Char"/>
    <w:basedOn w:val="DefaultParagraphFont"/>
    <w:link w:val="Heading8"/>
    <w:rsid w:val="00724F77"/>
    <w:rPr>
      <w:rFonts w:ascii="Times New Roman" w:eastAsia="Times New Roman" w:hAnsi="Times New Roman" w:cs="Times New Roman"/>
      <w:i/>
      <w:sz w:val="20"/>
      <w:szCs w:val="20"/>
      <w:lang w:val="en-GB" w:eastAsia="en-US"/>
    </w:rPr>
  </w:style>
  <w:style w:type="paragraph" w:styleId="TOC1">
    <w:name w:val="toc 1"/>
    <w:basedOn w:val="Normal"/>
    <w:next w:val="Normal"/>
    <w:autoRedefine/>
    <w:uiPriority w:val="39"/>
    <w:rsid w:val="00724F77"/>
    <w:pPr>
      <w:tabs>
        <w:tab w:val="right" w:leader="dot" w:pos="9350"/>
      </w:tabs>
      <w:spacing w:after="120" w:line="240" w:lineRule="auto"/>
      <w:ind w:left="634" w:hanging="634"/>
    </w:pPr>
    <w:rPr>
      <w:rFonts w:ascii="Times New Roman" w:eastAsia="Times New Roman" w:hAnsi="Times New Roman" w:cs="Times New Roman"/>
      <w:noProof/>
      <w:sz w:val="20"/>
      <w:szCs w:val="20"/>
      <w:lang w:val="en-GB" w:eastAsia="en-US"/>
    </w:rPr>
  </w:style>
  <w:style w:type="character" w:styleId="PageNumber">
    <w:name w:val="page number"/>
    <w:basedOn w:val="DefaultParagraphFont"/>
    <w:rsid w:val="00724F77"/>
  </w:style>
  <w:style w:type="paragraph" w:customStyle="1" w:styleId="Level1">
    <w:name w:val="Level 1"/>
    <w:basedOn w:val="Normal"/>
    <w:rsid w:val="00724F77"/>
    <w:pPr>
      <w:widowControl w:val="0"/>
      <w:spacing w:after="0" w:line="240" w:lineRule="auto"/>
    </w:pPr>
    <w:rPr>
      <w:rFonts w:ascii="Times New Roman" w:eastAsia="Times New Roman" w:hAnsi="Times New Roman" w:cs="Times New Roman"/>
      <w:snapToGrid w:val="0"/>
      <w:sz w:val="20"/>
      <w:szCs w:val="20"/>
      <w:lang w:val="en-GB" w:eastAsia="en-US"/>
    </w:rPr>
  </w:style>
  <w:style w:type="paragraph" w:styleId="Title">
    <w:name w:val="Title"/>
    <w:basedOn w:val="Normal"/>
    <w:link w:val="TitleChar"/>
    <w:qFormat/>
    <w:rsid w:val="00724F77"/>
    <w:pPr>
      <w:spacing w:after="0" w:line="240" w:lineRule="auto"/>
      <w:jc w:val="center"/>
    </w:pPr>
    <w:rPr>
      <w:rFonts w:ascii="Times New Roman" w:eastAsia="Times New Roman" w:hAnsi="Times New Roman" w:cs="Times New Roman"/>
      <w:b/>
      <w:sz w:val="28"/>
      <w:szCs w:val="20"/>
      <w:lang w:val="en-GB" w:eastAsia="x-none"/>
    </w:rPr>
  </w:style>
  <w:style w:type="character" w:customStyle="1" w:styleId="TitleChar">
    <w:name w:val="Title Char"/>
    <w:basedOn w:val="DefaultParagraphFont"/>
    <w:link w:val="Title"/>
    <w:rsid w:val="00724F77"/>
    <w:rPr>
      <w:rFonts w:ascii="Times New Roman" w:eastAsia="Times New Roman" w:hAnsi="Times New Roman" w:cs="Times New Roman"/>
      <w:b/>
      <w:sz w:val="28"/>
      <w:szCs w:val="20"/>
      <w:lang w:val="en-GB" w:eastAsia="x-none"/>
    </w:rPr>
  </w:style>
  <w:style w:type="paragraph" w:styleId="TOC2">
    <w:name w:val="toc 2"/>
    <w:basedOn w:val="Normal"/>
    <w:next w:val="Normal"/>
    <w:autoRedefine/>
    <w:uiPriority w:val="39"/>
    <w:rsid w:val="00724F77"/>
    <w:pPr>
      <w:tabs>
        <w:tab w:val="left" w:pos="630"/>
        <w:tab w:val="right" w:leader="dot" w:pos="9350"/>
      </w:tabs>
      <w:spacing w:after="0" w:line="240" w:lineRule="auto"/>
      <w:ind w:left="200"/>
    </w:pPr>
    <w:rPr>
      <w:rFonts w:ascii="Times New Roman" w:eastAsia="Times New Roman" w:hAnsi="Times New Roman" w:cs="Times New Roman"/>
      <w:noProof/>
      <w:sz w:val="20"/>
      <w:szCs w:val="20"/>
      <w:lang w:val="en-GB" w:eastAsia="en-US"/>
    </w:rPr>
  </w:style>
  <w:style w:type="paragraph" w:styleId="TOC3">
    <w:name w:val="toc 3"/>
    <w:basedOn w:val="Normal"/>
    <w:next w:val="Normal"/>
    <w:autoRedefine/>
    <w:uiPriority w:val="39"/>
    <w:rsid w:val="00724F77"/>
    <w:pPr>
      <w:tabs>
        <w:tab w:val="left" w:pos="1800"/>
        <w:tab w:val="right" w:leader="dot" w:pos="9350"/>
      </w:tabs>
      <w:spacing w:after="0" w:line="240" w:lineRule="auto"/>
      <w:ind w:left="1260" w:hanging="860"/>
    </w:pPr>
    <w:rPr>
      <w:rFonts w:ascii="Times New Roman" w:eastAsia="Times New Roman" w:hAnsi="Times New Roman" w:cs="Times New Roman"/>
      <w:noProof/>
      <w:sz w:val="20"/>
      <w:szCs w:val="20"/>
      <w:lang w:val="en-GB" w:eastAsia="en-US"/>
    </w:rPr>
  </w:style>
  <w:style w:type="paragraph" w:styleId="BodyText3">
    <w:name w:val="Body Text 3"/>
    <w:basedOn w:val="Normal"/>
    <w:link w:val="BodyText3Char"/>
    <w:rsid w:val="00724F77"/>
    <w:pPr>
      <w:widowControl w:val="0"/>
      <w:spacing w:after="0" w:line="240" w:lineRule="auto"/>
      <w:jc w:val="both"/>
    </w:pPr>
    <w:rPr>
      <w:rFonts w:ascii="Times New Roman" w:eastAsia="Times New Roman" w:hAnsi="Times New Roman" w:cs="Times New Roman"/>
      <w:snapToGrid w:val="0"/>
      <w:sz w:val="20"/>
      <w:szCs w:val="20"/>
      <w:lang w:val="en-GB" w:eastAsia="en-US"/>
    </w:rPr>
  </w:style>
  <w:style w:type="character" w:customStyle="1" w:styleId="BodyText3Char">
    <w:name w:val="Body Text 3 Char"/>
    <w:basedOn w:val="DefaultParagraphFont"/>
    <w:link w:val="BodyText3"/>
    <w:rsid w:val="00724F77"/>
    <w:rPr>
      <w:rFonts w:ascii="Times New Roman" w:eastAsia="Times New Roman" w:hAnsi="Times New Roman" w:cs="Times New Roman"/>
      <w:snapToGrid w:val="0"/>
      <w:sz w:val="20"/>
      <w:szCs w:val="20"/>
      <w:lang w:val="en-GB" w:eastAsia="en-US"/>
    </w:rPr>
  </w:style>
  <w:style w:type="paragraph" w:styleId="BodyText2">
    <w:name w:val="Body Text 2"/>
    <w:basedOn w:val="Normal"/>
    <w:link w:val="BodyText2Char"/>
    <w:rsid w:val="00724F77"/>
    <w:pPr>
      <w:spacing w:after="0" w:line="240" w:lineRule="auto"/>
    </w:pPr>
    <w:rPr>
      <w:rFonts w:ascii="Times New Roman" w:eastAsia="Times New Roman" w:hAnsi="Times New Roman" w:cs="Times New Roman"/>
      <w:sz w:val="20"/>
      <w:szCs w:val="20"/>
      <w:u w:val="single"/>
      <w:lang w:val="en-GB" w:eastAsia="en-US"/>
    </w:rPr>
  </w:style>
  <w:style w:type="character" w:customStyle="1" w:styleId="BodyText2Char">
    <w:name w:val="Body Text 2 Char"/>
    <w:basedOn w:val="DefaultParagraphFont"/>
    <w:link w:val="BodyText2"/>
    <w:rsid w:val="00724F77"/>
    <w:rPr>
      <w:rFonts w:ascii="Times New Roman" w:eastAsia="Times New Roman" w:hAnsi="Times New Roman" w:cs="Times New Roman"/>
      <w:sz w:val="20"/>
      <w:szCs w:val="20"/>
      <w:u w:val="single"/>
      <w:lang w:val="en-GB" w:eastAsia="en-US"/>
    </w:rPr>
  </w:style>
  <w:style w:type="paragraph" w:styleId="BodyText">
    <w:name w:val="Body Text"/>
    <w:basedOn w:val="Normal"/>
    <w:link w:val="BodyTextChar"/>
    <w:uiPriority w:val="99"/>
    <w:rsid w:val="00724F77"/>
    <w:pPr>
      <w:spacing w:after="0" w:line="480" w:lineRule="auto"/>
    </w:pPr>
    <w:rPr>
      <w:rFonts w:ascii="Times New Roman" w:eastAsia="Times New Roman" w:hAnsi="Times New Roman" w:cs="Times New Roman"/>
      <w:sz w:val="20"/>
      <w:szCs w:val="20"/>
      <w:lang w:val="x-none" w:eastAsia="x-none"/>
    </w:rPr>
  </w:style>
  <w:style w:type="character" w:customStyle="1" w:styleId="BodyTextChar">
    <w:name w:val="Body Text Char"/>
    <w:basedOn w:val="DefaultParagraphFont"/>
    <w:link w:val="BodyText"/>
    <w:uiPriority w:val="99"/>
    <w:rsid w:val="00724F77"/>
    <w:rPr>
      <w:rFonts w:ascii="Times New Roman" w:eastAsia="Times New Roman" w:hAnsi="Times New Roman" w:cs="Times New Roman"/>
      <w:sz w:val="20"/>
      <w:szCs w:val="20"/>
      <w:lang w:val="x-none" w:eastAsia="x-none"/>
    </w:rPr>
  </w:style>
  <w:style w:type="paragraph" w:styleId="BodyTextIndent2">
    <w:name w:val="Body Text Indent 2"/>
    <w:basedOn w:val="Normal"/>
    <w:link w:val="BodyTextIndent2Char"/>
    <w:rsid w:val="00724F77"/>
    <w:pPr>
      <w:spacing w:after="0" w:line="240" w:lineRule="auto"/>
      <w:ind w:left="720" w:hanging="720"/>
    </w:pPr>
    <w:rPr>
      <w:rFonts w:ascii="Times New Roman" w:eastAsia="Times New Roman" w:hAnsi="Times New Roman" w:cs="Times New Roman"/>
      <w:sz w:val="20"/>
      <w:szCs w:val="20"/>
      <w:lang w:val="en-GB" w:eastAsia="en-US"/>
    </w:rPr>
  </w:style>
  <w:style w:type="character" w:customStyle="1" w:styleId="BodyTextIndent2Char">
    <w:name w:val="Body Text Indent 2 Char"/>
    <w:basedOn w:val="DefaultParagraphFont"/>
    <w:link w:val="BodyTextIndent2"/>
    <w:rsid w:val="00724F77"/>
    <w:rPr>
      <w:rFonts w:ascii="Times New Roman" w:eastAsia="Times New Roman" w:hAnsi="Times New Roman" w:cs="Times New Roman"/>
      <w:sz w:val="20"/>
      <w:szCs w:val="20"/>
      <w:lang w:val="en-GB" w:eastAsia="en-US"/>
    </w:rPr>
  </w:style>
  <w:style w:type="paragraph" w:styleId="BodyTextIndent">
    <w:name w:val="Body Text Indent"/>
    <w:basedOn w:val="Normal"/>
    <w:link w:val="BodyTextIndentChar"/>
    <w:uiPriority w:val="99"/>
    <w:rsid w:val="00724F77"/>
    <w:pPr>
      <w:spacing w:after="0" w:line="240" w:lineRule="auto"/>
      <w:ind w:left="720"/>
    </w:pPr>
    <w:rPr>
      <w:rFonts w:ascii="Times New Roman" w:eastAsia="Times New Roman" w:hAnsi="Times New Roman" w:cs="Times New Roman"/>
      <w:sz w:val="20"/>
      <w:szCs w:val="20"/>
      <w:lang w:val="x-none" w:eastAsia="x-none"/>
    </w:rPr>
  </w:style>
  <w:style w:type="character" w:customStyle="1" w:styleId="BodyTextIndentChar">
    <w:name w:val="Body Text Indent Char"/>
    <w:basedOn w:val="DefaultParagraphFont"/>
    <w:link w:val="BodyTextIndent"/>
    <w:uiPriority w:val="99"/>
    <w:rsid w:val="00724F77"/>
    <w:rPr>
      <w:rFonts w:ascii="Times New Roman" w:eastAsia="Times New Roman" w:hAnsi="Times New Roman" w:cs="Times New Roman"/>
      <w:sz w:val="20"/>
      <w:szCs w:val="20"/>
      <w:lang w:val="x-none" w:eastAsia="x-none"/>
    </w:rPr>
  </w:style>
  <w:style w:type="paragraph" w:styleId="BodyTextIndent3">
    <w:name w:val="Body Text Indent 3"/>
    <w:basedOn w:val="Normal"/>
    <w:link w:val="BodyTextIndent3Char"/>
    <w:rsid w:val="00724F77"/>
    <w:pPr>
      <w:spacing w:after="0" w:line="240" w:lineRule="auto"/>
      <w:ind w:left="720"/>
    </w:pPr>
    <w:rPr>
      <w:rFonts w:ascii="Times New Roman" w:eastAsia="Times New Roman" w:hAnsi="Times New Roman" w:cs="Times New Roman"/>
      <w:i/>
      <w:sz w:val="20"/>
      <w:szCs w:val="20"/>
      <w:lang w:val="en-GB" w:eastAsia="en-US"/>
    </w:rPr>
  </w:style>
  <w:style w:type="character" w:customStyle="1" w:styleId="BodyTextIndent3Char">
    <w:name w:val="Body Text Indent 3 Char"/>
    <w:basedOn w:val="DefaultParagraphFont"/>
    <w:link w:val="BodyTextIndent3"/>
    <w:rsid w:val="00724F77"/>
    <w:rPr>
      <w:rFonts w:ascii="Times New Roman" w:eastAsia="Times New Roman" w:hAnsi="Times New Roman" w:cs="Times New Roman"/>
      <w:i/>
      <w:sz w:val="20"/>
      <w:szCs w:val="20"/>
      <w:lang w:val="en-GB" w:eastAsia="en-US"/>
    </w:rPr>
  </w:style>
  <w:style w:type="paragraph" w:customStyle="1" w:styleId="SingleTxt">
    <w:name w:val="__Single Txt"/>
    <w:basedOn w:val="Normal"/>
    <w:rsid w:val="00724F7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eastAsia="en-US"/>
    </w:rPr>
  </w:style>
  <w:style w:type="paragraph" w:styleId="Subtitle">
    <w:name w:val="Subtitle"/>
    <w:basedOn w:val="Normal"/>
    <w:link w:val="SubtitleChar"/>
    <w:uiPriority w:val="11"/>
    <w:qFormat/>
    <w:rsid w:val="00724F77"/>
    <w:pPr>
      <w:spacing w:after="0" w:line="240" w:lineRule="auto"/>
      <w:jc w:val="center"/>
    </w:pPr>
    <w:rPr>
      <w:rFonts w:ascii="Times New Roman" w:eastAsia="Times New Roman" w:hAnsi="Times New Roman" w:cs="Times New Roman"/>
      <w:b/>
      <w:sz w:val="20"/>
      <w:szCs w:val="28"/>
      <w:lang w:val="x-none" w:eastAsia="x-none"/>
    </w:rPr>
  </w:style>
  <w:style w:type="character" w:customStyle="1" w:styleId="SubtitleChar">
    <w:name w:val="Subtitle Char"/>
    <w:basedOn w:val="DefaultParagraphFont"/>
    <w:link w:val="Subtitle"/>
    <w:uiPriority w:val="11"/>
    <w:rsid w:val="00724F77"/>
    <w:rPr>
      <w:rFonts w:ascii="Times New Roman" w:eastAsia="Times New Roman" w:hAnsi="Times New Roman" w:cs="Times New Roman"/>
      <w:b/>
      <w:sz w:val="20"/>
      <w:szCs w:val="28"/>
      <w:lang w:val="x-none" w:eastAsia="x-none"/>
    </w:rPr>
  </w:style>
  <w:style w:type="paragraph" w:customStyle="1" w:styleId="xl24">
    <w:name w:val="xl24"/>
    <w:basedOn w:val="Normal"/>
    <w:uiPriority w:val="99"/>
    <w:rsid w:val="00724F77"/>
    <w:pPr>
      <w:spacing w:before="100" w:after="100" w:line="240" w:lineRule="auto"/>
    </w:pPr>
    <w:rPr>
      <w:rFonts w:ascii="Arial Unicode MS" w:eastAsia="Arial Unicode MS" w:hAnsi="Arial Unicode MS" w:cs="Times New Roman"/>
      <w:sz w:val="16"/>
      <w:szCs w:val="20"/>
      <w:lang w:val="en-GB" w:eastAsia="en-US"/>
    </w:rPr>
  </w:style>
  <w:style w:type="paragraph" w:customStyle="1" w:styleId="Default">
    <w:name w:val="Default"/>
    <w:rsid w:val="00724F7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EndnoteText">
    <w:name w:val="endnote text"/>
    <w:basedOn w:val="Normal"/>
    <w:link w:val="EndnoteTextChar"/>
    <w:uiPriority w:val="99"/>
    <w:rsid w:val="00724F77"/>
    <w:pPr>
      <w:spacing w:after="0" w:line="240" w:lineRule="auto"/>
    </w:pPr>
    <w:rPr>
      <w:rFonts w:ascii="Times New Roman" w:eastAsia="Times New Roman" w:hAnsi="Times New Roman" w:cs="Times New Roman"/>
      <w:sz w:val="20"/>
      <w:szCs w:val="20"/>
      <w:lang w:val="en-GB" w:eastAsia="en-US"/>
    </w:rPr>
  </w:style>
  <w:style w:type="character" w:customStyle="1" w:styleId="EndnoteTextChar">
    <w:name w:val="Endnote Text Char"/>
    <w:basedOn w:val="DefaultParagraphFont"/>
    <w:link w:val="EndnoteText"/>
    <w:uiPriority w:val="99"/>
    <w:rsid w:val="00724F77"/>
    <w:rPr>
      <w:rFonts w:ascii="Times New Roman" w:eastAsia="Times New Roman" w:hAnsi="Times New Roman" w:cs="Times New Roman"/>
      <w:sz w:val="20"/>
      <w:szCs w:val="20"/>
      <w:lang w:val="en-GB" w:eastAsia="en-US"/>
    </w:rPr>
  </w:style>
  <w:style w:type="character" w:styleId="EndnoteReference">
    <w:name w:val="endnote reference"/>
    <w:uiPriority w:val="99"/>
    <w:rsid w:val="00724F77"/>
    <w:rPr>
      <w:rFonts w:cs="Times New Roman"/>
      <w:vertAlign w:val="superscript"/>
    </w:rPr>
  </w:style>
  <w:style w:type="character" w:customStyle="1" w:styleId="ti">
    <w:name w:val="ti"/>
    <w:uiPriority w:val="99"/>
    <w:rsid w:val="00724F77"/>
    <w:rPr>
      <w:rFonts w:cs="Times New Roman"/>
    </w:rPr>
  </w:style>
  <w:style w:type="paragraph" w:styleId="NormalWeb">
    <w:name w:val="Normal (Web)"/>
    <w:basedOn w:val="Normal"/>
    <w:uiPriority w:val="99"/>
    <w:rsid w:val="00724F77"/>
    <w:pPr>
      <w:spacing w:before="100" w:beforeAutospacing="1" w:after="100" w:afterAutospacing="1" w:line="240" w:lineRule="auto"/>
    </w:pPr>
    <w:rPr>
      <w:rFonts w:ascii="Times New Roman" w:eastAsia="Times New Roman" w:hAnsi="Times New Roman" w:cs="Times New Roman"/>
      <w:color w:val="575349"/>
      <w:sz w:val="20"/>
      <w:szCs w:val="24"/>
      <w:lang w:val="en-GB" w:eastAsia="en-US"/>
    </w:rPr>
  </w:style>
  <w:style w:type="paragraph" w:styleId="HTMLPreformatted">
    <w:name w:val="HTML Preformatted"/>
    <w:basedOn w:val="Normal"/>
    <w:link w:val="HTMLPreformattedChar"/>
    <w:uiPriority w:val="99"/>
    <w:rsid w:val="0072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724F77"/>
    <w:rPr>
      <w:rFonts w:ascii="Courier New" w:eastAsia="Times New Roman" w:hAnsi="Courier New" w:cs="Times New Roman"/>
      <w:sz w:val="20"/>
      <w:szCs w:val="20"/>
      <w:lang w:val="x-none" w:eastAsia="x-none"/>
    </w:rPr>
  </w:style>
  <w:style w:type="paragraph" w:styleId="NoSpacing">
    <w:name w:val="No Spacing"/>
    <w:link w:val="NoSpacingChar"/>
    <w:uiPriority w:val="1"/>
    <w:qFormat/>
    <w:rsid w:val="00724F77"/>
    <w:pPr>
      <w:spacing w:after="0" w:line="240" w:lineRule="auto"/>
    </w:pPr>
    <w:rPr>
      <w:rFonts w:ascii="Calibri" w:eastAsia="Calibri" w:hAnsi="Calibri" w:cs="Times New Roman"/>
      <w:lang w:eastAsia="en-US"/>
    </w:rPr>
  </w:style>
  <w:style w:type="character" w:styleId="Emphasis">
    <w:name w:val="Emphasis"/>
    <w:uiPriority w:val="20"/>
    <w:qFormat/>
    <w:rsid w:val="00724F77"/>
    <w:rPr>
      <w:i/>
      <w:iCs/>
    </w:rPr>
  </w:style>
  <w:style w:type="character" w:customStyle="1" w:styleId="reportbody1">
    <w:name w:val="reportbody1"/>
    <w:rsid w:val="00724F77"/>
    <w:rPr>
      <w:rFonts w:ascii="Tahoma" w:hAnsi="Tahoma" w:cs="Tahoma" w:hint="default"/>
      <w:color w:val="000000"/>
      <w:sz w:val="11"/>
      <w:szCs w:val="11"/>
    </w:rPr>
  </w:style>
  <w:style w:type="paragraph" w:customStyle="1" w:styleId="MediumGrid1-Accent21">
    <w:name w:val="Medium Grid 1 - Accent 21"/>
    <w:basedOn w:val="Normal"/>
    <w:qFormat/>
    <w:rsid w:val="00724F77"/>
    <w:pPr>
      <w:ind w:left="720"/>
      <w:contextualSpacing/>
    </w:pPr>
    <w:rPr>
      <w:rFonts w:ascii="Calibri" w:eastAsia="Calibri" w:hAnsi="Calibri" w:cs="Times New Roman"/>
      <w:lang w:val="en-GB" w:eastAsia="en-US"/>
    </w:rPr>
  </w:style>
  <w:style w:type="paragraph" w:styleId="List">
    <w:name w:val="List"/>
    <w:basedOn w:val="Normal"/>
    <w:rsid w:val="00724F77"/>
    <w:pPr>
      <w:spacing w:after="0" w:line="240" w:lineRule="auto"/>
      <w:ind w:left="360" w:hanging="360"/>
    </w:pPr>
    <w:rPr>
      <w:rFonts w:ascii="Times New Roman" w:eastAsia="Times New Roman" w:hAnsi="Times New Roman" w:cs="Times New Roman"/>
      <w:sz w:val="20"/>
      <w:szCs w:val="24"/>
      <w:lang w:val="en-GB" w:eastAsia="en-US"/>
    </w:rPr>
  </w:style>
  <w:style w:type="character" w:customStyle="1" w:styleId="A11">
    <w:name w:val="A11"/>
    <w:uiPriority w:val="99"/>
    <w:rsid w:val="00724F77"/>
    <w:rPr>
      <w:color w:val="000000"/>
      <w:sz w:val="20"/>
    </w:rPr>
  </w:style>
  <w:style w:type="paragraph" w:customStyle="1" w:styleId="qHeadText">
    <w:name w:val="qHeadText"/>
    <w:basedOn w:val="Normal"/>
    <w:uiPriority w:val="99"/>
    <w:qFormat/>
    <w:rsid w:val="00724F77"/>
    <w:pPr>
      <w:spacing w:after="0" w:line="240" w:lineRule="auto"/>
    </w:pPr>
    <w:rPr>
      <w:rFonts w:ascii="Times New Roman" w:eastAsia="Times New Roman" w:hAnsi="Times New Roman" w:cs="Times New Roman"/>
      <w:i/>
      <w:szCs w:val="24"/>
      <w:lang w:val="en-GB" w:eastAsia="zh-CN"/>
    </w:rPr>
  </w:style>
  <w:style w:type="paragraph" w:customStyle="1" w:styleId="default0">
    <w:name w:val="default"/>
    <w:basedOn w:val="Normal"/>
    <w:rsid w:val="00724F77"/>
    <w:pPr>
      <w:spacing w:before="100" w:beforeAutospacing="1" w:after="100" w:afterAutospacing="1" w:line="240" w:lineRule="auto"/>
    </w:pPr>
    <w:rPr>
      <w:rFonts w:ascii="Times New Roman" w:eastAsia="Times New Roman" w:hAnsi="Times New Roman" w:cs="Times New Roman"/>
      <w:sz w:val="20"/>
      <w:szCs w:val="24"/>
      <w:lang w:val="en-GB" w:eastAsia="en-US"/>
    </w:rPr>
  </w:style>
  <w:style w:type="character" w:styleId="FollowedHyperlink">
    <w:name w:val="FollowedHyperlink"/>
    <w:uiPriority w:val="99"/>
    <w:rsid w:val="00724F77"/>
    <w:rPr>
      <w:color w:val="800080"/>
      <w:u w:val="single"/>
    </w:rPr>
  </w:style>
  <w:style w:type="paragraph" w:customStyle="1" w:styleId="DualTxt">
    <w:name w:val="__Dual Txt"/>
    <w:basedOn w:val="Normal"/>
    <w:rsid w:val="00724F77"/>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cs="Times New Roman"/>
      <w:spacing w:val="4"/>
      <w:w w:val="103"/>
      <w:kern w:val="14"/>
      <w:sz w:val="20"/>
      <w:szCs w:val="20"/>
      <w:lang w:val="en-GB" w:eastAsia="en-US"/>
    </w:rPr>
  </w:style>
  <w:style w:type="character" w:customStyle="1" w:styleId="st1">
    <w:name w:val="st1"/>
    <w:rsid w:val="00724F77"/>
  </w:style>
  <w:style w:type="paragraph" w:customStyle="1" w:styleId="Subtitle1">
    <w:name w:val="Subtitle1"/>
    <w:rsid w:val="00724F77"/>
    <w:pPr>
      <w:spacing w:after="0" w:line="240" w:lineRule="auto"/>
      <w:jc w:val="center"/>
    </w:pPr>
    <w:rPr>
      <w:rFonts w:ascii="Times New Roman Bold" w:eastAsia="ヒラギノ角ゴ Pro W3" w:hAnsi="Times New Roman Bold" w:cs="Times New Roman"/>
      <w:color w:val="000000"/>
      <w:sz w:val="24"/>
      <w:szCs w:val="20"/>
      <w:lang w:eastAsia="en-US"/>
    </w:rPr>
  </w:style>
  <w:style w:type="paragraph" w:customStyle="1" w:styleId="H23">
    <w:name w:val="_ H_2/3"/>
    <w:basedOn w:val="Normal"/>
    <w:next w:val="Normal"/>
    <w:rsid w:val="00724F77"/>
    <w:pPr>
      <w:keepNext/>
      <w:keepLines/>
      <w:suppressAutoHyphens/>
      <w:spacing w:after="0" w:line="240" w:lineRule="exact"/>
      <w:outlineLvl w:val="1"/>
    </w:pPr>
    <w:rPr>
      <w:rFonts w:ascii="Times New Roman" w:eastAsia="Times New Roman" w:hAnsi="Times New Roman" w:cs="Times New Roman"/>
      <w:b/>
      <w:spacing w:val="2"/>
      <w:w w:val="103"/>
      <w:kern w:val="14"/>
      <w:sz w:val="20"/>
      <w:szCs w:val="20"/>
      <w:lang w:val="en-GB" w:eastAsia="en-US"/>
    </w:rPr>
  </w:style>
  <w:style w:type="paragraph" w:styleId="TOCHeading">
    <w:name w:val="TOC Heading"/>
    <w:basedOn w:val="Heading1"/>
    <w:next w:val="Normal"/>
    <w:uiPriority w:val="39"/>
    <w:semiHidden/>
    <w:unhideWhenUsed/>
    <w:qFormat/>
    <w:rsid w:val="00724F77"/>
    <w:pPr>
      <w:keepLines/>
      <w:numPr>
        <w:numId w:val="0"/>
      </w:numPr>
      <w:tabs>
        <w:tab w:val="clear" w:pos="1080"/>
      </w:tabs>
      <w:spacing w:before="480" w:line="276" w:lineRule="auto"/>
      <w:outlineLvl w:val="9"/>
    </w:pPr>
    <w:rPr>
      <w:rFonts w:ascii="Cambria" w:eastAsia="MS Gothic" w:hAnsi="Cambria"/>
      <w:bCs/>
      <w:color w:val="365F91"/>
      <w:szCs w:val="28"/>
      <w:lang w:val="en-US" w:eastAsia="ja-JP"/>
    </w:rPr>
  </w:style>
  <w:style w:type="character" w:customStyle="1" w:styleId="ListParagraphChar">
    <w:name w:val="List Paragraph Char"/>
    <w:aliases w:val="List Paragraph (numbered (a)) Char,List Paragraph1 Char,WB Para Char"/>
    <w:link w:val="ListParagraph"/>
    <w:uiPriority w:val="34"/>
    <w:locked/>
    <w:rsid w:val="00724F77"/>
    <w:rPr>
      <w:rFonts w:ascii="Calibri" w:hAnsi="Calibri" w:cs="Times New Roman"/>
    </w:rPr>
  </w:style>
  <w:style w:type="table" w:customStyle="1" w:styleId="TableGrid1">
    <w:name w:val="Table Grid1"/>
    <w:basedOn w:val="TableNormal"/>
    <w:next w:val="TableGrid"/>
    <w:uiPriority w:val="99"/>
    <w:rsid w:val="00724F7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724F7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724F7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24F77"/>
    <w:rPr>
      <w:rFonts w:ascii="Calibri" w:eastAsia="Calibri" w:hAnsi="Calibri" w:cs="Times New Roman"/>
      <w:lang w:eastAsia="en-US"/>
    </w:rPr>
  </w:style>
  <w:style w:type="numbering" w:customStyle="1" w:styleId="NoList1">
    <w:name w:val="No List1"/>
    <w:next w:val="NoList"/>
    <w:uiPriority w:val="99"/>
    <w:semiHidden/>
    <w:unhideWhenUsed/>
    <w:rsid w:val="00724F77"/>
  </w:style>
  <w:style w:type="table" w:customStyle="1" w:styleId="TableGrid4">
    <w:name w:val="Table Grid4"/>
    <w:basedOn w:val="TableNormal"/>
    <w:next w:val="TableGrid"/>
    <w:uiPriority w:val="59"/>
    <w:rsid w:val="00724F7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24F77"/>
    <w:pPr>
      <w:spacing w:after="0" w:line="240" w:lineRule="auto"/>
    </w:pPr>
    <w:rPr>
      <w:rFonts w:ascii="Calibri" w:eastAsia="Calibri" w:hAnsi="Calibri" w:cs="Consolas"/>
      <w:szCs w:val="21"/>
      <w:lang w:eastAsia="en-US"/>
    </w:rPr>
  </w:style>
  <w:style w:type="character" w:customStyle="1" w:styleId="PlainTextChar">
    <w:name w:val="Plain Text Char"/>
    <w:basedOn w:val="DefaultParagraphFont"/>
    <w:link w:val="PlainText"/>
    <w:uiPriority w:val="99"/>
    <w:rsid w:val="00724F77"/>
    <w:rPr>
      <w:rFonts w:ascii="Calibri" w:eastAsia="Calibri" w:hAnsi="Calibri" w:cs="Consolas"/>
      <w:szCs w:val="21"/>
      <w:lang w:eastAsia="en-US"/>
    </w:rPr>
  </w:style>
  <w:style w:type="character" w:customStyle="1" w:styleId="apple-style-span">
    <w:name w:val="apple-style-span"/>
    <w:basedOn w:val="DefaultParagraphFont"/>
    <w:rsid w:val="00724F77"/>
  </w:style>
  <w:style w:type="table" w:customStyle="1" w:styleId="TableGrid11">
    <w:name w:val="Table Grid11"/>
    <w:basedOn w:val="TableNormal"/>
    <w:next w:val="TableGrid"/>
    <w:uiPriority w:val="59"/>
    <w:rsid w:val="00724F7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24F77"/>
  </w:style>
  <w:style w:type="table" w:customStyle="1" w:styleId="TableGrid21">
    <w:name w:val="Table Grid21"/>
    <w:basedOn w:val="TableNormal"/>
    <w:next w:val="TableGrid"/>
    <w:uiPriority w:val="59"/>
    <w:rsid w:val="00724F7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4F77"/>
    <w:pPr>
      <w:spacing w:after="0" w:line="240" w:lineRule="auto"/>
    </w:pPr>
    <w:rPr>
      <w:rFonts w:ascii="Calibri" w:eastAsia="Calibri" w:hAnsi="Calibri" w:cs="Times New Roman"/>
      <w:lang w:eastAsia="en-US"/>
    </w:rPr>
  </w:style>
  <w:style w:type="paragraph" w:customStyle="1" w:styleId="Pa30">
    <w:name w:val="Pa30"/>
    <w:basedOn w:val="Normal"/>
    <w:next w:val="Normal"/>
    <w:uiPriority w:val="99"/>
    <w:rsid w:val="00724F77"/>
    <w:pPr>
      <w:autoSpaceDE w:val="0"/>
      <w:autoSpaceDN w:val="0"/>
      <w:adjustRightInd w:val="0"/>
      <w:spacing w:after="0" w:line="201" w:lineRule="atLeast"/>
    </w:pPr>
    <w:rPr>
      <w:rFonts w:ascii="Optima LT Std DemiBold" w:eastAsia="SimSun" w:hAnsi="Optima LT Std DemiBold" w:cs="Times New Roman"/>
      <w:sz w:val="24"/>
      <w:szCs w:val="24"/>
      <w:lang w:eastAsia="zh-CN"/>
    </w:rPr>
  </w:style>
  <w:style w:type="paragraph" w:customStyle="1" w:styleId="Pa13">
    <w:name w:val="Pa13"/>
    <w:basedOn w:val="Normal"/>
    <w:next w:val="Normal"/>
    <w:uiPriority w:val="99"/>
    <w:rsid w:val="00724F77"/>
    <w:pPr>
      <w:autoSpaceDE w:val="0"/>
      <w:autoSpaceDN w:val="0"/>
      <w:adjustRightInd w:val="0"/>
      <w:spacing w:after="0" w:line="201" w:lineRule="atLeast"/>
    </w:pPr>
    <w:rPr>
      <w:rFonts w:ascii="Optima LT Std DemiBold" w:eastAsia="SimSun" w:hAnsi="Optima LT Std DemiBold" w:cs="Times New Roman"/>
      <w:sz w:val="24"/>
      <w:szCs w:val="24"/>
      <w:lang w:eastAsia="zh-CN"/>
    </w:rPr>
  </w:style>
  <w:style w:type="table" w:customStyle="1" w:styleId="TableGrid31">
    <w:name w:val="Table Grid31"/>
    <w:basedOn w:val="TableNormal"/>
    <w:next w:val="TableGrid"/>
    <w:uiPriority w:val="59"/>
    <w:rsid w:val="00724F7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2Char">
    <w:name w:val="Medium Grid 2 Char"/>
    <w:link w:val="MediumGrid2"/>
    <w:uiPriority w:val="1"/>
    <w:locked/>
    <w:rsid w:val="00724F77"/>
    <w:rPr>
      <w:sz w:val="22"/>
      <w:szCs w:val="22"/>
      <w:lang w:val="en-US" w:eastAsia="zh-CN" w:bidi="ar-SA"/>
    </w:rPr>
  </w:style>
  <w:style w:type="table" w:styleId="MediumGrid2">
    <w:name w:val="Medium Grid 2"/>
    <w:basedOn w:val="TableNormal"/>
    <w:link w:val="MediumGrid2Char"/>
    <w:uiPriority w:val="1"/>
    <w:rsid w:val="00724F77"/>
    <w:pPr>
      <w:spacing w:after="0" w:line="240" w:lineRule="auto"/>
    </w:pPr>
    <w:rPr>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1541">
    <w:name w:val="h1541"/>
    <w:basedOn w:val="DefaultParagraphFont"/>
    <w:rsid w:val="00724F77"/>
    <w:rPr>
      <w:rFonts w:ascii="Verdana" w:hAnsi="Verdana" w:hint="default"/>
      <w:color w:val="000000"/>
      <w:sz w:val="18"/>
      <w:szCs w:val="18"/>
    </w:rPr>
  </w:style>
  <w:style w:type="character" w:styleId="Strong">
    <w:name w:val="Strong"/>
    <w:basedOn w:val="DefaultParagraphFont"/>
    <w:uiPriority w:val="22"/>
    <w:qFormat/>
    <w:rsid w:val="00724F77"/>
    <w:rPr>
      <w:b/>
      <w:bCs/>
    </w:rPr>
  </w:style>
  <w:style w:type="character" w:styleId="PlaceholderText">
    <w:name w:val="Placeholder Text"/>
    <w:basedOn w:val="DefaultParagraphFont"/>
    <w:uiPriority w:val="99"/>
    <w:semiHidden/>
    <w:rsid w:val="00257BA6"/>
    <w:rPr>
      <w:color w:val="808080"/>
    </w:rPr>
  </w:style>
  <w:style w:type="paragraph" w:customStyle="1" w:styleId="ColorfulList-Accent11">
    <w:name w:val="Colorful List - Accent 11"/>
    <w:basedOn w:val="Normal"/>
    <w:uiPriority w:val="99"/>
    <w:qFormat/>
    <w:rsid w:val="000E4938"/>
    <w:pPr>
      <w:ind w:left="720"/>
      <w:contextualSpacing/>
    </w:pPr>
    <w:rPr>
      <w:rFonts w:ascii="Calibri" w:eastAsia="Calibri" w:hAnsi="Calibri"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6589">
      <w:bodyDiv w:val="1"/>
      <w:marLeft w:val="0"/>
      <w:marRight w:val="0"/>
      <w:marTop w:val="0"/>
      <w:marBottom w:val="0"/>
      <w:divBdr>
        <w:top w:val="none" w:sz="0" w:space="0" w:color="auto"/>
        <w:left w:val="none" w:sz="0" w:space="0" w:color="auto"/>
        <w:bottom w:val="none" w:sz="0" w:space="0" w:color="auto"/>
        <w:right w:val="none" w:sz="0" w:space="0" w:color="auto"/>
      </w:divBdr>
    </w:div>
    <w:div w:id="164715095">
      <w:bodyDiv w:val="1"/>
      <w:marLeft w:val="0"/>
      <w:marRight w:val="0"/>
      <w:marTop w:val="0"/>
      <w:marBottom w:val="0"/>
      <w:divBdr>
        <w:top w:val="none" w:sz="0" w:space="0" w:color="auto"/>
        <w:left w:val="none" w:sz="0" w:space="0" w:color="auto"/>
        <w:bottom w:val="none" w:sz="0" w:space="0" w:color="auto"/>
        <w:right w:val="none" w:sz="0" w:space="0" w:color="auto"/>
      </w:divBdr>
    </w:div>
    <w:div w:id="173153586">
      <w:bodyDiv w:val="1"/>
      <w:marLeft w:val="0"/>
      <w:marRight w:val="0"/>
      <w:marTop w:val="0"/>
      <w:marBottom w:val="0"/>
      <w:divBdr>
        <w:top w:val="none" w:sz="0" w:space="0" w:color="auto"/>
        <w:left w:val="none" w:sz="0" w:space="0" w:color="auto"/>
        <w:bottom w:val="none" w:sz="0" w:space="0" w:color="auto"/>
        <w:right w:val="none" w:sz="0" w:space="0" w:color="auto"/>
      </w:divBdr>
    </w:div>
    <w:div w:id="252783111">
      <w:bodyDiv w:val="1"/>
      <w:marLeft w:val="0"/>
      <w:marRight w:val="0"/>
      <w:marTop w:val="0"/>
      <w:marBottom w:val="0"/>
      <w:divBdr>
        <w:top w:val="none" w:sz="0" w:space="0" w:color="auto"/>
        <w:left w:val="none" w:sz="0" w:space="0" w:color="auto"/>
        <w:bottom w:val="none" w:sz="0" w:space="0" w:color="auto"/>
        <w:right w:val="none" w:sz="0" w:space="0" w:color="auto"/>
      </w:divBdr>
    </w:div>
    <w:div w:id="390159494">
      <w:bodyDiv w:val="1"/>
      <w:marLeft w:val="0"/>
      <w:marRight w:val="0"/>
      <w:marTop w:val="0"/>
      <w:marBottom w:val="0"/>
      <w:divBdr>
        <w:top w:val="none" w:sz="0" w:space="0" w:color="auto"/>
        <w:left w:val="none" w:sz="0" w:space="0" w:color="auto"/>
        <w:bottom w:val="none" w:sz="0" w:space="0" w:color="auto"/>
        <w:right w:val="none" w:sz="0" w:space="0" w:color="auto"/>
      </w:divBdr>
    </w:div>
    <w:div w:id="501046822">
      <w:bodyDiv w:val="1"/>
      <w:marLeft w:val="0"/>
      <w:marRight w:val="0"/>
      <w:marTop w:val="0"/>
      <w:marBottom w:val="0"/>
      <w:divBdr>
        <w:top w:val="none" w:sz="0" w:space="0" w:color="auto"/>
        <w:left w:val="none" w:sz="0" w:space="0" w:color="auto"/>
        <w:bottom w:val="none" w:sz="0" w:space="0" w:color="auto"/>
        <w:right w:val="none" w:sz="0" w:space="0" w:color="auto"/>
      </w:divBdr>
    </w:div>
    <w:div w:id="535047293">
      <w:bodyDiv w:val="1"/>
      <w:marLeft w:val="0"/>
      <w:marRight w:val="0"/>
      <w:marTop w:val="0"/>
      <w:marBottom w:val="0"/>
      <w:divBdr>
        <w:top w:val="none" w:sz="0" w:space="0" w:color="auto"/>
        <w:left w:val="none" w:sz="0" w:space="0" w:color="auto"/>
        <w:bottom w:val="none" w:sz="0" w:space="0" w:color="auto"/>
        <w:right w:val="none" w:sz="0" w:space="0" w:color="auto"/>
      </w:divBdr>
    </w:div>
    <w:div w:id="579944592">
      <w:bodyDiv w:val="1"/>
      <w:marLeft w:val="0"/>
      <w:marRight w:val="0"/>
      <w:marTop w:val="0"/>
      <w:marBottom w:val="0"/>
      <w:divBdr>
        <w:top w:val="none" w:sz="0" w:space="0" w:color="auto"/>
        <w:left w:val="none" w:sz="0" w:space="0" w:color="auto"/>
        <w:bottom w:val="none" w:sz="0" w:space="0" w:color="auto"/>
        <w:right w:val="none" w:sz="0" w:space="0" w:color="auto"/>
      </w:divBdr>
    </w:div>
    <w:div w:id="675306545">
      <w:bodyDiv w:val="1"/>
      <w:marLeft w:val="0"/>
      <w:marRight w:val="0"/>
      <w:marTop w:val="0"/>
      <w:marBottom w:val="0"/>
      <w:divBdr>
        <w:top w:val="none" w:sz="0" w:space="0" w:color="auto"/>
        <w:left w:val="none" w:sz="0" w:space="0" w:color="auto"/>
        <w:bottom w:val="none" w:sz="0" w:space="0" w:color="auto"/>
        <w:right w:val="none" w:sz="0" w:space="0" w:color="auto"/>
      </w:divBdr>
    </w:div>
    <w:div w:id="733434623">
      <w:bodyDiv w:val="1"/>
      <w:marLeft w:val="0"/>
      <w:marRight w:val="0"/>
      <w:marTop w:val="0"/>
      <w:marBottom w:val="0"/>
      <w:divBdr>
        <w:top w:val="none" w:sz="0" w:space="0" w:color="auto"/>
        <w:left w:val="none" w:sz="0" w:space="0" w:color="auto"/>
        <w:bottom w:val="none" w:sz="0" w:space="0" w:color="auto"/>
        <w:right w:val="none" w:sz="0" w:space="0" w:color="auto"/>
      </w:divBdr>
    </w:div>
    <w:div w:id="812718472">
      <w:bodyDiv w:val="1"/>
      <w:marLeft w:val="0"/>
      <w:marRight w:val="0"/>
      <w:marTop w:val="0"/>
      <w:marBottom w:val="0"/>
      <w:divBdr>
        <w:top w:val="none" w:sz="0" w:space="0" w:color="auto"/>
        <w:left w:val="none" w:sz="0" w:space="0" w:color="auto"/>
        <w:bottom w:val="none" w:sz="0" w:space="0" w:color="auto"/>
        <w:right w:val="none" w:sz="0" w:space="0" w:color="auto"/>
      </w:divBdr>
    </w:div>
    <w:div w:id="961351915">
      <w:bodyDiv w:val="1"/>
      <w:marLeft w:val="0"/>
      <w:marRight w:val="0"/>
      <w:marTop w:val="0"/>
      <w:marBottom w:val="0"/>
      <w:divBdr>
        <w:top w:val="none" w:sz="0" w:space="0" w:color="auto"/>
        <w:left w:val="none" w:sz="0" w:space="0" w:color="auto"/>
        <w:bottom w:val="none" w:sz="0" w:space="0" w:color="auto"/>
        <w:right w:val="none" w:sz="0" w:space="0" w:color="auto"/>
      </w:divBdr>
    </w:div>
    <w:div w:id="977228318">
      <w:bodyDiv w:val="1"/>
      <w:marLeft w:val="0"/>
      <w:marRight w:val="0"/>
      <w:marTop w:val="0"/>
      <w:marBottom w:val="0"/>
      <w:divBdr>
        <w:top w:val="none" w:sz="0" w:space="0" w:color="auto"/>
        <w:left w:val="none" w:sz="0" w:space="0" w:color="auto"/>
        <w:bottom w:val="none" w:sz="0" w:space="0" w:color="auto"/>
        <w:right w:val="none" w:sz="0" w:space="0" w:color="auto"/>
      </w:divBdr>
    </w:div>
    <w:div w:id="1049452093">
      <w:bodyDiv w:val="1"/>
      <w:marLeft w:val="0"/>
      <w:marRight w:val="0"/>
      <w:marTop w:val="0"/>
      <w:marBottom w:val="0"/>
      <w:divBdr>
        <w:top w:val="none" w:sz="0" w:space="0" w:color="auto"/>
        <w:left w:val="none" w:sz="0" w:space="0" w:color="auto"/>
        <w:bottom w:val="none" w:sz="0" w:space="0" w:color="auto"/>
        <w:right w:val="none" w:sz="0" w:space="0" w:color="auto"/>
      </w:divBdr>
      <w:divsChild>
        <w:div w:id="1787653796">
          <w:marLeft w:val="1267"/>
          <w:marRight w:val="0"/>
          <w:marTop w:val="0"/>
          <w:marBottom w:val="0"/>
          <w:divBdr>
            <w:top w:val="none" w:sz="0" w:space="0" w:color="auto"/>
            <w:left w:val="none" w:sz="0" w:space="0" w:color="auto"/>
            <w:bottom w:val="none" w:sz="0" w:space="0" w:color="auto"/>
            <w:right w:val="none" w:sz="0" w:space="0" w:color="auto"/>
          </w:divBdr>
        </w:div>
        <w:div w:id="1845852363">
          <w:marLeft w:val="1267"/>
          <w:marRight w:val="0"/>
          <w:marTop w:val="0"/>
          <w:marBottom w:val="0"/>
          <w:divBdr>
            <w:top w:val="none" w:sz="0" w:space="0" w:color="auto"/>
            <w:left w:val="none" w:sz="0" w:space="0" w:color="auto"/>
            <w:bottom w:val="none" w:sz="0" w:space="0" w:color="auto"/>
            <w:right w:val="none" w:sz="0" w:space="0" w:color="auto"/>
          </w:divBdr>
        </w:div>
        <w:div w:id="298535131">
          <w:marLeft w:val="1267"/>
          <w:marRight w:val="0"/>
          <w:marTop w:val="0"/>
          <w:marBottom w:val="0"/>
          <w:divBdr>
            <w:top w:val="none" w:sz="0" w:space="0" w:color="auto"/>
            <w:left w:val="none" w:sz="0" w:space="0" w:color="auto"/>
            <w:bottom w:val="none" w:sz="0" w:space="0" w:color="auto"/>
            <w:right w:val="none" w:sz="0" w:space="0" w:color="auto"/>
          </w:divBdr>
        </w:div>
        <w:div w:id="1764767432">
          <w:marLeft w:val="1267"/>
          <w:marRight w:val="0"/>
          <w:marTop w:val="0"/>
          <w:marBottom w:val="0"/>
          <w:divBdr>
            <w:top w:val="none" w:sz="0" w:space="0" w:color="auto"/>
            <w:left w:val="none" w:sz="0" w:space="0" w:color="auto"/>
            <w:bottom w:val="none" w:sz="0" w:space="0" w:color="auto"/>
            <w:right w:val="none" w:sz="0" w:space="0" w:color="auto"/>
          </w:divBdr>
        </w:div>
      </w:divsChild>
    </w:div>
    <w:div w:id="1250040955">
      <w:bodyDiv w:val="1"/>
      <w:marLeft w:val="0"/>
      <w:marRight w:val="0"/>
      <w:marTop w:val="0"/>
      <w:marBottom w:val="0"/>
      <w:divBdr>
        <w:top w:val="none" w:sz="0" w:space="0" w:color="auto"/>
        <w:left w:val="none" w:sz="0" w:space="0" w:color="auto"/>
        <w:bottom w:val="none" w:sz="0" w:space="0" w:color="auto"/>
        <w:right w:val="none" w:sz="0" w:space="0" w:color="auto"/>
      </w:divBdr>
    </w:div>
    <w:div w:id="1311060423">
      <w:bodyDiv w:val="1"/>
      <w:marLeft w:val="0"/>
      <w:marRight w:val="0"/>
      <w:marTop w:val="0"/>
      <w:marBottom w:val="0"/>
      <w:divBdr>
        <w:top w:val="none" w:sz="0" w:space="0" w:color="auto"/>
        <w:left w:val="none" w:sz="0" w:space="0" w:color="auto"/>
        <w:bottom w:val="none" w:sz="0" w:space="0" w:color="auto"/>
        <w:right w:val="none" w:sz="0" w:space="0" w:color="auto"/>
      </w:divBdr>
      <w:divsChild>
        <w:div w:id="228663023">
          <w:marLeft w:val="1267"/>
          <w:marRight w:val="0"/>
          <w:marTop w:val="0"/>
          <w:marBottom w:val="0"/>
          <w:divBdr>
            <w:top w:val="none" w:sz="0" w:space="0" w:color="auto"/>
            <w:left w:val="none" w:sz="0" w:space="0" w:color="auto"/>
            <w:bottom w:val="none" w:sz="0" w:space="0" w:color="auto"/>
            <w:right w:val="none" w:sz="0" w:space="0" w:color="auto"/>
          </w:divBdr>
        </w:div>
        <w:div w:id="1999654816">
          <w:marLeft w:val="1267"/>
          <w:marRight w:val="0"/>
          <w:marTop w:val="0"/>
          <w:marBottom w:val="0"/>
          <w:divBdr>
            <w:top w:val="none" w:sz="0" w:space="0" w:color="auto"/>
            <w:left w:val="none" w:sz="0" w:space="0" w:color="auto"/>
            <w:bottom w:val="none" w:sz="0" w:space="0" w:color="auto"/>
            <w:right w:val="none" w:sz="0" w:space="0" w:color="auto"/>
          </w:divBdr>
        </w:div>
      </w:divsChild>
    </w:div>
    <w:div w:id="1355497136">
      <w:bodyDiv w:val="1"/>
      <w:marLeft w:val="0"/>
      <w:marRight w:val="0"/>
      <w:marTop w:val="0"/>
      <w:marBottom w:val="0"/>
      <w:divBdr>
        <w:top w:val="none" w:sz="0" w:space="0" w:color="auto"/>
        <w:left w:val="none" w:sz="0" w:space="0" w:color="auto"/>
        <w:bottom w:val="none" w:sz="0" w:space="0" w:color="auto"/>
        <w:right w:val="none" w:sz="0" w:space="0" w:color="auto"/>
      </w:divBdr>
    </w:div>
    <w:div w:id="1476331806">
      <w:bodyDiv w:val="1"/>
      <w:marLeft w:val="0"/>
      <w:marRight w:val="0"/>
      <w:marTop w:val="0"/>
      <w:marBottom w:val="0"/>
      <w:divBdr>
        <w:top w:val="none" w:sz="0" w:space="0" w:color="auto"/>
        <w:left w:val="none" w:sz="0" w:space="0" w:color="auto"/>
        <w:bottom w:val="none" w:sz="0" w:space="0" w:color="auto"/>
        <w:right w:val="none" w:sz="0" w:space="0" w:color="auto"/>
      </w:divBdr>
    </w:div>
    <w:div w:id="1516729389">
      <w:bodyDiv w:val="1"/>
      <w:marLeft w:val="0"/>
      <w:marRight w:val="0"/>
      <w:marTop w:val="0"/>
      <w:marBottom w:val="0"/>
      <w:divBdr>
        <w:top w:val="none" w:sz="0" w:space="0" w:color="auto"/>
        <w:left w:val="none" w:sz="0" w:space="0" w:color="auto"/>
        <w:bottom w:val="none" w:sz="0" w:space="0" w:color="auto"/>
        <w:right w:val="none" w:sz="0" w:space="0" w:color="auto"/>
      </w:divBdr>
    </w:div>
    <w:div w:id="1728913033">
      <w:bodyDiv w:val="1"/>
      <w:marLeft w:val="0"/>
      <w:marRight w:val="0"/>
      <w:marTop w:val="0"/>
      <w:marBottom w:val="0"/>
      <w:divBdr>
        <w:top w:val="none" w:sz="0" w:space="0" w:color="auto"/>
        <w:left w:val="none" w:sz="0" w:space="0" w:color="auto"/>
        <w:bottom w:val="none" w:sz="0" w:space="0" w:color="auto"/>
        <w:right w:val="none" w:sz="0" w:space="0" w:color="auto"/>
      </w:divBdr>
    </w:div>
    <w:div w:id="1730809577">
      <w:bodyDiv w:val="1"/>
      <w:marLeft w:val="0"/>
      <w:marRight w:val="0"/>
      <w:marTop w:val="0"/>
      <w:marBottom w:val="0"/>
      <w:divBdr>
        <w:top w:val="none" w:sz="0" w:space="0" w:color="auto"/>
        <w:left w:val="none" w:sz="0" w:space="0" w:color="auto"/>
        <w:bottom w:val="none" w:sz="0" w:space="0" w:color="auto"/>
        <w:right w:val="none" w:sz="0" w:space="0" w:color="auto"/>
      </w:divBdr>
    </w:div>
    <w:div w:id="1838570252">
      <w:bodyDiv w:val="1"/>
      <w:marLeft w:val="0"/>
      <w:marRight w:val="0"/>
      <w:marTop w:val="0"/>
      <w:marBottom w:val="0"/>
      <w:divBdr>
        <w:top w:val="none" w:sz="0" w:space="0" w:color="auto"/>
        <w:left w:val="none" w:sz="0" w:space="0" w:color="auto"/>
        <w:bottom w:val="none" w:sz="0" w:space="0" w:color="auto"/>
        <w:right w:val="none" w:sz="0" w:space="0" w:color="auto"/>
      </w:divBdr>
    </w:div>
    <w:div w:id="1862012881">
      <w:bodyDiv w:val="1"/>
      <w:marLeft w:val="0"/>
      <w:marRight w:val="0"/>
      <w:marTop w:val="0"/>
      <w:marBottom w:val="0"/>
      <w:divBdr>
        <w:top w:val="none" w:sz="0" w:space="0" w:color="auto"/>
        <w:left w:val="none" w:sz="0" w:space="0" w:color="auto"/>
        <w:bottom w:val="none" w:sz="0" w:space="0" w:color="auto"/>
        <w:right w:val="none" w:sz="0" w:space="0" w:color="auto"/>
      </w:divBdr>
    </w:div>
    <w:div w:id="1915122101">
      <w:bodyDiv w:val="1"/>
      <w:marLeft w:val="0"/>
      <w:marRight w:val="0"/>
      <w:marTop w:val="0"/>
      <w:marBottom w:val="0"/>
      <w:divBdr>
        <w:top w:val="none" w:sz="0" w:space="0" w:color="auto"/>
        <w:left w:val="none" w:sz="0" w:space="0" w:color="auto"/>
        <w:bottom w:val="none" w:sz="0" w:space="0" w:color="auto"/>
        <w:right w:val="none" w:sz="0" w:space="0" w:color="auto"/>
      </w:divBdr>
    </w:div>
    <w:div w:id="1954632962">
      <w:bodyDiv w:val="1"/>
      <w:marLeft w:val="0"/>
      <w:marRight w:val="0"/>
      <w:marTop w:val="0"/>
      <w:marBottom w:val="0"/>
      <w:divBdr>
        <w:top w:val="none" w:sz="0" w:space="0" w:color="auto"/>
        <w:left w:val="none" w:sz="0" w:space="0" w:color="auto"/>
        <w:bottom w:val="none" w:sz="0" w:space="0" w:color="auto"/>
        <w:right w:val="none" w:sz="0" w:space="0" w:color="auto"/>
      </w:divBdr>
    </w:div>
    <w:div w:id="2010716228">
      <w:bodyDiv w:val="1"/>
      <w:marLeft w:val="0"/>
      <w:marRight w:val="0"/>
      <w:marTop w:val="0"/>
      <w:marBottom w:val="0"/>
      <w:divBdr>
        <w:top w:val="none" w:sz="0" w:space="0" w:color="auto"/>
        <w:left w:val="none" w:sz="0" w:space="0" w:color="auto"/>
        <w:bottom w:val="none" w:sz="0" w:space="0" w:color="auto"/>
        <w:right w:val="none" w:sz="0" w:space="0" w:color="auto"/>
      </w:divBdr>
    </w:div>
    <w:div w:id="2117483849">
      <w:bodyDiv w:val="1"/>
      <w:marLeft w:val="0"/>
      <w:marRight w:val="0"/>
      <w:marTop w:val="0"/>
      <w:marBottom w:val="0"/>
      <w:divBdr>
        <w:top w:val="none" w:sz="0" w:space="0" w:color="auto"/>
        <w:left w:val="none" w:sz="0" w:space="0" w:color="auto"/>
        <w:bottom w:val="none" w:sz="0" w:space="0" w:color="auto"/>
        <w:right w:val="none" w:sz="0" w:space="0" w:color="auto"/>
      </w:divBdr>
    </w:div>
    <w:div w:id="2145854424">
      <w:bodyDiv w:val="1"/>
      <w:marLeft w:val="0"/>
      <w:marRight w:val="0"/>
      <w:marTop w:val="0"/>
      <w:marBottom w:val="0"/>
      <w:divBdr>
        <w:top w:val="none" w:sz="0" w:space="0" w:color="auto"/>
        <w:left w:val="none" w:sz="0" w:space="0" w:color="auto"/>
        <w:bottom w:val="none" w:sz="0" w:space="0" w:color="auto"/>
        <w:right w:val="none" w:sz="0" w:space="0" w:color="auto"/>
      </w:divBdr>
      <w:divsChild>
        <w:div w:id="610478569">
          <w:marLeft w:val="1267"/>
          <w:marRight w:val="0"/>
          <w:marTop w:val="0"/>
          <w:marBottom w:val="0"/>
          <w:divBdr>
            <w:top w:val="none" w:sz="0" w:space="0" w:color="auto"/>
            <w:left w:val="none" w:sz="0" w:space="0" w:color="auto"/>
            <w:bottom w:val="none" w:sz="0" w:space="0" w:color="auto"/>
            <w:right w:val="none" w:sz="0" w:space="0" w:color="auto"/>
          </w:divBdr>
        </w:div>
        <w:div w:id="81815297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ationalbudget.org/wp-content/uploads/OBI2012-Report-English.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hdr.undp.org/en" TargetMode="External"/><Relationship Id="rId4" Type="http://schemas.openxmlformats.org/officeDocument/2006/relationships/settings" Target="settings.xml"/><Relationship Id="rId9" Type="http://schemas.openxmlformats.org/officeDocument/2006/relationships/hyperlink" Target="http://www.unodc.org/gsh/en/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360E9-3C71-4692-ABC5-9F2D7738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25154</Words>
  <Characters>143380</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chitose.noguchi</dc:creator>
  <cp:lastModifiedBy>Svetlana Iazykova</cp:lastModifiedBy>
  <cp:revision>3</cp:revision>
  <cp:lastPrinted>2015-05-07T15:20:00Z</cp:lastPrinted>
  <dcterms:created xsi:type="dcterms:W3CDTF">2015-05-22T17:43:00Z</dcterms:created>
  <dcterms:modified xsi:type="dcterms:W3CDTF">2015-05-22T17:43:00Z</dcterms:modified>
</cp:coreProperties>
</file>