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F7D6" w14:textId="034C7A52" w:rsidR="005C6168" w:rsidRPr="00517955" w:rsidRDefault="005C6168" w:rsidP="00E74058">
      <w:pPr>
        <w:pStyle w:val="Heading3"/>
        <w:jc w:val="both"/>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t>[</w:t>
      </w:r>
      <w:r w:rsidR="003752A0">
        <w:rPr>
          <w:rFonts w:asciiTheme="minorHAnsi" w:hAnsiTheme="minorHAnsi"/>
        </w:rPr>
        <w:t>INDONESIA</w:t>
      </w:r>
      <w:r w:rsidRPr="00517955">
        <w:rPr>
          <w:rFonts w:asciiTheme="minorHAnsi" w:hAnsiTheme="minorHAnsi"/>
        </w:rPr>
        <w:t>]</w:t>
      </w:r>
    </w:p>
    <w:p w14:paraId="2869F7D7" w14:textId="77777777" w:rsidR="005C6168" w:rsidRPr="00517955" w:rsidRDefault="005C6168" w:rsidP="00E74058">
      <w:pPr>
        <w:pStyle w:val="Heading3"/>
        <w:jc w:val="both"/>
        <w:rPr>
          <w:rFonts w:asciiTheme="minorHAnsi" w:hAnsiTheme="minorHAnsi"/>
        </w:rPr>
      </w:pPr>
    </w:p>
    <w:p w14:paraId="2869F7D8" w14:textId="77777777" w:rsidR="005C6168" w:rsidRPr="00517955" w:rsidRDefault="00BC38E0" w:rsidP="00E74058">
      <w:pPr>
        <w:pStyle w:val="Heading3"/>
        <w:jc w:val="both"/>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2869F7D9" w14:textId="77777777" w:rsidR="005C6168" w:rsidRPr="00517955" w:rsidRDefault="005C6168" w:rsidP="00E74058">
      <w:pPr>
        <w:pStyle w:val="Heading3"/>
        <w:jc w:val="both"/>
        <w:rPr>
          <w:rFonts w:asciiTheme="minorHAnsi" w:hAnsiTheme="minorHAnsi"/>
          <w:b/>
        </w:rPr>
      </w:pPr>
    </w:p>
    <w:p w14:paraId="2869F7DA" w14:textId="09B40F45" w:rsidR="005C6168" w:rsidRPr="00517955" w:rsidRDefault="005C6168" w:rsidP="00E74058">
      <w:pPr>
        <w:pStyle w:val="Heading3"/>
        <w:jc w:val="both"/>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t>[</w:t>
      </w:r>
      <w:r w:rsidR="003752A0">
        <w:rPr>
          <w:rFonts w:asciiTheme="minorHAnsi" w:hAnsiTheme="minorHAnsi"/>
        </w:rPr>
        <w:t>2011-2015</w:t>
      </w:r>
      <w:r w:rsidRPr="00517955">
        <w:rPr>
          <w:rFonts w:asciiTheme="minorHAnsi" w:hAnsiTheme="minorHAnsi"/>
        </w:rPr>
        <w:t>]</w:t>
      </w:r>
    </w:p>
    <w:p w14:paraId="2869F7DB" w14:textId="77777777" w:rsidR="005C6168" w:rsidRPr="00517955" w:rsidRDefault="005C6168" w:rsidP="00E74058">
      <w:pPr>
        <w:pStyle w:val="Heading3"/>
        <w:jc w:val="both"/>
        <w:rPr>
          <w:rFonts w:asciiTheme="minorHAnsi" w:hAnsiTheme="minorHAnsi"/>
        </w:rPr>
      </w:pPr>
    </w:p>
    <w:p w14:paraId="2869F7DC" w14:textId="77777777" w:rsidR="005C6168" w:rsidRPr="00517955" w:rsidRDefault="005C6168" w:rsidP="00E74058">
      <w:pPr>
        <w:jc w:val="both"/>
        <w:rPr>
          <w:rFonts w:asciiTheme="minorHAnsi" w:hAnsiTheme="minorHAnsi"/>
        </w:rPr>
      </w:pPr>
    </w:p>
    <w:p w14:paraId="2869F7DD" w14:textId="512E5D2C" w:rsidR="005C6168" w:rsidRPr="00517955" w:rsidRDefault="005C6168" w:rsidP="00E74058">
      <w:pPr>
        <w:pStyle w:val="Heading3"/>
        <w:jc w:val="both"/>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2869F7E4" w14:textId="77777777" w:rsidR="005C6168" w:rsidRPr="00517955" w:rsidRDefault="005C6168" w:rsidP="00E74058">
      <w:pPr>
        <w:pStyle w:val="BodyText"/>
        <w:jc w:val="both"/>
        <w:rPr>
          <w:rFonts w:asciiTheme="minorHAnsi" w:hAnsiTheme="minorHAnsi"/>
        </w:rPr>
      </w:pPr>
    </w:p>
    <w:p w14:paraId="74C5ACD8" w14:textId="77777777" w:rsidR="00860E6B" w:rsidRDefault="00860E6B" w:rsidP="00E74058">
      <w:pPr>
        <w:pStyle w:val="BodyText2"/>
        <w:jc w:val="both"/>
        <w:rPr>
          <w:rFonts w:asciiTheme="minorHAnsi" w:hAnsiTheme="minorHAnsi"/>
          <w:i/>
          <w:sz w:val="24"/>
        </w:rPr>
      </w:pPr>
      <w:r>
        <w:rPr>
          <w:rFonts w:asciiTheme="minorHAnsi" w:hAnsiTheme="minorHAnsi"/>
          <w:i/>
          <w:sz w:val="24"/>
        </w:rPr>
        <w:t>From the Mid-Term Evaluation of the CPD (2014):</w:t>
      </w:r>
    </w:p>
    <w:p w14:paraId="09A7B935" w14:textId="07E57563" w:rsidR="00C33773" w:rsidRPr="005A5F0C" w:rsidRDefault="00C33773" w:rsidP="00E74058">
      <w:pPr>
        <w:pStyle w:val="BodyText2"/>
        <w:jc w:val="both"/>
        <w:rPr>
          <w:rFonts w:asciiTheme="minorHAnsi" w:hAnsiTheme="minorHAnsi"/>
          <w:i/>
          <w:sz w:val="24"/>
        </w:rPr>
      </w:pPr>
      <w:r w:rsidRPr="005A5F0C">
        <w:rPr>
          <w:rFonts w:asciiTheme="minorHAnsi" w:hAnsiTheme="minorHAnsi"/>
          <w:i/>
          <w:sz w:val="24"/>
        </w:rPr>
        <w:t xml:space="preserve">Since 2011, Indonesia has made considerable progress across all areas covered under the Country Programme. In particular poverty rates are falling and </w:t>
      </w:r>
      <w:r w:rsidR="00860E6B">
        <w:rPr>
          <w:rFonts w:asciiTheme="minorHAnsi" w:hAnsiTheme="minorHAnsi"/>
          <w:i/>
          <w:sz w:val="24"/>
        </w:rPr>
        <w:t>gains have been made in attainin</w:t>
      </w:r>
      <w:r w:rsidRPr="005A5F0C">
        <w:rPr>
          <w:rFonts w:asciiTheme="minorHAnsi" w:hAnsiTheme="minorHAnsi"/>
          <w:i/>
          <w:sz w:val="24"/>
        </w:rPr>
        <w:t xml:space="preserve">g or being on track to attain a large number of MDGs. Significant gains have also been made in watershed management, reducing forest degradation, </w:t>
      </w:r>
      <w:r w:rsidR="00014C03" w:rsidRPr="005A5F0C">
        <w:rPr>
          <w:rFonts w:asciiTheme="minorHAnsi" w:hAnsiTheme="minorHAnsi"/>
          <w:i/>
          <w:sz w:val="24"/>
        </w:rPr>
        <w:t>rehabilitati</w:t>
      </w:r>
      <w:r w:rsidR="00014C03">
        <w:rPr>
          <w:rFonts w:asciiTheme="minorHAnsi" w:hAnsiTheme="minorHAnsi"/>
          <w:i/>
          <w:sz w:val="24"/>
        </w:rPr>
        <w:t>ng</w:t>
      </w:r>
      <w:r w:rsidRPr="005A5F0C">
        <w:rPr>
          <w:rFonts w:asciiTheme="minorHAnsi" w:hAnsiTheme="minorHAnsi"/>
          <w:i/>
          <w:sz w:val="24"/>
        </w:rPr>
        <w:t xml:space="preserve"> critical land, controlling P</w:t>
      </w:r>
      <w:r w:rsidR="00860E6B">
        <w:rPr>
          <w:rFonts w:asciiTheme="minorHAnsi" w:hAnsiTheme="minorHAnsi"/>
          <w:i/>
          <w:sz w:val="24"/>
        </w:rPr>
        <w:t xml:space="preserve">ersistent </w:t>
      </w:r>
      <w:r w:rsidRPr="005A5F0C">
        <w:rPr>
          <w:rFonts w:asciiTheme="minorHAnsi" w:hAnsiTheme="minorHAnsi"/>
          <w:i/>
          <w:sz w:val="24"/>
        </w:rPr>
        <w:t>O</w:t>
      </w:r>
      <w:r w:rsidR="00860E6B">
        <w:rPr>
          <w:rFonts w:asciiTheme="minorHAnsi" w:hAnsiTheme="minorHAnsi"/>
          <w:i/>
          <w:sz w:val="24"/>
        </w:rPr>
        <w:t xml:space="preserve">rganic </w:t>
      </w:r>
      <w:r w:rsidRPr="005A5F0C">
        <w:rPr>
          <w:rFonts w:asciiTheme="minorHAnsi" w:hAnsiTheme="minorHAnsi"/>
          <w:i/>
          <w:sz w:val="24"/>
        </w:rPr>
        <w:t>P</w:t>
      </w:r>
      <w:r w:rsidR="00860E6B">
        <w:rPr>
          <w:rFonts w:asciiTheme="minorHAnsi" w:hAnsiTheme="minorHAnsi"/>
          <w:i/>
          <w:sz w:val="24"/>
        </w:rPr>
        <w:t>ollutants</w:t>
      </w:r>
      <w:r w:rsidR="00014C03">
        <w:rPr>
          <w:rFonts w:asciiTheme="minorHAnsi" w:hAnsiTheme="minorHAnsi"/>
          <w:i/>
          <w:sz w:val="24"/>
        </w:rPr>
        <w:t>,</w:t>
      </w:r>
      <w:r w:rsidRPr="005A5F0C">
        <w:rPr>
          <w:rFonts w:asciiTheme="minorHAnsi" w:hAnsiTheme="minorHAnsi"/>
          <w:i/>
          <w:sz w:val="24"/>
        </w:rPr>
        <w:t xml:space="preserve"> and in electrification. The institutionalisation of </w:t>
      </w:r>
      <w:r w:rsidR="00860E6B">
        <w:rPr>
          <w:rFonts w:asciiTheme="minorHAnsi" w:hAnsiTheme="minorHAnsi"/>
          <w:i/>
          <w:sz w:val="24"/>
        </w:rPr>
        <w:t xml:space="preserve">the programme to </w:t>
      </w:r>
      <w:r w:rsidRPr="005A5F0C">
        <w:rPr>
          <w:rFonts w:asciiTheme="minorHAnsi" w:hAnsiTheme="minorHAnsi"/>
          <w:i/>
          <w:sz w:val="24"/>
        </w:rPr>
        <w:t>R</w:t>
      </w:r>
      <w:r w:rsidR="00860E6B">
        <w:rPr>
          <w:rFonts w:asciiTheme="minorHAnsi" w:hAnsiTheme="minorHAnsi"/>
          <w:i/>
          <w:sz w:val="24"/>
        </w:rPr>
        <w:t xml:space="preserve">educe </w:t>
      </w:r>
      <w:r w:rsidRPr="005A5F0C">
        <w:rPr>
          <w:rFonts w:asciiTheme="minorHAnsi" w:hAnsiTheme="minorHAnsi"/>
          <w:i/>
          <w:sz w:val="24"/>
        </w:rPr>
        <w:t>E</w:t>
      </w:r>
      <w:r w:rsidR="00860E6B">
        <w:rPr>
          <w:rFonts w:asciiTheme="minorHAnsi" w:hAnsiTheme="minorHAnsi"/>
          <w:i/>
          <w:sz w:val="24"/>
        </w:rPr>
        <w:t xml:space="preserve">missions from </w:t>
      </w:r>
      <w:r w:rsidRPr="005A5F0C">
        <w:rPr>
          <w:rFonts w:asciiTheme="minorHAnsi" w:hAnsiTheme="minorHAnsi"/>
          <w:i/>
          <w:sz w:val="24"/>
        </w:rPr>
        <w:t>D</w:t>
      </w:r>
      <w:r w:rsidR="00860E6B">
        <w:rPr>
          <w:rFonts w:asciiTheme="minorHAnsi" w:hAnsiTheme="minorHAnsi"/>
          <w:i/>
          <w:sz w:val="24"/>
        </w:rPr>
        <w:t xml:space="preserve">eforestation and </w:t>
      </w:r>
      <w:r w:rsidRPr="005A5F0C">
        <w:rPr>
          <w:rFonts w:asciiTheme="minorHAnsi" w:hAnsiTheme="minorHAnsi"/>
          <w:i/>
          <w:sz w:val="24"/>
        </w:rPr>
        <w:t>D</w:t>
      </w:r>
      <w:r w:rsidR="00860E6B">
        <w:rPr>
          <w:rFonts w:asciiTheme="minorHAnsi" w:hAnsiTheme="minorHAnsi"/>
          <w:i/>
          <w:sz w:val="24"/>
        </w:rPr>
        <w:t>egradation (REDD</w:t>
      </w:r>
      <w:r w:rsidRPr="005A5F0C">
        <w:rPr>
          <w:rFonts w:asciiTheme="minorHAnsi" w:hAnsiTheme="minorHAnsi"/>
          <w:i/>
          <w:sz w:val="24"/>
        </w:rPr>
        <w:t>+</w:t>
      </w:r>
      <w:r w:rsidR="00860E6B">
        <w:rPr>
          <w:rFonts w:asciiTheme="minorHAnsi" w:hAnsiTheme="minorHAnsi"/>
          <w:i/>
          <w:sz w:val="24"/>
        </w:rPr>
        <w:t>)</w:t>
      </w:r>
      <w:r w:rsidRPr="005A5F0C">
        <w:rPr>
          <w:rFonts w:asciiTheme="minorHAnsi" w:hAnsiTheme="minorHAnsi"/>
          <w:i/>
          <w:sz w:val="24"/>
        </w:rPr>
        <w:t xml:space="preserve"> and </w:t>
      </w:r>
      <w:r w:rsidR="00860E6B">
        <w:rPr>
          <w:rFonts w:asciiTheme="minorHAnsi" w:hAnsiTheme="minorHAnsi"/>
          <w:i/>
          <w:sz w:val="24"/>
        </w:rPr>
        <w:t xml:space="preserve">its </w:t>
      </w:r>
      <w:r w:rsidRPr="005A5F0C">
        <w:rPr>
          <w:rFonts w:asciiTheme="minorHAnsi" w:hAnsiTheme="minorHAnsi"/>
          <w:i/>
          <w:sz w:val="24"/>
        </w:rPr>
        <w:t xml:space="preserve">financing arrangements has progressed well. But challenges remain in protecting coral reef and raising the percentage of renewable energy produced. Women’s participation in top level administration has improved significantly </w:t>
      </w:r>
      <w:r w:rsidR="00860E6B">
        <w:rPr>
          <w:rFonts w:asciiTheme="minorHAnsi" w:hAnsiTheme="minorHAnsi"/>
          <w:i/>
          <w:sz w:val="24"/>
        </w:rPr>
        <w:t xml:space="preserve">but little </w:t>
      </w:r>
      <w:r w:rsidRPr="005A5F0C">
        <w:rPr>
          <w:rFonts w:asciiTheme="minorHAnsi" w:hAnsiTheme="minorHAnsi"/>
          <w:i/>
          <w:sz w:val="24"/>
        </w:rPr>
        <w:t>gain</w:t>
      </w:r>
      <w:r w:rsidR="00860E6B">
        <w:rPr>
          <w:rFonts w:asciiTheme="minorHAnsi" w:hAnsiTheme="minorHAnsi"/>
          <w:i/>
          <w:sz w:val="24"/>
        </w:rPr>
        <w:t xml:space="preserve"> has been made </w:t>
      </w:r>
      <w:r w:rsidRPr="005A5F0C">
        <w:rPr>
          <w:rFonts w:asciiTheme="minorHAnsi" w:hAnsiTheme="minorHAnsi"/>
          <w:i/>
          <w:sz w:val="24"/>
        </w:rPr>
        <w:t xml:space="preserve">in </w:t>
      </w:r>
      <w:r w:rsidR="00860E6B">
        <w:rPr>
          <w:rFonts w:asciiTheme="minorHAnsi" w:hAnsiTheme="minorHAnsi"/>
          <w:i/>
          <w:sz w:val="24"/>
        </w:rPr>
        <w:t xml:space="preserve">terms of </w:t>
      </w:r>
      <w:r w:rsidRPr="005A5F0C">
        <w:rPr>
          <w:rFonts w:asciiTheme="minorHAnsi" w:hAnsiTheme="minorHAnsi"/>
          <w:i/>
          <w:sz w:val="24"/>
        </w:rPr>
        <w:t xml:space="preserve">their </w:t>
      </w:r>
      <w:r w:rsidR="00860E6B">
        <w:rPr>
          <w:rFonts w:asciiTheme="minorHAnsi" w:hAnsiTheme="minorHAnsi"/>
          <w:i/>
          <w:sz w:val="24"/>
        </w:rPr>
        <w:t>r</w:t>
      </w:r>
      <w:r w:rsidRPr="005A5F0C">
        <w:rPr>
          <w:rFonts w:asciiTheme="minorHAnsi" w:hAnsiTheme="minorHAnsi"/>
          <w:i/>
          <w:sz w:val="24"/>
        </w:rPr>
        <w:t>epresentation</w:t>
      </w:r>
      <w:r w:rsidR="00860E6B">
        <w:rPr>
          <w:rFonts w:asciiTheme="minorHAnsi" w:hAnsiTheme="minorHAnsi"/>
          <w:i/>
          <w:sz w:val="24"/>
        </w:rPr>
        <w:t xml:space="preserve"> in Parliament</w:t>
      </w:r>
      <w:r w:rsidRPr="005A5F0C">
        <w:rPr>
          <w:rFonts w:asciiTheme="minorHAnsi" w:hAnsiTheme="minorHAnsi"/>
          <w:i/>
          <w:sz w:val="24"/>
        </w:rPr>
        <w:t xml:space="preserve">. Provincial </w:t>
      </w:r>
      <w:r w:rsidR="005555FD">
        <w:rPr>
          <w:rFonts w:asciiTheme="minorHAnsi" w:hAnsiTheme="minorHAnsi"/>
          <w:i/>
          <w:sz w:val="24"/>
        </w:rPr>
        <w:t xml:space="preserve">government </w:t>
      </w:r>
      <w:r w:rsidRPr="005A5F0C">
        <w:rPr>
          <w:rFonts w:asciiTheme="minorHAnsi" w:hAnsiTheme="minorHAnsi"/>
          <w:i/>
          <w:sz w:val="24"/>
        </w:rPr>
        <w:t>accountability is improving and there are gains in civil service integrity. But the I</w:t>
      </w:r>
      <w:r w:rsidR="00860E6B">
        <w:rPr>
          <w:rFonts w:asciiTheme="minorHAnsi" w:hAnsiTheme="minorHAnsi"/>
          <w:i/>
          <w:sz w:val="24"/>
        </w:rPr>
        <w:t xml:space="preserve">ndonesia </w:t>
      </w:r>
      <w:r w:rsidRPr="005A5F0C">
        <w:rPr>
          <w:rFonts w:asciiTheme="minorHAnsi" w:hAnsiTheme="minorHAnsi"/>
          <w:i/>
          <w:sz w:val="24"/>
        </w:rPr>
        <w:t>D</w:t>
      </w:r>
      <w:r w:rsidR="00860E6B">
        <w:rPr>
          <w:rFonts w:asciiTheme="minorHAnsi" w:hAnsiTheme="minorHAnsi"/>
          <w:i/>
          <w:sz w:val="24"/>
        </w:rPr>
        <w:t xml:space="preserve">emocracy </w:t>
      </w:r>
      <w:r w:rsidRPr="005A5F0C">
        <w:rPr>
          <w:rFonts w:asciiTheme="minorHAnsi" w:hAnsiTheme="minorHAnsi"/>
          <w:i/>
          <w:sz w:val="24"/>
        </w:rPr>
        <w:t>I</w:t>
      </w:r>
      <w:r w:rsidR="00860E6B">
        <w:rPr>
          <w:rFonts w:asciiTheme="minorHAnsi" w:hAnsiTheme="minorHAnsi"/>
          <w:i/>
          <w:sz w:val="24"/>
        </w:rPr>
        <w:t>ndex</w:t>
      </w:r>
      <w:r w:rsidRPr="005A5F0C">
        <w:rPr>
          <w:rFonts w:asciiTheme="minorHAnsi" w:hAnsiTheme="minorHAnsi"/>
          <w:i/>
          <w:sz w:val="24"/>
        </w:rPr>
        <w:t xml:space="preserve"> score is declining and levels of political participation remain challenging. Improving service delivery to minimum standards is slow. Frameworks for conflict and disaster management have improved significantly, particularly in the area of recovery and </w:t>
      </w:r>
      <w:r w:rsidR="00860E6B">
        <w:rPr>
          <w:rFonts w:asciiTheme="minorHAnsi" w:hAnsiTheme="minorHAnsi"/>
          <w:i/>
          <w:sz w:val="24"/>
        </w:rPr>
        <w:t xml:space="preserve">the </w:t>
      </w:r>
      <w:r w:rsidRPr="005A5F0C">
        <w:rPr>
          <w:rFonts w:asciiTheme="minorHAnsi" w:hAnsiTheme="minorHAnsi"/>
          <w:i/>
          <w:sz w:val="24"/>
        </w:rPr>
        <w:t>G</w:t>
      </w:r>
      <w:r w:rsidR="00860E6B">
        <w:rPr>
          <w:rFonts w:asciiTheme="minorHAnsi" w:hAnsiTheme="minorHAnsi"/>
          <w:i/>
          <w:sz w:val="24"/>
        </w:rPr>
        <w:t xml:space="preserve">overnment of Indonesia </w:t>
      </w:r>
      <w:r w:rsidRPr="005A5F0C">
        <w:rPr>
          <w:rFonts w:asciiTheme="minorHAnsi" w:hAnsiTheme="minorHAnsi"/>
          <w:i/>
          <w:sz w:val="24"/>
        </w:rPr>
        <w:t>is now handling much more without external support. But incidences of local conflict are rising and budgets for disaster risk reduction are low</w:t>
      </w:r>
      <w:r w:rsidR="00A06BBE">
        <w:rPr>
          <w:rFonts w:asciiTheme="minorHAnsi" w:hAnsiTheme="minorHAnsi"/>
          <w:i/>
          <w:sz w:val="24"/>
        </w:rPr>
        <w:t>.</w:t>
      </w:r>
      <w:r w:rsidRPr="005A5F0C">
        <w:rPr>
          <w:rFonts w:asciiTheme="minorHAnsi" w:hAnsiTheme="minorHAnsi"/>
          <w:i/>
          <w:sz w:val="24"/>
        </w:rPr>
        <w:t xml:space="preserve"> </w:t>
      </w:r>
    </w:p>
    <w:p w14:paraId="2756E8C5" w14:textId="77777777" w:rsidR="00C33773" w:rsidRPr="005A5F0C" w:rsidRDefault="00C33773" w:rsidP="00E74058">
      <w:pPr>
        <w:pStyle w:val="BodyText2"/>
        <w:jc w:val="both"/>
        <w:rPr>
          <w:rFonts w:asciiTheme="minorHAnsi" w:hAnsiTheme="minorHAnsi"/>
          <w:i/>
          <w:sz w:val="24"/>
        </w:rPr>
      </w:pPr>
    </w:p>
    <w:p w14:paraId="660F4AB2" w14:textId="72A1E454" w:rsidR="00C33773" w:rsidRPr="005A5F0C" w:rsidRDefault="00C33773" w:rsidP="00E74058">
      <w:pPr>
        <w:pStyle w:val="BodyText2"/>
        <w:jc w:val="both"/>
        <w:rPr>
          <w:rFonts w:asciiTheme="minorHAnsi" w:hAnsiTheme="minorHAnsi"/>
          <w:i/>
          <w:sz w:val="24"/>
        </w:rPr>
      </w:pPr>
      <w:r w:rsidRPr="005A5F0C">
        <w:rPr>
          <w:rFonts w:asciiTheme="minorHAnsi" w:hAnsiTheme="minorHAnsi"/>
          <w:i/>
          <w:sz w:val="24"/>
        </w:rPr>
        <w:t xml:space="preserve">UNDP’s positioning of its programme within the Government of Indonesia’s priorities for this </w:t>
      </w:r>
      <w:r w:rsidR="005555FD">
        <w:rPr>
          <w:rFonts w:asciiTheme="minorHAnsi" w:hAnsiTheme="minorHAnsi"/>
          <w:i/>
          <w:sz w:val="24"/>
        </w:rPr>
        <w:t>Country Programme</w:t>
      </w:r>
      <w:r w:rsidRPr="005A5F0C">
        <w:rPr>
          <w:rFonts w:asciiTheme="minorHAnsi" w:hAnsiTheme="minorHAnsi"/>
          <w:i/>
          <w:sz w:val="24"/>
        </w:rPr>
        <w:t xml:space="preserve"> cycle has been exemplary. UNDP is seen as a close, neutral, trusted and valued partner by </w:t>
      </w:r>
      <w:r w:rsidR="005555FD">
        <w:rPr>
          <w:rFonts w:asciiTheme="minorHAnsi" w:hAnsiTheme="minorHAnsi"/>
          <w:i/>
          <w:sz w:val="24"/>
        </w:rPr>
        <w:t>the Government</w:t>
      </w:r>
      <w:r w:rsidRPr="005A5F0C">
        <w:rPr>
          <w:rFonts w:asciiTheme="minorHAnsi" w:hAnsiTheme="minorHAnsi"/>
          <w:i/>
          <w:sz w:val="24"/>
        </w:rPr>
        <w:t>. This is a major comparative advantage for UNDP. UNDP plays very useful and effective roles in building institutions and their capacity, in helping to develop policies, strategies and regulations; and in trialling systems, tools and methods. Particularly in the latter role it has helped to develop “tools” that can be seen as UNDP products and are marketable as such.</w:t>
      </w:r>
    </w:p>
    <w:p w14:paraId="76EABD6C" w14:textId="77777777" w:rsidR="00C33773" w:rsidRDefault="00C33773" w:rsidP="00E74058">
      <w:pPr>
        <w:pStyle w:val="BodyText2"/>
        <w:jc w:val="both"/>
      </w:pPr>
    </w:p>
    <w:p w14:paraId="09D05157" w14:textId="77777777" w:rsidR="005A5F0C" w:rsidRDefault="00C33773" w:rsidP="00E74058">
      <w:pPr>
        <w:pStyle w:val="BodyText2"/>
        <w:jc w:val="both"/>
        <w:rPr>
          <w:rFonts w:asciiTheme="minorHAnsi" w:hAnsiTheme="minorHAnsi"/>
          <w:i/>
          <w:sz w:val="24"/>
        </w:rPr>
      </w:pPr>
      <w:r w:rsidRPr="001D3A31">
        <w:rPr>
          <w:rFonts w:asciiTheme="minorHAnsi" w:hAnsiTheme="minorHAnsi"/>
          <w:i/>
          <w:sz w:val="24"/>
        </w:rPr>
        <w:t>UNDP has helped GOI make a large number of achievements across its portfolio, with solid achievements in all Outcome areas.</w:t>
      </w:r>
      <w:r>
        <w:rPr>
          <w:rFonts w:asciiTheme="minorHAnsi" w:hAnsiTheme="minorHAnsi"/>
          <w:i/>
          <w:sz w:val="24"/>
        </w:rPr>
        <w:t xml:space="preserve"> </w:t>
      </w:r>
    </w:p>
    <w:p w14:paraId="166F4EE3"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Work on accelerating MDGs; </w:t>
      </w:r>
    </w:p>
    <w:p w14:paraId="6741FD3A"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The establishment of watershed management arrangements; </w:t>
      </w:r>
    </w:p>
    <w:p w14:paraId="37056A8B"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The trialling of renewable energy technologies that demonstrate impact of reducing greenhouse gases; </w:t>
      </w:r>
    </w:p>
    <w:p w14:paraId="3DB2102A" w14:textId="14747092"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The establishment of the Indonesia Climate Change Trust Fund; </w:t>
      </w:r>
    </w:p>
    <w:p w14:paraId="210D1BA4"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The introduction and use of the Indonesia Democracy Index; </w:t>
      </w:r>
    </w:p>
    <w:p w14:paraId="48EEFFA2"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The revision of the Law on Decentralisation and innovative pro-poor planning and budgeting methods at the sub-national level; </w:t>
      </w:r>
    </w:p>
    <w:p w14:paraId="40B185FE" w14:textId="4D2D289D" w:rsidR="005A5F0C" w:rsidRP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lastRenderedPageBreak/>
        <w:t xml:space="preserve">The establishment of the National Strategy for Access to Justice and the creation of legal aid and public complaints mechanisms; </w:t>
      </w:r>
      <w:r w:rsidR="005A5F0C" w:rsidRPr="005A5F0C">
        <w:rPr>
          <w:rFonts w:asciiTheme="minorHAnsi" w:hAnsiTheme="minorHAnsi"/>
          <w:i/>
          <w:sz w:val="24"/>
        </w:rPr>
        <w:t>T</w:t>
      </w:r>
      <w:r w:rsidRPr="005A5F0C">
        <w:rPr>
          <w:rFonts w:asciiTheme="minorHAnsi" w:hAnsiTheme="minorHAnsi"/>
          <w:i/>
          <w:sz w:val="24"/>
        </w:rPr>
        <w:t xml:space="preserve">he establishment of the Participatory Governance Assessment methodology; </w:t>
      </w:r>
    </w:p>
    <w:p w14:paraId="20464010"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The establishment of a comprehensive conflict prevention and peace building framework; </w:t>
      </w:r>
    </w:p>
    <w:p w14:paraId="25A0504B" w14:textId="77777777" w:rsid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 xml:space="preserve">Major consolidation of Indonesia’s disaster recovery framework; and </w:t>
      </w:r>
    </w:p>
    <w:p w14:paraId="392C648A" w14:textId="12350FB6" w:rsidR="00C33773" w:rsidRPr="005A5F0C" w:rsidRDefault="00C33773" w:rsidP="00E74058">
      <w:pPr>
        <w:pStyle w:val="BodyText2"/>
        <w:numPr>
          <w:ilvl w:val="0"/>
          <w:numId w:val="41"/>
        </w:numPr>
        <w:jc w:val="both"/>
        <w:rPr>
          <w:rFonts w:asciiTheme="minorHAnsi" w:hAnsiTheme="minorHAnsi"/>
          <w:i/>
          <w:sz w:val="24"/>
        </w:rPr>
      </w:pPr>
      <w:r w:rsidRPr="005A5F0C">
        <w:rPr>
          <w:rFonts w:asciiTheme="minorHAnsi" w:hAnsiTheme="minorHAnsi"/>
          <w:i/>
          <w:sz w:val="24"/>
        </w:rPr>
        <w:t>Considerable consolidation in the disaster risk reduction framework.</w:t>
      </w:r>
    </w:p>
    <w:p w14:paraId="26DE1FA0" w14:textId="77777777" w:rsidR="00C33773" w:rsidRPr="00C33773" w:rsidRDefault="00C33773" w:rsidP="00E74058">
      <w:pPr>
        <w:pStyle w:val="BodyText2"/>
        <w:jc w:val="both"/>
      </w:pPr>
    </w:p>
    <w:p w14:paraId="2869F7E7" w14:textId="77777777" w:rsidR="0037523B" w:rsidRDefault="0037523B" w:rsidP="00E74058">
      <w:pPr>
        <w:pStyle w:val="BodyText2"/>
        <w:jc w:val="both"/>
        <w:rPr>
          <w:rFonts w:ascii="Times New Roman" w:hAnsi="Times New Roman"/>
          <w:b/>
          <w:sz w:val="24"/>
        </w:rPr>
      </w:pPr>
    </w:p>
    <w:p w14:paraId="2869F7E8" w14:textId="77777777" w:rsidR="0037523B" w:rsidRDefault="0037523B" w:rsidP="00E74058">
      <w:pPr>
        <w:pStyle w:val="BodyText2"/>
        <w:jc w:val="both"/>
        <w:rPr>
          <w:rFonts w:ascii="Times New Roman" w:hAnsi="Times New Roman"/>
          <w:b/>
          <w:sz w:val="24"/>
        </w:rPr>
      </w:pPr>
    </w:p>
    <w:p w14:paraId="2869F7E9" w14:textId="77777777" w:rsidR="0037523B" w:rsidRDefault="0037523B" w:rsidP="00E74058">
      <w:pPr>
        <w:pStyle w:val="BodyText2"/>
        <w:jc w:val="both"/>
        <w:rPr>
          <w:rFonts w:ascii="Times New Roman" w:hAnsi="Times New Roman"/>
          <w:b/>
          <w:sz w:val="24"/>
        </w:rPr>
      </w:pPr>
    </w:p>
    <w:p w14:paraId="2869F7EA" w14:textId="77777777" w:rsidR="0037523B" w:rsidRDefault="0037523B" w:rsidP="00E74058">
      <w:pPr>
        <w:pStyle w:val="BodyText2"/>
        <w:jc w:val="both"/>
        <w:rPr>
          <w:rFonts w:ascii="Times New Roman" w:hAnsi="Times New Roman"/>
          <w:b/>
          <w:sz w:val="24"/>
        </w:rPr>
      </w:pPr>
    </w:p>
    <w:p w14:paraId="2869F7EB" w14:textId="77777777" w:rsidR="0037523B" w:rsidRDefault="0037523B" w:rsidP="00E74058">
      <w:pPr>
        <w:pStyle w:val="BodyText2"/>
        <w:jc w:val="both"/>
        <w:rPr>
          <w:rFonts w:ascii="Times New Roman" w:hAnsi="Times New Roman"/>
          <w:b/>
          <w:sz w:val="24"/>
        </w:rPr>
      </w:pPr>
    </w:p>
    <w:p w14:paraId="2869F7EC" w14:textId="77777777" w:rsidR="0037523B" w:rsidRDefault="0037523B" w:rsidP="00E74058">
      <w:pPr>
        <w:pStyle w:val="BodyText2"/>
        <w:jc w:val="both"/>
        <w:rPr>
          <w:rFonts w:ascii="Times New Roman" w:hAnsi="Times New Roman"/>
          <w:b/>
          <w:sz w:val="24"/>
        </w:rPr>
      </w:pPr>
    </w:p>
    <w:p w14:paraId="2869F7ED" w14:textId="77777777" w:rsidR="0037523B" w:rsidRDefault="0037523B" w:rsidP="00E74058">
      <w:pPr>
        <w:pStyle w:val="BodyText2"/>
        <w:jc w:val="both"/>
        <w:rPr>
          <w:rFonts w:ascii="Times New Roman" w:hAnsi="Times New Roman"/>
          <w:b/>
          <w:sz w:val="24"/>
        </w:rPr>
      </w:pPr>
    </w:p>
    <w:p w14:paraId="2869F7EE" w14:textId="77777777" w:rsidR="0037523B" w:rsidRDefault="0037523B" w:rsidP="00E74058">
      <w:pPr>
        <w:pStyle w:val="BodyText2"/>
        <w:jc w:val="both"/>
        <w:rPr>
          <w:rFonts w:ascii="Times New Roman" w:hAnsi="Times New Roman"/>
          <w:b/>
          <w:sz w:val="24"/>
        </w:rPr>
      </w:pPr>
    </w:p>
    <w:p w14:paraId="2869F7EF" w14:textId="77777777" w:rsidR="0037523B" w:rsidRDefault="0037523B" w:rsidP="00E74058">
      <w:pPr>
        <w:pStyle w:val="BodyText2"/>
        <w:jc w:val="both"/>
        <w:rPr>
          <w:rFonts w:ascii="Times New Roman" w:hAnsi="Times New Roman"/>
          <w:b/>
          <w:sz w:val="24"/>
        </w:rPr>
      </w:pPr>
    </w:p>
    <w:p w14:paraId="2869F7F0" w14:textId="77777777" w:rsidR="0037523B" w:rsidRDefault="0037523B" w:rsidP="00E74058">
      <w:pPr>
        <w:pStyle w:val="BodyText2"/>
        <w:jc w:val="both"/>
        <w:rPr>
          <w:rFonts w:ascii="Times New Roman" w:hAnsi="Times New Roman"/>
          <w:b/>
          <w:sz w:val="24"/>
        </w:rPr>
      </w:pPr>
    </w:p>
    <w:p w14:paraId="2869F7F1" w14:textId="77777777" w:rsidR="0037523B" w:rsidRDefault="0037523B" w:rsidP="00E74058">
      <w:pPr>
        <w:pStyle w:val="BodyText2"/>
        <w:jc w:val="both"/>
        <w:rPr>
          <w:rFonts w:ascii="Times New Roman" w:hAnsi="Times New Roman"/>
          <w:b/>
          <w:sz w:val="24"/>
        </w:rPr>
      </w:pPr>
    </w:p>
    <w:p w14:paraId="2869F7F2" w14:textId="77777777" w:rsidR="0037523B" w:rsidRDefault="0037523B" w:rsidP="00E74058">
      <w:pPr>
        <w:pStyle w:val="BodyText2"/>
        <w:jc w:val="both"/>
        <w:rPr>
          <w:rFonts w:ascii="Times New Roman" w:hAnsi="Times New Roman"/>
          <w:b/>
          <w:sz w:val="24"/>
        </w:rPr>
      </w:pPr>
    </w:p>
    <w:p w14:paraId="2869F7F3" w14:textId="77777777" w:rsidR="0037523B" w:rsidRDefault="0037523B" w:rsidP="00E74058">
      <w:pPr>
        <w:pStyle w:val="BodyText2"/>
        <w:jc w:val="both"/>
        <w:rPr>
          <w:rFonts w:ascii="Times New Roman" w:hAnsi="Times New Roman"/>
          <w:b/>
          <w:sz w:val="24"/>
        </w:rPr>
      </w:pPr>
    </w:p>
    <w:p w14:paraId="2869F7F4" w14:textId="77777777" w:rsidR="0037523B" w:rsidRDefault="0037523B" w:rsidP="00E74058">
      <w:pPr>
        <w:pStyle w:val="BodyText2"/>
        <w:jc w:val="both"/>
        <w:rPr>
          <w:rFonts w:ascii="Times New Roman" w:hAnsi="Times New Roman"/>
          <w:b/>
          <w:sz w:val="24"/>
        </w:rPr>
      </w:pPr>
    </w:p>
    <w:p w14:paraId="2869F7F5" w14:textId="77777777" w:rsidR="0037523B" w:rsidRDefault="0037523B" w:rsidP="00E74058">
      <w:pPr>
        <w:pStyle w:val="BodyText2"/>
        <w:jc w:val="both"/>
        <w:rPr>
          <w:rFonts w:ascii="Times New Roman" w:hAnsi="Times New Roman"/>
          <w:b/>
          <w:sz w:val="24"/>
        </w:rPr>
      </w:pPr>
    </w:p>
    <w:p w14:paraId="2869F7F6" w14:textId="77777777" w:rsidR="0037523B" w:rsidRDefault="0037523B" w:rsidP="00E74058">
      <w:pPr>
        <w:pStyle w:val="BodyText2"/>
        <w:jc w:val="both"/>
        <w:rPr>
          <w:rFonts w:ascii="Times New Roman" w:hAnsi="Times New Roman"/>
          <w:b/>
          <w:sz w:val="24"/>
        </w:rPr>
      </w:pPr>
    </w:p>
    <w:p w14:paraId="2869F7F7" w14:textId="77777777" w:rsidR="0037523B" w:rsidRDefault="0037523B" w:rsidP="00E74058">
      <w:pPr>
        <w:pStyle w:val="BodyText2"/>
        <w:jc w:val="both"/>
        <w:rPr>
          <w:rFonts w:ascii="Times New Roman" w:hAnsi="Times New Roman"/>
          <w:b/>
          <w:sz w:val="24"/>
        </w:rPr>
        <w:sectPr w:rsidR="0037523B">
          <w:headerReference w:type="default" r:id="rId13"/>
          <w:footerReference w:type="default" r:id="rId14"/>
          <w:endnotePr>
            <w:numFmt w:val="decimal"/>
          </w:endnotePr>
          <w:pgSz w:w="11907" w:h="16840" w:code="9"/>
          <w:pgMar w:top="1440" w:right="1440" w:bottom="1440" w:left="1440" w:header="720" w:footer="720" w:gutter="0"/>
          <w:cols w:space="720"/>
        </w:sectPr>
      </w:pPr>
    </w:p>
    <w:p w14:paraId="2869F7F8" w14:textId="77777777" w:rsidR="00975566" w:rsidRPr="00517955" w:rsidRDefault="006900FE" w:rsidP="00E74058">
      <w:pPr>
        <w:pStyle w:val="Heading3"/>
        <w:jc w:val="both"/>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2869F7F9" w14:textId="77777777" w:rsidR="00DC7354" w:rsidRDefault="00DC7354" w:rsidP="00E74058">
      <w:pPr>
        <w:pStyle w:val="BodyText2"/>
        <w:jc w:val="both"/>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2869F7FC" w14:textId="77777777" w:rsidTr="009E7526">
        <w:tc>
          <w:tcPr>
            <w:tcW w:w="3150" w:type="dxa"/>
            <w:gridSpan w:val="2"/>
            <w:tcBorders>
              <w:right w:val="nil"/>
            </w:tcBorders>
            <w:shd w:val="clear" w:color="auto" w:fill="FFC000"/>
          </w:tcPr>
          <w:p w14:paraId="2869F7FA" w14:textId="77777777" w:rsidR="00CB647D" w:rsidRPr="00A85E34" w:rsidRDefault="00CB647D" w:rsidP="00E74058">
            <w:pPr>
              <w:pStyle w:val="BodyText2"/>
              <w:jc w:val="both"/>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2869F7FB" w14:textId="77777777" w:rsidR="00CB647D" w:rsidRPr="00A85E34" w:rsidRDefault="00CB647D" w:rsidP="00E74058">
            <w:pPr>
              <w:pStyle w:val="BodyText2"/>
              <w:jc w:val="both"/>
              <w:rPr>
                <w:rFonts w:asciiTheme="minorHAnsi" w:hAnsiTheme="minorHAnsi"/>
                <w:b/>
                <w:sz w:val="24"/>
              </w:rPr>
            </w:pPr>
          </w:p>
        </w:tc>
      </w:tr>
      <w:tr w:rsidR="009B76A1" w:rsidRPr="00DC7354" w14:paraId="2869F7FE" w14:textId="77777777" w:rsidTr="0053698B">
        <w:tc>
          <w:tcPr>
            <w:tcW w:w="14040" w:type="dxa"/>
            <w:gridSpan w:val="5"/>
          </w:tcPr>
          <w:p w14:paraId="2869F7FD" w14:textId="1E7D1781" w:rsidR="009B76A1" w:rsidRPr="00DC7354" w:rsidRDefault="009B76A1" w:rsidP="00E74058">
            <w:pPr>
              <w:pStyle w:val="BodyText2"/>
              <w:jc w:val="both"/>
              <w:rPr>
                <w:rFonts w:asciiTheme="minorHAnsi" w:hAnsiTheme="minorHAnsi"/>
                <w:b/>
                <w:sz w:val="24"/>
              </w:rPr>
            </w:pPr>
            <w:r w:rsidRPr="00230A0E">
              <w:rPr>
                <w:rFonts w:asciiTheme="minorHAnsi" w:hAnsiTheme="minorHAnsi"/>
                <w:b/>
              </w:rPr>
              <w:t>Country name:</w:t>
            </w:r>
            <w:r w:rsidR="003752A0">
              <w:rPr>
                <w:rFonts w:asciiTheme="minorHAnsi" w:hAnsiTheme="minorHAnsi"/>
                <w:b/>
              </w:rPr>
              <w:t xml:space="preserve"> Indonesia</w:t>
            </w:r>
          </w:p>
        </w:tc>
      </w:tr>
      <w:tr w:rsidR="009B76A1" w:rsidRPr="00843006" w14:paraId="2869F800" w14:textId="77777777" w:rsidTr="0053698B">
        <w:tc>
          <w:tcPr>
            <w:tcW w:w="14040" w:type="dxa"/>
            <w:gridSpan w:val="5"/>
          </w:tcPr>
          <w:p w14:paraId="2869F7FF" w14:textId="5BE1D735" w:rsidR="009B76A1" w:rsidRPr="00843006" w:rsidRDefault="009B76A1" w:rsidP="00E74058">
            <w:pPr>
              <w:pStyle w:val="BodyText2"/>
              <w:jc w:val="both"/>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3752A0">
              <w:rPr>
                <w:rFonts w:asciiTheme="minorHAnsi" w:hAnsiTheme="minorHAnsi"/>
                <w:b/>
              </w:rPr>
              <w:t xml:space="preserve"> </w:t>
            </w:r>
            <w:r w:rsidR="00C5457D">
              <w:rPr>
                <w:rFonts w:asciiTheme="minorHAnsi" w:hAnsiTheme="minorHAnsi"/>
                <w:b/>
              </w:rPr>
              <w:t>2011-2015</w:t>
            </w:r>
          </w:p>
        </w:tc>
      </w:tr>
      <w:tr w:rsidR="003B037A" w:rsidRPr="00DC7354" w14:paraId="2869F805" w14:textId="77777777" w:rsidTr="009E7526">
        <w:tc>
          <w:tcPr>
            <w:tcW w:w="3150" w:type="dxa"/>
            <w:gridSpan w:val="2"/>
          </w:tcPr>
          <w:p w14:paraId="2869F801" w14:textId="77777777" w:rsidR="003B037A" w:rsidRPr="00DC7354" w:rsidRDefault="003B037A" w:rsidP="00E74058">
            <w:pPr>
              <w:pStyle w:val="BodyText2"/>
              <w:jc w:val="both"/>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14:paraId="2869F802" w14:textId="77777777"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2869F803" w14:textId="77777777"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2869F804" w14:textId="77777777" w:rsidR="003B037A" w:rsidRPr="005F6261" w:rsidRDefault="003B037A" w:rsidP="00E74058">
            <w:pPr>
              <w:pStyle w:val="BodyText2"/>
              <w:jc w:val="both"/>
              <w:rPr>
                <w:rFonts w:asciiTheme="minorHAnsi" w:hAnsiTheme="minorHAnsi"/>
                <w:b/>
                <w:sz w:val="22"/>
              </w:rPr>
            </w:pPr>
            <w:r w:rsidRPr="005F6261">
              <w:rPr>
                <w:rFonts w:asciiTheme="minorHAnsi" w:hAnsiTheme="minorHAnsi"/>
                <w:b/>
                <w:sz w:val="22"/>
              </w:rPr>
              <w:t>Progress made against key indicators</w:t>
            </w:r>
          </w:p>
        </w:tc>
      </w:tr>
      <w:tr w:rsidR="000823AC" w:rsidRPr="00DC7354" w14:paraId="2869F80E" w14:textId="77777777" w:rsidTr="000823AC">
        <w:tc>
          <w:tcPr>
            <w:tcW w:w="3150" w:type="dxa"/>
            <w:gridSpan w:val="2"/>
            <w:tcBorders>
              <w:bottom w:val="single" w:sz="4" w:space="0" w:color="auto"/>
            </w:tcBorders>
            <w:shd w:val="clear" w:color="auto" w:fill="95B3D7" w:themeFill="accent1" w:themeFillTint="99"/>
          </w:tcPr>
          <w:p w14:paraId="2869F806" w14:textId="096B2D6D" w:rsidR="00C5457D" w:rsidRPr="000823AC" w:rsidRDefault="003B037A" w:rsidP="00E74058">
            <w:pPr>
              <w:pStyle w:val="BodyText2"/>
              <w:jc w:val="both"/>
              <w:rPr>
                <w:rFonts w:asciiTheme="minorHAnsi" w:hAnsiTheme="minorHAnsi"/>
                <w:b/>
              </w:rPr>
            </w:pPr>
            <w:r w:rsidRPr="000823AC">
              <w:rPr>
                <w:rFonts w:asciiTheme="minorHAnsi" w:hAnsiTheme="minorHAnsi"/>
                <w:b/>
              </w:rPr>
              <w:t xml:space="preserve">1. </w:t>
            </w:r>
            <w:r w:rsidR="00C5457D" w:rsidRPr="00C5457D">
              <w:rPr>
                <w:rFonts w:asciiTheme="minorHAnsi" w:hAnsiTheme="minorHAnsi"/>
                <w:b/>
                <w:i/>
              </w:rPr>
              <w:t>National and sub-national authorities and stakeholders are more effective in reducing poverty and vulnerability, accelerating achievement of MDG targets as stated in the RPJMN, and improving overall human development</w:t>
            </w:r>
          </w:p>
        </w:tc>
        <w:tc>
          <w:tcPr>
            <w:tcW w:w="1440" w:type="dxa"/>
            <w:tcBorders>
              <w:bottom w:val="single" w:sz="4" w:space="0" w:color="auto"/>
            </w:tcBorders>
            <w:shd w:val="clear" w:color="auto" w:fill="auto"/>
          </w:tcPr>
          <w:p w14:paraId="693698CC" w14:textId="152C5EB0" w:rsidR="003B037A" w:rsidRDefault="00366AD1" w:rsidP="00E74058">
            <w:pPr>
              <w:pStyle w:val="BodyText2"/>
              <w:jc w:val="both"/>
              <w:rPr>
                <w:rFonts w:asciiTheme="minorHAnsi" w:hAnsiTheme="minorHAnsi"/>
              </w:rPr>
            </w:pPr>
            <w:r>
              <w:rPr>
                <w:rFonts w:asciiTheme="minorHAnsi" w:hAnsiTheme="minorHAnsi"/>
              </w:rPr>
              <w:t xml:space="preserve"> </w:t>
            </w:r>
            <w:r w:rsidR="003B037A" w:rsidRPr="00DC7354">
              <w:rPr>
                <w:rFonts w:asciiTheme="minorHAnsi" w:hAnsiTheme="minorHAnsi"/>
              </w:rPr>
              <w:t>$2</w:t>
            </w:r>
            <w:r w:rsidR="002C7C02">
              <w:rPr>
                <w:rFonts w:asciiTheme="minorHAnsi" w:hAnsiTheme="minorHAnsi"/>
              </w:rPr>
              <w:t>2,674,555</w:t>
            </w:r>
          </w:p>
          <w:p w14:paraId="2869F807" w14:textId="6BC46A80" w:rsidR="002C7C02" w:rsidRPr="00DC7354" w:rsidRDefault="002C7C02" w:rsidP="00E74058">
            <w:pPr>
              <w:pStyle w:val="BodyText2"/>
              <w:jc w:val="both"/>
              <w:rPr>
                <w:rFonts w:asciiTheme="minorHAnsi" w:hAnsiTheme="minorHAnsi"/>
              </w:rPr>
            </w:pPr>
          </w:p>
        </w:tc>
        <w:tc>
          <w:tcPr>
            <w:tcW w:w="3960" w:type="dxa"/>
            <w:tcBorders>
              <w:left w:val="single" w:sz="4" w:space="0" w:color="auto"/>
              <w:bottom w:val="single" w:sz="4" w:space="0" w:color="auto"/>
            </w:tcBorders>
          </w:tcPr>
          <w:p w14:paraId="29A539BC" w14:textId="10A982C9" w:rsidR="00C5457D" w:rsidRPr="00C5457D" w:rsidRDefault="00C5457D" w:rsidP="00E74058">
            <w:pPr>
              <w:pStyle w:val="BodyText2"/>
              <w:numPr>
                <w:ilvl w:val="0"/>
                <w:numId w:val="14"/>
              </w:numPr>
              <w:jc w:val="both"/>
              <w:rPr>
                <w:rFonts w:asciiTheme="minorHAnsi" w:hAnsiTheme="minorHAnsi"/>
                <w:i/>
              </w:rPr>
            </w:pPr>
            <w:r w:rsidRPr="00C5457D">
              <w:rPr>
                <w:rFonts w:asciiTheme="minorHAnsi" w:hAnsiTheme="minorHAnsi"/>
                <w:i/>
              </w:rPr>
              <w:t xml:space="preserve">Percentage change in national budget allocated for poverty policies and programmes implementation  </w:t>
            </w:r>
          </w:p>
          <w:p w14:paraId="3FCF5763" w14:textId="633385E9" w:rsidR="00C5457D" w:rsidRPr="00C5457D" w:rsidRDefault="00C5457D" w:rsidP="00E74058">
            <w:pPr>
              <w:pStyle w:val="BodyText2"/>
              <w:numPr>
                <w:ilvl w:val="0"/>
                <w:numId w:val="14"/>
              </w:numPr>
              <w:jc w:val="both"/>
              <w:rPr>
                <w:rFonts w:asciiTheme="minorHAnsi" w:hAnsiTheme="minorHAnsi"/>
                <w:i/>
              </w:rPr>
            </w:pPr>
            <w:r w:rsidRPr="00C5457D">
              <w:rPr>
                <w:rFonts w:asciiTheme="minorHAnsi" w:hAnsiTheme="minorHAnsi"/>
                <w:i/>
              </w:rPr>
              <w:t xml:space="preserve">Rate of poverty in national and UNPDF provinces   </w:t>
            </w:r>
          </w:p>
          <w:p w14:paraId="105837B3" w14:textId="471E49C3" w:rsidR="00C5457D" w:rsidRPr="00C5457D" w:rsidRDefault="00C5457D" w:rsidP="00E74058">
            <w:pPr>
              <w:pStyle w:val="BodyText2"/>
              <w:numPr>
                <w:ilvl w:val="0"/>
                <w:numId w:val="14"/>
              </w:numPr>
              <w:jc w:val="both"/>
              <w:rPr>
                <w:rFonts w:asciiTheme="minorHAnsi" w:hAnsiTheme="minorHAnsi"/>
                <w:i/>
              </w:rPr>
            </w:pPr>
            <w:r w:rsidRPr="00C5457D">
              <w:rPr>
                <w:rFonts w:asciiTheme="minorHAnsi" w:hAnsiTheme="minorHAnsi"/>
                <w:i/>
              </w:rPr>
              <w:t xml:space="preserve">Level of disparities in rate of poverty  at UNPDF provinces against the national poverty rate </w:t>
            </w:r>
          </w:p>
          <w:p w14:paraId="08890027" w14:textId="77777777" w:rsidR="003B037A" w:rsidRDefault="00C5457D" w:rsidP="00E74058">
            <w:pPr>
              <w:pStyle w:val="BodyText2"/>
              <w:numPr>
                <w:ilvl w:val="0"/>
                <w:numId w:val="14"/>
              </w:numPr>
              <w:jc w:val="both"/>
              <w:rPr>
                <w:rFonts w:asciiTheme="minorHAnsi" w:hAnsiTheme="minorHAnsi"/>
                <w:i/>
              </w:rPr>
            </w:pPr>
            <w:r w:rsidRPr="00C5457D">
              <w:rPr>
                <w:rFonts w:asciiTheme="minorHAnsi" w:hAnsiTheme="minorHAnsi"/>
                <w:i/>
              </w:rPr>
              <w:t>Level of achievement of MDG targets</w:t>
            </w:r>
          </w:p>
          <w:p w14:paraId="2869F80A" w14:textId="37F971C2" w:rsidR="006A655D" w:rsidRPr="00920DBC" w:rsidRDefault="006A655D" w:rsidP="00E74058">
            <w:pPr>
              <w:pStyle w:val="BodyText2"/>
              <w:jc w:val="both"/>
              <w:rPr>
                <w:rFonts w:asciiTheme="minorHAnsi" w:hAnsiTheme="minorHAnsi"/>
                <w:i/>
              </w:rPr>
            </w:pPr>
          </w:p>
        </w:tc>
        <w:tc>
          <w:tcPr>
            <w:tcW w:w="5490" w:type="dxa"/>
            <w:tcBorders>
              <w:bottom w:val="single" w:sz="4" w:space="0" w:color="auto"/>
            </w:tcBorders>
            <w:shd w:val="clear" w:color="auto" w:fill="auto"/>
          </w:tcPr>
          <w:p w14:paraId="2869F80B" w14:textId="38B67789" w:rsidR="003B037A" w:rsidRPr="00920DBC" w:rsidRDefault="008F5F73" w:rsidP="00E74058">
            <w:pPr>
              <w:pStyle w:val="BodyText2"/>
              <w:numPr>
                <w:ilvl w:val="0"/>
                <w:numId w:val="30"/>
              </w:numPr>
              <w:jc w:val="both"/>
              <w:rPr>
                <w:rFonts w:asciiTheme="minorHAnsi" w:hAnsiTheme="minorHAnsi"/>
                <w:i/>
              </w:rPr>
            </w:pPr>
            <w:r>
              <w:rPr>
                <w:rFonts w:asciiTheme="minorHAnsi" w:hAnsiTheme="minorHAnsi"/>
                <w:i/>
              </w:rPr>
              <w:t xml:space="preserve">Base line 2011, 7.2% of national budget allocated for poverty policies and programme implementation. (National budget for poverty: IDR 137.7 billion out of IDR 1,876.9 billion). </w:t>
            </w:r>
            <w:r w:rsidR="00607AA1">
              <w:rPr>
                <w:rFonts w:asciiTheme="minorHAnsi" w:hAnsiTheme="minorHAnsi"/>
                <w:i/>
              </w:rPr>
              <w:t>Current status (</w:t>
            </w:r>
            <w:r>
              <w:rPr>
                <w:rFonts w:asciiTheme="minorHAnsi" w:hAnsiTheme="minorHAnsi"/>
                <w:i/>
              </w:rPr>
              <w:t>2014</w:t>
            </w:r>
            <w:r w:rsidR="00607AA1">
              <w:rPr>
                <w:rFonts w:asciiTheme="minorHAnsi" w:hAnsiTheme="minorHAnsi"/>
                <w:i/>
              </w:rPr>
              <w:t xml:space="preserve">) some progress: </w:t>
            </w:r>
            <w:r>
              <w:rPr>
                <w:rFonts w:asciiTheme="minorHAnsi" w:hAnsiTheme="minorHAnsi"/>
                <w:i/>
              </w:rPr>
              <w:t xml:space="preserve"> budget increased to 7.34% of national budget allocated for poverty policies and programme (National budget for poverty: IDR 137.7 billion out of 1,876.9 Billion) </w:t>
            </w:r>
          </w:p>
          <w:p w14:paraId="2869F80C" w14:textId="7CBAFD54" w:rsidR="003B037A" w:rsidRDefault="008F5F73" w:rsidP="00E74058">
            <w:pPr>
              <w:pStyle w:val="BodyText2"/>
              <w:numPr>
                <w:ilvl w:val="0"/>
                <w:numId w:val="30"/>
              </w:numPr>
              <w:jc w:val="both"/>
              <w:rPr>
                <w:rFonts w:asciiTheme="minorHAnsi" w:hAnsiTheme="minorHAnsi"/>
                <w:i/>
              </w:rPr>
            </w:pPr>
            <w:r>
              <w:rPr>
                <w:rFonts w:asciiTheme="minorHAnsi" w:hAnsiTheme="minorHAnsi"/>
                <w:i/>
              </w:rPr>
              <w:t xml:space="preserve">Baseline 2011: Rate of poverty in National 13.33%, Aceh 20.98%; NTT 23.03%; Papua 36.08%; and West Papua 26.2%. Current </w:t>
            </w:r>
            <w:r w:rsidR="00615727">
              <w:rPr>
                <w:rFonts w:asciiTheme="minorHAnsi" w:hAnsiTheme="minorHAnsi"/>
                <w:i/>
              </w:rPr>
              <w:t xml:space="preserve">status </w:t>
            </w:r>
            <w:r>
              <w:rPr>
                <w:rFonts w:asciiTheme="minorHAnsi" w:hAnsiTheme="minorHAnsi"/>
                <w:i/>
              </w:rPr>
              <w:t>(2014)</w:t>
            </w:r>
            <w:r w:rsidR="00615727">
              <w:rPr>
                <w:rFonts w:asciiTheme="minorHAnsi" w:hAnsiTheme="minorHAnsi"/>
                <w:i/>
              </w:rPr>
              <w:t>, significant progress</w:t>
            </w:r>
            <w:r>
              <w:rPr>
                <w:rFonts w:asciiTheme="minorHAnsi" w:hAnsiTheme="minorHAnsi"/>
                <w:i/>
              </w:rPr>
              <w:t>: National poverty 10.96%; Aceh 16.98%, NTT 19.6%, Papua 27.8%, and West Papua 26.26%</w:t>
            </w:r>
          </w:p>
          <w:p w14:paraId="1E424E81" w14:textId="520F58AB" w:rsidR="008F5F73" w:rsidRPr="00920DBC" w:rsidRDefault="00615727" w:rsidP="00E74058">
            <w:pPr>
              <w:pStyle w:val="BodyText2"/>
              <w:numPr>
                <w:ilvl w:val="0"/>
                <w:numId w:val="30"/>
              </w:numPr>
              <w:jc w:val="both"/>
              <w:rPr>
                <w:rFonts w:asciiTheme="minorHAnsi" w:hAnsiTheme="minorHAnsi"/>
                <w:i/>
              </w:rPr>
            </w:pPr>
            <w:r>
              <w:rPr>
                <w:rFonts w:asciiTheme="minorHAnsi" w:hAnsiTheme="minorHAnsi"/>
                <w:i/>
              </w:rPr>
              <w:t xml:space="preserve">Baseline in 2011: Aceh </w:t>
            </w:r>
            <w:r w:rsidR="00913DA6">
              <w:rPr>
                <w:rFonts w:asciiTheme="minorHAnsi" w:hAnsiTheme="minorHAnsi"/>
                <w:i/>
              </w:rPr>
              <w:t>7.65%; NTT 9.7%; Papua 23.4%; West Papua 21.55%. Current status (2014): Significant progress: Aceh 6%; NTT 8.62%; Papua 16.82%; West Papua 15.28%.</w:t>
            </w:r>
          </w:p>
          <w:p w14:paraId="2869F80D" w14:textId="3D2320D4" w:rsidR="003B037A" w:rsidRPr="00BB58F6" w:rsidRDefault="00337508" w:rsidP="00E74058">
            <w:pPr>
              <w:pStyle w:val="BodyText2"/>
              <w:numPr>
                <w:ilvl w:val="0"/>
                <w:numId w:val="30"/>
              </w:numPr>
              <w:jc w:val="both"/>
              <w:rPr>
                <w:rFonts w:asciiTheme="minorHAnsi" w:hAnsiTheme="minorHAnsi"/>
                <w:i/>
              </w:rPr>
            </w:pPr>
            <w:r>
              <w:rPr>
                <w:rFonts w:asciiTheme="minorHAnsi" w:hAnsiTheme="minorHAnsi"/>
                <w:i/>
              </w:rPr>
              <w:t xml:space="preserve">Baseline in 2011: </w:t>
            </w:r>
            <w:r w:rsidR="00607AA1">
              <w:rPr>
                <w:rFonts w:asciiTheme="minorHAnsi" w:hAnsiTheme="minorHAnsi"/>
                <w:i/>
              </w:rPr>
              <w:t>Achievement</w:t>
            </w:r>
            <w:r>
              <w:rPr>
                <w:rFonts w:asciiTheme="minorHAnsi" w:hAnsiTheme="minorHAnsi"/>
                <w:i/>
              </w:rPr>
              <w:t xml:space="preserve"> on MDG: 9 Achieved; 35 on-track; 14 Off track. Current status (2014): Some progress: 14 achieved; 35 on track; and 14 off track</w:t>
            </w:r>
          </w:p>
        </w:tc>
      </w:tr>
      <w:tr w:rsidR="00530FDE" w:rsidRPr="00DC7354" w14:paraId="2869F818" w14:textId="77777777" w:rsidTr="009E7526">
        <w:tc>
          <w:tcPr>
            <w:tcW w:w="14040" w:type="dxa"/>
            <w:gridSpan w:val="5"/>
          </w:tcPr>
          <w:p w14:paraId="2869F80F" w14:textId="5562C1F8" w:rsidR="00843006" w:rsidRPr="00E74058" w:rsidRDefault="00837C4B" w:rsidP="00E74058">
            <w:pPr>
              <w:pStyle w:val="BodyText2"/>
              <w:jc w:val="both"/>
              <w:rPr>
                <w:rFonts w:asciiTheme="minorHAnsi" w:hAnsiTheme="minorHAnsi"/>
                <w:b/>
                <w:sz w:val="24"/>
              </w:rPr>
            </w:pPr>
            <w:r w:rsidRPr="00E74058">
              <w:rPr>
                <w:rFonts w:asciiTheme="minorHAnsi" w:hAnsiTheme="minorHAnsi"/>
                <w:b/>
                <w:sz w:val="24"/>
              </w:rPr>
              <w:t>UNDP Contribution:</w:t>
            </w:r>
          </w:p>
          <w:p w14:paraId="2869F810" w14:textId="77777777" w:rsidR="00530FDE" w:rsidRPr="00E74058" w:rsidRDefault="00837C4B" w:rsidP="00E74058">
            <w:pPr>
              <w:pStyle w:val="BodyText2"/>
              <w:jc w:val="both"/>
              <w:rPr>
                <w:rFonts w:asciiTheme="minorHAnsi" w:hAnsiTheme="minorHAnsi"/>
                <w:sz w:val="24"/>
              </w:rPr>
            </w:pPr>
            <w:r w:rsidRPr="00E74058">
              <w:rPr>
                <w:rFonts w:asciiTheme="minorHAnsi" w:hAnsiTheme="minorHAnsi"/>
                <w:sz w:val="24"/>
              </w:rPr>
              <w:t>(</w:t>
            </w:r>
            <w:r w:rsidR="00843006" w:rsidRPr="00E74058">
              <w:rPr>
                <w:rFonts w:asciiTheme="minorHAnsi" w:hAnsiTheme="minorHAnsi"/>
                <w:sz w:val="24"/>
              </w:rPr>
              <w:t xml:space="preserve">Please provide an assessment of the progress made against the </w:t>
            </w:r>
            <w:r w:rsidR="00843006" w:rsidRPr="00E74058">
              <w:rPr>
                <w:rFonts w:asciiTheme="minorHAnsi" w:hAnsiTheme="minorHAnsi"/>
                <w:sz w:val="24"/>
                <w:u w:val="single"/>
              </w:rPr>
              <w:t>CP outputs</w:t>
            </w:r>
            <w:r w:rsidR="00843006" w:rsidRPr="00E74058">
              <w:rPr>
                <w:rFonts w:asciiTheme="minorHAnsi" w:hAnsiTheme="minorHAnsi"/>
                <w:sz w:val="24"/>
              </w:rPr>
              <w:t xml:space="preserve"> over the cycle, and indicate their contribution to the outcome.</w:t>
            </w:r>
            <w:r w:rsidR="0032175A" w:rsidRPr="00E74058">
              <w:rPr>
                <w:rFonts w:asciiTheme="minorHAnsi" w:hAnsiTheme="minorHAnsi"/>
                <w:sz w:val="24"/>
              </w:rPr>
              <w:t xml:space="preserve"> </w:t>
            </w:r>
            <w:r w:rsidR="003D653B" w:rsidRPr="00E74058">
              <w:rPr>
                <w:rFonts w:asciiTheme="minorHAnsi" w:hAnsiTheme="minorHAnsi"/>
                <w:sz w:val="24"/>
              </w:rPr>
              <w:t>Please indicate each of the main outputs and provide a summary assessment of overall progress</w:t>
            </w:r>
            <w:r w:rsidRPr="00E74058">
              <w:rPr>
                <w:rFonts w:asciiTheme="minorHAnsi" w:hAnsiTheme="minorHAnsi"/>
                <w:sz w:val="24"/>
              </w:rPr>
              <w:t>)</w:t>
            </w:r>
          </w:p>
          <w:p w14:paraId="2869F811" w14:textId="77777777" w:rsidR="00843006" w:rsidRDefault="00843006" w:rsidP="00E74058">
            <w:pPr>
              <w:pStyle w:val="BodyText2"/>
              <w:jc w:val="both"/>
              <w:rPr>
                <w:rFonts w:asciiTheme="minorHAnsi" w:hAnsiTheme="minorHAnsi"/>
              </w:rPr>
            </w:pPr>
          </w:p>
          <w:p w14:paraId="2869F812" w14:textId="77777777" w:rsidR="00B00E5C" w:rsidRPr="0052724C" w:rsidRDefault="00B00E5C" w:rsidP="00E74058">
            <w:pPr>
              <w:pStyle w:val="BodyText2"/>
              <w:jc w:val="both"/>
              <w:rPr>
                <w:rFonts w:asciiTheme="minorHAnsi" w:hAnsiTheme="minorHAnsi"/>
                <w:sz w:val="24"/>
              </w:rPr>
            </w:pPr>
            <w:r w:rsidRPr="0052724C">
              <w:rPr>
                <w:rFonts w:asciiTheme="minorHAnsi" w:hAnsiTheme="minorHAnsi"/>
                <w:sz w:val="24"/>
                <w:u w:val="single"/>
              </w:rPr>
              <w:t>CP Outputs</w:t>
            </w:r>
            <w:r w:rsidR="00845340" w:rsidRPr="0052724C">
              <w:rPr>
                <w:rFonts w:asciiTheme="minorHAnsi" w:hAnsiTheme="minorHAnsi"/>
                <w:sz w:val="24"/>
              </w:rPr>
              <w:t>:</w:t>
            </w:r>
          </w:p>
          <w:p w14:paraId="2869F813" w14:textId="4795D2BF" w:rsidR="00B00E5C" w:rsidRPr="0052724C" w:rsidRDefault="00842737" w:rsidP="00E74058">
            <w:pPr>
              <w:pStyle w:val="BodyText2"/>
              <w:jc w:val="both"/>
              <w:rPr>
                <w:rFonts w:asciiTheme="minorHAnsi" w:hAnsiTheme="minorHAnsi"/>
                <w:i/>
                <w:sz w:val="24"/>
              </w:rPr>
            </w:pPr>
            <w:r w:rsidRPr="0052724C">
              <w:rPr>
                <w:rFonts w:asciiTheme="minorHAnsi" w:hAnsiTheme="minorHAnsi"/>
                <w:i/>
                <w:sz w:val="24"/>
              </w:rPr>
              <w:t xml:space="preserve">The UNDP CP identified </w:t>
            </w:r>
            <w:r w:rsidR="007A1499">
              <w:rPr>
                <w:rFonts w:asciiTheme="minorHAnsi" w:hAnsiTheme="minorHAnsi"/>
                <w:i/>
                <w:sz w:val="24"/>
              </w:rPr>
              <w:t xml:space="preserve">four </w:t>
            </w:r>
            <w:r w:rsidRPr="0052724C">
              <w:rPr>
                <w:rFonts w:asciiTheme="minorHAnsi" w:hAnsiTheme="minorHAnsi"/>
                <w:i/>
                <w:sz w:val="24"/>
              </w:rPr>
              <w:t xml:space="preserve">major outputs to support the Government in achieving this outcome: (a) </w:t>
            </w:r>
            <w:r w:rsidR="00B3381A" w:rsidRPr="0052724C">
              <w:rPr>
                <w:rFonts w:asciiTheme="minorHAnsi" w:hAnsiTheme="minorHAnsi"/>
                <w:i/>
                <w:sz w:val="24"/>
              </w:rPr>
              <w:t>National and local institutions have enhanced systems and competencies for MDG-based pro-poor and results-based planning, budgeting, monitoring and evaluation</w:t>
            </w:r>
            <w:r w:rsidRPr="0052724C">
              <w:rPr>
                <w:rFonts w:asciiTheme="minorHAnsi" w:hAnsiTheme="minorHAnsi"/>
                <w:i/>
                <w:sz w:val="24"/>
              </w:rPr>
              <w:t xml:space="preserve">; (b) </w:t>
            </w:r>
            <w:r w:rsidR="00B3381A" w:rsidRPr="0052724C">
              <w:rPr>
                <w:rFonts w:asciiTheme="minorHAnsi" w:hAnsiTheme="minorHAnsi"/>
                <w:i/>
                <w:sz w:val="24"/>
              </w:rPr>
              <w:t>Local economic development facility established at the sub-national level, providing technical assistance in budget allocation and financial management, coordination of PPP-CSR engagement and partnership with universities and CSOs, particularly in UNPDF areas</w:t>
            </w:r>
            <w:r w:rsidR="003D653B" w:rsidRPr="0052724C">
              <w:rPr>
                <w:rFonts w:asciiTheme="minorHAnsi" w:hAnsiTheme="minorHAnsi"/>
                <w:i/>
                <w:sz w:val="24"/>
              </w:rPr>
              <w:t xml:space="preserve">, (c) </w:t>
            </w:r>
            <w:r w:rsidR="00B3381A" w:rsidRPr="0052724C">
              <w:rPr>
                <w:rFonts w:asciiTheme="minorHAnsi" w:hAnsiTheme="minorHAnsi"/>
                <w:i/>
                <w:sz w:val="24"/>
              </w:rPr>
              <w:t xml:space="preserve">Strategy and </w:t>
            </w:r>
            <w:r w:rsidR="00B3381A" w:rsidRPr="0052724C">
              <w:rPr>
                <w:rFonts w:asciiTheme="minorHAnsi" w:hAnsiTheme="minorHAnsi"/>
                <w:i/>
                <w:sz w:val="24"/>
              </w:rPr>
              <w:lastRenderedPageBreak/>
              <w:t xml:space="preserve">mechanisms to implement the MDGs Road Map are developed, </w:t>
            </w:r>
            <w:r w:rsidR="00E50523">
              <w:rPr>
                <w:rFonts w:asciiTheme="minorHAnsi" w:hAnsiTheme="minorHAnsi"/>
                <w:i/>
                <w:sz w:val="24"/>
              </w:rPr>
              <w:t xml:space="preserve">and </w:t>
            </w:r>
            <w:r w:rsidR="00B3381A" w:rsidRPr="0052724C">
              <w:rPr>
                <w:rFonts w:asciiTheme="minorHAnsi" w:hAnsiTheme="minorHAnsi"/>
                <w:i/>
                <w:sz w:val="24"/>
              </w:rPr>
              <w:t>(</w:t>
            </w:r>
            <w:r w:rsidR="00E50523">
              <w:rPr>
                <w:rFonts w:asciiTheme="minorHAnsi" w:hAnsiTheme="minorHAnsi"/>
                <w:i/>
                <w:sz w:val="24"/>
              </w:rPr>
              <w:t>d</w:t>
            </w:r>
            <w:r w:rsidR="00B3381A" w:rsidRPr="0052724C">
              <w:rPr>
                <w:rFonts w:asciiTheme="minorHAnsi" w:hAnsiTheme="minorHAnsi"/>
                <w:i/>
                <w:sz w:val="24"/>
              </w:rPr>
              <w:t>) National and sub National capacities improved to monitor, evaluate, analyze and report on MDG and human development</w:t>
            </w:r>
          </w:p>
          <w:p w14:paraId="2869F814" w14:textId="77777777" w:rsidR="00B00E5C" w:rsidRDefault="00B00E5C" w:rsidP="00E74058">
            <w:pPr>
              <w:pStyle w:val="BodyText2"/>
              <w:jc w:val="both"/>
              <w:rPr>
                <w:rFonts w:asciiTheme="minorHAnsi" w:hAnsiTheme="minorHAnsi"/>
              </w:rPr>
            </w:pPr>
          </w:p>
          <w:p w14:paraId="2869F815" w14:textId="77777777" w:rsidR="00B00E5C" w:rsidRPr="00E74058" w:rsidRDefault="00B00E5C" w:rsidP="00E74058">
            <w:pPr>
              <w:pStyle w:val="BodyText2"/>
              <w:jc w:val="both"/>
              <w:rPr>
                <w:rFonts w:asciiTheme="minorHAnsi" w:hAnsiTheme="minorHAnsi"/>
                <w:sz w:val="24"/>
              </w:rPr>
            </w:pPr>
            <w:r w:rsidRPr="00E74058">
              <w:rPr>
                <w:rFonts w:asciiTheme="minorHAnsi" w:hAnsiTheme="minorHAnsi"/>
                <w:sz w:val="24"/>
                <w:u w:val="single"/>
              </w:rPr>
              <w:t>Progress and Achievements</w:t>
            </w:r>
            <w:r w:rsidR="00845340" w:rsidRPr="00E74058">
              <w:rPr>
                <w:rFonts w:asciiTheme="minorHAnsi" w:hAnsiTheme="minorHAnsi"/>
                <w:sz w:val="24"/>
              </w:rPr>
              <w:t>:</w:t>
            </w:r>
          </w:p>
          <w:p w14:paraId="2B5B356D" w14:textId="77777777" w:rsidR="00080667" w:rsidRDefault="00080667" w:rsidP="00E74058">
            <w:pPr>
              <w:pStyle w:val="BodyText2"/>
              <w:jc w:val="both"/>
              <w:rPr>
                <w:rFonts w:asciiTheme="minorHAnsi" w:hAnsiTheme="minorHAnsi"/>
                <w:i/>
              </w:rPr>
            </w:pPr>
          </w:p>
          <w:p w14:paraId="612827DB" w14:textId="0BDEFB85" w:rsidR="008B7708" w:rsidRDefault="00080667" w:rsidP="00E74058">
            <w:pPr>
              <w:widowControl/>
              <w:autoSpaceDE w:val="0"/>
              <w:autoSpaceDN w:val="0"/>
              <w:adjustRightInd w:val="0"/>
              <w:jc w:val="both"/>
              <w:rPr>
                <w:rFonts w:asciiTheme="minorHAnsi" w:hAnsiTheme="minorHAnsi"/>
                <w:i/>
              </w:rPr>
            </w:pPr>
            <w:r w:rsidRPr="00E50523">
              <w:rPr>
                <w:rFonts w:asciiTheme="minorHAnsi" w:hAnsiTheme="minorHAnsi"/>
                <w:b/>
                <w:i/>
              </w:rPr>
              <w:t>Output (a):</w:t>
            </w:r>
            <w:r w:rsidR="00E50523" w:rsidRPr="00E50523">
              <w:rPr>
                <w:rFonts w:asciiTheme="minorHAnsi" w:hAnsiTheme="minorHAnsi"/>
                <w:b/>
                <w:i/>
              </w:rPr>
              <w:t xml:space="preserve"> Pro poor planning:</w:t>
            </w:r>
            <w:r>
              <w:rPr>
                <w:rFonts w:asciiTheme="minorHAnsi" w:hAnsiTheme="minorHAnsi"/>
                <w:i/>
              </w:rPr>
              <w:t xml:space="preserve"> Pro poor planning, budgeting and monitoring (P3BM) tools </w:t>
            </w:r>
            <w:r w:rsidR="00C8680D">
              <w:rPr>
                <w:rFonts w:asciiTheme="minorHAnsi" w:hAnsiTheme="minorHAnsi"/>
                <w:i/>
              </w:rPr>
              <w:t xml:space="preserve">were </w:t>
            </w:r>
            <w:r w:rsidR="00A95B56">
              <w:rPr>
                <w:rFonts w:asciiTheme="minorHAnsi" w:hAnsiTheme="minorHAnsi"/>
                <w:i/>
              </w:rPr>
              <w:t xml:space="preserve">piloted in three provinces (Bangka Belitung, </w:t>
            </w:r>
            <w:r w:rsidR="00C8680D">
              <w:rPr>
                <w:rFonts w:asciiTheme="minorHAnsi" w:hAnsiTheme="minorHAnsi"/>
                <w:i/>
              </w:rPr>
              <w:t xml:space="preserve">East </w:t>
            </w:r>
            <w:r w:rsidR="00A95B56">
              <w:rPr>
                <w:rFonts w:asciiTheme="minorHAnsi" w:hAnsiTheme="minorHAnsi"/>
                <w:i/>
              </w:rPr>
              <w:t>N</w:t>
            </w:r>
            <w:r w:rsidR="00C8680D">
              <w:rPr>
                <w:rFonts w:asciiTheme="minorHAnsi" w:hAnsiTheme="minorHAnsi"/>
                <w:i/>
              </w:rPr>
              <w:t xml:space="preserve">usa </w:t>
            </w:r>
            <w:r w:rsidR="00A95B56">
              <w:rPr>
                <w:rFonts w:asciiTheme="minorHAnsi" w:hAnsiTheme="minorHAnsi"/>
                <w:i/>
              </w:rPr>
              <w:t>T</w:t>
            </w:r>
            <w:r w:rsidR="00C8680D">
              <w:rPr>
                <w:rFonts w:asciiTheme="minorHAnsi" w:hAnsiTheme="minorHAnsi"/>
                <w:i/>
              </w:rPr>
              <w:t>engara</w:t>
            </w:r>
            <w:r w:rsidR="00A95B56">
              <w:rPr>
                <w:rFonts w:asciiTheme="minorHAnsi" w:hAnsiTheme="minorHAnsi"/>
                <w:i/>
              </w:rPr>
              <w:t>, and Gorontalo)</w:t>
            </w:r>
            <w:r w:rsidR="00C8680D">
              <w:rPr>
                <w:rFonts w:asciiTheme="minorHAnsi" w:hAnsiTheme="minorHAnsi"/>
                <w:i/>
              </w:rPr>
              <w:t xml:space="preserve"> in partnership with the</w:t>
            </w:r>
            <w:r w:rsidR="00A95B56">
              <w:rPr>
                <w:rFonts w:asciiTheme="minorHAnsi" w:hAnsiTheme="minorHAnsi"/>
                <w:i/>
              </w:rPr>
              <w:t xml:space="preserve"> National Development Planning Agenc</w:t>
            </w:r>
            <w:r w:rsidR="00C8680D">
              <w:rPr>
                <w:rFonts w:asciiTheme="minorHAnsi" w:hAnsiTheme="minorHAnsi"/>
                <w:i/>
              </w:rPr>
              <w:t>y (BAPPENAS) and local governments.</w:t>
            </w:r>
            <w:r w:rsidR="0003789A">
              <w:rPr>
                <w:rFonts w:asciiTheme="minorHAnsi" w:hAnsiTheme="minorHAnsi"/>
                <w:i/>
              </w:rPr>
              <w:t xml:space="preserve"> In areas where the P3BM approach was adopted, local governments increased their expenditure on poverty and social development programmes on average by 17 per cent. E</w:t>
            </w:r>
            <w:r w:rsidR="00A31539">
              <w:rPr>
                <w:rFonts w:asciiTheme="minorHAnsi" w:hAnsiTheme="minorHAnsi"/>
                <w:i/>
              </w:rPr>
              <w:t>xperience gained from implementing the P3BM</w:t>
            </w:r>
            <w:r w:rsidR="0003789A">
              <w:rPr>
                <w:rFonts w:asciiTheme="minorHAnsi" w:hAnsiTheme="minorHAnsi"/>
                <w:i/>
              </w:rPr>
              <w:t xml:space="preserve"> methodology w</w:t>
            </w:r>
            <w:r w:rsidR="00A31539">
              <w:rPr>
                <w:rFonts w:asciiTheme="minorHAnsi" w:hAnsiTheme="minorHAnsi"/>
                <w:i/>
              </w:rPr>
              <w:t>as</w:t>
            </w:r>
            <w:r w:rsidR="0003789A">
              <w:rPr>
                <w:rFonts w:asciiTheme="minorHAnsi" w:hAnsiTheme="minorHAnsi"/>
                <w:i/>
              </w:rPr>
              <w:t xml:space="preserve"> later used to inform the design of MDG action plans for all provinces. </w:t>
            </w:r>
            <w:r w:rsidR="00C8680D">
              <w:rPr>
                <w:rFonts w:asciiTheme="minorHAnsi" w:hAnsiTheme="minorHAnsi"/>
                <w:i/>
              </w:rPr>
              <w:t xml:space="preserve"> </w:t>
            </w:r>
            <w:r w:rsidR="00A95B56">
              <w:rPr>
                <w:rFonts w:asciiTheme="minorHAnsi" w:hAnsiTheme="minorHAnsi"/>
                <w:i/>
              </w:rPr>
              <w:t xml:space="preserve"> </w:t>
            </w:r>
          </w:p>
          <w:p w14:paraId="4C8E68E0" w14:textId="77777777" w:rsidR="008B7708" w:rsidRDefault="008B7708" w:rsidP="00E74058">
            <w:pPr>
              <w:widowControl/>
              <w:autoSpaceDE w:val="0"/>
              <w:autoSpaceDN w:val="0"/>
              <w:adjustRightInd w:val="0"/>
              <w:jc w:val="both"/>
              <w:rPr>
                <w:rFonts w:asciiTheme="minorHAnsi" w:hAnsiTheme="minorHAnsi"/>
                <w:i/>
              </w:rPr>
            </w:pPr>
          </w:p>
          <w:p w14:paraId="0E5A3C82" w14:textId="02EC3D54" w:rsidR="008B7708" w:rsidRDefault="00B71CC0" w:rsidP="00E74058">
            <w:pPr>
              <w:widowControl/>
              <w:autoSpaceDE w:val="0"/>
              <w:autoSpaceDN w:val="0"/>
              <w:adjustRightInd w:val="0"/>
              <w:jc w:val="both"/>
              <w:rPr>
                <w:rFonts w:asciiTheme="minorHAnsi" w:hAnsiTheme="minorHAnsi"/>
                <w:i/>
              </w:rPr>
            </w:pPr>
            <w:r w:rsidRPr="00A15ADF">
              <w:rPr>
                <w:rFonts w:asciiTheme="minorHAnsi" w:hAnsiTheme="minorHAnsi"/>
                <w:b/>
                <w:i/>
              </w:rPr>
              <w:t>Output (b</w:t>
            </w:r>
            <w:r w:rsidR="00A95B56" w:rsidRPr="00A15ADF">
              <w:rPr>
                <w:rFonts w:asciiTheme="minorHAnsi" w:hAnsiTheme="minorHAnsi"/>
                <w:b/>
                <w:i/>
              </w:rPr>
              <w:t>)</w:t>
            </w:r>
            <w:r w:rsidR="00E50523" w:rsidRPr="00A15ADF">
              <w:rPr>
                <w:rFonts w:asciiTheme="minorHAnsi" w:hAnsiTheme="minorHAnsi"/>
                <w:b/>
                <w:i/>
              </w:rPr>
              <w:t>:</w:t>
            </w:r>
            <w:r w:rsidR="00A95B56" w:rsidRPr="00A15ADF">
              <w:rPr>
                <w:rFonts w:asciiTheme="minorHAnsi" w:hAnsiTheme="minorHAnsi"/>
                <w:b/>
                <w:i/>
              </w:rPr>
              <w:t xml:space="preserve"> Local economic development</w:t>
            </w:r>
            <w:r w:rsidR="00A95B56">
              <w:rPr>
                <w:rFonts w:asciiTheme="minorHAnsi" w:hAnsiTheme="minorHAnsi"/>
                <w:i/>
              </w:rPr>
              <w:t xml:space="preserve">.  </w:t>
            </w:r>
            <w:r w:rsidR="00600197">
              <w:rPr>
                <w:rFonts w:asciiTheme="minorHAnsi" w:hAnsiTheme="minorHAnsi"/>
                <w:i/>
              </w:rPr>
              <w:t xml:space="preserve">UNDP work on local economic development has been focused on two of the poorest provinces in Indonesia, Papua and West Papua. Under </w:t>
            </w:r>
            <w:r w:rsidR="007A5E04">
              <w:rPr>
                <w:rFonts w:asciiTheme="minorHAnsi" w:hAnsiTheme="minorHAnsi"/>
                <w:i/>
              </w:rPr>
              <w:t>the</w:t>
            </w:r>
            <w:r w:rsidR="00600197">
              <w:rPr>
                <w:rFonts w:asciiTheme="minorHAnsi" w:hAnsiTheme="minorHAnsi"/>
                <w:i/>
              </w:rPr>
              <w:t xml:space="preserve"> People Centre Development Programme, UNDP has</w:t>
            </w:r>
            <w:r w:rsidR="007A5E04">
              <w:rPr>
                <w:rFonts w:asciiTheme="minorHAnsi" w:hAnsiTheme="minorHAnsi"/>
                <w:i/>
              </w:rPr>
              <w:t xml:space="preserve"> partnered with Bappenas and local government agencies to</w:t>
            </w:r>
            <w:r w:rsidR="00600197">
              <w:rPr>
                <w:rFonts w:asciiTheme="minorHAnsi" w:hAnsiTheme="minorHAnsi"/>
                <w:i/>
              </w:rPr>
              <w:t xml:space="preserve"> provide technical assistance and business support services to over 1,000 small and micro entrepreneurs and small farmers in the two provinces. The assistance has enabled the creation of new businesses, strengthened local agencies that provide business support, and helped farmers secure greater value-added through processing and marketing their produce. The majority of beneficiaries were women. </w:t>
            </w:r>
            <w:r w:rsidR="009C23CD">
              <w:rPr>
                <w:rFonts w:asciiTheme="minorHAnsi" w:hAnsiTheme="minorHAnsi"/>
                <w:i/>
              </w:rPr>
              <w:t>A Local Economic Development Agency (LEDA) has been established in West Papua (</w:t>
            </w:r>
            <w:r w:rsidR="009C23CD" w:rsidRPr="00587DD1">
              <w:rPr>
                <w:rFonts w:asciiTheme="minorHAnsi" w:hAnsiTheme="minorHAnsi"/>
                <w:i/>
              </w:rPr>
              <w:t>Sarmi Regent</w:t>
            </w:r>
            <w:r w:rsidR="00587DD1">
              <w:rPr>
                <w:rFonts w:asciiTheme="minorHAnsi" w:hAnsiTheme="minorHAnsi"/>
                <w:i/>
              </w:rPr>
              <w:t xml:space="preserve"> </w:t>
            </w:r>
            <w:r w:rsidR="009C23CD" w:rsidRPr="00587DD1">
              <w:rPr>
                <w:rFonts w:asciiTheme="minorHAnsi" w:hAnsiTheme="minorHAnsi"/>
                <w:i/>
              </w:rPr>
              <w:t>Decree No. 055/140/2014 on ‘LEDA establishment</w:t>
            </w:r>
            <w:r w:rsidR="00E50523">
              <w:rPr>
                <w:rFonts w:asciiTheme="minorHAnsi" w:hAnsiTheme="minorHAnsi"/>
                <w:i/>
              </w:rPr>
              <w:t>)</w:t>
            </w:r>
            <w:r w:rsidR="00600197">
              <w:rPr>
                <w:rFonts w:asciiTheme="minorHAnsi" w:hAnsiTheme="minorHAnsi"/>
                <w:i/>
              </w:rPr>
              <w:t>, and UNDP is working with government to replicate and scale-up the model b</w:t>
            </w:r>
            <w:r w:rsidR="007A5E04">
              <w:rPr>
                <w:rFonts w:asciiTheme="minorHAnsi" w:hAnsiTheme="minorHAnsi"/>
                <w:i/>
              </w:rPr>
              <w:t>ased on the experiences learned.</w:t>
            </w:r>
          </w:p>
          <w:p w14:paraId="659AA87F" w14:textId="77777777" w:rsidR="008B7708" w:rsidRDefault="008B7708" w:rsidP="00E74058">
            <w:pPr>
              <w:widowControl/>
              <w:autoSpaceDE w:val="0"/>
              <w:autoSpaceDN w:val="0"/>
              <w:adjustRightInd w:val="0"/>
              <w:jc w:val="both"/>
              <w:rPr>
                <w:rFonts w:asciiTheme="minorHAnsi" w:hAnsiTheme="minorHAnsi"/>
                <w:i/>
              </w:rPr>
            </w:pPr>
          </w:p>
          <w:p w14:paraId="651D63D9" w14:textId="7574E95A" w:rsidR="00080667" w:rsidRDefault="008B7708" w:rsidP="00E74058">
            <w:pPr>
              <w:widowControl/>
              <w:autoSpaceDE w:val="0"/>
              <w:autoSpaceDN w:val="0"/>
              <w:adjustRightInd w:val="0"/>
              <w:jc w:val="both"/>
              <w:rPr>
                <w:rFonts w:asciiTheme="minorHAnsi" w:hAnsiTheme="minorHAnsi"/>
                <w:i/>
              </w:rPr>
            </w:pPr>
            <w:r w:rsidRPr="00A15ADF">
              <w:rPr>
                <w:rFonts w:asciiTheme="minorHAnsi" w:hAnsiTheme="minorHAnsi"/>
                <w:b/>
                <w:i/>
              </w:rPr>
              <w:t>O</w:t>
            </w:r>
            <w:r w:rsidR="00587DD1" w:rsidRPr="00A15ADF">
              <w:rPr>
                <w:rFonts w:asciiTheme="minorHAnsi" w:hAnsiTheme="minorHAnsi"/>
                <w:b/>
                <w:i/>
              </w:rPr>
              <w:t>utput (c)</w:t>
            </w:r>
            <w:r w:rsidR="00E50523" w:rsidRPr="00A15ADF">
              <w:rPr>
                <w:rFonts w:asciiTheme="minorHAnsi" w:hAnsiTheme="minorHAnsi"/>
                <w:b/>
                <w:i/>
              </w:rPr>
              <w:t>:</w:t>
            </w:r>
            <w:r w:rsidRPr="00A15ADF">
              <w:rPr>
                <w:rFonts w:asciiTheme="minorHAnsi" w:hAnsiTheme="minorHAnsi"/>
                <w:b/>
                <w:i/>
              </w:rPr>
              <w:t xml:space="preserve"> </w:t>
            </w:r>
            <w:r w:rsidR="00587DD1" w:rsidRPr="00A15ADF">
              <w:rPr>
                <w:rFonts w:asciiTheme="minorHAnsi" w:hAnsiTheme="minorHAnsi"/>
                <w:b/>
                <w:i/>
              </w:rPr>
              <w:t>MDG Road Maps:</w:t>
            </w:r>
            <w:r w:rsidR="00587DD1">
              <w:rPr>
                <w:rFonts w:asciiTheme="minorHAnsi" w:hAnsiTheme="minorHAnsi"/>
                <w:i/>
              </w:rPr>
              <w:t xml:space="preserve"> </w:t>
            </w:r>
            <w:r w:rsidR="00600197">
              <w:rPr>
                <w:rFonts w:asciiTheme="minorHAnsi" w:hAnsiTheme="minorHAnsi"/>
                <w:i/>
              </w:rPr>
              <w:t xml:space="preserve">The </w:t>
            </w:r>
            <w:r w:rsidR="005836A2">
              <w:rPr>
                <w:rFonts w:asciiTheme="minorHAnsi" w:hAnsiTheme="minorHAnsi"/>
                <w:i/>
              </w:rPr>
              <w:t xml:space="preserve">CP mid-term evaluation </w:t>
            </w:r>
            <w:r w:rsidR="00600197">
              <w:rPr>
                <w:rFonts w:asciiTheme="minorHAnsi" w:hAnsiTheme="minorHAnsi"/>
                <w:i/>
              </w:rPr>
              <w:t xml:space="preserve">cited UNDP’s wok on </w:t>
            </w:r>
            <w:r w:rsidR="005836A2">
              <w:rPr>
                <w:rFonts w:asciiTheme="minorHAnsi" w:hAnsiTheme="minorHAnsi"/>
                <w:i/>
              </w:rPr>
              <w:t xml:space="preserve">MDG Road Maps </w:t>
            </w:r>
            <w:r w:rsidR="00600197">
              <w:rPr>
                <w:rFonts w:asciiTheme="minorHAnsi" w:hAnsiTheme="minorHAnsi"/>
                <w:i/>
              </w:rPr>
              <w:t xml:space="preserve">as one of the </w:t>
            </w:r>
            <w:r w:rsidR="005836A2">
              <w:rPr>
                <w:rFonts w:asciiTheme="minorHAnsi" w:hAnsiTheme="minorHAnsi"/>
                <w:i/>
              </w:rPr>
              <w:t xml:space="preserve">flagship areas </w:t>
            </w:r>
            <w:r w:rsidR="00600197">
              <w:rPr>
                <w:rFonts w:asciiTheme="minorHAnsi" w:hAnsiTheme="minorHAnsi"/>
                <w:i/>
              </w:rPr>
              <w:t xml:space="preserve">of the country programme </w:t>
            </w:r>
            <w:r w:rsidR="005836A2">
              <w:rPr>
                <w:rFonts w:asciiTheme="minorHAnsi" w:hAnsiTheme="minorHAnsi"/>
                <w:i/>
              </w:rPr>
              <w:t>(</w:t>
            </w:r>
            <w:r w:rsidR="00600197">
              <w:rPr>
                <w:rFonts w:asciiTheme="minorHAnsi" w:hAnsiTheme="minorHAnsi"/>
                <w:i/>
              </w:rPr>
              <w:t>i.</w:t>
            </w:r>
            <w:r w:rsidR="005836A2">
              <w:rPr>
                <w:rFonts w:asciiTheme="minorHAnsi" w:hAnsiTheme="minorHAnsi"/>
                <w:i/>
              </w:rPr>
              <w:t xml:space="preserve">e. an area in which </w:t>
            </w:r>
            <w:r w:rsidR="00600197">
              <w:rPr>
                <w:rFonts w:asciiTheme="minorHAnsi" w:hAnsiTheme="minorHAnsi"/>
                <w:i/>
              </w:rPr>
              <w:t xml:space="preserve">UNDP has </w:t>
            </w:r>
            <w:r w:rsidR="005836A2">
              <w:rPr>
                <w:rFonts w:asciiTheme="minorHAnsi" w:hAnsiTheme="minorHAnsi"/>
                <w:i/>
              </w:rPr>
              <w:t>show</w:t>
            </w:r>
            <w:r w:rsidR="00600197">
              <w:rPr>
                <w:rFonts w:asciiTheme="minorHAnsi" w:hAnsiTheme="minorHAnsi"/>
                <w:i/>
              </w:rPr>
              <w:t>n</w:t>
            </w:r>
            <w:r w:rsidR="005836A2">
              <w:rPr>
                <w:rFonts w:asciiTheme="minorHAnsi" w:hAnsiTheme="minorHAnsi"/>
                <w:i/>
              </w:rPr>
              <w:t xml:space="preserve"> considerable effectiveness). </w:t>
            </w:r>
            <w:r w:rsidR="00600197">
              <w:rPr>
                <w:rFonts w:asciiTheme="minorHAnsi" w:hAnsiTheme="minorHAnsi"/>
                <w:i/>
              </w:rPr>
              <w:t xml:space="preserve">Since 2011 </w:t>
            </w:r>
            <w:r w:rsidR="00764111">
              <w:rPr>
                <w:rFonts w:asciiTheme="minorHAnsi" w:hAnsiTheme="minorHAnsi"/>
                <w:i/>
              </w:rPr>
              <w:t xml:space="preserve">UNDP </w:t>
            </w:r>
            <w:r w:rsidR="00600197">
              <w:rPr>
                <w:rFonts w:asciiTheme="minorHAnsi" w:hAnsiTheme="minorHAnsi"/>
                <w:i/>
              </w:rPr>
              <w:t xml:space="preserve">has partnered with the GOI and provided technical and financial </w:t>
            </w:r>
            <w:r w:rsidR="00764111">
              <w:rPr>
                <w:rFonts w:asciiTheme="minorHAnsi" w:hAnsiTheme="minorHAnsi"/>
                <w:i/>
              </w:rPr>
              <w:t xml:space="preserve">assistance to </w:t>
            </w:r>
            <w:r w:rsidR="00600197">
              <w:rPr>
                <w:rFonts w:asciiTheme="minorHAnsi" w:hAnsiTheme="minorHAnsi"/>
                <w:i/>
              </w:rPr>
              <w:t xml:space="preserve">help </w:t>
            </w:r>
            <w:r w:rsidR="00764111">
              <w:rPr>
                <w:rFonts w:asciiTheme="minorHAnsi" w:hAnsiTheme="minorHAnsi"/>
                <w:i/>
              </w:rPr>
              <w:t xml:space="preserve">Indonesia accelerate </w:t>
            </w:r>
            <w:r w:rsidR="00600197">
              <w:rPr>
                <w:rFonts w:asciiTheme="minorHAnsi" w:hAnsiTheme="minorHAnsi"/>
                <w:i/>
              </w:rPr>
              <w:t xml:space="preserve">progress on the </w:t>
            </w:r>
            <w:r w:rsidR="00764111">
              <w:rPr>
                <w:rFonts w:asciiTheme="minorHAnsi" w:hAnsiTheme="minorHAnsi"/>
                <w:i/>
              </w:rPr>
              <w:t>MDG</w:t>
            </w:r>
            <w:r w:rsidR="00600197">
              <w:rPr>
                <w:rFonts w:asciiTheme="minorHAnsi" w:hAnsiTheme="minorHAnsi"/>
                <w:i/>
              </w:rPr>
              <w:t>s</w:t>
            </w:r>
            <w:r w:rsidR="00764111">
              <w:rPr>
                <w:rFonts w:asciiTheme="minorHAnsi" w:hAnsiTheme="minorHAnsi"/>
                <w:i/>
              </w:rPr>
              <w:t xml:space="preserve">. </w:t>
            </w:r>
            <w:r w:rsidR="00600197">
              <w:rPr>
                <w:rFonts w:asciiTheme="minorHAnsi" w:hAnsiTheme="minorHAnsi"/>
                <w:i/>
              </w:rPr>
              <w:t xml:space="preserve">Through </w:t>
            </w:r>
            <w:r w:rsidR="007A5E04">
              <w:rPr>
                <w:rFonts w:asciiTheme="minorHAnsi" w:hAnsiTheme="minorHAnsi"/>
                <w:i/>
              </w:rPr>
              <w:t xml:space="preserve">support to the </w:t>
            </w:r>
            <w:r w:rsidR="00600197">
              <w:rPr>
                <w:rFonts w:asciiTheme="minorHAnsi" w:hAnsiTheme="minorHAnsi"/>
                <w:i/>
              </w:rPr>
              <w:t>national MDG Secretariat</w:t>
            </w:r>
            <w:r w:rsidR="007A5E04">
              <w:rPr>
                <w:rFonts w:asciiTheme="minorHAnsi" w:hAnsiTheme="minorHAnsi"/>
                <w:i/>
              </w:rPr>
              <w:t xml:space="preserve"> </w:t>
            </w:r>
            <w:r w:rsidR="00600197">
              <w:rPr>
                <w:rFonts w:asciiTheme="minorHAnsi" w:hAnsiTheme="minorHAnsi"/>
                <w:i/>
              </w:rPr>
              <w:t>and</w:t>
            </w:r>
            <w:r w:rsidR="007A5E04">
              <w:rPr>
                <w:rFonts w:asciiTheme="minorHAnsi" w:hAnsiTheme="minorHAnsi"/>
                <w:i/>
              </w:rPr>
              <w:t xml:space="preserve"> programme</w:t>
            </w:r>
            <w:r w:rsidR="00600197">
              <w:rPr>
                <w:rFonts w:asciiTheme="minorHAnsi" w:hAnsiTheme="minorHAnsi"/>
                <w:i/>
              </w:rPr>
              <w:t xml:space="preserve">, </w:t>
            </w:r>
            <w:r w:rsidR="007A5E04">
              <w:rPr>
                <w:rFonts w:asciiTheme="minorHAnsi" w:hAnsiTheme="minorHAnsi"/>
                <w:i/>
              </w:rPr>
              <w:t xml:space="preserve">UNDP has helped </w:t>
            </w:r>
            <w:r w:rsidR="00764111">
              <w:rPr>
                <w:rFonts w:asciiTheme="minorHAnsi" w:hAnsiTheme="minorHAnsi"/>
                <w:i/>
              </w:rPr>
              <w:t xml:space="preserve">33 provinces to produce MDG action plans; </w:t>
            </w:r>
            <w:r w:rsidR="00180273">
              <w:rPr>
                <w:rFonts w:asciiTheme="minorHAnsi" w:hAnsiTheme="minorHAnsi"/>
                <w:i/>
              </w:rPr>
              <w:t>helped design a national o</w:t>
            </w:r>
            <w:r w:rsidR="00764111">
              <w:rPr>
                <w:rFonts w:asciiTheme="minorHAnsi" w:hAnsiTheme="minorHAnsi"/>
                <w:i/>
              </w:rPr>
              <w:t xml:space="preserve">nline </w:t>
            </w:r>
            <w:r w:rsidR="00180273">
              <w:rPr>
                <w:rFonts w:asciiTheme="minorHAnsi" w:hAnsiTheme="minorHAnsi"/>
                <w:i/>
              </w:rPr>
              <w:t xml:space="preserve">MDG </w:t>
            </w:r>
            <w:r w:rsidR="00EE3F74">
              <w:rPr>
                <w:rFonts w:asciiTheme="minorHAnsi" w:hAnsiTheme="minorHAnsi"/>
                <w:i/>
              </w:rPr>
              <w:t>Monitoring System</w:t>
            </w:r>
            <w:r w:rsidR="00180273">
              <w:rPr>
                <w:rFonts w:asciiTheme="minorHAnsi" w:hAnsiTheme="minorHAnsi"/>
                <w:i/>
              </w:rPr>
              <w:t>; and helped formulate a national MDG Award to incentiv</w:t>
            </w:r>
            <w:r w:rsidR="007A5E04">
              <w:rPr>
                <w:rFonts w:asciiTheme="minorHAnsi" w:hAnsiTheme="minorHAnsi"/>
                <w:i/>
              </w:rPr>
              <w:t>iz</w:t>
            </w:r>
            <w:r w:rsidR="00180273">
              <w:rPr>
                <w:rFonts w:asciiTheme="minorHAnsi" w:hAnsiTheme="minorHAnsi"/>
                <w:i/>
              </w:rPr>
              <w:t xml:space="preserve">e sub-national governments to take urgent action on the MDGS. Technical </w:t>
            </w:r>
            <w:r w:rsidR="00EE3F74">
              <w:rPr>
                <w:rFonts w:asciiTheme="minorHAnsi" w:hAnsiTheme="minorHAnsi"/>
                <w:i/>
              </w:rPr>
              <w:t xml:space="preserve">support </w:t>
            </w:r>
            <w:r w:rsidR="00180273">
              <w:rPr>
                <w:rFonts w:asciiTheme="minorHAnsi" w:hAnsiTheme="minorHAnsi"/>
                <w:i/>
              </w:rPr>
              <w:t xml:space="preserve">was also provided to </w:t>
            </w:r>
            <w:r w:rsidR="00EE3F74">
              <w:rPr>
                <w:rFonts w:asciiTheme="minorHAnsi" w:hAnsiTheme="minorHAnsi"/>
                <w:i/>
              </w:rPr>
              <w:t>underperforming provinces</w:t>
            </w:r>
            <w:r w:rsidR="00180273">
              <w:rPr>
                <w:rFonts w:asciiTheme="minorHAnsi" w:hAnsiTheme="minorHAnsi"/>
                <w:i/>
              </w:rPr>
              <w:t xml:space="preserve">. </w:t>
            </w:r>
            <w:r w:rsidR="000E1419">
              <w:rPr>
                <w:rFonts w:asciiTheme="minorHAnsi" w:hAnsiTheme="minorHAnsi"/>
                <w:i/>
              </w:rPr>
              <w:t>Data show that 16 out of 25 provinces (64%) increased their budget allocation for MDG acceleration based on their 5 year p</w:t>
            </w:r>
            <w:r w:rsidR="00180273">
              <w:rPr>
                <w:rFonts w:asciiTheme="minorHAnsi" w:hAnsiTheme="minorHAnsi"/>
                <w:i/>
              </w:rPr>
              <w:t>rovincial MDG action plans</w:t>
            </w:r>
            <w:r w:rsidR="000E1419">
              <w:rPr>
                <w:rFonts w:asciiTheme="minorHAnsi" w:hAnsiTheme="minorHAnsi"/>
                <w:i/>
              </w:rPr>
              <w:t>. With UNDP support, 5 provincial MAFs (MDGs acceleration framework) were finalized in 2014 following the successful pilot of the MAF in Central Java. The MAF identifies bottlenecks to lagging MDGs, and prioritizes solutio</w:t>
            </w:r>
            <w:r>
              <w:rPr>
                <w:rFonts w:asciiTheme="minorHAnsi" w:hAnsiTheme="minorHAnsi"/>
                <w:i/>
              </w:rPr>
              <w:t>ns to address those bottleneck</w:t>
            </w:r>
            <w:r w:rsidR="00180273">
              <w:rPr>
                <w:rFonts w:asciiTheme="minorHAnsi" w:hAnsiTheme="minorHAnsi"/>
                <w:i/>
              </w:rPr>
              <w:t>.</w:t>
            </w:r>
            <w:r>
              <w:rPr>
                <w:rFonts w:asciiTheme="minorHAnsi" w:hAnsiTheme="minorHAnsi"/>
                <w:i/>
              </w:rPr>
              <w:t xml:space="preserve"> </w:t>
            </w:r>
            <w:r w:rsidR="000E1419">
              <w:rPr>
                <w:rFonts w:asciiTheme="minorHAnsi" w:hAnsiTheme="minorHAnsi"/>
                <w:i/>
              </w:rPr>
              <w:t xml:space="preserve">  </w:t>
            </w:r>
            <w:r w:rsidR="005836A2">
              <w:rPr>
                <w:rFonts w:asciiTheme="minorHAnsi" w:hAnsiTheme="minorHAnsi"/>
                <w:i/>
              </w:rPr>
              <w:t xml:space="preserve"> </w:t>
            </w:r>
            <w:r w:rsidR="009C23CD">
              <w:rPr>
                <w:rFonts w:asciiTheme="minorHAnsi" w:hAnsiTheme="minorHAnsi"/>
                <w:i/>
              </w:rPr>
              <w:t xml:space="preserve">  </w:t>
            </w:r>
          </w:p>
          <w:p w14:paraId="338C6016" w14:textId="77777777" w:rsidR="00080667" w:rsidRDefault="00080667" w:rsidP="00E74058">
            <w:pPr>
              <w:pStyle w:val="BodyText2"/>
              <w:jc w:val="both"/>
              <w:rPr>
                <w:rFonts w:asciiTheme="minorHAnsi" w:hAnsiTheme="minorHAnsi"/>
                <w:i/>
              </w:rPr>
            </w:pPr>
          </w:p>
          <w:p w14:paraId="6F266CBC" w14:textId="02F69A9E" w:rsidR="008B7708" w:rsidRDefault="008B7708" w:rsidP="00E74058">
            <w:pPr>
              <w:widowControl/>
              <w:autoSpaceDE w:val="0"/>
              <w:autoSpaceDN w:val="0"/>
              <w:adjustRightInd w:val="0"/>
              <w:jc w:val="both"/>
              <w:rPr>
                <w:rFonts w:asciiTheme="minorHAnsi" w:hAnsiTheme="minorHAnsi"/>
                <w:i/>
              </w:rPr>
            </w:pPr>
            <w:r w:rsidRPr="00A15ADF">
              <w:rPr>
                <w:rFonts w:asciiTheme="minorHAnsi" w:hAnsiTheme="minorHAnsi"/>
                <w:b/>
                <w:i/>
              </w:rPr>
              <w:t>Output (</w:t>
            </w:r>
            <w:r w:rsidR="00E50523" w:rsidRPr="00A15ADF">
              <w:rPr>
                <w:rFonts w:asciiTheme="minorHAnsi" w:hAnsiTheme="minorHAnsi"/>
                <w:b/>
                <w:i/>
              </w:rPr>
              <w:t>d</w:t>
            </w:r>
            <w:r w:rsidRPr="00A15ADF">
              <w:rPr>
                <w:rFonts w:asciiTheme="minorHAnsi" w:hAnsiTheme="minorHAnsi"/>
                <w:b/>
                <w:i/>
              </w:rPr>
              <w:t>) M&amp;E and reporting on MDGs and HDI:</w:t>
            </w:r>
            <w:r>
              <w:rPr>
                <w:rFonts w:asciiTheme="minorHAnsi" w:hAnsiTheme="minorHAnsi"/>
                <w:i/>
              </w:rPr>
              <w:t xml:space="preserve"> </w:t>
            </w:r>
            <w:r w:rsidRPr="008B7708">
              <w:rPr>
                <w:rFonts w:asciiTheme="minorHAnsi" w:hAnsiTheme="minorHAnsi"/>
                <w:i/>
              </w:rPr>
              <w:t>The UNDP supported National MDG Secretariat coordinates and assists the provinces, and monitors their progress</w:t>
            </w:r>
            <w:r>
              <w:rPr>
                <w:rFonts w:asciiTheme="minorHAnsi" w:hAnsiTheme="minorHAnsi"/>
                <w:i/>
              </w:rPr>
              <w:t xml:space="preserve"> </w:t>
            </w:r>
            <w:r w:rsidRPr="008B7708">
              <w:rPr>
                <w:rFonts w:asciiTheme="minorHAnsi" w:hAnsiTheme="minorHAnsi"/>
                <w:i/>
              </w:rPr>
              <w:t>towards achieving the targets laid out in the n</w:t>
            </w:r>
            <w:r>
              <w:rPr>
                <w:rFonts w:asciiTheme="minorHAnsi" w:hAnsiTheme="minorHAnsi"/>
                <w:i/>
              </w:rPr>
              <w:t>ational MDG Roadmap</w:t>
            </w:r>
            <w:r w:rsidRPr="008B7708">
              <w:rPr>
                <w:rFonts w:asciiTheme="minorHAnsi" w:hAnsiTheme="minorHAnsi"/>
                <w:i/>
              </w:rPr>
              <w:t xml:space="preserve">. The online system allows the National MDG </w:t>
            </w:r>
            <w:r w:rsidRPr="008B7708">
              <w:rPr>
                <w:rFonts w:asciiTheme="minorHAnsi" w:hAnsiTheme="minorHAnsi"/>
                <w:i/>
              </w:rPr>
              <w:lastRenderedPageBreak/>
              <w:t>Secretariat to better and more speedily identify underperforming</w:t>
            </w:r>
            <w:r>
              <w:rPr>
                <w:rFonts w:asciiTheme="minorHAnsi" w:hAnsiTheme="minorHAnsi"/>
                <w:i/>
              </w:rPr>
              <w:t xml:space="preserve"> </w:t>
            </w:r>
            <w:r w:rsidRPr="008B7708">
              <w:rPr>
                <w:rFonts w:asciiTheme="minorHAnsi" w:hAnsiTheme="minorHAnsi"/>
                <w:i/>
              </w:rPr>
              <w:t>provinces and prioritize assistance to them</w:t>
            </w:r>
            <w:r>
              <w:rPr>
                <w:rFonts w:asciiTheme="minorHAnsi" w:hAnsiTheme="minorHAnsi"/>
                <w:i/>
              </w:rPr>
              <w:t xml:space="preserve">. </w:t>
            </w:r>
            <w:r w:rsidR="00180273">
              <w:rPr>
                <w:rFonts w:asciiTheme="minorHAnsi" w:hAnsiTheme="minorHAnsi"/>
                <w:i/>
              </w:rPr>
              <w:t>UNDP has provided technical support to the national statistics agency</w:t>
            </w:r>
            <w:r w:rsidR="00883368">
              <w:rPr>
                <w:rFonts w:asciiTheme="minorHAnsi" w:hAnsiTheme="minorHAnsi"/>
                <w:i/>
              </w:rPr>
              <w:t>, Statistics Indonesia</w:t>
            </w:r>
            <w:r w:rsidR="00180273">
              <w:rPr>
                <w:rFonts w:asciiTheme="minorHAnsi" w:hAnsiTheme="minorHAnsi"/>
                <w:i/>
              </w:rPr>
              <w:t xml:space="preserve"> </w:t>
            </w:r>
            <w:r w:rsidR="00883368">
              <w:rPr>
                <w:rFonts w:asciiTheme="minorHAnsi" w:hAnsiTheme="minorHAnsi"/>
                <w:i/>
              </w:rPr>
              <w:t xml:space="preserve">(BPS), </w:t>
            </w:r>
            <w:r w:rsidR="00180273">
              <w:rPr>
                <w:rFonts w:asciiTheme="minorHAnsi" w:hAnsiTheme="minorHAnsi"/>
                <w:i/>
              </w:rPr>
              <w:t>to utilize the HDI. Indonesia is one of a few countries that uses the HDI in national planning and budgeting, including allocating resources to sub-national governments.</w:t>
            </w:r>
          </w:p>
          <w:p w14:paraId="2FB326B6" w14:textId="77777777" w:rsidR="00011331" w:rsidRDefault="00011331" w:rsidP="00E74058">
            <w:pPr>
              <w:widowControl/>
              <w:autoSpaceDE w:val="0"/>
              <w:autoSpaceDN w:val="0"/>
              <w:adjustRightInd w:val="0"/>
              <w:jc w:val="both"/>
              <w:rPr>
                <w:rFonts w:asciiTheme="minorHAnsi" w:hAnsiTheme="minorHAnsi"/>
                <w:i/>
              </w:rPr>
            </w:pPr>
          </w:p>
          <w:p w14:paraId="4A9697ED" w14:textId="6D255DDE" w:rsidR="00011331" w:rsidRPr="00011331" w:rsidRDefault="00011331" w:rsidP="00E74058">
            <w:pPr>
              <w:widowControl/>
              <w:autoSpaceDE w:val="0"/>
              <w:autoSpaceDN w:val="0"/>
              <w:adjustRightInd w:val="0"/>
              <w:jc w:val="both"/>
              <w:rPr>
                <w:rFonts w:asciiTheme="minorHAnsi" w:hAnsiTheme="minorHAnsi"/>
                <w:i/>
              </w:rPr>
            </w:pPr>
            <w:r w:rsidRPr="00A15ADF">
              <w:rPr>
                <w:rFonts w:asciiTheme="minorHAnsi" w:hAnsiTheme="minorHAnsi"/>
                <w:b/>
                <w:i/>
              </w:rPr>
              <w:t>Gender:</w:t>
            </w:r>
            <w:r>
              <w:rPr>
                <w:rFonts w:asciiTheme="minorHAnsi" w:hAnsiTheme="minorHAnsi"/>
                <w:i/>
              </w:rPr>
              <w:t xml:space="preserve">  </w:t>
            </w:r>
            <w:r w:rsidRPr="00011331">
              <w:rPr>
                <w:rFonts w:asciiTheme="minorHAnsi" w:hAnsiTheme="minorHAnsi"/>
                <w:i/>
              </w:rPr>
              <w:t>Three out of Six Provincial MAF’s Focus on MMR: Provincial MAF’s in Central Java, Banten and East Java address gender inequ</w:t>
            </w:r>
            <w:r>
              <w:rPr>
                <w:rFonts w:asciiTheme="minorHAnsi" w:hAnsiTheme="minorHAnsi"/>
                <w:i/>
              </w:rPr>
              <w:t>ality issues in maternal health</w:t>
            </w:r>
            <w:r w:rsidRPr="00011331">
              <w:rPr>
                <w:rFonts w:asciiTheme="minorHAnsi" w:hAnsiTheme="minorHAnsi"/>
                <w:i/>
              </w:rPr>
              <w:t>. In Indonesia, delays in</w:t>
            </w:r>
            <w:r>
              <w:rPr>
                <w:rFonts w:asciiTheme="minorHAnsi" w:hAnsiTheme="minorHAnsi"/>
                <w:i/>
              </w:rPr>
              <w:t xml:space="preserve"> </w:t>
            </w:r>
            <w:r w:rsidRPr="00011331">
              <w:rPr>
                <w:rFonts w:asciiTheme="minorHAnsi" w:hAnsiTheme="minorHAnsi"/>
                <w:i/>
              </w:rPr>
              <w:t>referring high risk mothers to health facilities is one contributing factor behind high maternal deaths. Decisions to move mothers to health facilities is often not the woman’s alone, but is made</w:t>
            </w:r>
            <w:r>
              <w:rPr>
                <w:rFonts w:asciiTheme="minorHAnsi" w:hAnsiTheme="minorHAnsi"/>
                <w:i/>
              </w:rPr>
              <w:t xml:space="preserve"> within the family unit</w:t>
            </w:r>
            <w:r w:rsidRPr="00011331">
              <w:rPr>
                <w:rFonts w:asciiTheme="minorHAnsi" w:hAnsiTheme="minorHAnsi"/>
                <w:i/>
              </w:rPr>
              <w:t xml:space="preserve">. It is for this reason that the involvement of father’s in antenatal care and pregnancy classes, is the first line of defence to reducing MMR, and a </w:t>
            </w:r>
            <w:r w:rsidR="00180273">
              <w:rPr>
                <w:rFonts w:asciiTheme="minorHAnsi" w:hAnsiTheme="minorHAnsi"/>
                <w:i/>
              </w:rPr>
              <w:t>key</w:t>
            </w:r>
            <w:r w:rsidRPr="00011331">
              <w:rPr>
                <w:rFonts w:asciiTheme="minorHAnsi" w:hAnsiTheme="minorHAnsi"/>
                <w:i/>
              </w:rPr>
              <w:t xml:space="preserve"> activity</w:t>
            </w:r>
          </w:p>
          <w:p w14:paraId="7BD6BB8A" w14:textId="2D60FD2B" w:rsidR="00011331" w:rsidRPr="00920DBC" w:rsidRDefault="00011331" w:rsidP="00E74058">
            <w:pPr>
              <w:widowControl/>
              <w:autoSpaceDE w:val="0"/>
              <w:autoSpaceDN w:val="0"/>
              <w:adjustRightInd w:val="0"/>
              <w:jc w:val="both"/>
              <w:rPr>
                <w:rFonts w:asciiTheme="minorHAnsi" w:hAnsiTheme="minorHAnsi"/>
                <w:i/>
              </w:rPr>
            </w:pPr>
            <w:r w:rsidRPr="00011331">
              <w:rPr>
                <w:rFonts w:asciiTheme="minorHAnsi" w:hAnsiTheme="minorHAnsi"/>
                <w:i/>
              </w:rPr>
              <w:t>within the MAF</w:t>
            </w:r>
            <w:r>
              <w:rPr>
                <w:rFonts w:asciiTheme="minorHAnsi" w:hAnsiTheme="minorHAnsi"/>
                <w:i/>
              </w:rPr>
              <w:t>s</w:t>
            </w:r>
            <w:r w:rsidRPr="00011331">
              <w:rPr>
                <w:rFonts w:asciiTheme="minorHAnsi" w:hAnsiTheme="minorHAnsi"/>
                <w:i/>
              </w:rPr>
              <w:t>. Women Entrepreneurs in Papua Supported by UNDP: It is well documented that a stronger economic position within the family unit, can often increase women’s</w:t>
            </w:r>
            <w:r>
              <w:rPr>
                <w:rFonts w:asciiTheme="minorHAnsi" w:hAnsiTheme="minorHAnsi"/>
                <w:i/>
              </w:rPr>
              <w:t xml:space="preserve"> </w:t>
            </w:r>
            <w:r w:rsidRPr="00011331">
              <w:rPr>
                <w:rFonts w:asciiTheme="minorHAnsi" w:hAnsiTheme="minorHAnsi"/>
                <w:i/>
              </w:rPr>
              <w:t>bargaining power in r</w:t>
            </w:r>
            <w:r>
              <w:rPr>
                <w:rFonts w:asciiTheme="minorHAnsi" w:hAnsiTheme="minorHAnsi"/>
                <w:i/>
              </w:rPr>
              <w:t>elation to other family members</w:t>
            </w:r>
            <w:r w:rsidRPr="00011331">
              <w:rPr>
                <w:rFonts w:asciiTheme="minorHAnsi" w:hAnsiTheme="minorHAnsi"/>
                <w:i/>
              </w:rPr>
              <w:t xml:space="preserve">. In light of this 752 out of 918 (82%) Papuans and West Papuans </w:t>
            </w:r>
            <w:r w:rsidR="00180273">
              <w:rPr>
                <w:rFonts w:asciiTheme="minorHAnsi" w:hAnsiTheme="minorHAnsi"/>
                <w:i/>
              </w:rPr>
              <w:t>who</w:t>
            </w:r>
            <w:r w:rsidRPr="00011331">
              <w:rPr>
                <w:rFonts w:asciiTheme="minorHAnsi" w:hAnsiTheme="minorHAnsi"/>
                <w:i/>
              </w:rPr>
              <w:t xml:space="preserve"> benefit</w:t>
            </w:r>
            <w:r w:rsidR="00180273">
              <w:rPr>
                <w:rFonts w:asciiTheme="minorHAnsi" w:hAnsiTheme="minorHAnsi"/>
                <w:i/>
              </w:rPr>
              <w:t xml:space="preserve">ed </w:t>
            </w:r>
            <w:r w:rsidR="00883368">
              <w:rPr>
                <w:rFonts w:asciiTheme="minorHAnsi" w:hAnsiTheme="minorHAnsi"/>
                <w:i/>
              </w:rPr>
              <w:t>from</w:t>
            </w:r>
            <w:r w:rsidRPr="00011331">
              <w:rPr>
                <w:rFonts w:asciiTheme="minorHAnsi" w:hAnsiTheme="minorHAnsi"/>
                <w:i/>
              </w:rPr>
              <w:t xml:space="preserve"> business development support in</w:t>
            </w:r>
            <w:r>
              <w:rPr>
                <w:rFonts w:asciiTheme="minorHAnsi" w:hAnsiTheme="minorHAnsi"/>
                <w:i/>
              </w:rPr>
              <w:t xml:space="preserve"> 2013-2014 were women</w:t>
            </w:r>
            <w:r w:rsidRPr="00011331">
              <w:rPr>
                <w:rFonts w:asciiTheme="minorHAnsi" w:hAnsiTheme="minorHAnsi"/>
                <w:i/>
              </w:rPr>
              <w:t>.</w:t>
            </w:r>
          </w:p>
          <w:p w14:paraId="2869F817" w14:textId="77777777" w:rsidR="00700521" w:rsidRPr="00DC7354" w:rsidRDefault="00700521" w:rsidP="00E74058">
            <w:pPr>
              <w:pStyle w:val="BodyText2"/>
              <w:ind w:left="360"/>
              <w:jc w:val="both"/>
              <w:rPr>
                <w:rFonts w:asciiTheme="minorHAnsi" w:hAnsiTheme="minorHAnsi"/>
              </w:rPr>
            </w:pPr>
          </w:p>
        </w:tc>
      </w:tr>
      <w:tr w:rsidR="003B037A" w:rsidRPr="00DC7354" w14:paraId="2869F81F" w14:textId="77777777" w:rsidTr="000823AC">
        <w:tc>
          <w:tcPr>
            <w:tcW w:w="3060" w:type="dxa"/>
            <w:shd w:val="clear" w:color="auto" w:fill="95B3D7" w:themeFill="accent1" w:themeFillTint="99"/>
          </w:tcPr>
          <w:p w14:paraId="2869F819" w14:textId="73EC5FA1" w:rsidR="003B037A" w:rsidRPr="000823AC" w:rsidRDefault="003B037A" w:rsidP="00E74058">
            <w:pPr>
              <w:pStyle w:val="BodyText2"/>
              <w:jc w:val="both"/>
              <w:rPr>
                <w:rFonts w:asciiTheme="minorHAnsi" w:hAnsiTheme="minorHAnsi"/>
                <w:b/>
              </w:rPr>
            </w:pPr>
            <w:r w:rsidRPr="000823AC">
              <w:rPr>
                <w:rFonts w:asciiTheme="minorHAnsi" w:hAnsiTheme="minorHAnsi"/>
                <w:b/>
              </w:rPr>
              <w:lastRenderedPageBreak/>
              <w:t>2</w:t>
            </w:r>
            <w:r w:rsidRPr="007479D7">
              <w:rPr>
                <w:rFonts w:asciiTheme="minorHAnsi" w:hAnsiTheme="minorHAnsi"/>
                <w:b/>
                <w:i/>
              </w:rPr>
              <w:t xml:space="preserve">. </w:t>
            </w:r>
            <w:r w:rsidR="007479D7" w:rsidRPr="007479D7">
              <w:rPr>
                <w:rFonts w:asciiTheme="minorHAnsi" w:hAnsiTheme="minorHAnsi"/>
                <w:b/>
                <w:i/>
              </w:rPr>
              <w:t>Responsible national institutions and relevant stakeholders are more effective in managing environmental</w:t>
            </w:r>
            <w:r w:rsidR="007479D7" w:rsidRPr="007479D7">
              <w:rPr>
                <w:rFonts w:asciiTheme="minorHAnsi" w:hAnsiTheme="minorHAnsi"/>
                <w:b/>
              </w:rPr>
              <w:t xml:space="preserve"> resources and addressing environmental pollution</w:t>
            </w:r>
          </w:p>
        </w:tc>
        <w:tc>
          <w:tcPr>
            <w:tcW w:w="1530" w:type="dxa"/>
            <w:gridSpan w:val="2"/>
            <w:shd w:val="clear" w:color="auto" w:fill="auto"/>
          </w:tcPr>
          <w:p w14:paraId="2869F81A" w14:textId="4D69CCB3" w:rsidR="003B037A" w:rsidRPr="00DC7354" w:rsidRDefault="003B037A"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9,496,197</w:t>
            </w:r>
          </w:p>
        </w:tc>
        <w:tc>
          <w:tcPr>
            <w:tcW w:w="3960" w:type="dxa"/>
            <w:tcBorders>
              <w:left w:val="single" w:sz="4" w:space="0" w:color="auto"/>
            </w:tcBorders>
          </w:tcPr>
          <w:p w14:paraId="752A4D5E" w14:textId="04C77E00" w:rsidR="007479D7" w:rsidRPr="007479D7" w:rsidRDefault="007479D7" w:rsidP="00E74058">
            <w:pPr>
              <w:pStyle w:val="BodyText2"/>
              <w:numPr>
                <w:ilvl w:val="0"/>
                <w:numId w:val="20"/>
              </w:numPr>
              <w:jc w:val="both"/>
              <w:rPr>
                <w:rFonts w:asciiTheme="minorHAnsi" w:hAnsiTheme="minorHAnsi"/>
                <w:i/>
              </w:rPr>
            </w:pPr>
            <w:r w:rsidRPr="007479D7">
              <w:rPr>
                <w:rFonts w:asciiTheme="minorHAnsi" w:hAnsiTheme="minorHAnsi"/>
                <w:i/>
              </w:rPr>
              <w:t xml:space="preserve">Hectares of national critical land rehabilitated both inside and outside forest areas </w:t>
            </w:r>
          </w:p>
          <w:p w14:paraId="72E6F7F8" w14:textId="71DE6630" w:rsidR="007479D7" w:rsidRPr="007479D7" w:rsidRDefault="007479D7" w:rsidP="00E74058">
            <w:pPr>
              <w:pStyle w:val="BodyText2"/>
              <w:numPr>
                <w:ilvl w:val="0"/>
                <w:numId w:val="20"/>
              </w:numPr>
              <w:jc w:val="both"/>
              <w:rPr>
                <w:rFonts w:asciiTheme="minorHAnsi" w:hAnsiTheme="minorHAnsi"/>
                <w:i/>
              </w:rPr>
            </w:pPr>
            <w:r w:rsidRPr="007479D7">
              <w:rPr>
                <w:rFonts w:asciiTheme="minorHAnsi" w:hAnsiTheme="minorHAnsi"/>
                <w:i/>
              </w:rPr>
              <w:t xml:space="preserve">National forest degradation rate </w:t>
            </w:r>
          </w:p>
          <w:p w14:paraId="21C3E9CB" w14:textId="207862F1" w:rsidR="007479D7" w:rsidRPr="007479D7" w:rsidRDefault="007479D7" w:rsidP="00E74058">
            <w:pPr>
              <w:pStyle w:val="BodyText2"/>
              <w:numPr>
                <w:ilvl w:val="0"/>
                <w:numId w:val="20"/>
              </w:numPr>
              <w:jc w:val="both"/>
              <w:rPr>
                <w:rFonts w:asciiTheme="minorHAnsi" w:hAnsiTheme="minorHAnsi"/>
                <w:i/>
              </w:rPr>
            </w:pPr>
            <w:r w:rsidRPr="007479D7">
              <w:rPr>
                <w:rFonts w:asciiTheme="minorHAnsi" w:hAnsiTheme="minorHAnsi"/>
                <w:i/>
              </w:rPr>
              <w:t xml:space="preserve">Condition of coral reefs in Indonesia </w:t>
            </w:r>
          </w:p>
          <w:p w14:paraId="73ECDE98" w14:textId="6CBF979B" w:rsidR="007479D7" w:rsidRPr="007479D7" w:rsidRDefault="007479D7" w:rsidP="00E74058">
            <w:pPr>
              <w:pStyle w:val="BodyText2"/>
              <w:numPr>
                <w:ilvl w:val="0"/>
                <w:numId w:val="20"/>
              </w:numPr>
              <w:jc w:val="both"/>
              <w:rPr>
                <w:rFonts w:asciiTheme="minorHAnsi" w:hAnsiTheme="minorHAnsi"/>
                <w:i/>
              </w:rPr>
            </w:pPr>
            <w:r w:rsidRPr="007479D7">
              <w:rPr>
                <w:rFonts w:asciiTheme="minorHAnsi" w:hAnsiTheme="minorHAnsi"/>
                <w:i/>
              </w:rPr>
              <w:t xml:space="preserve">Number of priority watershed areas that have an integrated watershed management plan </w:t>
            </w:r>
          </w:p>
          <w:p w14:paraId="2869F81C" w14:textId="4FDEF8BE" w:rsidR="003B037A" w:rsidRPr="00920DBC" w:rsidRDefault="003B037A" w:rsidP="00E74058">
            <w:pPr>
              <w:pStyle w:val="BodyText2"/>
              <w:jc w:val="both"/>
              <w:rPr>
                <w:rFonts w:asciiTheme="minorHAnsi" w:hAnsiTheme="minorHAnsi"/>
                <w:i/>
              </w:rPr>
            </w:pPr>
          </w:p>
        </w:tc>
        <w:tc>
          <w:tcPr>
            <w:tcW w:w="5490" w:type="dxa"/>
            <w:shd w:val="clear" w:color="auto" w:fill="auto"/>
          </w:tcPr>
          <w:p w14:paraId="2869F81D" w14:textId="42A8DC85" w:rsidR="003B037A" w:rsidRPr="00607AA1" w:rsidRDefault="00607AA1" w:rsidP="00E74058">
            <w:pPr>
              <w:pStyle w:val="BodyText2"/>
              <w:numPr>
                <w:ilvl w:val="0"/>
                <w:numId w:val="16"/>
              </w:numPr>
              <w:jc w:val="both"/>
              <w:rPr>
                <w:rFonts w:asciiTheme="minorHAnsi" w:hAnsiTheme="minorHAnsi"/>
                <w:i/>
              </w:rPr>
            </w:pPr>
            <w:r w:rsidRPr="00607AA1">
              <w:rPr>
                <w:rFonts w:asciiTheme="minorHAnsi" w:hAnsiTheme="minorHAnsi"/>
                <w:i/>
              </w:rPr>
              <w:t xml:space="preserve">Baseline, in 2009, 30 million ha of critical land both </w:t>
            </w:r>
            <w:r w:rsidR="00A63B14" w:rsidRPr="00607AA1">
              <w:rPr>
                <w:rFonts w:asciiTheme="minorHAnsi" w:hAnsiTheme="minorHAnsi"/>
                <w:i/>
              </w:rPr>
              <w:t>inside</w:t>
            </w:r>
            <w:r w:rsidRPr="00607AA1">
              <w:rPr>
                <w:rFonts w:asciiTheme="minorHAnsi" w:hAnsiTheme="minorHAnsi"/>
                <w:i/>
              </w:rPr>
              <w:t xml:space="preserve"> and outside forest area identified; 500,000 ha were rehabilitated in 2010. Current status, some progress. By end of 2013 a total of 2,054,839 ha was rehabilitated (replanted). Total critical land both inside and outside forest state is 27,290,000 Ha. The Government targeted to rehabilitate a cumulative 2.5 million ha by the end of 2014</w:t>
            </w:r>
            <w:r w:rsidR="00883368">
              <w:rPr>
                <w:rFonts w:asciiTheme="minorHAnsi" w:hAnsiTheme="minorHAnsi"/>
                <w:i/>
              </w:rPr>
              <w:t xml:space="preserve"> -</w:t>
            </w:r>
            <w:r w:rsidRPr="00607AA1">
              <w:rPr>
                <w:rFonts w:asciiTheme="minorHAnsi" w:hAnsiTheme="minorHAnsi"/>
                <w:i/>
              </w:rPr>
              <w:t xml:space="preserve"> data will be available in </w:t>
            </w:r>
            <w:r w:rsidR="00883368">
              <w:rPr>
                <w:rFonts w:asciiTheme="minorHAnsi" w:hAnsiTheme="minorHAnsi"/>
                <w:i/>
              </w:rPr>
              <w:t xml:space="preserve">the </w:t>
            </w:r>
            <w:r w:rsidRPr="00607AA1">
              <w:rPr>
                <w:rFonts w:asciiTheme="minorHAnsi" w:hAnsiTheme="minorHAnsi"/>
                <w:i/>
              </w:rPr>
              <w:t>Monitoring and Evaluation Report, Directorate of Forest and Land Rehabilitation</w:t>
            </w:r>
            <w:r w:rsidR="00883368">
              <w:rPr>
                <w:rFonts w:asciiTheme="minorHAnsi" w:hAnsiTheme="minorHAnsi"/>
                <w:i/>
              </w:rPr>
              <w:t>, Ministry of Environment and Forestry</w:t>
            </w:r>
            <w:r w:rsidRPr="00607AA1">
              <w:rPr>
                <w:rFonts w:asciiTheme="minorHAnsi" w:hAnsiTheme="minorHAnsi"/>
                <w:i/>
              </w:rPr>
              <w:t>.</w:t>
            </w:r>
          </w:p>
          <w:p w14:paraId="1A48A443" w14:textId="6320C29D" w:rsidR="003B037A" w:rsidRDefault="00607AA1" w:rsidP="00E74058">
            <w:pPr>
              <w:pStyle w:val="BodyText2"/>
              <w:numPr>
                <w:ilvl w:val="0"/>
                <w:numId w:val="16"/>
              </w:numPr>
              <w:jc w:val="both"/>
              <w:rPr>
                <w:rFonts w:asciiTheme="minorHAnsi" w:hAnsiTheme="minorHAnsi"/>
                <w:i/>
              </w:rPr>
            </w:pPr>
            <w:r>
              <w:rPr>
                <w:rFonts w:asciiTheme="minorHAnsi" w:hAnsiTheme="minorHAnsi"/>
                <w:i/>
              </w:rPr>
              <w:t xml:space="preserve">Baseline 2011: Annual </w:t>
            </w:r>
            <w:r w:rsidRPr="00495C48">
              <w:rPr>
                <w:rFonts w:asciiTheme="minorHAnsi" w:hAnsiTheme="minorHAnsi"/>
                <w:i/>
              </w:rPr>
              <w:t>forest degradation</w:t>
            </w:r>
            <w:r>
              <w:rPr>
                <w:rFonts w:asciiTheme="minorHAnsi" w:hAnsiTheme="minorHAnsi"/>
                <w:i/>
              </w:rPr>
              <w:t>: 1.08 million ha per annum (period 200-2006)</w:t>
            </w:r>
            <w:r w:rsidR="00495C48">
              <w:rPr>
                <w:rFonts w:asciiTheme="minorHAnsi" w:hAnsiTheme="minorHAnsi"/>
                <w:i/>
              </w:rPr>
              <w:t>. Current status</w:t>
            </w:r>
            <w:r w:rsidR="002B1719">
              <w:rPr>
                <w:rFonts w:asciiTheme="minorHAnsi" w:hAnsiTheme="minorHAnsi"/>
                <w:i/>
              </w:rPr>
              <w:t>:</w:t>
            </w:r>
            <w:r w:rsidR="00495C48">
              <w:rPr>
                <w:rFonts w:asciiTheme="minorHAnsi" w:hAnsiTheme="minorHAnsi"/>
                <w:i/>
              </w:rPr>
              <w:t xml:space="preserve"> </w:t>
            </w:r>
            <w:r w:rsidR="002B1719">
              <w:rPr>
                <w:rFonts w:asciiTheme="minorHAnsi" w:hAnsiTheme="minorHAnsi"/>
                <w:i/>
              </w:rPr>
              <w:t xml:space="preserve">No consensus on rate of deforestation. </w:t>
            </w:r>
            <w:r w:rsidR="00495C48">
              <w:rPr>
                <w:rFonts w:asciiTheme="minorHAnsi" w:hAnsiTheme="minorHAnsi"/>
                <w:i/>
              </w:rPr>
              <w:t xml:space="preserve">Annual deforestation rate (2011-2012) </w:t>
            </w:r>
            <w:r w:rsidR="002B1719">
              <w:rPr>
                <w:rFonts w:asciiTheme="minorHAnsi" w:hAnsiTheme="minorHAnsi"/>
                <w:i/>
              </w:rPr>
              <w:t>estimated at</w:t>
            </w:r>
            <w:r w:rsidR="00495C48">
              <w:rPr>
                <w:rFonts w:asciiTheme="minorHAnsi" w:hAnsiTheme="minorHAnsi"/>
                <w:i/>
              </w:rPr>
              <w:t xml:space="preserve"> 614</w:t>
            </w:r>
            <w:r w:rsidR="00883368">
              <w:rPr>
                <w:rFonts w:asciiTheme="minorHAnsi" w:hAnsiTheme="minorHAnsi"/>
                <w:i/>
              </w:rPr>
              <w:t>,000</w:t>
            </w:r>
            <w:r w:rsidR="00495C48">
              <w:rPr>
                <w:rFonts w:asciiTheme="minorHAnsi" w:hAnsiTheme="minorHAnsi"/>
                <w:i/>
              </w:rPr>
              <w:t xml:space="preserve"> ha/year (source Forest Planning Directorate, Ministry of Forestry</w:t>
            </w:r>
            <w:r w:rsidR="002B1719">
              <w:rPr>
                <w:rFonts w:asciiTheme="minorHAnsi" w:hAnsiTheme="minorHAnsi"/>
                <w:i/>
              </w:rPr>
              <w:t>,</w:t>
            </w:r>
            <w:r w:rsidR="00495C48">
              <w:rPr>
                <w:rFonts w:asciiTheme="minorHAnsi" w:hAnsiTheme="minorHAnsi"/>
                <w:i/>
              </w:rPr>
              <w:t xml:space="preserve"> 2013)</w:t>
            </w:r>
            <w:r w:rsidR="002B1719">
              <w:rPr>
                <w:rFonts w:asciiTheme="minorHAnsi" w:hAnsiTheme="minorHAnsi"/>
                <w:i/>
              </w:rPr>
              <w:t xml:space="preserve">. </w:t>
            </w:r>
          </w:p>
          <w:p w14:paraId="64C3B61B" w14:textId="2C0F8500" w:rsidR="00495C48" w:rsidRPr="00495C48" w:rsidRDefault="00495C48" w:rsidP="00E74058">
            <w:pPr>
              <w:pStyle w:val="BodyText2"/>
              <w:numPr>
                <w:ilvl w:val="0"/>
                <w:numId w:val="16"/>
              </w:numPr>
              <w:jc w:val="both"/>
              <w:rPr>
                <w:rFonts w:asciiTheme="minorHAnsi" w:hAnsiTheme="minorHAnsi"/>
                <w:i/>
              </w:rPr>
            </w:pPr>
            <w:r>
              <w:rPr>
                <w:rFonts w:asciiTheme="minorHAnsi" w:hAnsiTheme="minorHAnsi"/>
                <w:i/>
              </w:rPr>
              <w:t>Baseline, in 2010, 5.44% of Indonesia coral reef in very good condition; 26.72% good; 37.21% fir; 30.82% poor (P2PO LIPI, 2010). Current st</w:t>
            </w:r>
            <w:r w:rsidR="002B1719">
              <w:rPr>
                <w:rFonts w:asciiTheme="minorHAnsi" w:hAnsiTheme="minorHAnsi"/>
                <w:i/>
              </w:rPr>
              <w:t>a</w:t>
            </w:r>
            <w:r>
              <w:rPr>
                <w:rFonts w:asciiTheme="minorHAnsi" w:hAnsiTheme="minorHAnsi"/>
                <w:i/>
              </w:rPr>
              <w:t xml:space="preserve">tus (2013): No change: 5.29% </w:t>
            </w:r>
            <w:r w:rsidRPr="00495C48">
              <w:rPr>
                <w:rFonts w:asciiTheme="minorHAnsi" w:hAnsiTheme="minorHAnsi"/>
                <w:i/>
              </w:rPr>
              <w:t xml:space="preserve">of coral in </w:t>
            </w:r>
            <w:r>
              <w:rPr>
                <w:rFonts w:asciiTheme="minorHAnsi" w:hAnsiTheme="minorHAnsi"/>
                <w:i/>
              </w:rPr>
              <w:t>e</w:t>
            </w:r>
            <w:r w:rsidRPr="00495C48">
              <w:rPr>
                <w:rFonts w:asciiTheme="minorHAnsi" w:hAnsiTheme="minorHAnsi"/>
                <w:i/>
              </w:rPr>
              <w:t>xcellent condition</w:t>
            </w:r>
            <w:r>
              <w:rPr>
                <w:rFonts w:asciiTheme="minorHAnsi" w:hAnsiTheme="minorHAnsi"/>
                <w:i/>
              </w:rPr>
              <w:t xml:space="preserve">, </w:t>
            </w:r>
            <w:r w:rsidR="00883368" w:rsidRPr="00495C48">
              <w:rPr>
                <w:rFonts w:asciiTheme="minorHAnsi" w:hAnsiTheme="minorHAnsi"/>
                <w:i/>
              </w:rPr>
              <w:t>27.14%</w:t>
            </w:r>
            <w:r w:rsidRPr="00495C48">
              <w:rPr>
                <w:rFonts w:asciiTheme="minorHAnsi" w:hAnsiTheme="minorHAnsi"/>
                <w:i/>
              </w:rPr>
              <w:t xml:space="preserve"> good condition; Fair 37.18%; and Poor 30.40%. </w:t>
            </w:r>
          </w:p>
          <w:p w14:paraId="2869F81E" w14:textId="1B88D8A8" w:rsidR="00BB58F6" w:rsidRPr="00A63B14" w:rsidRDefault="00911297" w:rsidP="00883368">
            <w:pPr>
              <w:pStyle w:val="BodyText2"/>
              <w:numPr>
                <w:ilvl w:val="0"/>
                <w:numId w:val="16"/>
              </w:numPr>
              <w:jc w:val="both"/>
              <w:rPr>
                <w:rFonts w:asciiTheme="minorHAnsi" w:hAnsiTheme="minorHAnsi"/>
                <w:i/>
              </w:rPr>
            </w:pPr>
            <w:r>
              <w:rPr>
                <w:rFonts w:asciiTheme="minorHAnsi" w:hAnsiTheme="minorHAnsi"/>
                <w:i/>
              </w:rPr>
              <w:t xml:space="preserve">Baseline: in 2010, 22 of 108 integrated watershed management plans </w:t>
            </w:r>
            <w:r w:rsidR="00883368">
              <w:rPr>
                <w:rFonts w:asciiTheme="minorHAnsi" w:hAnsiTheme="minorHAnsi"/>
                <w:i/>
              </w:rPr>
              <w:t>were</w:t>
            </w:r>
            <w:r>
              <w:rPr>
                <w:rFonts w:asciiTheme="minorHAnsi" w:hAnsiTheme="minorHAnsi"/>
                <w:i/>
              </w:rPr>
              <w:t xml:space="preserve"> established. Current status (2014) </w:t>
            </w:r>
            <w:r>
              <w:rPr>
                <w:rFonts w:asciiTheme="minorHAnsi" w:hAnsiTheme="minorHAnsi"/>
                <w:i/>
              </w:rPr>
              <w:lastRenderedPageBreak/>
              <w:t xml:space="preserve">Target reached: </w:t>
            </w:r>
            <w:r w:rsidR="0032170C">
              <w:rPr>
                <w:rFonts w:asciiTheme="minorHAnsi" w:hAnsiTheme="minorHAnsi"/>
                <w:i/>
              </w:rPr>
              <w:t>108 integrated watershed management plan established</w:t>
            </w:r>
          </w:p>
        </w:tc>
      </w:tr>
      <w:tr w:rsidR="00700521" w:rsidRPr="00DC7354" w14:paraId="2869F824" w14:textId="77777777" w:rsidTr="009E7526">
        <w:tc>
          <w:tcPr>
            <w:tcW w:w="14040" w:type="dxa"/>
            <w:gridSpan w:val="5"/>
          </w:tcPr>
          <w:p w14:paraId="2869F820" w14:textId="77777777" w:rsidR="00700521" w:rsidRPr="00837C4B" w:rsidRDefault="00700521" w:rsidP="00E74058">
            <w:pPr>
              <w:pStyle w:val="BodyText2"/>
              <w:jc w:val="both"/>
              <w:rPr>
                <w:rFonts w:asciiTheme="minorHAnsi" w:hAnsiTheme="minorHAnsi"/>
                <w:b/>
              </w:rPr>
            </w:pPr>
            <w:r w:rsidRPr="00837C4B">
              <w:rPr>
                <w:rFonts w:asciiTheme="minorHAnsi" w:hAnsiTheme="minorHAnsi"/>
                <w:b/>
              </w:rPr>
              <w:lastRenderedPageBreak/>
              <w:t>UNDP Contribution:</w:t>
            </w:r>
          </w:p>
          <w:p w14:paraId="4696E08F" w14:textId="77777777" w:rsidR="00694F35" w:rsidRDefault="00694F35" w:rsidP="00E74058">
            <w:pPr>
              <w:pStyle w:val="BodyText2"/>
              <w:jc w:val="both"/>
              <w:rPr>
                <w:rFonts w:asciiTheme="minorHAnsi" w:hAnsiTheme="minorHAnsi"/>
              </w:rPr>
            </w:pPr>
          </w:p>
          <w:p w14:paraId="6B00D9C3" w14:textId="2E748173" w:rsidR="00694F35" w:rsidRPr="0052724C" w:rsidRDefault="00694F35" w:rsidP="00E74058">
            <w:pPr>
              <w:pStyle w:val="BodyText2"/>
              <w:jc w:val="both"/>
              <w:rPr>
                <w:rFonts w:asciiTheme="minorHAnsi" w:hAnsiTheme="minorHAnsi"/>
                <w:sz w:val="24"/>
              </w:rPr>
            </w:pPr>
            <w:r w:rsidRPr="0052724C">
              <w:rPr>
                <w:rFonts w:asciiTheme="minorHAnsi" w:hAnsiTheme="minorHAnsi"/>
                <w:sz w:val="24"/>
                <w:u w:val="single"/>
              </w:rPr>
              <w:t>CP Outputs</w:t>
            </w:r>
            <w:r w:rsidRPr="0052724C">
              <w:rPr>
                <w:rFonts w:asciiTheme="minorHAnsi" w:hAnsiTheme="minorHAnsi"/>
                <w:sz w:val="24"/>
              </w:rPr>
              <w:t>:</w:t>
            </w:r>
          </w:p>
          <w:p w14:paraId="5A8FA48E" w14:textId="77777777" w:rsidR="0052724C" w:rsidRDefault="0052724C" w:rsidP="00E74058">
            <w:pPr>
              <w:pStyle w:val="BodyText2"/>
              <w:jc w:val="both"/>
              <w:rPr>
                <w:rFonts w:asciiTheme="minorHAnsi" w:hAnsiTheme="minorHAnsi"/>
                <w:i/>
                <w:sz w:val="24"/>
              </w:rPr>
            </w:pPr>
          </w:p>
          <w:p w14:paraId="1AAEEFD9" w14:textId="3EA43EED" w:rsidR="00694F35" w:rsidRPr="0052724C" w:rsidRDefault="00694F35" w:rsidP="00E74058">
            <w:pPr>
              <w:pStyle w:val="BodyText2"/>
              <w:jc w:val="both"/>
              <w:rPr>
                <w:rFonts w:asciiTheme="minorHAnsi" w:hAnsiTheme="minorHAnsi"/>
                <w:i/>
                <w:sz w:val="24"/>
              </w:rPr>
            </w:pPr>
            <w:r w:rsidRPr="0052724C">
              <w:rPr>
                <w:rFonts w:asciiTheme="minorHAnsi" w:hAnsiTheme="minorHAnsi"/>
                <w:i/>
                <w:sz w:val="24"/>
              </w:rPr>
              <w:t>The UNDP CP identified three major outputs to support the Government in achieving this outcome: (a)</w:t>
            </w:r>
            <w:r w:rsidR="009C3E77" w:rsidRPr="0052724C">
              <w:rPr>
                <w:szCs w:val="16"/>
              </w:rPr>
              <w:t xml:space="preserve"> </w:t>
            </w:r>
            <w:r w:rsidR="009C3E77" w:rsidRPr="0052724C">
              <w:rPr>
                <w:rFonts w:asciiTheme="minorHAnsi" w:hAnsiTheme="minorHAnsi"/>
                <w:i/>
                <w:sz w:val="24"/>
              </w:rPr>
              <w:t>Government, private sector and CBO partners have coherent and effective policy frameworks, action plans, implementing arrangement and funding arrangement to sustainably manage terrestrial ecosystems</w:t>
            </w:r>
            <w:r w:rsidRPr="0052724C">
              <w:rPr>
                <w:rFonts w:asciiTheme="minorHAnsi" w:hAnsiTheme="minorHAnsi"/>
                <w:i/>
                <w:sz w:val="24"/>
              </w:rPr>
              <w:t xml:space="preserve">; (b) </w:t>
            </w:r>
            <w:r w:rsidR="009C3E77" w:rsidRPr="0052724C">
              <w:rPr>
                <w:rFonts w:asciiTheme="minorHAnsi" w:hAnsiTheme="minorHAnsi"/>
                <w:i/>
                <w:sz w:val="24"/>
              </w:rPr>
              <w:t>Government and multi-stakeholder partners have coherent and effective policy frameworks and action plans to sustainably manage coastal and marine ecosystems</w:t>
            </w:r>
            <w:r w:rsidRPr="0052724C">
              <w:rPr>
                <w:rFonts w:asciiTheme="minorHAnsi" w:hAnsiTheme="minorHAnsi"/>
                <w:i/>
                <w:sz w:val="24"/>
              </w:rPr>
              <w:t xml:space="preserve">, and (c) </w:t>
            </w:r>
            <w:r w:rsidR="009C3E77" w:rsidRPr="0052724C">
              <w:rPr>
                <w:rFonts w:asciiTheme="minorHAnsi" w:hAnsiTheme="minorHAnsi"/>
                <w:i/>
                <w:sz w:val="24"/>
              </w:rPr>
              <w:t>Strategy and guidelines developed for the protection of the environment, focusing on persistent organic pollutants (POPs) reduction.</w:t>
            </w:r>
          </w:p>
          <w:p w14:paraId="443421C9" w14:textId="77777777" w:rsidR="00694F35" w:rsidRPr="0052724C" w:rsidRDefault="00694F35" w:rsidP="00E74058">
            <w:pPr>
              <w:pStyle w:val="BodyText2"/>
              <w:jc w:val="both"/>
              <w:rPr>
                <w:rFonts w:asciiTheme="minorHAnsi" w:hAnsiTheme="minorHAnsi"/>
                <w:sz w:val="24"/>
              </w:rPr>
            </w:pPr>
          </w:p>
          <w:p w14:paraId="1F010093" w14:textId="77777777" w:rsidR="00694F35" w:rsidRPr="0052724C" w:rsidRDefault="00694F35" w:rsidP="00E74058">
            <w:pPr>
              <w:pStyle w:val="BodyText2"/>
              <w:jc w:val="both"/>
              <w:rPr>
                <w:rFonts w:asciiTheme="minorHAnsi" w:hAnsiTheme="minorHAnsi"/>
                <w:sz w:val="24"/>
              </w:rPr>
            </w:pPr>
            <w:r w:rsidRPr="0052724C">
              <w:rPr>
                <w:rFonts w:asciiTheme="minorHAnsi" w:hAnsiTheme="minorHAnsi"/>
                <w:sz w:val="24"/>
                <w:u w:val="single"/>
              </w:rPr>
              <w:t>Progress and Achievements</w:t>
            </w:r>
            <w:r w:rsidRPr="0052724C">
              <w:rPr>
                <w:rFonts w:asciiTheme="minorHAnsi" w:hAnsiTheme="minorHAnsi"/>
                <w:sz w:val="24"/>
              </w:rPr>
              <w:t>:</w:t>
            </w:r>
          </w:p>
          <w:p w14:paraId="79486E40" w14:textId="77777777" w:rsidR="008B7708" w:rsidRPr="0052724C" w:rsidRDefault="008B7708" w:rsidP="00E74058">
            <w:pPr>
              <w:pStyle w:val="BodyText2"/>
              <w:jc w:val="both"/>
              <w:rPr>
                <w:rFonts w:asciiTheme="minorHAnsi" w:hAnsiTheme="minorHAnsi"/>
                <w:sz w:val="24"/>
              </w:rPr>
            </w:pPr>
          </w:p>
          <w:p w14:paraId="1BD4AD42" w14:textId="0FA00D0C" w:rsidR="00A95D0B" w:rsidRPr="0052724C" w:rsidRDefault="008B7708" w:rsidP="00E74058">
            <w:pPr>
              <w:widowControl/>
              <w:autoSpaceDE w:val="0"/>
              <w:autoSpaceDN w:val="0"/>
              <w:adjustRightInd w:val="0"/>
              <w:jc w:val="both"/>
              <w:rPr>
                <w:rFonts w:asciiTheme="minorHAnsi" w:hAnsiTheme="minorHAnsi"/>
                <w:i/>
              </w:rPr>
            </w:pPr>
            <w:r w:rsidRPr="0052724C">
              <w:rPr>
                <w:rFonts w:asciiTheme="minorHAnsi" w:hAnsiTheme="minorHAnsi"/>
                <w:b/>
                <w:i/>
              </w:rPr>
              <w:t>Output (a): Policy framework for terrestrial ecosystem.</w:t>
            </w:r>
            <w:r w:rsidRPr="0052724C">
              <w:rPr>
                <w:rFonts w:asciiTheme="minorHAnsi" w:hAnsiTheme="minorHAnsi"/>
                <w:i/>
              </w:rPr>
              <w:t xml:space="preserve"> </w:t>
            </w:r>
            <w:r w:rsidR="002B1719">
              <w:rPr>
                <w:rFonts w:asciiTheme="minorHAnsi" w:hAnsiTheme="minorHAnsi"/>
                <w:i/>
              </w:rPr>
              <w:t>The</w:t>
            </w:r>
            <w:r w:rsidRPr="0052724C">
              <w:rPr>
                <w:rFonts w:asciiTheme="minorHAnsi" w:hAnsiTheme="minorHAnsi"/>
                <w:i/>
              </w:rPr>
              <w:t xml:space="preserve"> CP midterm evaluation </w:t>
            </w:r>
            <w:r w:rsidR="002B1719">
              <w:rPr>
                <w:rFonts w:asciiTheme="minorHAnsi" w:hAnsiTheme="minorHAnsi"/>
                <w:i/>
              </w:rPr>
              <w:t xml:space="preserve">noted </w:t>
            </w:r>
            <w:r w:rsidRPr="0052724C">
              <w:rPr>
                <w:rFonts w:asciiTheme="minorHAnsi" w:hAnsiTheme="minorHAnsi"/>
                <w:i/>
              </w:rPr>
              <w:t>that a lot of progress has been made in watershed management, with an impressive and growing number of watershed</w:t>
            </w:r>
            <w:r w:rsidR="002B1719">
              <w:rPr>
                <w:rFonts w:asciiTheme="minorHAnsi" w:hAnsiTheme="minorHAnsi"/>
                <w:i/>
              </w:rPr>
              <w:t>s</w:t>
            </w:r>
            <w:r w:rsidRPr="0052724C">
              <w:rPr>
                <w:rFonts w:asciiTheme="minorHAnsi" w:hAnsiTheme="minorHAnsi"/>
                <w:i/>
              </w:rPr>
              <w:t xml:space="preserve"> </w:t>
            </w:r>
            <w:r w:rsidR="002B1719">
              <w:rPr>
                <w:rFonts w:asciiTheme="minorHAnsi" w:hAnsiTheme="minorHAnsi"/>
                <w:i/>
              </w:rPr>
              <w:t xml:space="preserve">having </w:t>
            </w:r>
            <w:r w:rsidRPr="0052724C">
              <w:rPr>
                <w:rFonts w:asciiTheme="minorHAnsi" w:hAnsiTheme="minorHAnsi"/>
                <w:i/>
              </w:rPr>
              <w:t xml:space="preserve">local institutional and </w:t>
            </w:r>
            <w:r w:rsidR="00A41B5A" w:rsidRPr="0052724C">
              <w:rPr>
                <w:rFonts w:asciiTheme="minorHAnsi" w:hAnsiTheme="minorHAnsi"/>
                <w:i/>
              </w:rPr>
              <w:t xml:space="preserve">community infrastructure. </w:t>
            </w:r>
            <w:r w:rsidR="00A95D0B" w:rsidRPr="0052724C">
              <w:rPr>
                <w:rFonts w:asciiTheme="minorHAnsi" w:hAnsiTheme="minorHAnsi"/>
                <w:i/>
              </w:rPr>
              <w:t>In 2014, policies for the m</w:t>
            </w:r>
            <w:r w:rsidR="0052724C">
              <w:rPr>
                <w:rFonts w:asciiTheme="minorHAnsi" w:hAnsiTheme="minorHAnsi"/>
                <w:i/>
              </w:rPr>
              <w:t>ana</w:t>
            </w:r>
            <w:r w:rsidR="00A95D0B" w:rsidRPr="0052724C">
              <w:rPr>
                <w:rFonts w:asciiTheme="minorHAnsi" w:hAnsiTheme="minorHAnsi"/>
                <w:i/>
              </w:rPr>
              <w:t>g</w:t>
            </w:r>
            <w:r w:rsidR="0052724C">
              <w:rPr>
                <w:rFonts w:asciiTheme="minorHAnsi" w:hAnsiTheme="minorHAnsi"/>
                <w:i/>
              </w:rPr>
              <w:t>e</w:t>
            </w:r>
            <w:r w:rsidR="00A95D0B" w:rsidRPr="0052724C">
              <w:rPr>
                <w:rFonts w:asciiTheme="minorHAnsi" w:hAnsiTheme="minorHAnsi"/>
                <w:i/>
              </w:rPr>
              <w:t>m</w:t>
            </w:r>
            <w:r w:rsidR="0052724C">
              <w:rPr>
                <w:rFonts w:asciiTheme="minorHAnsi" w:hAnsiTheme="minorHAnsi"/>
                <w:i/>
              </w:rPr>
              <w:t>ent</w:t>
            </w:r>
            <w:r w:rsidR="00A95D0B" w:rsidRPr="0052724C">
              <w:rPr>
                <w:rFonts w:asciiTheme="minorHAnsi" w:hAnsiTheme="minorHAnsi"/>
                <w:i/>
              </w:rPr>
              <w:t xml:space="preserve"> of forests and watersheds were introduced; Law No 37/2014 on Land and Water Conservation and Minister of Forestry regulation no P.17/Menhut-II/2014 on communities’ role in watershed management</w:t>
            </w:r>
            <w:r w:rsidR="002B1719">
              <w:rPr>
                <w:rFonts w:asciiTheme="minorHAnsi" w:hAnsiTheme="minorHAnsi"/>
                <w:i/>
              </w:rPr>
              <w:t xml:space="preserve"> were issued</w:t>
            </w:r>
            <w:r w:rsidR="00A95D0B" w:rsidRPr="0052724C">
              <w:rPr>
                <w:rFonts w:asciiTheme="minorHAnsi" w:hAnsiTheme="minorHAnsi"/>
                <w:i/>
              </w:rPr>
              <w:t>. Through small grant programs supported by UNDP, 148 CBOs, (20 CBOs women only) participated in the m</w:t>
            </w:r>
            <w:r w:rsidR="007A1499">
              <w:rPr>
                <w:rFonts w:asciiTheme="minorHAnsi" w:hAnsiTheme="minorHAnsi"/>
                <w:i/>
              </w:rPr>
              <w:t>ana</w:t>
            </w:r>
            <w:r w:rsidR="00A95D0B" w:rsidRPr="0052724C">
              <w:rPr>
                <w:rFonts w:asciiTheme="minorHAnsi" w:hAnsiTheme="minorHAnsi"/>
                <w:i/>
              </w:rPr>
              <w:t>g</w:t>
            </w:r>
            <w:r w:rsidR="007A1499">
              <w:rPr>
                <w:rFonts w:asciiTheme="minorHAnsi" w:hAnsiTheme="minorHAnsi"/>
                <w:i/>
              </w:rPr>
              <w:t>e</w:t>
            </w:r>
            <w:r w:rsidR="00A95D0B" w:rsidRPr="0052724C">
              <w:rPr>
                <w:rFonts w:asciiTheme="minorHAnsi" w:hAnsiTheme="minorHAnsi"/>
                <w:i/>
              </w:rPr>
              <w:t>m</w:t>
            </w:r>
            <w:r w:rsidR="007A1499">
              <w:rPr>
                <w:rFonts w:asciiTheme="minorHAnsi" w:hAnsiTheme="minorHAnsi"/>
                <w:i/>
              </w:rPr>
              <w:t>en</w:t>
            </w:r>
            <w:r w:rsidR="00A95D0B" w:rsidRPr="0052724C">
              <w:rPr>
                <w:rFonts w:asciiTheme="minorHAnsi" w:hAnsiTheme="minorHAnsi"/>
                <w:i/>
              </w:rPr>
              <w:t xml:space="preserve">t of six key watersheds. In 2014, communities planted 306,830 trees </w:t>
            </w:r>
            <w:r w:rsidR="002B1719">
              <w:rPr>
                <w:rFonts w:asciiTheme="minorHAnsi" w:hAnsiTheme="minorHAnsi"/>
                <w:i/>
              </w:rPr>
              <w:t xml:space="preserve">making a </w:t>
            </w:r>
            <w:r w:rsidR="00A95D0B" w:rsidRPr="0052724C">
              <w:rPr>
                <w:rFonts w:asciiTheme="minorHAnsi" w:hAnsiTheme="minorHAnsi"/>
                <w:i/>
              </w:rPr>
              <w:t>cumulative</w:t>
            </w:r>
            <w:r w:rsidR="002B1719">
              <w:rPr>
                <w:rFonts w:asciiTheme="minorHAnsi" w:hAnsiTheme="minorHAnsi"/>
                <w:i/>
              </w:rPr>
              <w:t xml:space="preserve"> total of </w:t>
            </w:r>
            <w:r w:rsidR="00A95D0B" w:rsidRPr="0052724C">
              <w:rPr>
                <w:rFonts w:asciiTheme="minorHAnsi" w:hAnsiTheme="minorHAnsi"/>
                <w:i/>
              </w:rPr>
              <w:t xml:space="preserve">approx. 2.43m since 2010. Over 5000 beneficiaries strengthened skills and created environmentally friendly sources of income while restoring ecosystem services. </w:t>
            </w:r>
            <w:r w:rsidR="00883368">
              <w:rPr>
                <w:rFonts w:asciiTheme="minorHAnsi" w:hAnsiTheme="minorHAnsi"/>
                <w:i/>
              </w:rPr>
              <w:t xml:space="preserve">These efforts were embedded within broader GOI efforts and programmes to improve watersheds and livelihoods, and technical assistance provided by UNDP has proven valuable and welcomed by the GOI. </w:t>
            </w:r>
            <w:r w:rsidR="00A95D0B" w:rsidRPr="0052724C">
              <w:rPr>
                <w:rFonts w:asciiTheme="minorHAnsi" w:hAnsiTheme="minorHAnsi"/>
                <w:i/>
              </w:rPr>
              <w:t xml:space="preserve">In 2014 the Sustainable Palm Oil national platform was established by the </w:t>
            </w:r>
            <w:r w:rsidR="002B1719">
              <w:rPr>
                <w:rFonts w:asciiTheme="minorHAnsi" w:hAnsiTheme="minorHAnsi"/>
                <w:i/>
              </w:rPr>
              <w:t>M</w:t>
            </w:r>
            <w:r w:rsidR="00A95D0B" w:rsidRPr="0052724C">
              <w:rPr>
                <w:rFonts w:asciiTheme="minorHAnsi" w:hAnsiTheme="minorHAnsi"/>
                <w:i/>
              </w:rPr>
              <w:t>inistry of</w:t>
            </w:r>
            <w:r w:rsidR="0052724C">
              <w:rPr>
                <w:rFonts w:asciiTheme="minorHAnsi" w:hAnsiTheme="minorHAnsi"/>
                <w:i/>
              </w:rPr>
              <w:t xml:space="preserve"> </w:t>
            </w:r>
            <w:r w:rsidR="002B1719">
              <w:rPr>
                <w:rFonts w:asciiTheme="minorHAnsi" w:hAnsiTheme="minorHAnsi"/>
                <w:i/>
              </w:rPr>
              <w:t>A</w:t>
            </w:r>
            <w:r w:rsidR="00A95D0B" w:rsidRPr="0052724C">
              <w:rPr>
                <w:rFonts w:asciiTheme="minorHAnsi" w:hAnsiTheme="minorHAnsi"/>
                <w:i/>
              </w:rPr>
              <w:t xml:space="preserve">griculture and UNDP, demonstrating a huge step forward for coordination. </w:t>
            </w:r>
          </w:p>
          <w:p w14:paraId="3F2C8FE6" w14:textId="77777777" w:rsidR="00A95D0B" w:rsidRPr="0052724C" w:rsidRDefault="00A95D0B" w:rsidP="00E74058">
            <w:pPr>
              <w:widowControl/>
              <w:autoSpaceDE w:val="0"/>
              <w:autoSpaceDN w:val="0"/>
              <w:adjustRightInd w:val="0"/>
              <w:jc w:val="both"/>
              <w:rPr>
                <w:rFonts w:asciiTheme="minorHAnsi" w:hAnsiTheme="minorHAnsi"/>
                <w:i/>
              </w:rPr>
            </w:pPr>
          </w:p>
          <w:p w14:paraId="49E71B75" w14:textId="63E3947B" w:rsidR="00A95D0B" w:rsidRPr="0052724C" w:rsidRDefault="00A95D0B" w:rsidP="00E74058">
            <w:pPr>
              <w:widowControl/>
              <w:autoSpaceDE w:val="0"/>
              <w:autoSpaceDN w:val="0"/>
              <w:adjustRightInd w:val="0"/>
              <w:jc w:val="both"/>
              <w:rPr>
                <w:rFonts w:asciiTheme="minorHAnsi" w:hAnsiTheme="minorHAnsi"/>
                <w:i/>
              </w:rPr>
            </w:pPr>
            <w:r w:rsidRPr="00F03EB8">
              <w:rPr>
                <w:rFonts w:asciiTheme="minorHAnsi" w:hAnsiTheme="minorHAnsi"/>
                <w:b/>
                <w:i/>
              </w:rPr>
              <w:t>Output (b)</w:t>
            </w:r>
            <w:r w:rsidR="00F03EB8" w:rsidRPr="00F03EB8">
              <w:rPr>
                <w:rFonts w:asciiTheme="minorHAnsi" w:hAnsiTheme="minorHAnsi"/>
                <w:b/>
                <w:i/>
              </w:rPr>
              <w:t>:</w:t>
            </w:r>
            <w:r w:rsidR="00F03EB8" w:rsidRPr="007A1499">
              <w:rPr>
                <w:rFonts w:asciiTheme="minorHAnsi" w:hAnsiTheme="minorHAnsi"/>
                <w:b/>
                <w:i/>
              </w:rPr>
              <w:t xml:space="preserve"> Policy frameworks for coastal and marine ecosystems:</w:t>
            </w:r>
            <w:r w:rsidRPr="007A1499">
              <w:rPr>
                <w:rFonts w:asciiTheme="minorHAnsi" w:hAnsiTheme="minorHAnsi"/>
                <w:b/>
                <w:i/>
              </w:rPr>
              <w:t xml:space="preserve"> </w:t>
            </w:r>
            <w:r w:rsidRPr="0052724C">
              <w:rPr>
                <w:rFonts w:asciiTheme="minorHAnsi" w:hAnsiTheme="minorHAnsi"/>
                <w:i/>
              </w:rPr>
              <w:t>In May 2014 a Ministerial Declaration was issued to support the implementation of the regional Strategic Action Programme (SAP) in the Arafura and Timor Seas Ecosystem. Subsequently, the Ministry of Marine Affairs and Fisheries developed the Arafura Sea Fisheries M</w:t>
            </w:r>
            <w:r w:rsidR="0052724C">
              <w:rPr>
                <w:rFonts w:asciiTheme="minorHAnsi" w:hAnsiTheme="minorHAnsi"/>
                <w:i/>
              </w:rPr>
              <w:t>ana</w:t>
            </w:r>
            <w:r w:rsidRPr="0052724C">
              <w:rPr>
                <w:rFonts w:asciiTheme="minorHAnsi" w:hAnsiTheme="minorHAnsi"/>
                <w:i/>
              </w:rPr>
              <w:t>g</w:t>
            </w:r>
            <w:r w:rsidR="0052724C">
              <w:rPr>
                <w:rFonts w:asciiTheme="minorHAnsi" w:hAnsiTheme="minorHAnsi"/>
                <w:i/>
              </w:rPr>
              <w:t>e</w:t>
            </w:r>
            <w:r w:rsidRPr="0052724C">
              <w:rPr>
                <w:rFonts w:asciiTheme="minorHAnsi" w:hAnsiTheme="minorHAnsi"/>
                <w:i/>
              </w:rPr>
              <w:t>m</w:t>
            </w:r>
            <w:r w:rsidR="0052724C">
              <w:rPr>
                <w:rFonts w:asciiTheme="minorHAnsi" w:hAnsiTheme="minorHAnsi"/>
                <w:i/>
              </w:rPr>
              <w:t>en</w:t>
            </w:r>
            <w:r w:rsidRPr="0052724C">
              <w:rPr>
                <w:rFonts w:asciiTheme="minorHAnsi" w:hAnsiTheme="minorHAnsi"/>
                <w:i/>
              </w:rPr>
              <w:t xml:space="preserve">t Plan, using some of the findings of the SAP and National Action Programme (NAP). </w:t>
            </w:r>
            <w:r w:rsidR="00213C92">
              <w:rPr>
                <w:rFonts w:asciiTheme="minorHAnsi" w:hAnsiTheme="minorHAnsi"/>
                <w:i/>
              </w:rPr>
              <w:t>UNDP supported the development of both these policy and planning tools.</w:t>
            </w:r>
          </w:p>
          <w:p w14:paraId="44CA6F58" w14:textId="77777777" w:rsidR="00A95D0B" w:rsidRPr="0052724C" w:rsidRDefault="00A95D0B" w:rsidP="00E74058">
            <w:pPr>
              <w:widowControl/>
              <w:autoSpaceDE w:val="0"/>
              <w:autoSpaceDN w:val="0"/>
              <w:adjustRightInd w:val="0"/>
              <w:jc w:val="both"/>
              <w:rPr>
                <w:rFonts w:asciiTheme="minorHAnsi" w:hAnsiTheme="minorHAnsi"/>
                <w:i/>
              </w:rPr>
            </w:pPr>
          </w:p>
          <w:p w14:paraId="59AB03EC" w14:textId="51EDE314" w:rsidR="008B7708" w:rsidRPr="0052724C" w:rsidRDefault="00A95D0B" w:rsidP="00E74058">
            <w:pPr>
              <w:widowControl/>
              <w:autoSpaceDE w:val="0"/>
              <w:autoSpaceDN w:val="0"/>
              <w:adjustRightInd w:val="0"/>
              <w:jc w:val="both"/>
              <w:rPr>
                <w:rFonts w:asciiTheme="minorHAnsi" w:hAnsiTheme="minorHAnsi"/>
                <w:i/>
              </w:rPr>
            </w:pPr>
            <w:r w:rsidRPr="00F03EB8">
              <w:rPr>
                <w:rFonts w:asciiTheme="minorHAnsi" w:hAnsiTheme="minorHAnsi"/>
                <w:b/>
                <w:i/>
              </w:rPr>
              <w:t>Output (c)</w:t>
            </w:r>
            <w:r w:rsidR="00F03EB8" w:rsidRPr="00F03EB8">
              <w:rPr>
                <w:b/>
                <w:i/>
              </w:rPr>
              <w:t xml:space="preserve"> Strategy and guidelines for environmental protection</w:t>
            </w:r>
            <w:r w:rsidR="00F03EB8">
              <w:rPr>
                <w:b/>
              </w:rPr>
              <w:t>:</w:t>
            </w:r>
            <w:r w:rsidRPr="0052724C">
              <w:rPr>
                <w:rFonts w:asciiTheme="minorHAnsi" w:hAnsiTheme="minorHAnsi"/>
                <w:i/>
              </w:rPr>
              <w:t xml:space="preserve"> In Oct 2014 the updated National Implementation Plan </w:t>
            </w:r>
            <w:r w:rsidR="00F03EB8">
              <w:rPr>
                <w:rFonts w:asciiTheme="minorHAnsi" w:hAnsiTheme="minorHAnsi"/>
                <w:i/>
              </w:rPr>
              <w:t xml:space="preserve">(NIP) </w:t>
            </w:r>
            <w:r w:rsidRPr="0052724C">
              <w:rPr>
                <w:rFonts w:asciiTheme="minorHAnsi" w:hAnsiTheme="minorHAnsi"/>
                <w:i/>
              </w:rPr>
              <w:t xml:space="preserve">was launched </w:t>
            </w:r>
            <w:r w:rsidRPr="0052724C">
              <w:rPr>
                <w:rFonts w:asciiTheme="minorHAnsi" w:hAnsiTheme="minorHAnsi"/>
                <w:i/>
              </w:rPr>
              <w:lastRenderedPageBreak/>
              <w:t>and regulates 9 more Persistent Organic Pollutants (POPs). All 21 POPs of the Stockholm Convention are now covered, showing national commitment to stop the spread of pollutants. The Min</w:t>
            </w:r>
            <w:r w:rsidR="007A1499">
              <w:rPr>
                <w:rFonts w:asciiTheme="minorHAnsi" w:hAnsiTheme="minorHAnsi"/>
                <w:i/>
              </w:rPr>
              <w:t>istry</w:t>
            </w:r>
            <w:r w:rsidRPr="0052724C">
              <w:rPr>
                <w:rFonts w:asciiTheme="minorHAnsi" w:hAnsiTheme="minorHAnsi"/>
                <w:i/>
              </w:rPr>
              <w:t xml:space="preserve"> of Industry partnered with UNDP to implement the NIP especially the phase-out of Polybromodiphenyl Ethers, a highly toxic flame retardant added to plastics. Since the convention ratification in 2009 no effort was made to decrease the use of PBDE</w:t>
            </w:r>
            <w:r w:rsidR="00213C92">
              <w:rPr>
                <w:rFonts w:asciiTheme="minorHAnsi" w:hAnsiTheme="minorHAnsi"/>
                <w:i/>
              </w:rPr>
              <w:t>.</w:t>
            </w:r>
            <w:r w:rsidRPr="0052724C">
              <w:rPr>
                <w:rFonts w:asciiTheme="minorHAnsi" w:hAnsiTheme="minorHAnsi"/>
                <w:i/>
              </w:rPr>
              <w:t xml:space="preserve"> UNDP </w:t>
            </w:r>
            <w:r w:rsidR="00213C92">
              <w:rPr>
                <w:rFonts w:asciiTheme="minorHAnsi" w:hAnsiTheme="minorHAnsi"/>
                <w:i/>
              </w:rPr>
              <w:t xml:space="preserve">started </w:t>
            </w:r>
            <w:r w:rsidRPr="0052724C">
              <w:rPr>
                <w:rFonts w:asciiTheme="minorHAnsi" w:hAnsiTheme="minorHAnsi"/>
                <w:i/>
              </w:rPr>
              <w:t>support</w:t>
            </w:r>
            <w:r w:rsidR="00213C92">
              <w:rPr>
                <w:rFonts w:asciiTheme="minorHAnsi" w:hAnsiTheme="minorHAnsi"/>
                <w:i/>
              </w:rPr>
              <w:t>ing</w:t>
            </w:r>
            <w:r w:rsidRPr="0052724C">
              <w:rPr>
                <w:rFonts w:asciiTheme="minorHAnsi" w:hAnsiTheme="minorHAnsi"/>
                <w:i/>
              </w:rPr>
              <w:t xml:space="preserve"> the first initiative </w:t>
            </w:r>
            <w:r w:rsidR="00213C92">
              <w:rPr>
                <w:rFonts w:asciiTheme="minorHAnsi" w:hAnsiTheme="minorHAnsi"/>
                <w:i/>
              </w:rPr>
              <w:t>through a GEF funded</w:t>
            </w:r>
            <w:r w:rsidRPr="0052724C">
              <w:rPr>
                <w:rFonts w:asciiTheme="minorHAnsi" w:hAnsiTheme="minorHAnsi"/>
                <w:i/>
              </w:rPr>
              <w:t xml:space="preserve"> </w:t>
            </w:r>
            <w:r w:rsidR="00213C92">
              <w:rPr>
                <w:rFonts w:asciiTheme="minorHAnsi" w:hAnsiTheme="minorHAnsi"/>
                <w:i/>
              </w:rPr>
              <w:t>project in 2014</w:t>
            </w:r>
            <w:r w:rsidRPr="0052724C">
              <w:rPr>
                <w:rFonts w:asciiTheme="minorHAnsi" w:hAnsiTheme="minorHAnsi"/>
                <w:i/>
              </w:rPr>
              <w:t>.</w:t>
            </w:r>
            <w:r w:rsidR="002B1719">
              <w:rPr>
                <w:rFonts w:asciiTheme="minorHAnsi" w:hAnsiTheme="minorHAnsi"/>
                <w:i/>
              </w:rPr>
              <w:t xml:space="preserve"> </w:t>
            </w:r>
          </w:p>
          <w:p w14:paraId="10C2547F" w14:textId="77777777" w:rsidR="00FF15F4" w:rsidRPr="0052724C" w:rsidRDefault="00FF15F4" w:rsidP="00E74058">
            <w:pPr>
              <w:widowControl/>
              <w:autoSpaceDE w:val="0"/>
              <w:autoSpaceDN w:val="0"/>
              <w:adjustRightInd w:val="0"/>
              <w:jc w:val="both"/>
              <w:rPr>
                <w:rFonts w:asciiTheme="minorHAnsi" w:hAnsiTheme="minorHAnsi"/>
                <w:i/>
              </w:rPr>
            </w:pPr>
          </w:p>
          <w:p w14:paraId="2869F823" w14:textId="5BFB4E91" w:rsidR="00FF15F4" w:rsidRPr="004B31A6" w:rsidRDefault="00FF15F4" w:rsidP="00E74058">
            <w:pPr>
              <w:widowControl/>
              <w:autoSpaceDE w:val="0"/>
              <w:autoSpaceDN w:val="0"/>
              <w:adjustRightInd w:val="0"/>
              <w:jc w:val="both"/>
              <w:rPr>
                <w:rFonts w:asciiTheme="minorHAnsi" w:hAnsiTheme="minorHAnsi"/>
                <w:i/>
              </w:rPr>
            </w:pPr>
            <w:r w:rsidRPr="007A1499">
              <w:rPr>
                <w:rFonts w:asciiTheme="minorHAnsi" w:hAnsiTheme="minorHAnsi"/>
                <w:b/>
                <w:i/>
              </w:rPr>
              <w:t>Gender:</w:t>
            </w:r>
            <w:r w:rsidRPr="0052724C">
              <w:rPr>
                <w:rFonts w:asciiTheme="minorHAnsi" w:hAnsiTheme="minorHAnsi"/>
                <w:i/>
              </w:rPr>
              <w:t xml:space="preserve"> Traditionally, women in rural communities of Indonesia are expected to remain silent in communal forums. UNDP’s SCBFWM project, which is mostly implemented through community consultations, has been working to change this paradigm and promote the participation of women in community programmes such as watershed management. An analysis conducted in 2014 shows concrete results for women related in particular to increase in household income. In 2013, KWT (women-only CBO) Melati Tribudisukur made a profit of Rp 147m out of which 40 percent was distributed to its 75 members. Other women groups such as KWT Melati Mekarsari saw substantial increases in net revenues (approx Rp 15m.) KWT Dahlia produced around 0.3 ton of preserved banana snacks per week or around 1.2 ton/month, which was valued at about Rp 12m/month - assuming a profit margin of 50 percent the KWT has generated around Rp 6m/month</w:t>
            </w:r>
            <w:r w:rsidR="00F03EB8">
              <w:rPr>
                <w:rFonts w:asciiTheme="minorHAnsi" w:hAnsiTheme="minorHAnsi"/>
                <w:i/>
              </w:rPr>
              <w:t xml:space="preserve"> </w:t>
            </w:r>
            <w:r w:rsidRPr="0052724C">
              <w:rPr>
                <w:rFonts w:asciiTheme="minorHAnsi" w:hAnsiTheme="minorHAnsi"/>
                <w:i/>
              </w:rPr>
              <w:t>(USD 550) with 20 women as its members.</w:t>
            </w:r>
          </w:p>
        </w:tc>
      </w:tr>
    </w:tbl>
    <w:p w14:paraId="2869F825" w14:textId="77777777" w:rsidR="00D9192E" w:rsidRDefault="00D9192E" w:rsidP="00E74058">
      <w:pPr>
        <w:jc w:val="both"/>
      </w:pPr>
      <w:r>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960"/>
        <w:gridCol w:w="5490"/>
      </w:tblGrid>
      <w:tr w:rsidR="00694F35" w:rsidRPr="00DC7354" w14:paraId="60E5D52B" w14:textId="77777777" w:rsidTr="00694F35">
        <w:tc>
          <w:tcPr>
            <w:tcW w:w="3150" w:type="dxa"/>
            <w:tcBorders>
              <w:bottom w:val="single" w:sz="4" w:space="0" w:color="auto"/>
            </w:tcBorders>
            <w:shd w:val="clear" w:color="auto" w:fill="95B3D7" w:themeFill="accent1" w:themeFillTint="99"/>
          </w:tcPr>
          <w:p w14:paraId="72D494AA" w14:textId="2C41CC3C" w:rsidR="00694F35" w:rsidRPr="000823AC" w:rsidRDefault="0047429E" w:rsidP="00E74058">
            <w:pPr>
              <w:pStyle w:val="BodyText2"/>
              <w:jc w:val="both"/>
              <w:rPr>
                <w:rFonts w:asciiTheme="minorHAnsi" w:hAnsiTheme="minorHAnsi"/>
                <w:b/>
              </w:rPr>
            </w:pPr>
            <w:r>
              <w:rPr>
                <w:rFonts w:asciiTheme="minorHAnsi" w:hAnsiTheme="minorHAnsi"/>
                <w:b/>
              </w:rPr>
              <w:lastRenderedPageBreak/>
              <w:t>3</w:t>
            </w:r>
            <w:r w:rsidR="00694F35" w:rsidRPr="009C7BA8">
              <w:rPr>
                <w:rFonts w:asciiTheme="minorHAnsi" w:hAnsiTheme="minorHAnsi"/>
                <w:b/>
                <w:i/>
              </w:rPr>
              <w:t xml:space="preserve">. </w:t>
            </w:r>
            <w:r w:rsidR="009C3E77" w:rsidRPr="009C7BA8">
              <w:rPr>
                <w:rFonts w:asciiTheme="minorHAnsi" w:hAnsiTheme="minorHAnsi"/>
                <w:b/>
                <w:i/>
              </w:rPr>
              <w:t>GoI and key stakeholders (private sector and CBOs) more effective and innovative in promoting, adopting and managing renewable energy (RE) and energy efficiency (EE)</w:t>
            </w:r>
          </w:p>
        </w:tc>
        <w:tc>
          <w:tcPr>
            <w:tcW w:w="1440" w:type="dxa"/>
            <w:tcBorders>
              <w:bottom w:val="single" w:sz="4" w:space="0" w:color="auto"/>
            </w:tcBorders>
            <w:shd w:val="clear" w:color="auto" w:fill="auto"/>
          </w:tcPr>
          <w:p w14:paraId="60583CD6" w14:textId="0A4EBF5C"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9,769,432</w:t>
            </w:r>
          </w:p>
        </w:tc>
        <w:tc>
          <w:tcPr>
            <w:tcW w:w="3960" w:type="dxa"/>
            <w:tcBorders>
              <w:left w:val="single" w:sz="4" w:space="0" w:color="auto"/>
              <w:bottom w:val="single" w:sz="4" w:space="0" w:color="auto"/>
            </w:tcBorders>
          </w:tcPr>
          <w:p w14:paraId="62192DD2" w14:textId="6E571F84" w:rsidR="009C3E77" w:rsidRPr="00F01BDE" w:rsidRDefault="009C3E77" w:rsidP="00E74058">
            <w:pPr>
              <w:pStyle w:val="BodyText2"/>
              <w:numPr>
                <w:ilvl w:val="0"/>
                <w:numId w:val="22"/>
              </w:numPr>
              <w:jc w:val="both"/>
              <w:rPr>
                <w:rFonts w:asciiTheme="minorHAnsi" w:hAnsiTheme="minorHAnsi"/>
                <w:i/>
              </w:rPr>
            </w:pPr>
            <w:r w:rsidRPr="00F01BDE">
              <w:rPr>
                <w:rFonts w:asciiTheme="minorHAnsi" w:hAnsiTheme="minorHAnsi"/>
                <w:i/>
              </w:rPr>
              <w:t xml:space="preserve"> % contribution of RE in national primary energy supply  </w:t>
            </w:r>
          </w:p>
          <w:p w14:paraId="3D15A581" w14:textId="43C0F7F1" w:rsidR="009C3E77" w:rsidRPr="00F01BDE" w:rsidRDefault="009C3E77" w:rsidP="00E74058">
            <w:pPr>
              <w:pStyle w:val="BodyText2"/>
              <w:numPr>
                <w:ilvl w:val="0"/>
                <w:numId w:val="22"/>
              </w:numPr>
              <w:jc w:val="both"/>
              <w:rPr>
                <w:rFonts w:asciiTheme="minorHAnsi" w:hAnsiTheme="minorHAnsi"/>
                <w:i/>
              </w:rPr>
            </w:pPr>
            <w:r w:rsidRPr="00F01BDE">
              <w:rPr>
                <w:rFonts w:asciiTheme="minorHAnsi" w:hAnsiTheme="minorHAnsi"/>
                <w:i/>
              </w:rPr>
              <w:t xml:space="preserve">Level of energy intensity (final energy consumption/USD </w:t>
            </w:r>
            <w:r w:rsidR="004B31A6" w:rsidRPr="00F01BDE">
              <w:rPr>
                <w:rFonts w:asciiTheme="minorHAnsi" w:hAnsiTheme="minorHAnsi"/>
                <w:i/>
              </w:rPr>
              <w:t>millions</w:t>
            </w:r>
            <w:r w:rsidRPr="00F01BDE">
              <w:rPr>
                <w:rFonts w:asciiTheme="minorHAnsi" w:hAnsiTheme="minorHAnsi"/>
                <w:i/>
              </w:rPr>
              <w:t xml:space="preserve"> of GDP)</w:t>
            </w:r>
          </w:p>
          <w:p w14:paraId="2FA04000" w14:textId="128E3E42" w:rsidR="00694F35" w:rsidRPr="00920DBC" w:rsidRDefault="009C3E77" w:rsidP="00E74058">
            <w:pPr>
              <w:pStyle w:val="BodyText2"/>
              <w:numPr>
                <w:ilvl w:val="0"/>
                <w:numId w:val="22"/>
              </w:numPr>
              <w:jc w:val="both"/>
              <w:rPr>
                <w:rFonts w:asciiTheme="minorHAnsi" w:hAnsiTheme="minorHAnsi"/>
                <w:i/>
              </w:rPr>
            </w:pPr>
            <w:r w:rsidRPr="00F01BDE">
              <w:rPr>
                <w:rFonts w:asciiTheme="minorHAnsi" w:hAnsiTheme="minorHAnsi"/>
                <w:i/>
              </w:rPr>
              <w:t>National electrification ratio</w:t>
            </w:r>
          </w:p>
        </w:tc>
        <w:tc>
          <w:tcPr>
            <w:tcW w:w="5490" w:type="dxa"/>
            <w:tcBorders>
              <w:bottom w:val="single" w:sz="4" w:space="0" w:color="auto"/>
            </w:tcBorders>
            <w:shd w:val="clear" w:color="auto" w:fill="auto"/>
          </w:tcPr>
          <w:p w14:paraId="31C40E27" w14:textId="5F4F3B94" w:rsidR="00694F35" w:rsidRPr="00920DBC" w:rsidRDefault="00A63B14" w:rsidP="00E74058">
            <w:pPr>
              <w:pStyle w:val="BodyText2"/>
              <w:numPr>
                <w:ilvl w:val="0"/>
                <w:numId w:val="31"/>
              </w:numPr>
              <w:jc w:val="both"/>
              <w:rPr>
                <w:rFonts w:asciiTheme="minorHAnsi" w:hAnsiTheme="minorHAnsi"/>
                <w:i/>
              </w:rPr>
            </w:pPr>
            <w:r>
              <w:rPr>
                <w:rFonts w:asciiTheme="minorHAnsi" w:hAnsiTheme="minorHAnsi"/>
                <w:i/>
              </w:rPr>
              <w:t xml:space="preserve">Baseline (2011), RE (Renewable energy: geothermal, hydro, biomass, solar, wind) contributes 5.3% of primary energy supply. Current status, no </w:t>
            </w:r>
            <w:r w:rsidR="004B31A6">
              <w:rPr>
                <w:rFonts w:asciiTheme="minorHAnsi" w:hAnsiTheme="minorHAnsi"/>
                <w:i/>
              </w:rPr>
              <w:t>change:</w:t>
            </w:r>
            <w:r>
              <w:rPr>
                <w:rFonts w:asciiTheme="minorHAnsi" w:hAnsiTheme="minorHAnsi"/>
                <w:i/>
              </w:rPr>
              <w:t xml:space="preserve"> RE (hydro, geothermal) contributed 4% to the primary energy supply. The share of renewable energy is lower than the baseline because the total installed capacity of all power generation in 201</w:t>
            </w:r>
            <w:r w:rsidR="00747930">
              <w:rPr>
                <w:rFonts w:asciiTheme="minorHAnsi" w:hAnsiTheme="minorHAnsi"/>
                <w:i/>
              </w:rPr>
              <w:t>4</w:t>
            </w:r>
            <w:r w:rsidR="00213C92">
              <w:rPr>
                <w:rFonts w:asciiTheme="minorHAnsi" w:hAnsiTheme="minorHAnsi"/>
                <w:i/>
              </w:rPr>
              <w:t>, and the percentage share of fossil fue</w:t>
            </w:r>
            <w:r>
              <w:rPr>
                <w:rFonts w:asciiTheme="minorHAnsi" w:hAnsiTheme="minorHAnsi"/>
                <w:i/>
              </w:rPr>
              <w:t>l</w:t>
            </w:r>
            <w:r w:rsidR="00213C92">
              <w:rPr>
                <w:rFonts w:asciiTheme="minorHAnsi" w:hAnsiTheme="minorHAnsi"/>
                <w:i/>
              </w:rPr>
              <w:t xml:space="preserve"> both</w:t>
            </w:r>
            <w:r>
              <w:rPr>
                <w:rFonts w:asciiTheme="minorHAnsi" w:hAnsiTheme="minorHAnsi"/>
                <w:i/>
              </w:rPr>
              <w:t xml:space="preserve"> </w:t>
            </w:r>
            <w:r w:rsidR="00213C92">
              <w:rPr>
                <w:rFonts w:asciiTheme="minorHAnsi" w:hAnsiTheme="minorHAnsi"/>
                <w:i/>
              </w:rPr>
              <w:t>increased.</w:t>
            </w:r>
            <w:r>
              <w:rPr>
                <w:rFonts w:asciiTheme="minorHAnsi" w:hAnsiTheme="minorHAnsi"/>
                <w:i/>
              </w:rPr>
              <w:t xml:space="preserve"> </w:t>
            </w:r>
          </w:p>
          <w:p w14:paraId="495FB2F4" w14:textId="6A90C4F9" w:rsidR="00694F35" w:rsidRPr="00920DBC" w:rsidRDefault="00396F34" w:rsidP="00E74058">
            <w:pPr>
              <w:pStyle w:val="BodyText2"/>
              <w:numPr>
                <w:ilvl w:val="0"/>
                <w:numId w:val="31"/>
              </w:numPr>
              <w:jc w:val="both"/>
              <w:rPr>
                <w:rFonts w:asciiTheme="minorHAnsi" w:hAnsiTheme="minorHAnsi"/>
                <w:i/>
              </w:rPr>
            </w:pPr>
            <w:r>
              <w:rPr>
                <w:rFonts w:asciiTheme="minorHAnsi" w:hAnsiTheme="minorHAnsi"/>
                <w:i/>
              </w:rPr>
              <w:t xml:space="preserve">Baseline, energy intensity (2011) 402 TOE/USD million. Current status (2014) regression, 470 TOE / USD million. </w:t>
            </w:r>
          </w:p>
          <w:p w14:paraId="77610ABC" w14:textId="344B11CA" w:rsidR="00694F35" w:rsidRPr="00920DBC" w:rsidRDefault="00396F34" w:rsidP="00747930">
            <w:pPr>
              <w:pStyle w:val="BodyText2"/>
              <w:numPr>
                <w:ilvl w:val="0"/>
                <w:numId w:val="31"/>
              </w:numPr>
              <w:jc w:val="both"/>
              <w:rPr>
                <w:rFonts w:asciiTheme="minorHAnsi" w:hAnsiTheme="minorHAnsi"/>
                <w:i/>
              </w:rPr>
            </w:pPr>
            <w:r>
              <w:rPr>
                <w:rFonts w:asciiTheme="minorHAnsi" w:hAnsiTheme="minorHAnsi"/>
                <w:i/>
              </w:rPr>
              <w:t>Baseline 2011, national electrification ratio 67.2%; Current status (2014) target reached 8</w:t>
            </w:r>
            <w:r w:rsidR="007040C3">
              <w:rPr>
                <w:rFonts w:asciiTheme="minorHAnsi" w:hAnsiTheme="minorHAnsi"/>
                <w:i/>
              </w:rPr>
              <w:t>1</w:t>
            </w:r>
            <w:r>
              <w:rPr>
                <w:rFonts w:asciiTheme="minorHAnsi" w:hAnsiTheme="minorHAnsi"/>
                <w:i/>
              </w:rPr>
              <w:t xml:space="preserve">% </w:t>
            </w:r>
            <w:r w:rsidR="007040C3">
              <w:rPr>
                <w:rFonts w:asciiTheme="minorHAnsi" w:hAnsiTheme="minorHAnsi"/>
                <w:i/>
              </w:rPr>
              <w:t>national electrification ratio.</w:t>
            </w:r>
          </w:p>
        </w:tc>
      </w:tr>
      <w:tr w:rsidR="00694F35" w:rsidRPr="00DC7354" w14:paraId="0BF688E3" w14:textId="77777777" w:rsidTr="00694F35">
        <w:tc>
          <w:tcPr>
            <w:tcW w:w="14040" w:type="dxa"/>
            <w:gridSpan w:val="4"/>
          </w:tcPr>
          <w:p w14:paraId="6C2FAAA9" w14:textId="0B3DFF02" w:rsidR="00694F35" w:rsidRPr="00837C4B" w:rsidRDefault="00694F35" w:rsidP="00E74058">
            <w:pPr>
              <w:pStyle w:val="BodyText2"/>
              <w:jc w:val="both"/>
              <w:rPr>
                <w:rFonts w:asciiTheme="minorHAnsi" w:hAnsiTheme="minorHAnsi"/>
                <w:b/>
              </w:rPr>
            </w:pPr>
            <w:r w:rsidRPr="00837C4B">
              <w:rPr>
                <w:rFonts w:asciiTheme="minorHAnsi" w:hAnsiTheme="minorHAnsi"/>
                <w:b/>
              </w:rPr>
              <w:t>UNDP Contribution:</w:t>
            </w:r>
          </w:p>
          <w:p w14:paraId="1D06264C" w14:textId="77777777" w:rsidR="00694F35" w:rsidRDefault="00694F35" w:rsidP="00E74058">
            <w:pPr>
              <w:pStyle w:val="BodyText2"/>
              <w:jc w:val="both"/>
              <w:rPr>
                <w:rFonts w:asciiTheme="minorHAnsi" w:hAnsiTheme="minorHAnsi"/>
              </w:rPr>
            </w:pPr>
          </w:p>
          <w:p w14:paraId="0FF804DC" w14:textId="77777777" w:rsidR="00694F35" w:rsidRPr="004B31A6" w:rsidRDefault="00694F35" w:rsidP="00E74058">
            <w:pPr>
              <w:pStyle w:val="BodyText2"/>
              <w:jc w:val="both"/>
              <w:rPr>
                <w:rFonts w:asciiTheme="minorHAnsi" w:hAnsiTheme="minorHAnsi"/>
                <w:sz w:val="24"/>
              </w:rPr>
            </w:pPr>
            <w:r w:rsidRPr="004B31A6">
              <w:rPr>
                <w:rFonts w:asciiTheme="minorHAnsi" w:hAnsiTheme="minorHAnsi"/>
                <w:sz w:val="24"/>
                <w:u w:val="single"/>
              </w:rPr>
              <w:t>CP Outputs</w:t>
            </w:r>
            <w:r w:rsidRPr="004B31A6">
              <w:rPr>
                <w:rFonts w:asciiTheme="minorHAnsi" w:hAnsiTheme="minorHAnsi"/>
                <w:sz w:val="24"/>
              </w:rPr>
              <w:t>:</w:t>
            </w:r>
          </w:p>
          <w:p w14:paraId="38DF17D5" w14:textId="4992B235" w:rsidR="00694F35" w:rsidRPr="004B31A6" w:rsidRDefault="00694F35" w:rsidP="00E74058">
            <w:pPr>
              <w:pStyle w:val="BodyText2"/>
              <w:jc w:val="both"/>
              <w:rPr>
                <w:rFonts w:asciiTheme="minorHAnsi" w:hAnsiTheme="minorHAnsi"/>
                <w:i/>
                <w:sz w:val="24"/>
              </w:rPr>
            </w:pPr>
            <w:r w:rsidRPr="004B31A6">
              <w:rPr>
                <w:rFonts w:asciiTheme="minorHAnsi" w:hAnsiTheme="minorHAnsi"/>
                <w:i/>
                <w:sz w:val="24"/>
              </w:rPr>
              <w:t>The UNDP CP identified t</w:t>
            </w:r>
            <w:r w:rsidR="004B31A6">
              <w:rPr>
                <w:rFonts w:asciiTheme="minorHAnsi" w:hAnsiTheme="minorHAnsi"/>
                <w:i/>
                <w:sz w:val="24"/>
              </w:rPr>
              <w:t>wo</w:t>
            </w:r>
            <w:r w:rsidRPr="004B31A6">
              <w:rPr>
                <w:rFonts w:asciiTheme="minorHAnsi" w:hAnsiTheme="minorHAnsi"/>
                <w:i/>
                <w:sz w:val="24"/>
              </w:rPr>
              <w:t xml:space="preserve"> major outputs to support the Government in achieving this outcome: (a) </w:t>
            </w:r>
            <w:r w:rsidR="009C3E77" w:rsidRPr="004B31A6">
              <w:rPr>
                <w:rFonts w:asciiTheme="minorHAnsi" w:hAnsiTheme="minorHAnsi"/>
                <w:i/>
                <w:sz w:val="24"/>
              </w:rPr>
              <w:t>National energy policies and guideline developed and integrated into sub-national development plan</w:t>
            </w:r>
            <w:r w:rsidRPr="004B31A6">
              <w:rPr>
                <w:rFonts w:asciiTheme="minorHAnsi" w:hAnsiTheme="minorHAnsi"/>
                <w:i/>
                <w:sz w:val="24"/>
              </w:rPr>
              <w:t xml:space="preserve">; </w:t>
            </w:r>
            <w:r w:rsidR="009C7BA8" w:rsidRPr="004B31A6">
              <w:rPr>
                <w:rFonts w:asciiTheme="minorHAnsi" w:hAnsiTheme="minorHAnsi"/>
                <w:i/>
                <w:sz w:val="24"/>
              </w:rPr>
              <w:t xml:space="preserve">and </w:t>
            </w:r>
            <w:r w:rsidRPr="004B31A6">
              <w:rPr>
                <w:rFonts w:asciiTheme="minorHAnsi" w:hAnsiTheme="minorHAnsi"/>
                <w:i/>
                <w:sz w:val="24"/>
              </w:rPr>
              <w:t xml:space="preserve">(b) </w:t>
            </w:r>
            <w:r w:rsidR="009C3E77" w:rsidRPr="004B31A6">
              <w:rPr>
                <w:rFonts w:asciiTheme="minorHAnsi" w:hAnsiTheme="minorHAnsi"/>
                <w:i/>
                <w:sz w:val="24"/>
              </w:rPr>
              <w:t>Sub-national authorities and key partners are able to implement programmes, mobilize resources and develop public-private partnership for RE/EE, which will contribute to the reduction of national greenhouse gas emission</w:t>
            </w:r>
            <w:r w:rsidR="009C7BA8" w:rsidRPr="004B31A6">
              <w:rPr>
                <w:rFonts w:asciiTheme="minorHAnsi" w:hAnsiTheme="minorHAnsi"/>
                <w:i/>
                <w:sz w:val="24"/>
              </w:rPr>
              <w:t>.</w:t>
            </w:r>
          </w:p>
          <w:p w14:paraId="61A20AC9" w14:textId="77777777" w:rsidR="00694F35" w:rsidRPr="004B31A6" w:rsidRDefault="00694F35" w:rsidP="00E74058">
            <w:pPr>
              <w:pStyle w:val="BodyText2"/>
              <w:jc w:val="both"/>
              <w:rPr>
                <w:rFonts w:asciiTheme="minorHAnsi" w:hAnsiTheme="minorHAnsi"/>
                <w:sz w:val="24"/>
              </w:rPr>
            </w:pPr>
          </w:p>
          <w:p w14:paraId="2084BB01" w14:textId="77777777" w:rsidR="00694F35" w:rsidRPr="004B31A6" w:rsidRDefault="00694F35" w:rsidP="00E74058">
            <w:pPr>
              <w:pStyle w:val="BodyText2"/>
              <w:jc w:val="both"/>
              <w:rPr>
                <w:rFonts w:asciiTheme="minorHAnsi" w:hAnsiTheme="minorHAnsi"/>
                <w:sz w:val="24"/>
              </w:rPr>
            </w:pPr>
            <w:r w:rsidRPr="004B31A6">
              <w:rPr>
                <w:rFonts w:asciiTheme="minorHAnsi" w:hAnsiTheme="minorHAnsi"/>
                <w:sz w:val="24"/>
                <w:u w:val="single"/>
              </w:rPr>
              <w:t>Progress and Achievements</w:t>
            </w:r>
            <w:r w:rsidRPr="004B31A6">
              <w:rPr>
                <w:rFonts w:asciiTheme="minorHAnsi" w:hAnsiTheme="minorHAnsi"/>
                <w:sz w:val="24"/>
              </w:rPr>
              <w:t>:</w:t>
            </w:r>
          </w:p>
          <w:p w14:paraId="7414B44D" w14:textId="1C0CA1FC" w:rsidR="00C43E81" w:rsidRDefault="00C43E81" w:rsidP="00E74058">
            <w:pPr>
              <w:pStyle w:val="BodyText2"/>
              <w:tabs>
                <w:tab w:val="left" w:pos="780"/>
              </w:tabs>
              <w:jc w:val="both"/>
              <w:rPr>
                <w:rFonts w:asciiTheme="minorHAnsi" w:hAnsiTheme="minorHAnsi"/>
              </w:rPr>
            </w:pPr>
          </w:p>
          <w:p w14:paraId="457ECDA7" w14:textId="7759AF4C" w:rsidR="00747930" w:rsidRDefault="00C43E81" w:rsidP="00E74058">
            <w:pPr>
              <w:widowControl/>
              <w:autoSpaceDE w:val="0"/>
              <w:autoSpaceDN w:val="0"/>
              <w:adjustRightInd w:val="0"/>
              <w:jc w:val="both"/>
              <w:rPr>
                <w:rFonts w:asciiTheme="minorHAnsi" w:hAnsiTheme="minorHAnsi"/>
                <w:i/>
              </w:rPr>
            </w:pPr>
            <w:r w:rsidRPr="004B31A6">
              <w:rPr>
                <w:rFonts w:asciiTheme="minorHAnsi" w:hAnsiTheme="minorHAnsi"/>
                <w:b/>
                <w:i/>
              </w:rPr>
              <w:t>Output (a): energy policies and guidelines:</w:t>
            </w:r>
            <w:r w:rsidRPr="004B31A6">
              <w:rPr>
                <w:rFonts w:asciiTheme="minorHAnsi" w:hAnsiTheme="minorHAnsi"/>
                <w:i/>
              </w:rPr>
              <w:t xml:space="preserve"> </w:t>
            </w:r>
            <w:r w:rsidR="00AC7477" w:rsidRPr="004B31A6">
              <w:rPr>
                <w:rFonts w:asciiTheme="minorHAnsi" w:hAnsiTheme="minorHAnsi"/>
                <w:i/>
              </w:rPr>
              <w:t xml:space="preserve">UNDP works to support GoI to increase the share of RE in the national energy supply. Our work supports technology demonstration and market development to ensure commercial use and scale up of RE. </w:t>
            </w:r>
            <w:r w:rsidR="00747930">
              <w:rPr>
                <w:rFonts w:asciiTheme="minorHAnsi" w:hAnsiTheme="minorHAnsi"/>
                <w:i/>
              </w:rPr>
              <w:t>Over the course of the CP cycle UNDP has partnered with the GOI on a number of RE pilot projects which have generated important lessons learnt to inform the development of new policies and guidelines. The CP Mid-Term Evaluation noted:</w:t>
            </w:r>
          </w:p>
          <w:p w14:paraId="46A6E222" w14:textId="1FF88DDD" w:rsidR="00747930" w:rsidRDefault="00747930" w:rsidP="00747930">
            <w:pPr>
              <w:widowControl/>
              <w:autoSpaceDE w:val="0"/>
              <w:autoSpaceDN w:val="0"/>
              <w:adjustRightInd w:val="0"/>
              <w:jc w:val="both"/>
              <w:rPr>
                <w:rFonts w:asciiTheme="minorHAnsi" w:hAnsiTheme="minorHAnsi"/>
                <w:i/>
              </w:rPr>
            </w:pPr>
            <w:r>
              <w:rPr>
                <w:rFonts w:asciiTheme="minorHAnsi" w:hAnsiTheme="minorHAnsi"/>
                <w:i/>
              </w:rPr>
              <w:t>“</w:t>
            </w:r>
            <w:r w:rsidRPr="00747930">
              <w:rPr>
                <w:rFonts w:asciiTheme="minorHAnsi" w:hAnsiTheme="minorHAnsi"/>
                <w:i/>
              </w:rPr>
              <w:t>This is a vibrant and growing development effort that is operating somewhat outside of UNDP’s more usual paradigm of working with the national government to develop policies and tools. It is approaching its task from the bottom up, persuading government, the private sector and we hope communities that energy alternatives are viable. This links very well with the work under the poverty and MDGs Outcome on corporate social responsibility and public private partnerships. What we think UNDP has achieved here is to raise awareness of three specific technologies/methodologies and to get a range of companies involved in developing, trialling and starting to  use or to market wind generators, micro-turbines and schemes for eco-labelling of electrical products. We think that his has been very effective and a very useful contribution to Indonesia’s technological portfolio in energy efficiency and renewable energy.</w:t>
            </w:r>
          </w:p>
          <w:p w14:paraId="33688650" w14:textId="7C860BC5" w:rsidR="00747930" w:rsidRDefault="00747930" w:rsidP="00E74058">
            <w:pPr>
              <w:widowControl/>
              <w:autoSpaceDE w:val="0"/>
              <w:autoSpaceDN w:val="0"/>
              <w:adjustRightInd w:val="0"/>
              <w:jc w:val="both"/>
              <w:rPr>
                <w:rFonts w:asciiTheme="minorHAnsi" w:hAnsiTheme="minorHAnsi"/>
                <w:i/>
              </w:rPr>
            </w:pPr>
            <w:r w:rsidRPr="00747930">
              <w:rPr>
                <w:rFonts w:asciiTheme="minorHAnsi" w:hAnsiTheme="minorHAnsi"/>
                <w:i/>
              </w:rPr>
              <w:lastRenderedPageBreak/>
              <w:t xml:space="preserve">UNDP’s main contributions to date have been through a range of practical technologically oriented projects that have been useful in linking specific technologies into the national effort, particularly in bringing stakeholders together, undertaking pilot projects, raising awareness and developing markets. We suggest that their contribution to Indonesia’s policy framework nationally has been of a practical nature and in programme provinces mostly linked to work on greenhouse gas reduction plans. This has been an effective contribution.  Further work by UNDP </w:t>
            </w:r>
            <w:r w:rsidR="00E278CA">
              <w:rPr>
                <w:rFonts w:asciiTheme="minorHAnsi" w:hAnsiTheme="minorHAnsi"/>
                <w:i/>
              </w:rPr>
              <w:t>in</w:t>
            </w:r>
            <w:r w:rsidRPr="00747930">
              <w:rPr>
                <w:rFonts w:asciiTheme="minorHAnsi" w:hAnsiTheme="minorHAnsi"/>
                <w:i/>
              </w:rPr>
              <w:t xml:space="preserve"> 2015 will involve encouraging fiscal incentives for renewable energy and energy efficiency and include fostering revolving fund and rebate schemes.</w:t>
            </w:r>
            <w:r>
              <w:rPr>
                <w:rFonts w:asciiTheme="minorHAnsi" w:hAnsiTheme="minorHAnsi"/>
                <w:i/>
              </w:rPr>
              <w:t>”</w:t>
            </w:r>
          </w:p>
          <w:p w14:paraId="4DAC4E59" w14:textId="3D7E7004" w:rsidR="00747930" w:rsidRDefault="00747930" w:rsidP="00E74058">
            <w:pPr>
              <w:widowControl/>
              <w:autoSpaceDE w:val="0"/>
              <w:autoSpaceDN w:val="0"/>
              <w:adjustRightInd w:val="0"/>
              <w:jc w:val="both"/>
              <w:rPr>
                <w:rFonts w:asciiTheme="minorHAnsi" w:hAnsiTheme="minorHAnsi"/>
                <w:i/>
              </w:rPr>
            </w:pPr>
            <w:r>
              <w:rPr>
                <w:rFonts w:asciiTheme="minorHAnsi" w:hAnsiTheme="minorHAnsi"/>
                <w:i/>
              </w:rPr>
              <w:t xml:space="preserve">UNDP has helped the GOI to develop a draft Feed-in-Tariff for Solar and Wind energy, and has also supported the Government to design a </w:t>
            </w:r>
            <w:r w:rsidR="00E278CA">
              <w:rPr>
                <w:rFonts w:asciiTheme="minorHAnsi" w:hAnsiTheme="minorHAnsi"/>
                <w:i/>
              </w:rPr>
              <w:t xml:space="preserve">RE </w:t>
            </w:r>
            <w:r>
              <w:rPr>
                <w:rFonts w:asciiTheme="minorHAnsi" w:hAnsiTheme="minorHAnsi"/>
                <w:i/>
              </w:rPr>
              <w:t>revolving fund.</w:t>
            </w:r>
          </w:p>
          <w:p w14:paraId="1BFAB1E4" w14:textId="486F20C6" w:rsidR="00D879D4" w:rsidRDefault="00D879D4" w:rsidP="00E74058">
            <w:pPr>
              <w:widowControl/>
              <w:autoSpaceDE w:val="0"/>
              <w:autoSpaceDN w:val="0"/>
              <w:adjustRightInd w:val="0"/>
              <w:jc w:val="both"/>
              <w:rPr>
                <w:rFonts w:asciiTheme="minorHAnsi" w:hAnsiTheme="minorHAnsi"/>
                <w:i/>
              </w:rPr>
            </w:pPr>
            <w:r w:rsidRPr="00D879D4">
              <w:rPr>
                <w:rFonts w:asciiTheme="minorHAnsi" w:hAnsiTheme="minorHAnsi"/>
                <w:i/>
              </w:rPr>
              <w:t>Under its BRESL project UNDP aided the Min. of Energy and Nat Resources to issue a Ministerial Decree No.18/2014 on Energy Standards &amp; Labelling for CFL to promote domestic manufacturing. Similar decrees for AC and Fridge remain outstanding. The Nat Procurement Agency officially included energy efficient CFL, AC and Fridge on the green procurement list. This should stimulate the domestic market (esp.</w:t>
            </w:r>
            <w:r>
              <w:rPr>
                <w:rFonts w:asciiTheme="minorHAnsi" w:hAnsiTheme="minorHAnsi"/>
                <w:i/>
              </w:rPr>
              <w:t xml:space="preserve"> public sector investments)</w:t>
            </w:r>
            <w:r w:rsidRPr="00D879D4">
              <w:rPr>
                <w:rFonts w:asciiTheme="minorHAnsi" w:hAnsiTheme="minorHAnsi"/>
                <w:i/>
              </w:rPr>
              <w:t>.</w:t>
            </w:r>
          </w:p>
          <w:p w14:paraId="4BF56B47" w14:textId="77777777" w:rsidR="00747930" w:rsidRDefault="00747930" w:rsidP="00E74058">
            <w:pPr>
              <w:widowControl/>
              <w:autoSpaceDE w:val="0"/>
              <w:autoSpaceDN w:val="0"/>
              <w:adjustRightInd w:val="0"/>
              <w:jc w:val="both"/>
              <w:rPr>
                <w:rFonts w:asciiTheme="minorHAnsi" w:hAnsiTheme="minorHAnsi"/>
                <w:i/>
              </w:rPr>
            </w:pPr>
          </w:p>
          <w:p w14:paraId="6DA724EE" w14:textId="77777777" w:rsidR="00AC7477" w:rsidRPr="004B31A6" w:rsidRDefault="00AC7477" w:rsidP="00E74058">
            <w:pPr>
              <w:widowControl/>
              <w:autoSpaceDE w:val="0"/>
              <w:autoSpaceDN w:val="0"/>
              <w:adjustRightInd w:val="0"/>
              <w:jc w:val="both"/>
              <w:rPr>
                <w:rFonts w:asciiTheme="minorHAnsi" w:hAnsiTheme="minorHAnsi"/>
                <w:i/>
              </w:rPr>
            </w:pPr>
          </w:p>
          <w:p w14:paraId="370FC248" w14:textId="0320ED52" w:rsidR="00747930" w:rsidRPr="004B31A6" w:rsidRDefault="00AC7477" w:rsidP="00747930">
            <w:pPr>
              <w:widowControl/>
              <w:autoSpaceDE w:val="0"/>
              <w:autoSpaceDN w:val="0"/>
              <w:adjustRightInd w:val="0"/>
              <w:jc w:val="both"/>
              <w:rPr>
                <w:rFonts w:asciiTheme="minorHAnsi" w:hAnsiTheme="minorHAnsi"/>
                <w:i/>
              </w:rPr>
            </w:pPr>
            <w:r w:rsidRPr="004B31A6">
              <w:rPr>
                <w:rFonts w:asciiTheme="minorHAnsi" w:hAnsiTheme="minorHAnsi"/>
                <w:b/>
                <w:i/>
              </w:rPr>
              <w:t xml:space="preserve">Output (b): </w:t>
            </w:r>
            <w:r w:rsidR="00EA76E3" w:rsidRPr="004B31A6">
              <w:rPr>
                <w:rFonts w:asciiTheme="minorHAnsi" w:hAnsiTheme="minorHAnsi"/>
                <w:b/>
                <w:i/>
              </w:rPr>
              <w:t>Public-private partnerships for renewable energy and energy efficiency.</w:t>
            </w:r>
            <w:r w:rsidR="00EA76E3" w:rsidRPr="004B31A6">
              <w:rPr>
                <w:rFonts w:asciiTheme="minorHAnsi" w:hAnsiTheme="minorHAnsi"/>
                <w:i/>
              </w:rPr>
              <w:t xml:space="preserve"> </w:t>
            </w:r>
            <w:r w:rsidR="00747930" w:rsidRPr="004B31A6">
              <w:rPr>
                <w:rFonts w:asciiTheme="minorHAnsi" w:hAnsiTheme="minorHAnsi"/>
                <w:i/>
              </w:rPr>
              <w:t xml:space="preserve">UNDP completed pre-feasibility studies in 6 potential sites for major on-grid wind power projects to facilitate private investments. The project provided technical assistance to the National Utility Company to issue a power purchasing agreement for a large 50 MW wind power plant to be the first example of a major wind power investment in Indonesia. UNDP continued work with a State financing company to establish a financing mechanism for wind power developers offering attractive loans of up to USD 3 million. </w:t>
            </w:r>
            <w:r w:rsidR="00E278CA">
              <w:rPr>
                <w:rFonts w:asciiTheme="minorHAnsi" w:hAnsiTheme="minorHAnsi"/>
                <w:i/>
              </w:rPr>
              <w:t xml:space="preserve">The </w:t>
            </w:r>
            <w:r w:rsidR="00747930" w:rsidRPr="004B31A6">
              <w:rPr>
                <w:rFonts w:asciiTheme="minorHAnsi" w:hAnsiTheme="minorHAnsi"/>
                <w:i/>
              </w:rPr>
              <w:t>UNDP WHyPGen project facilitated the first Indonesia Wind Power Association involving 25 wind power project developers, technology providers and investors. UNDP's MCTAP</w:t>
            </w:r>
            <w:r w:rsidR="00747930">
              <w:rPr>
                <w:rFonts w:asciiTheme="minorHAnsi" w:hAnsiTheme="minorHAnsi"/>
                <w:i/>
              </w:rPr>
              <w:t xml:space="preserve"> project piloted 6 Microturbine c</w:t>
            </w:r>
            <w:r w:rsidR="00747930" w:rsidRPr="004B31A6">
              <w:rPr>
                <w:rFonts w:asciiTheme="minorHAnsi" w:hAnsiTheme="minorHAnsi"/>
                <w:i/>
              </w:rPr>
              <w:t xml:space="preserve">ogeneration technologies in industrial and commercial sectors with total installed capacity of 220 </w:t>
            </w:r>
            <w:r w:rsidR="00747930">
              <w:rPr>
                <w:rFonts w:asciiTheme="minorHAnsi" w:hAnsiTheme="minorHAnsi"/>
                <w:i/>
              </w:rPr>
              <w:t>K</w:t>
            </w:r>
            <w:r w:rsidR="00747930" w:rsidRPr="004B31A6">
              <w:rPr>
                <w:rFonts w:asciiTheme="minorHAnsi" w:hAnsiTheme="minorHAnsi"/>
                <w:i/>
              </w:rPr>
              <w:t>W</w:t>
            </w:r>
            <w:r w:rsidR="00747930">
              <w:rPr>
                <w:rFonts w:asciiTheme="minorHAnsi" w:hAnsiTheme="minorHAnsi"/>
                <w:i/>
              </w:rPr>
              <w:t xml:space="preserve"> </w:t>
            </w:r>
            <w:r w:rsidR="00747930" w:rsidRPr="004B31A6">
              <w:rPr>
                <w:rFonts w:asciiTheme="minorHAnsi" w:hAnsiTheme="minorHAnsi"/>
                <w:i/>
              </w:rPr>
              <w:t>electric</w:t>
            </w:r>
            <w:r w:rsidR="00747930">
              <w:rPr>
                <w:rFonts w:asciiTheme="minorHAnsi" w:hAnsiTheme="minorHAnsi"/>
                <w:i/>
              </w:rPr>
              <w:t>i</w:t>
            </w:r>
            <w:r w:rsidR="00747930" w:rsidRPr="004B31A6">
              <w:rPr>
                <w:rFonts w:asciiTheme="minorHAnsi" w:hAnsiTheme="minorHAnsi"/>
                <w:i/>
              </w:rPr>
              <w:t xml:space="preserve">ty and 440 </w:t>
            </w:r>
            <w:r w:rsidR="00747930">
              <w:rPr>
                <w:rFonts w:asciiTheme="minorHAnsi" w:hAnsiTheme="minorHAnsi"/>
                <w:i/>
              </w:rPr>
              <w:t>K</w:t>
            </w:r>
            <w:r w:rsidR="00747930" w:rsidRPr="004B31A6">
              <w:rPr>
                <w:rFonts w:asciiTheme="minorHAnsi" w:hAnsiTheme="minorHAnsi"/>
                <w:i/>
              </w:rPr>
              <w:t>W</w:t>
            </w:r>
            <w:r w:rsidR="00747930">
              <w:rPr>
                <w:rFonts w:asciiTheme="minorHAnsi" w:hAnsiTheme="minorHAnsi"/>
                <w:i/>
              </w:rPr>
              <w:t xml:space="preserve"> </w:t>
            </w:r>
            <w:r w:rsidR="00747930" w:rsidRPr="004B31A6">
              <w:rPr>
                <w:rFonts w:asciiTheme="minorHAnsi" w:hAnsiTheme="minorHAnsi"/>
                <w:i/>
              </w:rPr>
              <w:t xml:space="preserve">thermal. </w:t>
            </w:r>
          </w:p>
          <w:p w14:paraId="2BAEFD2A" w14:textId="10056EF7" w:rsidR="00C43E81" w:rsidRPr="004B31A6" w:rsidRDefault="00AC7477" w:rsidP="00E74058">
            <w:pPr>
              <w:widowControl/>
              <w:autoSpaceDE w:val="0"/>
              <w:autoSpaceDN w:val="0"/>
              <w:adjustRightInd w:val="0"/>
              <w:jc w:val="both"/>
              <w:rPr>
                <w:rFonts w:asciiTheme="minorHAnsi" w:hAnsiTheme="minorHAnsi"/>
                <w:i/>
              </w:rPr>
            </w:pPr>
            <w:r w:rsidRPr="004B31A6">
              <w:rPr>
                <w:rFonts w:asciiTheme="minorHAnsi" w:hAnsiTheme="minorHAnsi"/>
                <w:i/>
              </w:rPr>
              <w:t>UNDP’s Biochar project introduced biomass-based energy using waste from agricultural products. Biochar combined with clean stoves provided access to cleaner energy to poor communities by eliminating hazardous smoke from traditional firewood. The project also helped increase household income from better soil productivity and resistance to extreme climate. As part of its 2014 scale-up effort, UNDP partnered with the Indigenous People's Alliance of Indonesia to pilot biochar technology from 20 villages in 4 districts to 60 villages in</w:t>
            </w:r>
            <w:r w:rsidR="007A1499">
              <w:rPr>
                <w:rFonts w:asciiTheme="minorHAnsi" w:hAnsiTheme="minorHAnsi"/>
                <w:i/>
              </w:rPr>
              <w:t xml:space="preserve"> </w:t>
            </w:r>
            <w:r w:rsidRPr="004B31A6">
              <w:rPr>
                <w:rFonts w:asciiTheme="minorHAnsi" w:hAnsiTheme="minorHAnsi"/>
                <w:i/>
              </w:rPr>
              <w:t>10 districts, benefiting around 6000 households.</w:t>
            </w:r>
          </w:p>
          <w:p w14:paraId="5955F0F2" w14:textId="77777777" w:rsidR="00C43E81" w:rsidRPr="004B31A6" w:rsidRDefault="00C43E81" w:rsidP="00E74058">
            <w:pPr>
              <w:pStyle w:val="BodyText2"/>
              <w:jc w:val="both"/>
              <w:rPr>
                <w:rFonts w:asciiTheme="minorHAnsi" w:hAnsiTheme="minorHAnsi"/>
                <w:i/>
              </w:rPr>
            </w:pPr>
          </w:p>
          <w:p w14:paraId="09051126" w14:textId="64221C39" w:rsidR="00AC7477" w:rsidRPr="004B31A6" w:rsidRDefault="00AC7477" w:rsidP="00E74058">
            <w:pPr>
              <w:widowControl/>
              <w:autoSpaceDE w:val="0"/>
              <w:autoSpaceDN w:val="0"/>
              <w:adjustRightInd w:val="0"/>
              <w:jc w:val="both"/>
              <w:rPr>
                <w:rFonts w:asciiTheme="minorHAnsi" w:hAnsiTheme="minorHAnsi"/>
                <w:i/>
              </w:rPr>
            </w:pPr>
            <w:r w:rsidRPr="004B31A6">
              <w:rPr>
                <w:rFonts w:asciiTheme="minorHAnsi" w:hAnsiTheme="minorHAnsi"/>
                <w:b/>
                <w:i/>
              </w:rPr>
              <w:t>Gender:</w:t>
            </w:r>
            <w:r w:rsidRPr="004B31A6">
              <w:rPr>
                <w:rFonts w:asciiTheme="minorHAnsi" w:hAnsiTheme="minorHAnsi"/>
                <w:i/>
              </w:rPr>
              <w:t xml:space="preserve"> UNDP’s RE projects identified women’s low access to energy and low participation in renewable energy capacity building initiatives as a high priority (e.g. female staff in manufacturing companies are often assigned to admin work). In order to increase gender equality and women’s empowerment, all sustainable energy projects imposed a quota of a minimum of 30% of women participation in all training </w:t>
            </w:r>
            <w:r w:rsidRPr="004B31A6">
              <w:rPr>
                <w:rFonts w:asciiTheme="minorHAnsi" w:hAnsiTheme="minorHAnsi"/>
                <w:i/>
              </w:rPr>
              <w:lastRenderedPageBreak/>
              <w:t xml:space="preserve">programmes. The quota was met and helped increase the # of women participating in technical capacity building activities. The use of a quota was considered a strategic approach to gender equality in a commonly male dominated area and serves as an example to other </w:t>
            </w:r>
            <w:r w:rsidR="004B31A6">
              <w:rPr>
                <w:rFonts w:asciiTheme="minorHAnsi" w:hAnsiTheme="minorHAnsi"/>
                <w:i/>
              </w:rPr>
              <w:t xml:space="preserve">government </w:t>
            </w:r>
            <w:r w:rsidRPr="004B31A6">
              <w:rPr>
                <w:rFonts w:asciiTheme="minorHAnsi" w:hAnsiTheme="minorHAnsi"/>
                <w:i/>
              </w:rPr>
              <w:t>agencies to apply similar approach. Formal requests were also made to partner institutions to send female staff to technical meetings and training programmes. UNDP’s biochar and other RE projects include gender mainstreaming to improve women’s access to</w:t>
            </w:r>
            <w:r w:rsidR="004B31A6">
              <w:rPr>
                <w:rFonts w:asciiTheme="minorHAnsi" w:hAnsiTheme="minorHAnsi"/>
                <w:i/>
              </w:rPr>
              <w:t xml:space="preserve"> </w:t>
            </w:r>
            <w:r w:rsidRPr="004B31A6">
              <w:rPr>
                <w:rFonts w:asciiTheme="minorHAnsi" w:hAnsiTheme="minorHAnsi"/>
                <w:i/>
              </w:rPr>
              <w:t>energy and reduce the burden on women who gather firewood for cooking.</w:t>
            </w:r>
          </w:p>
          <w:p w14:paraId="666A02B3" w14:textId="77777777" w:rsidR="00C43E81" w:rsidRPr="00DC7354" w:rsidRDefault="00C43E81" w:rsidP="00E74058">
            <w:pPr>
              <w:pStyle w:val="BodyText2"/>
              <w:ind w:left="360"/>
              <w:jc w:val="both"/>
              <w:rPr>
                <w:rFonts w:asciiTheme="minorHAnsi" w:hAnsiTheme="minorHAnsi"/>
              </w:rPr>
            </w:pPr>
          </w:p>
        </w:tc>
      </w:tr>
      <w:tr w:rsidR="00694F35" w:rsidRPr="00DC7354" w14:paraId="733AEE8C" w14:textId="77777777" w:rsidTr="00694F35">
        <w:tc>
          <w:tcPr>
            <w:tcW w:w="3150" w:type="dxa"/>
            <w:tcBorders>
              <w:bottom w:val="single" w:sz="4" w:space="0" w:color="auto"/>
            </w:tcBorders>
            <w:shd w:val="clear" w:color="auto" w:fill="95B3D7" w:themeFill="accent1" w:themeFillTint="99"/>
          </w:tcPr>
          <w:p w14:paraId="0BEE299C" w14:textId="24B2C31B" w:rsidR="00694F35" w:rsidRPr="000823AC" w:rsidRDefault="0047429E" w:rsidP="00E74058">
            <w:pPr>
              <w:pStyle w:val="BodyText2"/>
              <w:jc w:val="both"/>
              <w:rPr>
                <w:rFonts w:asciiTheme="minorHAnsi" w:hAnsiTheme="minorHAnsi"/>
                <w:b/>
              </w:rPr>
            </w:pPr>
            <w:r>
              <w:rPr>
                <w:rFonts w:asciiTheme="minorHAnsi" w:hAnsiTheme="minorHAnsi"/>
                <w:b/>
              </w:rPr>
              <w:lastRenderedPageBreak/>
              <w:t>4</w:t>
            </w:r>
            <w:r w:rsidR="00694F35" w:rsidRPr="009C7BA8">
              <w:rPr>
                <w:rFonts w:asciiTheme="minorHAnsi" w:hAnsiTheme="minorHAnsi"/>
                <w:b/>
                <w:i/>
              </w:rPr>
              <w:t xml:space="preserve">. </w:t>
            </w:r>
            <w:r w:rsidR="009C7BA8" w:rsidRPr="009C7BA8">
              <w:rPr>
                <w:rFonts w:asciiTheme="minorHAnsi" w:hAnsiTheme="minorHAnsi"/>
                <w:b/>
                <w:i/>
              </w:rPr>
              <w:t>National institutions and other key stakeholders are coherently and effectively addressing Climate Change (CC) adaptation and mitigation and ozone layer protection</w:t>
            </w:r>
          </w:p>
        </w:tc>
        <w:tc>
          <w:tcPr>
            <w:tcW w:w="1440" w:type="dxa"/>
            <w:tcBorders>
              <w:bottom w:val="single" w:sz="4" w:space="0" w:color="auto"/>
            </w:tcBorders>
            <w:shd w:val="clear" w:color="auto" w:fill="auto"/>
          </w:tcPr>
          <w:p w14:paraId="4ABF018A" w14:textId="408B67C0"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70,432,346</w:t>
            </w:r>
          </w:p>
        </w:tc>
        <w:tc>
          <w:tcPr>
            <w:tcW w:w="3960" w:type="dxa"/>
            <w:tcBorders>
              <w:left w:val="single" w:sz="4" w:space="0" w:color="auto"/>
              <w:bottom w:val="single" w:sz="4" w:space="0" w:color="auto"/>
            </w:tcBorders>
          </w:tcPr>
          <w:p w14:paraId="64E5352F" w14:textId="08091A1F" w:rsidR="009C7BA8" w:rsidRPr="00F01BDE" w:rsidRDefault="009C7BA8" w:rsidP="00E74058">
            <w:pPr>
              <w:pStyle w:val="BodyText2"/>
              <w:numPr>
                <w:ilvl w:val="0"/>
                <w:numId w:val="23"/>
              </w:numPr>
              <w:jc w:val="both"/>
              <w:rPr>
                <w:rFonts w:asciiTheme="minorHAnsi" w:hAnsiTheme="minorHAnsi"/>
                <w:i/>
              </w:rPr>
            </w:pPr>
            <w:r w:rsidRPr="00F01BDE">
              <w:rPr>
                <w:rFonts w:asciiTheme="minorHAnsi" w:hAnsiTheme="minorHAnsi"/>
                <w:i/>
              </w:rPr>
              <w:t xml:space="preserve">Existence of a strong, effective and convergent national institutional arrangement </w:t>
            </w:r>
          </w:p>
          <w:p w14:paraId="483640AA" w14:textId="65FBFB95" w:rsidR="009C7BA8" w:rsidRPr="00F01BDE" w:rsidRDefault="009C7BA8" w:rsidP="00E74058">
            <w:pPr>
              <w:pStyle w:val="BodyText2"/>
              <w:numPr>
                <w:ilvl w:val="0"/>
                <w:numId w:val="23"/>
              </w:numPr>
              <w:jc w:val="both"/>
              <w:rPr>
                <w:rFonts w:asciiTheme="minorHAnsi" w:hAnsiTheme="minorHAnsi"/>
                <w:i/>
              </w:rPr>
            </w:pPr>
            <w:r w:rsidRPr="00F01BDE">
              <w:rPr>
                <w:rFonts w:asciiTheme="minorHAnsi" w:hAnsiTheme="minorHAnsi"/>
                <w:i/>
              </w:rPr>
              <w:t>Sound policies/ guidelines/ strategies and mechanism for REDD+, Ozone Layer Protection, Mitigation and Adaptation activities in the context of Green Economy and post-2015.</w:t>
            </w:r>
          </w:p>
          <w:p w14:paraId="2A9A3A0D" w14:textId="4130DDC1" w:rsidR="00694F35" w:rsidRPr="00920DBC" w:rsidRDefault="009C7BA8" w:rsidP="00E74058">
            <w:pPr>
              <w:pStyle w:val="BodyText2"/>
              <w:numPr>
                <w:ilvl w:val="0"/>
                <w:numId w:val="23"/>
              </w:numPr>
              <w:jc w:val="both"/>
              <w:rPr>
                <w:rFonts w:asciiTheme="minorHAnsi" w:hAnsiTheme="minorHAnsi"/>
                <w:i/>
              </w:rPr>
            </w:pPr>
            <w:r w:rsidRPr="00F01BDE">
              <w:rPr>
                <w:rFonts w:asciiTheme="minorHAnsi" w:hAnsiTheme="minorHAnsi"/>
                <w:i/>
              </w:rPr>
              <w:t>National coordinating and harmonizing mechanism for climate change financing</w:t>
            </w:r>
          </w:p>
        </w:tc>
        <w:tc>
          <w:tcPr>
            <w:tcW w:w="5490" w:type="dxa"/>
            <w:tcBorders>
              <w:bottom w:val="single" w:sz="4" w:space="0" w:color="auto"/>
            </w:tcBorders>
            <w:shd w:val="clear" w:color="auto" w:fill="auto"/>
          </w:tcPr>
          <w:p w14:paraId="79B1CAB4" w14:textId="5D52AFC9" w:rsidR="00694F35" w:rsidRPr="00920DBC" w:rsidRDefault="00835892" w:rsidP="00E74058">
            <w:pPr>
              <w:pStyle w:val="BodyText2"/>
              <w:numPr>
                <w:ilvl w:val="0"/>
                <w:numId w:val="32"/>
              </w:numPr>
              <w:jc w:val="both"/>
              <w:rPr>
                <w:rFonts w:asciiTheme="minorHAnsi" w:hAnsiTheme="minorHAnsi"/>
                <w:i/>
              </w:rPr>
            </w:pPr>
            <w:r>
              <w:rPr>
                <w:rFonts w:asciiTheme="minorHAnsi" w:hAnsiTheme="minorHAnsi"/>
                <w:i/>
              </w:rPr>
              <w:t>Baseline 2011, national institutional arrangement on climate change is not unified. Current status (2014), significant progress: i</w:t>
            </w:r>
            <w:r w:rsidRPr="00835892">
              <w:rPr>
                <w:rFonts w:asciiTheme="minorHAnsi" w:hAnsiTheme="minorHAnsi"/>
                <w:i/>
              </w:rPr>
              <w:t>ssuance of Presidential Instruction No.61/2011 on the National Action Plan for reducing GHGs emission and establishment of Boa</w:t>
            </w:r>
            <w:r w:rsidR="00DE7B50">
              <w:rPr>
                <w:rFonts w:asciiTheme="minorHAnsi" w:hAnsiTheme="minorHAnsi"/>
                <w:i/>
              </w:rPr>
              <w:t>r</w:t>
            </w:r>
            <w:r w:rsidRPr="00835892">
              <w:rPr>
                <w:rFonts w:asciiTheme="minorHAnsi" w:hAnsiTheme="minorHAnsi"/>
                <w:i/>
              </w:rPr>
              <w:t xml:space="preserve">d of Trustee </w:t>
            </w:r>
            <w:r w:rsidR="00DE7B50">
              <w:rPr>
                <w:rFonts w:asciiTheme="minorHAnsi" w:hAnsiTheme="minorHAnsi"/>
                <w:i/>
              </w:rPr>
              <w:t xml:space="preserve">for the Indonesia </w:t>
            </w:r>
            <w:r w:rsidRPr="00835892">
              <w:rPr>
                <w:rFonts w:asciiTheme="minorHAnsi" w:hAnsiTheme="minorHAnsi"/>
                <w:i/>
              </w:rPr>
              <w:t>C</w:t>
            </w:r>
            <w:r w:rsidR="00DE7B50">
              <w:rPr>
                <w:rFonts w:asciiTheme="minorHAnsi" w:hAnsiTheme="minorHAnsi"/>
                <w:i/>
              </w:rPr>
              <w:t xml:space="preserve">limate </w:t>
            </w:r>
            <w:r w:rsidRPr="00835892">
              <w:rPr>
                <w:rFonts w:asciiTheme="minorHAnsi" w:hAnsiTheme="minorHAnsi"/>
                <w:i/>
              </w:rPr>
              <w:t>C</w:t>
            </w:r>
            <w:r w:rsidR="00DE7B50">
              <w:rPr>
                <w:rFonts w:asciiTheme="minorHAnsi" w:hAnsiTheme="minorHAnsi"/>
                <w:i/>
              </w:rPr>
              <w:t xml:space="preserve">hange </w:t>
            </w:r>
            <w:r w:rsidRPr="00835892">
              <w:rPr>
                <w:rFonts w:asciiTheme="minorHAnsi" w:hAnsiTheme="minorHAnsi"/>
                <w:i/>
              </w:rPr>
              <w:t>T</w:t>
            </w:r>
            <w:r w:rsidR="00DE7B50">
              <w:rPr>
                <w:rFonts w:asciiTheme="minorHAnsi" w:hAnsiTheme="minorHAnsi"/>
                <w:i/>
              </w:rPr>
              <w:t xml:space="preserve">rust </w:t>
            </w:r>
            <w:r w:rsidRPr="00835892">
              <w:rPr>
                <w:rFonts w:asciiTheme="minorHAnsi" w:hAnsiTheme="minorHAnsi"/>
                <w:i/>
              </w:rPr>
              <w:t>F</w:t>
            </w:r>
            <w:r w:rsidR="00DE7B50">
              <w:rPr>
                <w:rFonts w:asciiTheme="minorHAnsi" w:hAnsiTheme="minorHAnsi"/>
                <w:i/>
              </w:rPr>
              <w:t>und</w:t>
            </w:r>
            <w:r w:rsidRPr="00835892">
              <w:rPr>
                <w:rFonts w:asciiTheme="minorHAnsi" w:hAnsiTheme="minorHAnsi"/>
                <w:i/>
              </w:rPr>
              <w:t xml:space="preserve"> </w:t>
            </w:r>
            <w:r w:rsidR="00DE7B50">
              <w:rPr>
                <w:rFonts w:asciiTheme="minorHAnsi" w:hAnsiTheme="minorHAnsi"/>
                <w:i/>
              </w:rPr>
              <w:t xml:space="preserve">(ICCTF) </w:t>
            </w:r>
            <w:r w:rsidRPr="00835892">
              <w:rPr>
                <w:rFonts w:asciiTheme="minorHAnsi" w:hAnsiTheme="minorHAnsi"/>
                <w:i/>
              </w:rPr>
              <w:t>based on Ministerial Decree No.33/2014 (Kepmen No. KEP.33/M. PPN/HK/03/2014).</w:t>
            </w:r>
          </w:p>
          <w:p w14:paraId="434EBD9E" w14:textId="4525C202" w:rsidR="00835892" w:rsidRPr="004B31A6" w:rsidRDefault="00835892" w:rsidP="00E74058">
            <w:pPr>
              <w:pStyle w:val="BodyText2"/>
              <w:numPr>
                <w:ilvl w:val="0"/>
                <w:numId w:val="32"/>
              </w:numPr>
              <w:jc w:val="both"/>
              <w:rPr>
                <w:rFonts w:asciiTheme="minorHAnsi" w:hAnsiTheme="minorHAnsi"/>
                <w:i/>
              </w:rPr>
            </w:pPr>
            <w:r w:rsidRPr="004B31A6">
              <w:rPr>
                <w:rFonts w:asciiTheme="minorHAnsi" w:hAnsiTheme="minorHAnsi"/>
                <w:i/>
              </w:rPr>
              <w:t>Baselin</w:t>
            </w:r>
            <w:r w:rsidR="004B31A6" w:rsidRPr="004B31A6">
              <w:rPr>
                <w:rFonts w:asciiTheme="minorHAnsi" w:hAnsiTheme="minorHAnsi"/>
                <w:i/>
              </w:rPr>
              <w:t>e</w:t>
            </w:r>
            <w:r w:rsidRPr="004B31A6">
              <w:rPr>
                <w:rFonts w:asciiTheme="minorHAnsi" w:hAnsiTheme="minorHAnsi"/>
                <w:i/>
              </w:rPr>
              <w:t xml:space="preserve"> 2011: Policies, strategies and mechanisms for ozone layer pro</w:t>
            </w:r>
            <w:r w:rsidR="004B31A6" w:rsidRPr="004B31A6">
              <w:rPr>
                <w:rFonts w:asciiTheme="minorHAnsi" w:hAnsiTheme="minorHAnsi"/>
                <w:i/>
              </w:rPr>
              <w:t>te</w:t>
            </w:r>
            <w:r w:rsidRPr="004B31A6">
              <w:rPr>
                <w:rFonts w:asciiTheme="minorHAnsi" w:hAnsiTheme="minorHAnsi"/>
                <w:i/>
              </w:rPr>
              <w:t>ction, REDD, mitigation and adap</w:t>
            </w:r>
            <w:r w:rsidR="004B31A6" w:rsidRPr="004B31A6">
              <w:rPr>
                <w:rFonts w:asciiTheme="minorHAnsi" w:hAnsiTheme="minorHAnsi"/>
                <w:i/>
              </w:rPr>
              <w:t>t</w:t>
            </w:r>
            <w:r w:rsidRPr="004B31A6">
              <w:rPr>
                <w:rFonts w:asciiTheme="minorHAnsi" w:hAnsiTheme="minorHAnsi"/>
                <w:i/>
              </w:rPr>
              <w:t>ation activities require further development and refinement. Current status, 2014:  a) issuance of regulations on phasing out HCFC refrigerant through Ministerial Decree of the Minister of Industry No. 41/M-IND/PER/5/2014 on Prohibition of HCFC Utilization in Industry and the Ministerial Decree of the Minister of Trade No.55/M-DAG/PER/9/2014 on Regulation on Imported Appliances Containing Refrigerant. b) Launched National Action Plan for Adaptation (RAN-API) in February 2014 and updated National Plan for Disaster Management 2010-2014 (RENAS-PB), c) Launch of a national Forest Reference Emission Level (FREL) setting deforestation and forest degradation levels based on historical data 2000-2012. After approval by the UNFCCC in 2015, the FREL could become the basis for REDD+ payments against verified emission reduction.</w:t>
            </w:r>
          </w:p>
          <w:p w14:paraId="6A58FEFC" w14:textId="01EB63F5" w:rsidR="00694F35" w:rsidRPr="00920DBC" w:rsidRDefault="00835892" w:rsidP="00E74058">
            <w:pPr>
              <w:pStyle w:val="BodyText2"/>
              <w:numPr>
                <w:ilvl w:val="0"/>
                <w:numId w:val="32"/>
              </w:numPr>
              <w:jc w:val="both"/>
              <w:rPr>
                <w:rFonts w:asciiTheme="minorHAnsi" w:hAnsiTheme="minorHAnsi"/>
                <w:i/>
              </w:rPr>
            </w:pPr>
            <w:r>
              <w:rPr>
                <w:rFonts w:asciiTheme="minorHAnsi" w:hAnsiTheme="minorHAnsi"/>
                <w:i/>
              </w:rPr>
              <w:t xml:space="preserve">Baseline, 2011, National coordination on climate change financing is not harmonized. Current status, significant </w:t>
            </w:r>
            <w:r w:rsidR="00C450D4">
              <w:rPr>
                <w:rFonts w:asciiTheme="minorHAnsi" w:hAnsiTheme="minorHAnsi"/>
                <w:i/>
              </w:rPr>
              <w:t>progress</w:t>
            </w:r>
            <w:r>
              <w:rPr>
                <w:rFonts w:asciiTheme="minorHAnsi" w:hAnsiTheme="minorHAnsi"/>
                <w:i/>
              </w:rPr>
              <w:t xml:space="preserve">: </w:t>
            </w:r>
            <w:r w:rsidRPr="00835892">
              <w:rPr>
                <w:rFonts w:asciiTheme="minorHAnsi" w:hAnsiTheme="minorHAnsi"/>
                <w:i/>
              </w:rPr>
              <w:t xml:space="preserve">a)   ICCTF became the first official nationally owned and managed climate change trust fund in Indonesia </w:t>
            </w:r>
            <w:r w:rsidRPr="00835892">
              <w:rPr>
                <w:rFonts w:asciiTheme="minorHAnsi" w:hAnsiTheme="minorHAnsi"/>
                <w:i/>
              </w:rPr>
              <w:lastRenderedPageBreak/>
              <w:t>in 2014. It is headed by an Executive Director, and has secured new funds from the government (APBN IDR15.3 b</w:t>
            </w:r>
            <w:r w:rsidR="00C450D4">
              <w:rPr>
                <w:rFonts w:asciiTheme="minorHAnsi" w:hAnsiTheme="minorHAnsi"/>
                <w:i/>
              </w:rPr>
              <w:t xml:space="preserve">illion) and DANIDA (USD 65,000), </w:t>
            </w:r>
            <w:r w:rsidRPr="00835892">
              <w:rPr>
                <w:rFonts w:asciiTheme="minorHAnsi" w:hAnsiTheme="minorHAnsi"/>
                <w:i/>
              </w:rPr>
              <w:t xml:space="preserve">b) Issuance of Minister of Finance Decree PMK 136/PMK.02/2014 on Budget Tagging for Climate Change Mitigation. Seven key line ministries are mandated to apply the budget tagging system. The application for budget tagging has been made online and can be seen at the website of MoF </w:t>
            </w:r>
            <w:r w:rsidR="00C450D4">
              <w:rPr>
                <w:rFonts w:asciiTheme="minorHAnsi" w:hAnsiTheme="minorHAnsi"/>
                <w:i/>
              </w:rPr>
              <w:t>h</w:t>
            </w:r>
            <w:r w:rsidRPr="00835892">
              <w:rPr>
                <w:rFonts w:asciiTheme="minorHAnsi" w:hAnsiTheme="minorHAnsi"/>
                <w:i/>
              </w:rPr>
              <w:t>ttp://www.anggaran.depkeu.go.id/dja/edef-produk-aplikasi-list.asp?sub=1.</w:t>
            </w:r>
            <w:r>
              <w:rPr>
                <w:rFonts w:asciiTheme="minorHAnsi" w:hAnsiTheme="minorHAnsi"/>
                <w:i/>
              </w:rPr>
              <w:t xml:space="preserve"> </w:t>
            </w:r>
          </w:p>
        </w:tc>
      </w:tr>
      <w:tr w:rsidR="00694F35" w:rsidRPr="00DC7354" w14:paraId="1338EECF" w14:textId="77777777" w:rsidTr="00694F35">
        <w:tc>
          <w:tcPr>
            <w:tcW w:w="14040" w:type="dxa"/>
            <w:gridSpan w:val="4"/>
          </w:tcPr>
          <w:p w14:paraId="36DE6B5E" w14:textId="77777777" w:rsidR="00694F35" w:rsidRPr="00837C4B" w:rsidRDefault="00694F35" w:rsidP="00E74058">
            <w:pPr>
              <w:pStyle w:val="BodyText2"/>
              <w:jc w:val="both"/>
              <w:rPr>
                <w:rFonts w:asciiTheme="minorHAnsi" w:hAnsiTheme="minorHAnsi"/>
                <w:b/>
              </w:rPr>
            </w:pPr>
            <w:r w:rsidRPr="00837C4B">
              <w:rPr>
                <w:rFonts w:asciiTheme="minorHAnsi" w:hAnsiTheme="minorHAnsi"/>
                <w:b/>
              </w:rPr>
              <w:lastRenderedPageBreak/>
              <w:t>UNDP Contribution:</w:t>
            </w:r>
          </w:p>
          <w:p w14:paraId="11FF929F" w14:textId="77777777" w:rsidR="00694F35" w:rsidRDefault="00694F35" w:rsidP="00E74058">
            <w:pPr>
              <w:pStyle w:val="BodyText2"/>
              <w:jc w:val="both"/>
              <w:rPr>
                <w:rFonts w:asciiTheme="minorHAnsi" w:hAnsiTheme="minorHAnsi"/>
              </w:rPr>
            </w:pPr>
          </w:p>
          <w:p w14:paraId="14A88B65" w14:textId="77777777" w:rsidR="00694F35" w:rsidRPr="00F92B5D" w:rsidRDefault="00694F35" w:rsidP="00E74058">
            <w:pPr>
              <w:pStyle w:val="BodyText2"/>
              <w:jc w:val="both"/>
              <w:rPr>
                <w:rFonts w:asciiTheme="minorHAnsi" w:hAnsiTheme="minorHAnsi"/>
                <w:sz w:val="24"/>
              </w:rPr>
            </w:pPr>
            <w:r w:rsidRPr="00F92B5D">
              <w:rPr>
                <w:rFonts w:asciiTheme="minorHAnsi" w:hAnsiTheme="minorHAnsi"/>
                <w:sz w:val="24"/>
                <w:u w:val="single"/>
              </w:rPr>
              <w:t>CP Outputs</w:t>
            </w:r>
            <w:r w:rsidRPr="00F92B5D">
              <w:rPr>
                <w:rFonts w:asciiTheme="minorHAnsi" w:hAnsiTheme="minorHAnsi"/>
                <w:sz w:val="24"/>
              </w:rPr>
              <w:t>:</w:t>
            </w:r>
          </w:p>
          <w:p w14:paraId="20F86CEC" w14:textId="1721F4F4" w:rsidR="00694F35" w:rsidRPr="00F92B5D" w:rsidRDefault="00694F35" w:rsidP="00E74058">
            <w:pPr>
              <w:pStyle w:val="BodyText2"/>
              <w:jc w:val="both"/>
              <w:rPr>
                <w:rFonts w:asciiTheme="minorHAnsi" w:hAnsiTheme="minorHAnsi"/>
                <w:i/>
                <w:sz w:val="24"/>
              </w:rPr>
            </w:pPr>
            <w:r w:rsidRPr="00F92B5D">
              <w:rPr>
                <w:rFonts w:asciiTheme="minorHAnsi" w:hAnsiTheme="minorHAnsi"/>
                <w:i/>
                <w:sz w:val="24"/>
              </w:rPr>
              <w:t xml:space="preserve">The UNDP CP identified </w:t>
            </w:r>
            <w:r w:rsidR="0074064B">
              <w:rPr>
                <w:rFonts w:asciiTheme="minorHAnsi" w:hAnsiTheme="minorHAnsi"/>
                <w:i/>
                <w:sz w:val="24"/>
              </w:rPr>
              <w:t xml:space="preserve">four </w:t>
            </w:r>
            <w:r w:rsidRPr="00F92B5D">
              <w:rPr>
                <w:rFonts w:asciiTheme="minorHAnsi" w:hAnsiTheme="minorHAnsi"/>
                <w:i/>
                <w:sz w:val="24"/>
              </w:rPr>
              <w:t xml:space="preserve">major outputs to support the Government in achieving this outcome: (a) </w:t>
            </w:r>
            <w:r w:rsidR="00A8418D" w:rsidRPr="00F92B5D">
              <w:rPr>
                <w:rFonts w:asciiTheme="minorHAnsi" w:hAnsiTheme="minorHAnsi"/>
                <w:i/>
                <w:sz w:val="24"/>
              </w:rPr>
              <w:t>Adequately capacitated institutional mechanism and financing instrument established for REDD+ and corresponding policies and strategies developed and implemented</w:t>
            </w:r>
            <w:r w:rsidRPr="00F92B5D">
              <w:rPr>
                <w:rFonts w:asciiTheme="minorHAnsi" w:hAnsiTheme="minorHAnsi"/>
                <w:i/>
                <w:sz w:val="24"/>
              </w:rPr>
              <w:t xml:space="preserve">; (b) </w:t>
            </w:r>
            <w:r w:rsidR="00A8418D" w:rsidRPr="00F92B5D">
              <w:rPr>
                <w:rFonts w:asciiTheme="minorHAnsi" w:hAnsiTheme="minorHAnsi"/>
                <w:i/>
                <w:sz w:val="24"/>
              </w:rPr>
              <w:t>National policies/ guidelines/ strategies and mechanism in place to  enable implementation of HCFC</w:t>
            </w:r>
            <w:r w:rsidR="00A8418D" w:rsidRPr="00F92B5D">
              <w:rPr>
                <w:rFonts w:asciiTheme="minorHAnsi" w:hAnsiTheme="minorHAnsi"/>
                <w:i/>
                <w:sz w:val="24"/>
              </w:rPr>
              <w:footnoteReference w:id="2"/>
            </w:r>
            <w:r w:rsidR="00A8418D" w:rsidRPr="00F92B5D">
              <w:rPr>
                <w:rFonts w:asciiTheme="minorHAnsi" w:hAnsiTheme="minorHAnsi"/>
                <w:i/>
                <w:sz w:val="24"/>
              </w:rPr>
              <w:t xml:space="preserve"> reduction programmes with low GWP</w:t>
            </w:r>
            <w:r w:rsidRPr="00F92B5D">
              <w:rPr>
                <w:rFonts w:asciiTheme="minorHAnsi" w:hAnsiTheme="minorHAnsi"/>
                <w:i/>
                <w:sz w:val="24"/>
              </w:rPr>
              <w:t xml:space="preserve">, (c) </w:t>
            </w:r>
            <w:r w:rsidR="00A8418D" w:rsidRPr="00F92B5D">
              <w:rPr>
                <w:rFonts w:asciiTheme="minorHAnsi" w:hAnsiTheme="minorHAnsi"/>
                <w:i/>
                <w:sz w:val="24"/>
              </w:rPr>
              <w:t>Policy and guidelines to integrate climate change adaptation associated with DRR at decentralized level developed with appropriate capacity and resources</w:t>
            </w:r>
            <w:r w:rsidRPr="00F92B5D">
              <w:rPr>
                <w:rFonts w:asciiTheme="minorHAnsi" w:hAnsiTheme="minorHAnsi"/>
                <w:i/>
                <w:sz w:val="24"/>
              </w:rPr>
              <w:t xml:space="preserve">, </w:t>
            </w:r>
            <w:r w:rsidR="00F01BDE" w:rsidRPr="00F92B5D">
              <w:rPr>
                <w:rFonts w:asciiTheme="minorHAnsi" w:hAnsiTheme="minorHAnsi"/>
                <w:i/>
                <w:sz w:val="24"/>
              </w:rPr>
              <w:t xml:space="preserve">and </w:t>
            </w:r>
            <w:r w:rsidRPr="00F92B5D">
              <w:rPr>
                <w:rFonts w:asciiTheme="minorHAnsi" w:hAnsiTheme="minorHAnsi"/>
                <w:i/>
                <w:sz w:val="24"/>
              </w:rPr>
              <w:t xml:space="preserve">(d) </w:t>
            </w:r>
            <w:r w:rsidR="00A8418D" w:rsidRPr="00F92B5D">
              <w:rPr>
                <w:rFonts w:asciiTheme="minorHAnsi" w:hAnsiTheme="minorHAnsi"/>
                <w:i/>
                <w:sz w:val="24"/>
              </w:rPr>
              <w:t>Coordinated and harmonized financing for climate change (including GEF, AF, SCCF, private sector sources, etc.) and ODS phase out through MLF.</w:t>
            </w:r>
          </w:p>
          <w:p w14:paraId="75775B4B" w14:textId="77777777" w:rsidR="00694F35" w:rsidRPr="00F92B5D" w:rsidRDefault="00694F35" w:rsidP="00E74058">
            <w:pPr>
              <w:pStyle w:val="BodyText2"/>
              <w:jc w:val="both"/>
              <w:rPr>
                <w:rFonts w:asciiTheme="minorHAnsi" w:hAnsiTheme="minorHAnsi"/>
                <w:sz w:val="24"/>
              </w:rPr>
            </w:pPr>
          </w:p>
          <w:p w14:paraId="7EF649F9" w14:textId="77777777" w:rsidR="00694F35" w:rsidRPr="00F92B5D" w:rsidRDefault="00694F35" w:rsidP="00E74058">
            <w:pPr>
              <w:pStyle w:val="BodyText2"/>
              <w:jc w:val="both"/>
              <w:rPr>
                <w:rFonts w:asciiTheme="minorHAnsi" w:hAnsiTheme="minorHAnsi"/>
                <w:sz w:val="24"/>
              </w:rPr>
            </w:pPr>
            <w:r w:rsidRPr="00F92B5D">
              <w:rPr>
                <w:rFonts w:asciiTheme="minorHAnsi" w:hAnsiTheme="minorHAnsi"/>
                <w:sz w:val="24"/>
                <w:u w:val="single"/>
              </w:rPr>
              <w:t>Progress and Achievements</w:t>
            </w:r>
            <w:r w:rsidRPr="00F92B5D">
              <w:rPr>
                <w:rFonts w:asciiTheme="minorHAnsi" w:hAnsiTheme="minorHAnsi"/>
                <w:sz w:val="24"/>
              </w:rPr>
              <w:t>:</w:t>
            </w:r>
          </w:p>
          <w:p w14:paraId="3728FA1C" w14:textId="77777777" w:rsidR="00694F35" w:rsidRDefault="00694F35" w:rsidP="00E74058">
            <w:pPr>
              <w:pStyle w:val="BodyText2"/>
              <w:jc w:val="both"/>
              <w:rPr>
                <w:rFonts w:asciiTheme="minorHAnsi" w:hAnsiTheme="minorHAnsi"/>
              </w:rPr>
            </w:pPr>
          </w:p>
          <w:p w14:paraId="5779EA9F" w14:textId="516DAD58" w:rsidR="00421A9B" w:rsidRPr="00F92B5D" w:rsidRDefault="00421A9B" w:rsidP="00E74058">
            <w:pPr>
              <w:pStyle w:val="BodyText2"/>
              <w:jc w:val="both"/>
              <w:rPr>
                <w:rFonts w:asciiTheme="minorHAnsi" w:hAnsiTheme="minorHAnsi"/>
                <w:i/>
                <w:sz w:val="24"/>
              </w:rPr>
            </w:pPr>
            <w:r w:rsidRPr="00F92B5D">
              <w:rPr>
                <w:rFonts w:asciiTheme="minorHAnsi" w:hAnsiTheme="minorHAnsi"/>
                <w:b/>
                <w:i/>
                <w:sz w:val="24"/>
              </w:rPr>
              <w:t>Output (a): Mechanisms and instruments for REDD+</w:t>
            </w:r>
            <w:r w:rsidRPr="00F92B5D">
              <w:rPr>
                <w:rFonts w:asciiTheme="minorHAnsi" w:hAnsiTheme="minorHAnsi"/>
                <w:i/>
                <w:sz w:val="24"/>
              </w:rPr>
              <w:t xml:space="preserve">: </w:t>
            </w:r>
            <w:r w:rsidR="00DE7B50">
              <w:rPr>
                <w:rFonts w:asciiTheme="minorHAnsi" w:hAnsiTheme="minorHAnsi"/>
                <w:i/>
                <w:sz w:val="24"/>
              </w:rPr>
              <w:t>UNDP supported the GOI to e</w:t>
            </w:r>
            <w:r w:rsidRPr="00F92B5D">
              <w:rPr>
                <w:rFonts w:asciiTheme="minorHAnsi" w:hAnsiTheme="minorHAnsi"/>
                <w:i/>
                <w:sz w:val="24"/>
              </w:rPr>
              <w:t>stablish</w:t>
            </w:r>
            <w:r w:rsidR="00DE7B50">
              <w:rPr>
                <w:rFonts w:asciiTheme="minorHAnsi" w:hAnsiTheme="minorHAnsi"/>
                <w:i/>
                <w:sz w:val="24"/>
              </w:rPr>
              <w:t xml:space="preserve"> a national </w:t>
            </w:r>
            <w:r w:rsidRPr="00F92B5D">
              <w:rPr>
                <w:rFonts w:asciiTheme="minorHAnsi" w:hAnsiTheme="minorHAnsi"/>
                <w:i/>
                <w:sz w:val="24"/>
              </w:rPr>
              <w:t>REDD+ agency</w:t>
            </w:r>
            <w:r w:rsidR="00DE7B50">
              <w:rPr>
                <w:rFonts w:asciiTheme="minorHAnsi" w:hAnsiTheme="minorHAnsi"/>
                <w:i/>
                <w:sz w:val="24"/>
              </w:rPr>
              <w:t>. The Agency was later incorporated within a merged Ministry of Environment and Forestry. Under the UNDP supported national REDD+ programme, the GOI issued a m</w:t>
            </w:r>
            <w:r w:rsidR="00B65B29" w:rsidRPr="00F92B5D">
              <w:rPr>
                <w:rFonts w:asciiTheme="minorHAnsi" w:hAnsiTheme="minorHAnsi"/>
                <w:i/>
                <w:sz w:val="24"/>
              </w:rPr>
              <w:t>oratorium on</w:t>
            </w:r>
            <w:r w:rsidR="00DE7B50">
              <w:rPr>
                <w:rFonts w:asciiTheme="minorHAnsi" w:hAnsiTheme="minorHAnsi"/>
                <w:i/>
                <w:sz w:val="24"/>
              </w:rPr>
              <w:t xml:space="preserve"> new</w:t>
            </w:r>
            <w:r w:rsidR="00B65B29" w:rsidRPr="00F92B5D">
              <w:rPr>
                <w:rFonts w:asciiTheme="minorHAnsi" w:hAnsiTheme="minorHAnsi"/>
                <w:i/>
                <w:sz w:val="24"/>
              </w:rPr>
              <w:t xml:space="preserve"> forest</w:t>
            </w:r>
            <w:r w:rsidR="00DE7B50">
              <w:rPr>
                <w:rFonts w:asciiTheme="minorHAnsi" w:hAnsiTheme="minorHAnsi"/>
                <w:i/>
                <w:sz w:val="24"/>
              </w:rPr>
              <w:t xml:space="preserve"> licences and </w:t>
            </w:r>
            <w:r w:rsidR="00B65B29" w:rsidRPr="00F92B5D">
              <w:rPr>
                <w:rFonts w:asciiTheme="minorHAnsi" w:hAnsiTheme="minorHAnsi"/>
                <w:i/>
                <w:sz w:val="24"/>
              </w:rPr>
              <w:t>concession</w:t>
            </w:r>
            <w:r w:rsidR="00DE7B50">
              <w:rPr>
                <w:rFonts w:asciiTheme="minorHAnsi" w:hAnsiTheme="minorHAnsi"/>
                <w:i/>
                <w:sz w:val="24"/>
              </w:rPr>
              <w:t xml:space="preserve">s, protecting over 56 million hectares of primary forests and peatlands, and providing space for the government to address urgent governance reforms to improve the protection of the country’s forests. Under the REDD+ programme, </w:t>
            </w:r>
            <w:r w:rsidR="00B65B29" w:rsidRPr="00F92B5D">
              <w:rPr>
                <w:rFonts w:asciiTheme="minorHAnsi" w:hAnsiTheme="minorHAnsi"/>
                <w:i/>
                <w:sz w:val="24"/>
              </w:rPr>
              <w:t xml:space="preserve">REDD+ strategies </w:t>
            </w:r>
            <w:r w:rsidR="00DE7B50">
              <w:rPr>
                <w:rFonts w:asciiTheme="minorHAnsi" w:hAnsiTheme="minorHAnsi"/>
                <w:i/>
                <w:sz w:val="24"/>
              </w:rPr>
              <w:t xml:space="preserve">were developed </w:t>
            </w:r>
            <w:r w:rsidR="00B65B29" w:rsidRPr="00F92B5D">
              <w:rPr>
                <w:rFonts w:asciiTheme="minorHAnsi" w:hAnsiTheme="minorHAnsi"/>
                <w:i/>
                <w:sz w:val="24"/>
              </w:rPr>
              <w:t>in 7 provinces</w:t>
            </w:r>
            <w:r w:rsidR="00DE7B50">
              <w:rPr>
                <w:rFonts w:asciiTheme="minorHAnsi" w:hAnsiTheme="minorHAnsi"/>
                <w:i/>
                <w:sz w:val="24"/>
              </w:rPr>
              <w:t>, a national system was designed to p</w:t>
            </w:r>
            <w:r w:rsidR="008425BE" w:rsidRPr="00F92B5D">
              <w:rPr>
                <w:rFonts w:asciiTheme="minorHAnsi" w:hAnsiTheme="minorHAnsi"/>
                <w:i/>
                <w:sz w:val="24"/>
              </w:rPr>
              <w:t>revent</w:t>
            </w:r>
            <w:r w:rsidR="00E278CA">
              <w:rPr>
                <w:rFonts w:asciiTheme="minorHAnsi" w:hAnsiTheme="minorHAnsi"/>
                <w:i/>
                <w:sz w:val="24"/>
              </w:rPr>
              <w:t xml:space="preserve"> forest and</w:t>
            </w:r>
            <w:r w:rsidR="008425BE" w:rsidRPr="00F92B5D">
              <w:rPr>
                <w:rFonts w:asciiTheme="minorHAnsi" w:hAnsiTheme="minorHAnsi"/>
                <w:i/>
                <w:sz w:val="24"/>
              </w:rPr>
              <w:t xml:space="preserve"> peat fires </w:t>
            </w:r>
            <w:r w:rsidR="00DE7B50">
              <w:rPr>
                <w:rFonts w:asciiTheme="minorHAnsi" w:hAnsiTheme="minorHAnsi"/>
                <w:i/>
                <w:sz w:val="24"/>
              </w:rPr>
              <w:t>(</w:t>
            </w:r>
            <w:r w:rsidR="008425BE" w:rsidRPr="00F92B5D">
              <w:rPr>
                <w:rFonts w:asciiTheme="minorHAnsi" w:hAnsiTheme="minorHAnsi"/>
                <w:i/>
                <w:sz w:val="24"/>
              </w:rPr>
              <w:t xml:space="preserve">using near real time information on </w:t>
            </w:r>
            <w:r w:rsidR="00E278CA">
              <w:rPr>
                <w:rFonts w:asciiTheme="minorHAnsi" w:hAnsiTheme="minorHAnsi"/>
                <w:i/>
                <w:sz w:val="24"/>
              </w:rPr>
              <w:t xml:space="preserve">potential </w:t>
            </w:r>
            <w:r w:rsidR="008425BE" w:rsidRPr="00F92B5D">
              <w:rPr>
                <w:rFonts w:asciiTheme="minorHAnsi" w:hAnsiTheme="minorHAnsi"/>
                <w:i/>
                <w:sz w:val="24"/>
              </w:rPr>
              <w:t>hotspots</w:t>
            </w:r>
            <w:r w:rsidR="00DE7B50">
              <w:rPr>
                <w:rFonts w:asciiTheme="minorHAnsi" w:hAnsiTheme="minorHAnsi"/>
                <w:i/>
                <w:sz w:val="24"/>
              </w:rPr>
              <w:t>)</w:t>
            </w:r>
            <w:r w:rsidR="008425BE" w:rsidRPr="00F92B5D">
              <w:rPr>
                <w:rFonts w:asciiTheme="minorHAnsi" w:hAnsiTheme="minorHAnsi"/>
                <w:i/>
                <w:sz w:val="24"/>
              </w:rPr>
              <w:t xml:space="preserve">; </w:t>
            </w:r>
            <w:r w:rsidR="00DE7B50">
              <w:rPr>
                <w:rFonts w:asciiTheme="minorHAnsi" w:hAnsiTheme="minorHAnsi"/>
                <w:i/>
                <w:sz w:val="24"/>
              </w:rPr>
              <w:t xml:space="preserve">and a </w:t>
            </w:r>
            <w:r w:rsidR="008425BE" w:rsidRPr="00F92B5D">
              <w:rPr>
                <w:rFonts w:asciiTheme="minorHAnsi" w:hAnsiTheme="minorHAnsi"/>
                <w:i/>
                <w:sz w:val="24"/>
              </w:rPr>
              <w:t>national program to recognize and protect the customary rights of indigenous peoples in relation to the ownership and occupancy of forest lands</w:t>
            </w:r>
            <w:r w:rsidR="00DE7B50">
              <w:rPr>
                <w:rFonts w:asciiTheme="minorHAnsi" w:hAnsiTheme="minorHAnsi"/>
                <w:i/>
                <w:sz w:val="24"/>
              </w:rPr>
              <w:t xml:space="preserve"> was launched</w:t>
            </w:r>
            <w:r w:rsidR="008425BE" w:rsidRPr="00F92B5D">
              <w:rPr>
                <w:rFonts w:asciiTheme="minorHAnsi" w:hAnsiTheme="minorHAnsi"/>
                <w:i/>
                <w:sz w:val="24"/>
              </w:rPr>
              <w:t>. This latter programme is key to environmental conservation and securing the livelihood of this particularly vulnerable group which is estimated between 50 and 70 million people.</w:t>
            </w:r>
          </w:p>
          <w:p w14:paraId="19E0D12A" w14:textId="77777777" w:rsidR="00B65B29" w:rsidRDefault="00B65B29" w:rsidP="00E74058">
            <w:pPr>
              <w:widowControl/>
              <w:autoSpaceDE w:val="0"/>
              <w:autoSpaceDN w:val="0"/>
              <w:adjustRightInd w:val="0"/>
              <w:jc w:val="both"/>
            </w:pPr>
          </w:p>
          <w:p w14:paraId="60C4F6D2" w14:textId="6A492CBC" w:rsidR="00B65B29" w:rsidRPr="00F92B5D" w:rsidRDefault="00B65B29" w:rsidP="00E74058">
            <w:pPr>
              <w:pStyle w:val="BodyText2"/>
              <w:jc w:val="both"/>
              <w:rPr>
                <w:rFonts w:asciiTheme="minorHAnsi" w:hAnsiTheme="minorHAnsi"/>
                <w:i/>
                <w:sz w:val="24"/>
              </w:rPr>
            </w:pPr>
            <w:r w:rsidRPr="00F92B5D">
              <w:rPr>
                <w:rFonts w:asciiTheme="minorHAnsi" w:hAnsiTheme="minorHAnsi"/>
                <w:b/>
                <w:i/>
                <w:sz w:val="24"/>
              </w:rPr>
              <w:lastRenderedPageBreak/>
              <w:t>Output (b): HCFC reduction:</w:t>
            </w:r>
            <w:r w:rsidRPr="00F92B5D">
              <w:rPr>
                <w:rFonts w:asciiTheme="minorHAnsi" w:hAnsiTheme="minorHAnsi"/>
                <w:i/>
                <w:sz w:val="24"/>
              </w:rPr>
              <w:t xml:space="preserve"> </w:t>
            </w:r>
            <w:r w:rsidR="00967F59" w:rsidRPr="00F92B5D">
              <w:rPr>
                <w:rFonts w:asciiTheme="minorHAnsi" w:hAnsiTheme="minorHAnsi"/>
                <w:i/>
                <w:sz w:val="24"/>
              </w:rPr>
              <w:t xml:space="preserve">The Min of Industry and Trade issued regulations prohibiting HCFC utilization in industry and also imposed an import ban for appliances containing HCFC refrigerants. </w:t>
            </w:r>
            <w:r w:rsidR="00D879D4">
              <w:rPr>
                <w:rFonts w:asciiTheme="minorHAnsi" w:hAnsiTheme="minorHAnsi"/>
                <w:i/>
                <w:sz w:val="24"/>
              </w:rPr>
              <w:t xml:space="preserve">Working with the Ministry, </w:t>
            </w:r>
            <w:r w:rsidR="00967F59" w:rsidRPr="00F92B5D">
              <w:rPr>
                <w:rFonts w:asciiTheme="minorHAnsi" w:hAnsiTheme="minorHAnsi"/>
                <w:i/>
                <w:sz w:val="24"/>
              </w:rPr>
              <w:t>UNDP supported some of the largest companies to change their technology. These interventions are in line with the 2014 objective of 0% growth (freeze) in HCFC consumption. In 2013 HCFC utilisation decreased by more than 23% against the 2009/2010 figures. A similar trend is expected to be seen in the 2014 data once available.</w:t>
            </w:r>
          </w:p>
          <w:p w14:paraId="7B2AACE6" w14:textId="77777777" w:rsidR="00421A9B" w:rsidRPr="00F92B5D" w:rsidRDefault="00421A9B" w:rsidP="00E74058">
            <w:pPr>
              <w:pStyle w:val="BodyText2"/>
              <w:jc w:val="both"/>
              <w:rPr>
                <w:rFonts w:asciiTheme="minorHAnsi" w:hAnsiTheme="minorHAnsi"/>
                <w:i/>
                <w:sz w:val="24"/>
              </w:rPr>
            </w:pPr>
          </w:p>
          <w:p w14:paraId="165AD472" w14:textId="3684D5AA" w:rsidR="00EA76E3" w:rsidRPr="00F92B5D" w:rsidRDefault="00967F59" w:rsidP="00E74058">
            <w:pPr>
              <w:pStyle w:val="BodyText2"/>
              <w:jc w:val="both"/>
              <w:rPr>
                <w:rFonts w:asciiTheme="minorHAnsi" w:hAnsiTheme="minorHAnsi"/>
                <w:i/>
                <w:sz w:val="24"/>
              </w:rPr>
            </w:pPr>
            <w:r w:rsidRPr="00F92B5D">
              <w:rPr>
                <w:rFonts w:asciiTheme="minorHAnsi" w:hAnsiTheme="minorHAnsi"/>
                <w:b/>
                <w:i/>
                <w:sz w:val="24"/>
              </w:rPr>
              <w:t>Output (c): Climate change and disaster risk reduction:</w:t>
            </w:r>
            <w:r w:rsidRPr="00F92B5D">
              <w:rPr>
                <w:rFonts w:asciiTheme="minorHAnsi" w:hAnsiTheme="minorHAnsi"/>
                <w:i/>
                <w:sz w:val="24"/>
              </w:rPr>
              <w:t xml:space="preserve"> This output has two main elements: the adoption or mainstreaming of climate change adaptation principles into provincial development plans; and piloting climate change adaptation methodologies and interventions associated with DRR to inform the development of national guidelines and policies. UNDP’s SPARC project has mainstreamed climate change ada</w:t>
            </w:r>
            <w:r w:rsidR="006E3007" w:rsidRPr="00F92B5D">
              <w:rPr>
                <w:rFonts w:asciiTheme="minorHAnsi" w:hAnsiTheme="minorHAnsi"/>
                <w:i/>
                <w:sz w:val="24"/>
              </w:rPr>
              <w:t xml:space="preserve">ptability into </w:t>
            </w:r>
            <w:r w:rsidR="00D879D4">
              <w:rPr>
                <w:rFonts w:asciiTheme="minorHAnsi" w:hAnsiTheme="minorHAnsi"/>
                <w:i/>
                <w:sz w:val="24"/>
              </w:rPr>
              <w:t xml:space="preserve">the </w:t>
            </w:r>
            <w:r w:rsidR="00D879D4" w:rsidRPr="00F92B5D">
              <w:rPr>
                <w:rFonts w:asciiTheme="minorHAnsi" w:hAnsiTheme="minorHAnsi"/>
                <w:i/>
                <w:sz w:val="24"/>
              </w:rPr>
              <w:t>medium term development plan</w:t>
            </w:r>
            <w:r w:rsidR="00D879D4">
              <w:rPr>
                <w:rFonts w:asciiTheme="minorHAnsi" w:hAnsiTheme="minorHAnsi"/>
                <w:i/>
                <w:sz w:val="24"/>
              </w:rPr>
              <w:t>s of</w:t>
            </w:r>
            <w:r w:rsidR="00D879D4" w:rsidRPr="00F92B5D">
              <w:rPr>
                <w:rFonts w:asciiTheme="minorHAnsi" w:hAnsiTheme="minorHAnsi"/>
                <w:i/>
                <w:sz w:val="24"/>
              </w:rPr>
              <w:t xml:space="preserve"> </w:t>
            </w:r>
            <w:r w:rsidR="006E3007" w:rsidRPr="00F92B5D">
              <w:rPr>
                <w:rFonts w:asciiTheme="minorHAnsi" w:hAnsiTheme="minorHAnsi"/>
                <w:i/>
                <w:sz w:val="24"/>
              </w:rPr>
              <w:t xml:space="preserve">3 provinces (NTT, Lampung, Central Java). </w:t>
            </w:r>
            <w:r w:rsidR="00E278CA">
              <w:rPr>
                <w:rFonts w:asciiTheme="minorHAnsi" w:hAnsiTheme="minorHAnsi"/>
                <w:i/>
                <w:sz w:val="24"/>
              </w:rPr>
              <w:t xml:space="preserve">Efforts continue to develop a comprehensive and integrated CCA/DRR methodology and risk assessment tool for use by different parts of government. </w:t>
            </w:r>
            <w:r w:rsidR="006E3007" w:rsidRPr="00F92B5D">
              <w:rPr>
                <w:rFonts w:asciiTheme="minorHAnsi" w:hAnsiTheme="minorHAnsi"/>
                <w:i/>
                <w:sz w:val="24"/>
              </w:rPr>
              <w:t xml:space="preserve"> </w:t>
            </w:r>
          </w:p>
          <w:p w14:paraId="3594E9AA" w14:textId="5A2BF641" w:rsidR="00967F59" w:rsidRPr="00F92B5D" w:rsidRDefault="006E3007" w:rsidP="00E74058">
            <w:pPr>
              <w:pStyle w:val="BodyText2"/>
              <w:jc w:val="both"/>
              <w:rPr>
                <w:rFonts w:asciiTheme="minorHAnsi" w:hAnsiTheme="minorHAnsi"/>
                <w:i/>
                <w:sz w:val="24"/>
              </w:rPr>
            </w:pPr>
            <w:r w:rsidRPr="00F92B5D">
              <w:rPr>
                <w:rFonts w:asciiTheme="minorHAnsi" w:hAnsiTheme="minorHAnsi"/>
                <w:i/>
                <w:sz w:val="24"/>
              </w:rPr>
              <w:tab/>
            </w:r>
          </w:p>
          <w:p w14:paraId="18692E9C" w14:textId="2105BEA4" w:rsidR="006E3007" w:rsidRPr="00F92B5D" w:rsidRDefault="006E3007" w:rsidP="00E74058">
            <w:pPr>
              <w:pStyle w:val="BodyText2"/>
              <w:jc w:val="both"/>
              <w:rPr>
                <w:rFonts w:asciiTheme="minorHAnsi" w:hAnsiTheme="minorHAnsi"/>
                <w:i/>
                <w:sz w:val="24"/>
              </w:rPr>
            </w:pPr>
            <w:r w:rsidRPr="00F92B5D">
              <w:rPr>
                <w:rFonts w:asciiTheme="minorHAnsi" w:hAnsiTheme="minorHAnsi"/>
                <w:b/>
                <w:i/>
                <w:sz w:val="24"/>
              </w:rPr>
              <w:t>Output (d) Financing for climate change:</w:t>
            </w:r>
            <w:r w:rsidRPr="00F92B5D">
              <w:rPr>
                <w:rFonts w:asciiTheme="minorHAnsi" w:hAnsiTheme="minorHAnsi"/>
                <w:i/>
                <w:sz w:val="24"/>
              </w:rPr>
              <w:t xml:space="preserve"> </w:t>
            </w:r>
            <w:r w:rsidR="00D879D4" w:rsidRPr="00D879D4">
              <w:rPr>
                <w:rFonts w:asciiTheme="minorHAnsi" w:hAnsiTheme="minorHAnsi"/>
                <w:i/>
                <w:sz w:val="24"/>
              </w:rPr>
              <w:t xml:space="preserve">Institutional arrangements to address climate change were bolstered by the creation of the Indonesian Climate Change Trust Fund </w:t>
            </w:r>
            <w:r w:rsidR="00D879D4">
              <w:rPr>
                <w:rFonts w:asciiTheme="minorHAnsi" w:hAnsiTheme="minorHAnsi"/>
                <w:i/>
                <w:sz w:val="24"/>
              </w:rPr>
              <w:t xml:space="preserve">(ICCTF) </w:t>
            </w:r>
            <w:r w:rsidR="00D879D4" w:rsidRPr="00D879D4">
              <w:rPr>
                <w:rFonts w:asciiTheme="minorHAnsi" w:hAnsiTheme="minorHAnsi"/>
                <w:i/>
                <w:sz w:val="24"/>
              </w:rPr>
              <w:t>which is now fully national and able to channel foreign investments. ICCTF, a UNDP project 4 years ago, concluded its first direct grant agreement with Danida and will also receive a 2015 state budget. The national climate financing framework was also improved by the enactment of a Ministerial Decree for mandatory budget tagging for climate mitigation actions. This measure, which represents a first step towards performance-based budgeting to incentivise climate-related expenditures</w:t>
            </w:r>
            <w:r w:rsidR="00E278CA">
              <w:rPr>
                <w:rFonts w:asciiTheme="minorHAnsi" w:hAnsiTheme="minorHAnsi"/>
                <w:i/>
                <w:sz w:val="24"/>
              </w:rPr>
              <w:t>,</w:t>
            </w:r>
            <w:r w:rsidR="00D879D4" w:rsidRPr="00D879D4">
              <w:rPr>
                <w:rFonts w:asciiTheme="minorHAnsi" w:hAnsiTheme="minorHAnsi"/>
                <w:i/>
                <w:sz w:val="24"/>
              </w:rPr>
              <w:t xml:space="preserve"> was supported by UNDP.</w:t>
            </w:r>
            <w:r w:rsidRPr="00F92B5D">
              <w:rPr>
                <w:rFonts w:asciiTheme="minorHAnsi" w:hAnsiTheme="minorHAnsi"/>
                <w:i/>
                <w:sz w:val="24"/>
              </w:rPr>
              <w:t xml:space="preserve"> </w:t>
            </w:r>
          </w:p>
          <w:p w14:paraId="25A1CC8E" w14:textId="77777777" w:rsidR="00967F59" w:rsidRPr="00F92B5D" w:rsidRDefault="00967F59" w:rsidP="00E74058">
            <w:pPr>
              <w:pStyle w:val="BodyText2"/>
              <w:jc w:val="both"/>
              <w:rPr>
                <w:rFonts w:asciiTheme="minorHAnsi" w:hAnsiTheme="minorHAnsi"/>
                <w:i/>
                <w:sz w:val="24"/>
              </w:rPr>
            </w:pPr>
          </w:p>
          <w:p w14:paraId="378A98C0" w14:textId="462F43E0" w:rsidR="00F1587E" w:rsidRPr="00F92B5D" w:rsidRDefault="00F1587E" w:rsidP="00E74058">
            <w:pPr>
              <w:pStyle w:val="BodyText2"/>
              <w:jc w:val="both"/>
              <w:rPr>
                <w:rFonts w:asciiTheme="minorHAnsi" w:hAnsiTheme="minorHAnsi"/>
                <w:i/>
                <w:sz w:val="24"/>
              </w:rPr>
            </w:pPr>
            <w:r w:rsidRPr="00F92B5D">
              <w:rPr>
                <w:rFonts w:asciiTheme="minorHAnsi" w:hAnsiTheme="minorHAnsi"/>
                <w:b/>
                <w:i/>
                <w:sz w:val="24"/>
              </w:rPr>
              <w:t>Gender:</w:t>
            </w:r>
            <w:r w:rsidRPr="00F92B5D">
              <w:rPr>
                <w:rFonts w:asciiTheme="minorHAnsi" w:hAnsiTheme="minorHAnsi"/>
                <w:i/>
                <w:sz w:val="24"/>
              </w:rPr>
              <w:t xml:space="preserve"> In the field of CC adaptation and disaster risk reduction, community assessments conducted in villages in East Nusa Tenggara province confirmed that poor women were one of the groups most vulnerable to climate risks. Gender-sensitive actions and indicators have been developed to be monitored throughout the intervention. For example, the burden of women to collect water during dry season is an indicator quantified by the amount of time spent by women to collect clean water for household usage. A reduction of this time can signal whether women are able to participate in other public/productive activities. Climate public expenditure and institutional review (CPEIR) is a commonly agreed tool in the region to better plan for CC mitigation and adaptation. Indonesia conducted a poverty- and gender-sensitive CPEIR to provide a background analysis to ensure that the design of climate financing frameworks will benefit the poor and vulnerable groups, especially poor women.</w:t>
            </w:r>
          </w:p>
          <w:p w14:paraId="6D669397" w14:textId="77777777" w:rsidR="00F1587E" w:rsidRPr="00DC7354" w:rsidRDefault="00F1587E" w:rsidP="00E74058">
            <w:pPr>
              <w:pStyle w:val="BodyText2"/>
              <w:jc w:val="both"/>
              <w:rPr>
                <w:rFonts w:asciiTheme="minorHAnsi" w:hAnsiTheme="minorHAnsi"/>
              </w:rPr>
            </w:pPr>
          </w:p>
        </w:tc>
      </w:tr>
      <w:tr w:rsidR="00694F35" w:rsidRPr="00DC7354" w14:paraId="05397220" w14:textId="77777777" w:rsidTr="00694F35">
        <w:tc>
          <w:tcPr>
            <w:tcW w:w="3150" w:type="dxa"/>
            <w:tcBorders>
              <w:bottom w:val="single" w:sz="4" w:space="0" w:color="auto"/>
            </w:tcBorders>
            <w:shd w:val="clear" w:color="auto" w:fill="95B3D7" w:themeFill="accent1" w:themeFillTint="99"/>
          </w:tcPr>
          <w:p w14:paraId="0A2E44DB" w14:textId="01FA81BC" w:rsidR="00694F35" w:rsidRPr="00F01BDE" w:rsidRDefault="0047429E" w:rsidP="00E74058">
            <w:pPr>
              <w:pStyle w:val="BodyText2"/>
              <w:jc w:val="both"/>
              <w:rPr>
                <w:rFonts w:asciiTheme="minorHAnsi" w:hAnsiTheme="minorHAnsi"/>
                <w:b/>
                <w:i/>
              </w:rPr>
            </w:pPr>
            <w:r w:rsidRPr="00F01BDE">
              <w:rPr>
                <w:rFonts w:asciiTheme="minorHAnsi" w:hAnsiTheme="minorHAnsi"/>
                <w:b/>
                <w:i/>
              </w:rPr>
              <w:lastRenderedPageBreak/>
              <w:t>5</w:t>
            </w:r>
            <w:r w:rsidR="00694F35" w:rsidRPr="00F01BDE">
              <w:rPr>
                <w:rFonts w:asciiTheme="minorHAnsi" w:hAnsiTheme="minorHAnsi"/>
                <w:b/>
                <w:i/>
              </w:rPr>
              <w:t xml:space="preserve"> </w:t>
            </w:r>
            <w:r w:rsidR="00A8418D" w:rsidRPr="00F01BDE">
              <w:rPr>
                <w:rFonts w:asciiTheme="minorHAnsi" w:hAnsiTheme="minorHAnsi"/>
                <w:b/>
                <w:i/>
              </w:rPr>
              <w:t xml:space="preserve">Increased public representation and participation in political and government institutions particularly among women and </w:t>
            </w:r>
            <w:r w:rsidR="00A8418D" w:rsidRPr="00F01BDE">
              <w:rPr>
                <w:rFonts w:asciiTheme="minorHAnsi" w:hAnsiTheme="minorHAnsi"/>
                <w:b/>
                <w:i/>
              </w:rPr>
              <w:lastRenderedPageBreak/>
              <w:t>vulnerable groups</w:t>
            </w:r>
          </w:p>
        </w:tc>
        <w:tc>
          <w:tcPr>
            <w:tcW w:w="1440" w:type="dxa"/>
            <w:tcBorders>
              <w:bottom w:val="single" w:sz="4" w:space="0" w:color="auto"/>
            </w:tcBorders>
            <w:shd w:val="clear" w:color="auto" w:fill="auto"/>
          </w:tcPr>
          <w:p w14:paraId="2C144E3E" w14:textId="5BD82784" w:rsidR="00694F35" w:rsidRPr="00DC7354" w:rsidRDefault="00694F35" w:rsidP="00E74058">
            <w:pPr>
              <w:pStyle w:val="BodyText2"/>
              <w:jc w:val="both"/>
              <w:rPr>
                <w:rFonts w:asciiTheme="minorHAnsi" w:hAnsiTheme="minorHAnsi"/>
              </w:rPr>
            </w:pPr>
            <w:r w:rsidRPr="00DC7354">
              <w:rPr>
                <w:rFonts w:asciiTheme="minorHAnsi" w:hAnsiTheme="minorHAnsi"/>
              </w:rPr>
              <w:lastRenderedPageBreak/>
              <w:t>$</w:t>
            </w:r>
            <w:r w:rsidR="002C7C02">
              <w:rPr>
                <w:rFonts w:asciiTheme="minorHAnsi" w:hAnsiTheme="minorHAnsi"/>
              </w:rPr>
              <w:t>5,898,320</w:t>
            </w:r>
          </w:p>
        </w:tc>
        <w:tc>
          <w:tcPr>
            <w:tcW w:w="3960" w:type="dxa"/>
            <w:tcBorders>
              <w:left w:val="single" w:sz="4" w:space="0" w:color="auto"/>
              <w:bottom w:val="single" w:sz="4" w:space="0" w:color="auto"/>
            </w:tcBorders>
          </w:tcPr>
          <w:p w14:paraId="1799F034" w14:textId="32A118C1" w:rsidR="00A8418D" w:rsidRPr="00F01BDE" w:rsidRDefault="00A8418D" w:rsidP="00E74058">
            <w:pPr>
              <w:pStyle w:val="BodyText2"/>
              <w:numPr>
                <w:ilvl w:val="0"/>
                <w:numId w:val="24"/>
              </w:numPr>
              <w:jc w:val="both"/>
              <w:rPr>
                <w:rFonts w:asciiTheme="minorHAnsi" w:hAnsiTheme="minorHAnsi"/>
                <w:i/>
              </w:rPr>
            </w:pPr>
            <w:r w:rsidRPr="00F01BDE">
              <w:rPr>
                <w:rFonts w:asciiTheme="minorHAnsi" w:hAnsiTheme="minorHAnsi"/>
                <w:i/>
              </w:rPr>
              <w:t xml:space="preserve">Indonesia Democracy Index score; </w:t>
            </w:r>
          </w:p>
          <w:p w14:paraId="07A0CC57" w14:textId="2F2BD8ED" w:rsidR="00A8418D" w:rsidRPr="00F01BDE" w:rsidRDefault="00A8418D" w:rsidP="00E74058">
            <w:pPr>
              <w:pStyle w:val="BodyText2"/>
              <w:numPr>
                <w:ilvl w:val="0"/>
                <w:numId w:val="24"/>
              </w:numPr>
              <w:jc w:val="both"/>
              <w:rPr>
                <w:rFonts w:asciiTheme="minorHAnsi" w:hAnsiTheme="minorHAnsi"/>
                <w:i/>
              </w:rPr>
            </w:pPr>
            <w:r w:rsidRPr="00F01BDE">
              <w:rPr>
                <w:rFonts w:asciiTheme="minorHAnsi" w:hAnsiTheme="minorHAnsi"/>
                <w:i/>
              </w:rPr>
              <w:t xml:space="preserve">% of women in national (DPR-RI), regional (DPD-RI), and provincial (DPRD) parliaments; </w:t>
            </w:r>
          </w:p>
          <w:p w14:paraId="3ECBEA17" w14:textId="0CA3229A" w:rsidR="00A8418D" w:rsidRPr="00F01BDE" w:rsidRDefault="00A8418D" w:rsidP="00E74058">
            <w:pPr>
              <w:pStyle w:val="BodyText2"/>
              <w:numPr>
                <w:ilvl w:val="0"/>
                <w:numId w:val="24"/>
              </w:numPr>
              <w:jc w:val="both"/>
              <w:rPr>
                <w:rFonts w:asciiTheme="minorHAnsi" w:hAnsiTheme="minorHAnsi"/>
                <w:i/>
              </w:rPr>
            </w:pPr>
            <w:r w:rsidRPr="00F01BDE">
              <w:rPr>
                <w:rFonts w:asciiTheme="minorHAnsi" w:hAnsiTheme="minorHAnsi"/>
                <w:i/>
              </w:rPr>
              <w:lastRenderedPageBreak/>
              <w:t xml:space="preserve">% of women in Echelon 1 and 2 in central government institutions  (Executive); </w:t>
            </w:r>
          </w:p>
          <w:p w14:paraId="1137937A" w14:textId="7360DF1B" w:rsidR="00694F35" w:rsidRPr="00920DBC" w:rsidRDefault="00A8418D" w:rsidP="00E74058">
            <w:pPr>
              <w:pStyle w:val="BodyText2"/>
              <w:numPr>
                <w:ilvl w:val="0"/>
                <w:numId w:val="24"/>
              </w:numPr>
              <w:jc w:val="both"/>
              <w:rPr>
                <w:rFonts w:asciiTheme="minorHAnsi" w:hAnsiTheme="minorHAnsi"/>
                <w:i/>
              </w:rPr>
            </w:pPr>
            <w:r w:rsidRPr="00F01BDE">
              <w:rPr>
                <w:rFonts w:asciiTheme="minorHAnsi" w:hAnsiTheme="minorHAnsi"/>
                <w:i/>
              </w:rPr>
              <w:t>Level of political participation in decision making and supervision process</w:t>
            </w:r>
          </w:p>
        </w:tc>
        <w:tc>
          <w:tcPr>
            <w:tcW w:w="5490" w:type="dxa"/>
            <w:tcBorders>
              <w:bottom w:val="single" w:sz="4" w:space="0" w:color="auto"/>
            </w:tcBorders>
            <w:shd w:val="clear" w:color="auto" w:fill="auto"/>
          </w:tcPr>
          <w:p w14:paraId="1C216BDD" w14:textId="0DB79BC7" w:rsidR="00694F35" w:rsidRPr="003476A7" w:rsidRDefault="003476A7" w:rsidP="00E74058">
            <w:pPr>
              <w:pStyle w:val="BodyText2"/>
              <w:numPr>
                <w:ilvl w:val="0"/>
                <w:numId w:val="33"/>
              </w:numPr>
              <w:jc w:val="both"/>
              <w:rPr>
                <w:rFonts w:asciiTheme="minorHAnsi" w:hAnsiTheme="minorHAnsi"/>
                <w:i/>
              </w:rPr>
            </w:pPr>
            <w:r w:rsidRPr="003476A7">
              <w:rPr>
                <w:rFonts w:asciiTheme="minorHAnsi" w:hAnsiTheme="minorHAnsi"/>
                <w:i/>
              </w:rPr>
              <w:lastRenderedPageBreak/>
              <w:t xml:space="preserve">Baseline </w:t>
            </w:r>
            <w:r w:rsidR="0053698B" w:rsidRPr="0053698B">
              <w:rPr>
                <w:rFonts w:asciiTheme="minorHAnsi" w:hAnsiTheme="minorHAnsi"/>
                <w:i/>
              </w:rPr>
              <w:t>2009</w:t>
            </w:r>
            <w:r w:rsidR="0053698B">
              <w:rPr>
                <w:rFonts w:asciiTheme="minorHAnsi" w:hAnsiTheme="minorHAnsi"/>
                <w:i/>
              </w:rPr>
              <w:t>,</w:t>
            </w:r>
            <w:r w:rsidR="0053698B" w:rsidRPr="0053698B">
              <w:rPr>
                <w:rFonts w:asciiTheme="minorHAnsi" w:hAnsiTheme="minorHAnsi"/>
                <w:i/>
              </w:rPr>
              <w:t xml:space="preserve"> IDI score is 67.30 with particular challenges of political rights (54.60) and functioning democratic institutions (62.72)</w:t>
            </w:r>
            <w:r w:rsidR="0053698B">
              <w:rPr>
                <w:rFonts w:asciiTheme="minorHAnsi" w:hAnsiTheme="minorHAnsi"/>
                <w:i/>
              </w:rPr>
              <w:t>.</w:t>
            </w:r>
            <w:r w:rsidR="00694F35" w:rsidRPr="003476A7">
              <w:rPr>
                <w:rFonts w:asciiTheme="minorHAnsi" w:hAnsiTheme="minorHAnsi"/>
                <w:i/>
              </w:rPr>
              <w:t xml:space="preserve"> </w:t>
            </w:r>
            <w:r w:rsidRPr="003476A7">
              <w:rPr>
                <w:rFonts w:asciiTheme="minorHAnsi" w:hAnsiTheme="minorHAnsi"/>
                <w:i/>
              </w:rPr>
              <w:t xml:space="preserve">Currents status, regression, IDI is 63.72 (civil liberties score 79.00, political rights score 46.25, and </w:t>
            </w:r>
            <w:r w:rsidRPr="003476A7">
              <w:rPr>
                <w:rFonts w:asciiTheme="minorHAnsi" w:hAnsiTheme="minorHAnsi"/>
                <w:i/>
              </w:rPr>
              <w:lastRenderedPageBreak/>
              <w:t>institutions of democracy score 72.24); (IDI Score 2013, published in 2014)</w:t>
            </w:r>
          </w:p>
          <w:p w14:paraId="4933CE22" w14:textId="0132D90C" w:rsidR="00694F35" w:rsidRPr="0053698B" w:rsidRDefault="00607D5C" w:rsidP="00E74058">
            <w:pPr>
              <w:pStyle w:val="BodyText2"/>
              <w:numPr>
                <w:ilvl w:val="0"/>
                <w:numId w:val="33"/>
              </w:numPr>
              <w:jc w:val="both"/>
              <w:rPr>
                <w:rFonts w:asciiTheme="minorHAnsi" w:hAnsiTheme="minorHAnsi"/>
                <w:i/>
              </w:rPr>
            </w:pPr>
            <w:r>
              <w:rPr>
                <w:rFonts w:asciiTheme="minorHAnsi" w:hAnsiTheme="minorHAnsi"/>
                <w:i/>
              </w:rPr>
              <w:t>Baseline:</w:t>
            </w:r>
            <w:r w:rsidR="0053698B" w:rsidRPr="0053698B">
              <w:rPr>
                <w:rFonts w:asciiTheme="minorHAnsi" w:hAnsiTheme="minorHAnsi"/>
                <w:i/>
              </w:rPr>
              <w:t>18 % women in national parliament (DPR-RI), 13.53% women in provincial parliaments (DPRD), and 26.5% women in regional house of representative (DPD-RI) (Results of 2009 elections); Current Status, regression: 17.3% of women in the National Parliament DPR-RI), 14.6% in Provincial Parliaments (DPRD), and 25.8% in Regional House of Representatives (DPD-RI)</w:t>
            </w:r>
          </w:p>
          <w:p w14:paraId="510903BB" w14:textId="67D8012C" w:rsidR="00106A18" w:rsidRPr="00106A18" w:rsidRDefault="00106A18" w:rsidP="00E74058">
            <w:pPr>
              <w:pStyle w:val="BodyText2"/>
              <w:numPr>
                <w:ilvl w:val="0"/>
                <w:numId w:val="33"/>
              </w:numPr>
              <w:jc w:val="both"/>
              <w:rPr>
                <w:rFonts w:asciiTheme="minorHAnsi" w:hAnsiTheme="minorHAnsi"/>
                <w:i/>
              </w:rPr>
            </w:pPr>
            <w:r w:rsidRPr="00106A18">
              <w:rPr>
                <w:rFonts w:asciiTheme="minorHAnsi" w:hAnsiTheme="minorHAnsi"/>
                <w:i/>
              </w:rPr>
              <w:t xml:space="preserve">Baseline 2011, in central government, 8.7% women sit in echelon 1 and 7.1% women sit in echelon 2; Current Status, target reached, </w:t>
            </w:r>
            <w:r>
              <w:rPr>
                <w:rFonts w:asciiTheme="minorHAnsi" w:hAnsiTheme="minorHAnsi"/>
                <w:i/>
              </w:rPr>
              <w:t>a</w:t>
            </w:r>
            <w:r w:rsidRPr="00106A18">
              <w:rPr>
                <w:rFonts w:asciiTheme="minorHAnsi" w:hAnsiTheme="minorHAnsi"/>
                <w:i/>
              </w:rPr>
              <w:t>t the central government level, 20% of Echelon 1 positions are filled by women, and 15% of Echelon 2 positions are filled by women</w:t>
            </w:r>
          </w:p>
          <w:p w14:paraId="6377C7D0" w14:textId="3BDF2260" w:rsidR="00694F35" w:rsidRPr="00106A18" w:rsidRDefault="00106A18" w:rsidP="00B50E12">
            <w:pPr>
              <w:pStyle w:val="BodyText2"/>
              <w:numPr>
                <w:ilvl w:val="0"/>
                <w:numId w:val="33"/>
              </w:numPr>
              <w:jc w:val="both"/>
              <w:rPr>
                <w:rFonts w:asciiTheme="minorHAnsi" w:hAnsiTheme="minorHAnsi"/>
                <w:i/>
              </w:rPr>
            </w:pPr>
            <w:r w:rsidRPr="00106A18">
              <w:rPr>
                <w:rFonts w:asciiTheme="minorHAnsi" w:hAnsiTheme="minorHAnsi"/>
                <w:i/>
              </w:rPr>
              <w:t>Baseline 2011, according to Indonesia Democracy Index in 2009, the score for level of political participation in decision making and supervision process is 55.16. Current Status, regression: The score for level of political participation in decision making and supervision process is 45.61 (Source: 2013 IDI Score</w:t>
            </w:r>
            <w:r w:rsidR="00B50E12">
              <w:rPr>
                <w:rFonts w:asciiTheme="minorHAnsi" w:hAnsiTheme="minorHAnsi"/>
                <w:i/>
              </w:rPr>
              <w:t xml:space="preserve">, </w:t>
            </w:r>
            <w:r w:rsidRPr="00106A18">
              <w:rPr>
                <w:rFonts w:asciiTheme="minorHAnsi" w:hAnsiTheme="minorHAnsi"/>
                <w:i/>
              </w:rPr>
              <w:t xml:space="preserve">published in 2014]) </w:t>
            </w:r>
          </w:p>
        </w:tc>
      </w:tr>
      <w:tr w:rsidR="00694F35" w:rsidRPr="00DC7354" w14:paraId="11AC16FD" w14:textId="77777777" w:rsidTr="00694F35">
        <w:tc>
          <w:tcPr>
            <w:tcW w:w="14040" w:type="dxa"/>
            <w:gridSpan w:val="4"/>
          </w:tcPr>
          <w:p w14:paraId="07DBD6E6" w14:textId="3A4242F1" w:rsidR="00694F35" w:rsidRPr="00837C4B" w:rsidRDefault="00694F35" w:rsidP="00E74058">
            <w:pPr>
              <w:pStyle w:val="BodyText2"/>
              <w:jc w:val="both"/>
              <w:rPr>
                <w:rFonts w:asciiTheme="minorHAnsi" w:hAnsiTheme="minorHAnsi"/>
                <w:b/>
              </w:rPr>
            </w:pPr>
            <w:r w:rsidRPr="00837C4B">
              <w:rPr>
                <w:rFonts w:asciiTheme="minorHAnsi" w:hAnsiTheme="minorHAnsi"/>
                <w:b/>
              </w:rPr>
              <w:lastRenderedPageBreak/>
              <w:t>UNDP Contribution:</w:t>
            </w:r>
          </w:p>
          <w:p w14:paraId="1C2640DC" w14:textId="77777777" w:rsidR="00694F35" w:rsidRDefault="00694F35" w:rsidP="00E74058">
            <w:pPr>
              <w:pStyle w:val="BodyText2"/>
              <w:jc w:val="both"/>
              <w:rPr>
                <w:rFonts w:asciiTheme="minorHAnsi" w:hAnsiTheme="minorHAnsi"/>
              </w:rPr>
            </w:pPr>
          </w:p>
          <w:p w14:paraId="0292F7D7" w14:textId="77777777" w:rsidR="00694F35" w:rsidRPr="00537584" w:rsidRDefault="00694F35" w:rsidP="00E74058">
            <w:pPr>
              <w:pStyle w:val="BodyText2"/>
              <w:jc w:val="both"/>
              <w:rPr>
                <w:rFonts w:asciiTheme="minorHAnsi" w:hAnsiTheme="minorHAnsi"/>
                <w:sz w:val="24"/>
              </w:rPr>
            </w:pPr>
            <w:r w:rsidRPr="00537584">
              <w:rPr>
                <w:rFonts w:asciiTheme="minorHAnsi" w:hAnsiTheme="minorHAnsi"/>
                <w:sz w:val="24"/>
                <w:u w:val="single"/>
              </w:rPr>
              <w:t>CP Outputs</w:t>
            </w:r>
            <w:r w:rsidRPr="00537584">
              <w:rPr>
                <w:rFonts w:asciiTheme="minorHAnsi" w:hAnsiTheme="minorHAnsi"/>
                <w:sz w:val="24"/>
              </w:rPr>
              <w:t>:</w:t>
            </w:r>
          </w:p>
          <w:p w14:paraId="5B3AA442" w14:textId="7A36949D" w:rsidR="00694F35" w:rsidRPr="00537584" w:rsidRDefault="00694F35" w:rsidP="00E74058">
            <w:pPr>
              <w:pStyle w:val="BodyText2"/>
              <w:jc w:val="both"/>
              <w:rPr>
                <w:rFonts w:asciiTheme="minorHAnsi" w:hAnsiTheme="minorHAnsi"/>
                <w:i/>
                <w:sz w:val="24"/>
              </w:rPr>
            </w:pPr>
            <w:r w:rsidRPr="00537584">
              <w:rPr>
                <w:rFonts w:asciiTheme="minorHAnsi" w:hAnsiTheme="minorHAnsi"/>
                <w:i/>
                <w:sz w:val="24"/>
              </w:rPr>
              <w:t>The UNDP CP identified t</w:t>
            </w:r>
            <w:r w:rsidR="004D713F" w:rsidRPr="00537584">
              <w:rPr>
                <w:rFonts w:asciiTheme="minorHAnsi" w:hAnsiTheme="minorHAnsi"/>
                <w:i/>
                <w:sz w:val="24"/>
              </w:rPr>
              <w:t>wo</w:t>
            </w:r>
            <w:r w:rsidRPr="00537584">
              <w:rPr>
                <w:rFonts w:asciiTheme="minorHAnsi" w:hAnsiTheme="minorHAnsi"/>
                <w:i/>
                <w:sz w:val="24"/>
              </w:rPr>
              <w:t xml:space="preserve"> major outputs to support the Government in achieving this outcome: (a) </w:t>
            </w:r>
            <w:r w:rsidR="004475E6" w:rsidRPr="00537584">
              <w:rPr>
                <w:rFonts w:asciiTheme="minorHAnsi" w:hAnsiTheme="minorHAnsi"/>
                <w:i/>
                <w:sz w:val="24"/>
              </w:rPr>
              <w:t xml:space="preserve">National programme for the </w:t>
            </w:r>
            <w:r w:rsidR="00B50E12">
              <w:rPr>
                <w:rFonts w:asciiTheme="minorHAnsi" w:hAnsiTheme="minorHAnsi"/>
                <w:i/>
                <w:sz w:val="24"/>
              </w:rPr>
              <w:t>a</w:t>
            </w:r>
            <w:r w:rsidR="004475E6" w:rsidRPr="00537584">
              <w:rPr>
                <w:rFonts w:asciiTheme="minorHAnsi" w:hAnsiTheme="minorHAnsi"/>
                <w:i/>
                <w:sz w:val="24"/>
              </w:rPr>
              <w:t>dvancement of women in politics and government established and implemented</w:t>
            </w:r>
            <w:r w:rsidRPr="00537584">
              <w:rPr>
                <w:rFonts w:asciiTheme="minorHAnsi" w:hAnsiTheme="minorHAnsi"/>
                <w:i/>
                <w:sz w:val="24"/>
              </w:rPr>
              <w:t xml:space="preserve">, </w:t>
            </w:r>
            <w:r w:rsidR="004732D4" w:rsidRPr="00537584">
              <w:rPr>
                <w:rFonts w:asciiTheme="minorHAnsi" w:hAnsiTheme="minorHAnsi"/>
                <w:i/>
                <w:sz w:val="24"/>
              </w:rPr>
              <w:t xml:space="preserve">and </w:t>
            </w:r>
            <w:r w:rsidRPr="00537584">
              <w:rPr>
                <w:rFonts w:asciiTheme="minorHAnsi" w:hAnsiTheme="minorHAnsi"/>
                <w:i/>
                <w:sz w:val="24"/>
              </w:rPr>
              <w:t>(</w:t>
            </w:r>
            <w:r w:rsidR="00CF26FC" w:rsidRPr="00537584">
              <w:rPr>
                <w:rFonts w:asciiTheme="minorHAnsi" w:hAnsiTheme="minorHAnsi"/>
                <w:i/>
                <w:sz w:val="24"/>
              </w:rPr>
              <w:t>b</w:t>
            </w:r>
            <w:r w:rsidRPr="00537584">
              <w:rPr>
                <w:rFonts w:asciiTheme="minorHAnsi" w:hAnsiTheme="minorHAnsi"/>
                <w:i/>
                <w:sz w:val="24"/>
              </w:rPr>
              <w:t xml:space="preserve">) </w:t>
            </w:r>
            <w:r w:rsidR="000B1091" w:rsidRPr="00537584">
              <w:rPr>
                <w:rFonts w:asciiTheme="minorHAnsi" w:hAnsiTheme="minorHAnsi"/>
                <w:i/>
                <w:sz w:val="24"/>
              </w:rPr>
              <w:t>Participatory assessment tool to measure the level of democracy (national and provincial levels) produced and utilized for social and political development planning processes</w:t>
            </w:r>
            <w:r w:rsidR="00537584">
              <w:rPr>
                <w:rFonts w:asciiTheme="minorHAnsi" w:hAnsiTheme="minorHAnsi"/>
                <w:i/>
                <w:sz w:val="24"/>
              </w:rPr>
              <w:t>)</w:t>
            </w:r>
          </w:p>
          <w:p w14:paraId="73BC57CF" w14:textId="77777777" w:rsidR="00694F35" w:rsidRDefault="00694F35" w:rsidP="00E74058">
            <w:pPr>
              <w:pStyle w:val="BodyText2"/>
              <w:jc w:val="both"/>
              <w:rPr>
                <w:rFonts w:asciiTheme="minorHAnsi" w:hAnsiTheme="minorHAnsi"/>
              </w:rPr>
            </w:pPr>
          </w:p>
          <w:p w14:paraId="06ACA22A" w14:textId="094C968E" w:rsidR="001F098F" w:rsidRPr="00537584" w:rsidRDefault="00694F35" w:rsidP="00E74058">
            <w:pPr>
              <w:pStyle w:val="BodyText2"/>
              <w:jc w:val="both"/>
              <w:rPr>
                <w:rFonts w:asciiTheme="minorHAnsi" w:hAnsiTheme="minorHAnsi"/>
                <w:sz w:val="24"/>
              </w:rPr>
            </w:pPr>
            <w:r w:rsidRPr="00537584">
              <w:rPr>
                <w:rFonts w:asciiTheme="minorHAnsi" w:hAnsiTheme="minorHAnsi"/>
                <w:sz w:val="24"/>
                <w:u w:val="single"/>
              </w:rPr>
              <w:t>Progress and Achievements</w:t>
            </w:r>
            <w:r w:rsidRPr="00537584">
              <w:rPr>
                <w:rFonts w:asciiTheme="minorHAnsi" w:hAnsiTheme="minorHAnsi"/>
                <w:sz w:val="24"/>
              </w:rPr>
              <w:t>:</w:t>
            </w:r>
          </w:p>
          <w:p w14:paraId="2ECD3DA3" w14:textId="02FDC42D" w:rsidR="001F098F" w:rsidRPr="00537584" w:rsidRDefault="001F098F" w:rsidP="00E74058">
            <w:pPr>
              <w:pStyle w:val="BodyText2"/>
              <w:jc w:val="both"/>
              <w:rPr>
                <w:rFonts w:asciiTheme="minorHAnsi" w:hAnsiTheme="minorHAnsi"/>
                <w:i/>
                <w:sz w:val="24"/>
              </w:rPr>
            </w:pPr>
            <w:r w:rsidRPr="00537584">
              <w:rPr>
                <w:rFonts w:asciiTheme="minorHAnsi" w:hAnsiTheme="minorHAnsi"/>
                <w:b/>
                <w:i/>
                <w:sz w:val="24"/>
              </w:rPr>
              <w:t>Output (a) Women in politics and government:</w:t>
            </w:r>
            <w:r w:rsidRPr="00537584">
              <w:rPr>
                <w:rFonts w:asciiTheme="minorHAnsi" w:hAnsiTheme="minorHAnsi"/>
                <w:i/>
                <w:sz w:val="24"/>
              </w:rPr>
              <w:t xml:space="preserve"> UNDP has supported the Women’s Caucus, which was established by female national and sub-national parliamentarians and consists of all women elected as representatives to the National Parliament</w:t>
            </w:r>
            <w:r w:rsidR="00B50E12">
              <w:rPr>
                <w:rFonts w:asciiTheme="minorHAnsi" w:hAnsiTheme="minorHAnsi"/>
                <w:i/>
                <w:sz w:val="24"/>
              </w:rPr>
              <w:t xml:space="preserve">. The caucus </w:t>
            </w:r>
            <w:r w:rsidRPr="00537584">
              <w:rPr>
                <w:rFonts w:asciiTheme="minorHAnsi" w:hAnsiTheme="minorHAnsi"/>
                <w:i/>
                <w:sz w:val="24"/>
              </w:rPr>
              <w:t>has wide ranging aims</w:t>
            </w:r>
            <w:r w:rsidR="00B50E12">
              <w:rPr>
                <w:rFonts w:asciiTheme="minorHAnsi" w:hAnsiTheme="minorHAnsi"/>
                <w:i/>
                <w:sz w:val="24"/>
              </w:rPr>
              <w:t xml:space="preserve"> to promote</w:t>
            </w:r>
            <w:r w:rsidRPr="00537584">
              <w:rPr>
                <w:rFonts w:asciiTheme="minorHAnsi" w:hAnsiTheme="minorHAnsi"/>
                <w:i/>
                <w:sz w:val="24"/>
              </w:rPr>
              <w:t xml:space="preserve"> gender equality in Indonesia. </w:t>
            </w:r>
            <w:r w:rsidR="00640761" w:rsidRPr="00537584">
              <w:rPr>
                <w:rFonts w:asciiTheme="minorHAnsi" w:hAnsiTheme="minorHAnsi"/>
                <w:i/>
                <w:sz w:val="24"/>
              </w:rPr>
              <w:t>I</w:t>
            </w:r>
            <w:r w:rsidRPr="00537584">
              <w:rPr>
                <w:rFonts w:asciiTheme="minorHAnsi" w:hAnsiTheme="minorHAnsi"/>
                <w:i/>
                <w:sz w:val="24"/>
              </w:rPr>
              <w:t>n 2014, UNDP</w:t>
            </w:r>
            <w:r w:rsidR="00E278CA">
              <w:rPr>
                <w:rFonts w:asciiTheme="minorHAnsi" w:hAnsiTheme="minorHAnsi"/>
                <w:i/>
                <w:sz w:val="24"/>
              </w:rPr>
              <w:t xml:space="preserve"> partnered with the Ministry of Women’s Empowerment and Child Protection on </w:t>
            </w:r>
            <w:r w:rsidRPr="00537584">
              <w:rPr>
                <w:rFonts w:asciiTheme="minorHAnsi" w:hAnsiTheme="minorHAnsi"/>
                <w:i/>
                <w:sz w:val="24"/>
              </w:rPr>
              <w:t>a public campaign to influence voter behaviour in favour of</w:t>
            </w:r>
            <w:r w:rsidR="00640761" w:rsidRPr="00537584">
              <w:rPr>
                <w:rFonts w:asciiTheme="minorHAnsi" w:hAnsiTheme="minorHAnsi"/>
                <w:i/>
                <w:sz w:val="24"/>
              </w:rPr>
              <w:t xml:space="preserve"> </w:t>
            </w:r>
            <w:r w:rsidRPr="00537584">
              <w:rPr>
                <w:rFonts w:asciiTheme="minorHAnsi" w:hAnsiTheme="minorHAnsi"/>
                <w:i/>
                <w:sz w:val="24"/>
              </w:rPr>
              <w:t>supporting women candidates in targeted provinces. Partly as a result of these efforts, the total proportion of women elected to subnational parliaments in the targeted regions is 3 percentage</w:t>
            </w:r>
            <w:r w:rsidR="00640761" w:rsidRPr="00537584">
              <w:rPr>
                <w:rFonts w:asciiTheme="minorHAnsi" w:hAnsiTheme="minorHAnsi"/>
                <w:i/>
                <w:sz w:val="24"/>
              </w:rPr>
              <w:t xml:space="preserve"> </w:t>
            </w:r>
            <w:r w:rsidRPr="00537584">
              <w:rPr>
                <w:rFonts w:asciiTheme="minorHAnsi" w:hAnsiTheme="minorHAnsi"/>
                <w:i/>
                <w:sz w:val="24"/>
              </w:rPr>
              <w:t>points higher than the national parliament (20.2 vs</w:t>
            </w:r>
            <w:r w:rsidR="00537584">
              <w:rPr>
                <w:rFonts w:asciiTheme="minorHAnsi" w:hAnsiTheme="minorHAnsi"/>
                <w:i/>
                <w:sz w:val="24"/>
              </w:rPr>
              <w:t>.</w:t>
            </w:r>
            <w:r w:rsidRPr="00537584">
              <w:rPr>
                <w:rFonts w:asciiTheme="minorHAnsi" w:hAnsiTheme="minorHAnsi"/>
                <w:i/>
                <w:sz w:val="24"/>
              </w:rPr>
              <w:t xml:space="preserve"> 17.3%). Likewise, the proportion of women elected to targeted provincial parliaments is 1 percentage point </w:t>
            </w:r>
            <w:r w:rsidRPr="00537584">
              <w:rPr>
                <w:rFonts w:asciiTheme="minorHAnsi" w:hAnsiTheme="minorHAnsi"/>
                <w:i/>
                <w:sz w:val="24"/>
              </w:rPr>
              <w:lastRenderedPageBreak/>
              <w:t>higher than the national average</w:t>
            </w:r>
            <w:r w:rsidR="00640761" w:rsidRPr="00537584">
              <w:rPr>
                <w:rFonts w:asciiTheme="minorHAnsi" w:hAnsiTheme="minorHAnsi"/>
                <w:i/>
                <w:sz w:val="24"/>
              </w:rPr>
              <w:t xml:space="preserve"> </w:t>
            </w:r>
            <w:r w:rsidRPr="00537584">
              <w:rPr>
                <w:rFonts w:asciiTheme="minorHAnsi" w:hAnsiTheme="minorHAnsi"/>
                <w:i/>
                <w:sz w:val="24"/>
              </w:rPr>
              <w:t>(16.8 vs</w:t>
            </w:r>
            <w:r w:rsidR="00537584">
              <w:rPr>
                <w:rFonts w:asciiTheme="minorHAnsi" w:hAnsiTheme="minorHAnsi"/>
                <w:i/>
                <w:sz w:val="24"/>
              </w:rPr>
              <w:t>.</w:t>
            </w:r>
            <w:r w:rsidRPr="00537584">
              <w:rPr>
                <w:rFonts w:asciiTheme="minorHAnsi" w:hAnsiTheme="minorHAnsi"/>
                <w:i/>
                <w:sz w:val="24"/>
              </w:rPr>
              <w:t xml:space="preserve"> 15.8 %), whilst the proportion of women elected to targeted district/city parliaments is 3.2 percentage points higher than the national average (17.4 vs</w:t>
            </w:r>
            <w:r w:rsidR="00537584">
              <w:rPr>
                <w:rFonts w:asciiTheme="minorHAnsi" w:hAnsiTheme="minorHAnsi"/>
                <w:i/>
                <w:sz w:val="24"/>
              </w:rPr>
              <w:t>.</w:t>
            </w:r>
            <w:r w:rsidRPr="00537584">
              <w:rPr>
                <w:rFonts w:asciiTheme="minorHAnsi" w:hAnsiTheme="minorHAnsi"/>
                <w:i/>
                <w:sz w:val="24"/>
              </w:rPr>
              <w:t xml:space="preserve"> 14.2 %). The success of the</w:t>
            </w:r>
          </w:p>
          <w:p w14:paraId="2D42E972" w14:textId="1B20E9B9" w:rsidR="001F098F" w:rsidRPr="00537584" w:rsidRDefault="00537584" w:rsidP="00E74058">
            <w:pPr>
              <w:pStyle w:val="BodyText2"/>
              <w:jc w:val="both"/>
              <w:rPr>
                <w:rFonts w:asciiTheme="minorHAnsi" w:hAnsiTheme="minorHAnsi"/>
                <w:i/>
                <w:sz w:val="24"/>
              </w:rPr>
            </w:pPr>
            <w:r w:rsidRPr="00537584">
              <w:rPr>
                <w:rFonts w:asciiTheme="minorHAnsi" w:hAnsiTheme="minorHAnsi"/>
                <w:i/>
                <w:sz w:val="24"/>
              </w:rPr>
              <w:t>Public</w:t>
            </w:r>
            <w:r w:rsidR="001F098F" w:rsidRPr="00537584">
              <w:rPr>
                <w:rFonts w:asciiTheme="minorHAnsi" w:hAnsiTheme="minorHAnsi"/>
                <w:i/>
                <w:sz w:val="24"/>
              </w:rPr>
              <w:t xml:space="preserve"> campaign shows that regulatory changes are not enough to advance women’s role within politics – concrete initiatives to support women and influence </w:t>
            </w:r>
            <w:r w:rsidRPr="00537584">
              <w:rPr>
                <w:rFonts w:asciiTheme="minorHAnsi" w:hAnsiTheme="minorHAnsi"/>
                <w:i/>
                <w:sz w:val="24"/>
              </w:rPr>
              <w:t>behavioral</w:t>
            </w:r>
            <w:r w:rsidR="001F098F" w:rsidRPr="00537584">
              <w:rPr>
                <w:rFonts w:asciiTheme="minorHAnsi" w:hAnsiTheme="minorHAnsi"/>
                <w:i/>
                <w:sz w:val="24"/>
              </w:rPr>
              <w:t xml:space="preserve"> changes among the</w:t>
            </w:r>
            <w:r w:rsidR="00640761" w:rsidRPr="00537584">
              <w:rPr>
                <w:rFonts w:asciiTheme="minorHAnsi" w:hAnsiTheme="minorHAnsi"/>
                <w:i/>
                <w:sz w:val="24"/>
              </w:rPr>
              <w:t xml:space="preserve"> </w:t>
            </w:r>
            <w:r w:rsidR="001F098F" w:rsidRPr="00537584">
              <w:rPr>
                <w:rFonts w:asciiTheme="minorHAnsi" w:hAnsiTheme="minorHAnsi"/>
                <w:i/>
                <w:sz w:val="24"/>
              </w:rPr>
              <w:t>electorate are also needed.</w:t>
            </w:r>
          </w:p>
          <w:p w14:paraId="2AEA8B36" w14:textId="77777777" w:rsidR="001F098F" w:rsidRPr="00537584" w:rsidRDefault="001F098F" w:rsidP="00E74058">
            <w:pPr>
              <w:pStyle w:val="BodyText2"/>
              <w:jc w:val="both"/>
              <w:rPr>
                <w:rFonts w:asciiTheme="minorHAnsi" w:hAnsiTheme="minorHAnsi"/>
                <w:i/>
                <w:sz w:val="24"/>
              </w:rPr>
            </w:pPr>
          </w:p>
          <w:p w14:paraId="27D5DB0F" w14:textId="70122B05" w:rsidR="001F098F" w:rsidRPr="00537584" w:rsidRDefault="001F098F" w:rsidP="00E74058">
            <w:pPr>
              <w:pStyle w:val="BodyText2"/>
              <w:jc w:val="both"/>
              <w:rPr>
                <w:rFonts w:asciiTheme="minorHAnsi" w:hAnsiTheme="minorHAnsi"/>
                <w:i/>
                <w:sz w:val="24"/>
              </w:rPr>
            </w:pPr>
            <w:r w:rsidRPr="00537584">
              <w:rPr>
                <w:rFonts w:asciiTheme="minorHAnsi" w:hAnsiTheme="minorHAnsi"/>
                <w:b/>
                <w:i/>
                <w:sz w:val="24"/>
              </w:rPr>
              <w:t>Output (</w:t>
            </w:r>
            <w:r w:rsidR="00CF26FC" w:rsidRPr="00537584">
              <w:rPr>
                <w:rFonts w:asciiTheme="minorHAnsi" w:hAnsiTheme="minorHAnsi"/>
                <w:b/>
                <w:i/>
                <w:sz w:val="24"/>
              </w:rPr>
              <w:t>b</w:t>
            </w:r>
            <w:r w:rsidRPr="00537584">
              <w:rPr>
                <w:rFonts w:asciiTheme="minorHAnsi" w:hAnsiTheme="minorHAnsi"/>
                <w:b/>
                <w:i/>
                <w:sz w:val="24"/>
              </w:rPr>
              <w:t>) Participatory assessment tool for democracy:</w:t>
            </w:r>
            <w:r w:rsidR="00CF26FC" w:rsidRPr="00537584">
              <w:rPr>
                <w:rFonts w:asciiTheme="minorHAnsi" w:hAnsiTheme="minorHAnsi"/>
                <w:i/>
                <w:sz w:val="24"/>
              </w:rPr>
              <w:t xml:space="preserve"> UNDP has worked with the Government since 2007 to develop the IDI</w:t>
            </w:r>
            <w:r w:rsidR="00537584">
              <w:rPr>
                <w:rFonts w:asciiTheme="minorHAnsi" w:hAnsiTheme="minorHAnsi"/>
                <w:i/>
                <w:sz w:val="24"/>
              </w:rPr>
              <w:t xml:space="preserve"> (Indonesia Democracy Index)</w:t>
            </w:r>
            <w:r w:rsidR="00CF26FC" w:rsidRPr="00537584">
              <w:rPr>
                <w:rFonts w:asciiTheme="minorHAnsi" w:hAnsiTheme="minorHAnsi"/>
                <w:i/>
                <w:sz w:val="24"/>
              </w:rPr>
              <w:t>. To date, 6 indexes have been produced. The IDI was developed as an alternative to democracy indexes by Freedom House and the Economic Intelligence Unit. Unlike these indexes, the IDI examines subnational disparities in progress, which means its results can better feed into subnational policymaking and programming. Since 2013,</w:t>
            </w:r>
            <w:r w:rsidR="00537584">
              <w:rPr>
                <w:rFonts w:asciiTheme="minorHAnsi" w:hAnsiTheme="minorHAnsi"/>
                <w:i/>
                <w:sz w:val="24"/>
              </w:rPr>
              <w:t xml:space="preserve"> </w:t>
            </w:r>
            <w:r w:rsidR="00CF26FC" w:rsidRPr="00537584">
              <w:rPr>
                <w:rFonts w:asciiTheme="minorHAnsi" w:hAnsiTheme="minorHAnsi"/>
                <w:i/>
                <w:sz w:val="24"/>
              </w:rPr>
              <w:t xml:space="preserve">UNDP </w:t>
            </w:r>
            <w:r w:rsidR="00802EAF">
              <w:rPr>
                <w:rFonts w:asciiTheme="minorHAnsi" w:hAnsiTheme="minorHAnsi"/>
                <w:i/>
                <w:sz w:val="24"/>
              </w:rPr>
              <w:t xml:space="preserve">and Bappenas </w:t>
            </w:r>
            <w:r w:rsidR="00CF26FC" w:rsidRPr="00537584">
              <w:rPr>
                <w:rFonts w:asciiTheme="minorHAnsi" w:hAnsiTheme="minorHAnsi"/>
                <w:i/>
                <w:sz w:val="24"/>
              </w:rPr>
              <w:t>ha</w:t>
            </w:r>
            <w:r w:rsidR="00802EAF">
              <w:rPr>
                <w:rFonts w:asciiTheme="minorHAnsi" w:hAnsiTheme="minorHAnsi"/>
                <w:i/>
                <w:sz w:val="24"/>
              </w:rPr>
              <w:t>ve</w:t>
            </w:r>
            <w:r w:rsidR="00CF26FC" w:rsidRPr="00537584">
              <w:rPr>
                <w:rFonts w:asciiTheme="minorHAnsi" w:hAnsiTheme="minorHAnsi"/>
                <w:i/>
                <w:sz w:val="24"/>
              </w:rPr>
              <w:t xml:space="preserve"> directed more resources towards strengthening the capacities of subnational governments to utilize IDI results.</w:t>
            </w:r>
            <w:r w:rsidR="00537584">
              <w:rPr>
                <w:rFonts w:asciiTheme="minorHAnsi" w:hAnsiTheme="minorHAnsi"/>
                <w:i/>
                <w:sz w:val="24"/>
              </w:rPr>
              <w:t xml:space="preserve"> </w:t>
            </w:r>
            <w:r w:rsidR="00CF26FC" w:rsidRPr="00537584">
              <w:rPr>
                <w:rFonts w:asciiTheme="minorHAnsi" w:hAnsiTheme="minorHAnsi"/>
                <w:i/>
                <w:sz w:val="24"/>
              </w:rPr>
              <w:t>These efforts have paid off. Of the 20 provinces targeted for support during 2011-2014, 11 are now utilizing the index to develop policies and pro</w:t>
            </w:r>
            <w:r w:rsidR="00537584">
              <w:rPr>
                <w:rFonts w:asciiTheme="minorHAnsi" w:hAnsiTheme="minorHAnsi"/>
                <w:i/>
                <w:sz w:val="24"/>
              </w:rPr>
              <w:t>grammes to strengthen democracy</w:t>
            </w:r>
            <w:r w:rsidR="00CF26FC" w:rsidRPr="00537584">
              <w:rPr>
                <w:rFonts w:asciiTheme="minorHAnsi" w:hAnsiTheme="minorHAnsi"/>
                <w:i/>
                <w:sz w:val="24"/>
              </w:rPr>
              <w:t xml:space="preserve">. </w:t>
            </w:r>
            <w:r w:rsidR="00802EAF">
              <w:rPr>
                <w:rFonts w:asciiTheme="minorHAnsi" w:hAnsiTheme="minorHAnsi"/>
                <w:i/>
                <w:sz w:val="24"/>
              </w:rPr>
              <w:t>T</w:t>
            </w:r>
            <w:r w:rsidR="00CF26FC" w:rsidRPr="00537584">
              <w:rPr>
                <w:rFonts w:asciiTheme="minorHAnsi" w:hAnsiTheme="minorHAnsi"/>
                <w:i/>
                <w:sz w:val="24"/>
              </w:rPr>
              <w:t xml:space="preserve">he new National Mid-Term Development </w:t>
            </w:r>
            <w:r w:rsidR="00537584">
              <w:rPr>
                <w:rFonts w:asciiTheme="minorHAnsi" w:hAnsiTheme="minorHAnsi"/>
                <w:i/>
                <w:sz w:val="24"/>
              </w:rPr>
              <w:t>Plan (RPJMN), like the previous</w:t>
            </w:r>
            <w:r w:rsidR="00CF26FC" w:rsidRPr="00537584">
              <w:rPr>
                <w:rFonts w:asciiTheme="minorHAnsi" w:hAnsiTheme="minorHAnsi"/>
                <w:i/>
                <w:sz w:val="24"/>
              </w:rPr>
              <w:t xml:space="preserve">, also includes the IDI as a development indicator and target. </w:t>
            </w:r>
            <w:r w:rsidR="00802EAF">
              <w:rPr>
                <w:rFonts w:asciiTheme="minorHAnsi" w:hAnsiTheme="minorHAnsi"/>
                <w:i/>
                <w:sz w:val="24"/>
              </w:rPr>
              <w:t>The Mid Term Evaluation of the Country Programme observed that r</w:t>
            </w:r>
            <w:r w:rsidR="00CF26FC" w:rsidRPr="00537584">
              <w:rPr>
                <w:rFonts w:asciiTheme="minorHAnsi" w:hAnsiTheme="minorHAnsi"/>
                <w:i/>
                <w:sz w:val="24"/>
              </w:rPr>
              <w:t>ecent social and political development</w:t>
            </w:r>
            <w:r w:rsidR="00B50E12">
              <w:rPr>
                <w:rFonts w:asciiTheme="minorHAnsi" w:hAnsiTheme="minorHAnsi"/>
                <w:i/>
                <w:sz w:val="24"/>
              </w:rPr>
              <w:t>s in Indonesia</w:t>
            </w:r>
            <w:r w:rsidR="00CF26FC" w:rsidRPr="00537584">
              <w:rPr>
                <w:rFonts w:asciiTheme="minorHAnsi" w:hAnsiTheme="minorHAnsi"/>
                <w:i/>
                <w:sz w:val="24"/>
              </w:rPr>
              <w:t xml:space="preserve"> indicate </w:t>
            </w:r>
            <w:r w:rsidR="00802EAF">
              <w:rPr>
                <w:rFonts w:asciiTheme="minorHAnsi" w:hAnsiTheme="minorHAnsi"/>
                <w:i/>
                <w:sz w:val="24"/>
              </w:rPr>
              <w:t xml:space="preserve">that </w:t>
            </w:r>
            <w:r w:rsidR="00CF26FC" w:rsidRPr="00537584">
              <w:rPr>
                <w:rFonts w:asciiTheme="minorHAnsi" w:hAnsiTheme="minorHAnsi"/>
                <w:i/>
                <w:sz w:val="24"/>
              </w:rPr>
              <w:t>democracy-building is far from over. It might take some time, but initiatives such as the IDI can contribute to democratic development.</w:t>
            </w:r>
            <w:r w:rsidRPr="00537584">
              <w:rPr>
                <w:rFonts w:asciiTheme="minorHAnsi" w:hAnsiTheme="minorHAnsi"/>
                <w:i/>
                <w:sz w:val="24"/>
              </w:rPr>
              <w:t xml:space="preserve"> </w:t>
            </w:r>
          </w:p>
          <w:p w14:paraId="524191F5" w14:textId="77777777" w:rsidR="001F098F" w:rsidRPr="00537584" w:rsidRDefault="001F098F" w:rsidP="00E74058">
            <w:pPr>
              <w:pStyle w:val="BodyText2"/>
              <w:jc w:val="both"/>
              <w:rPr>
                <w:rFonts w:asciiTheme="minorHAnsi" w:hAnsiTheme="minorHAnsi"/>
                <w:i/>
                <w:sz w:val="24"/>
              </w:rPr>
            </w:pPr>
          </w:p>
          <w:p w14:paraId="19FBB3B7" w14:textId="45CF567E" w:rsidR="00880F28" w:rsidRDefault="00880F28" w:rsidP="00E74058">
            <w:pPr>
              <w:pStyle w:val="BodyText2"/>
              <w:jc w:val="both"/>
              <w:rPr>
                <w:rFonts w:asciiTheme="minorHAnsi" w:hAnsiTheme="minorHAnsi"/>
                <w:i/>
                <w:sz w:val="24"/>
              </w:rPr>
            </w:pPr>
            <w:r w:rsidRPr="00537584">
              <w:rPr>
                <w:rFonts w:asciiTheme="minorHAnsi" w:hAnsiTheme="minorHAnsi"/>
                <w:b/>
                <w:i/>
                <w:sz w:val="24"/>
              </w:rPr>
              <w:t>Gender:</w:t>
            </w:r>
            <w:r w:rsidRPr="00537584">
              <w:rPr>
                <w:rFonts w:asciiTheme="minorHAnsi" w:hAnsiTheme="minorHAnsi"/>
                <w:i/>
                <w:sz w:val="24"/>
              </w:rPr>
              <w:t xml:space="preserve"> Women MP Candidates Promo</w:t>
            </w:r>
            <w:r w:rsidR="00B50E12">
              <w:rPr>
                <w:rFonts w:asciiTheme="minorHAnsi" w:hAnsiTheme="minorHAnsi"/>
                <w:i/>
                <w:sz w:val="24"/>
              </w:rPr>
              <w:t>ted.</w:t>
            </w:r>
            <w:r w:rsidRPr="00537584">
              <w:rPr>
                <w:rFonts w:asciiTheme="minorHAnsi" w:hAnsiTheme="minorHAnsi"/>
                <w:i/>
                <w:sz w:val="24"/>
              </w:rPr>
              <w:t xml:space="preserve"> UNDP </w:t>
            </w:r>
            <w:r w:rsidR="00802EAF">
              <w:rPr>
                <w:rFonts w:asciiTheme="minorHAnsi" w:hAnsiTheme="minorHAnsi"/>
                <w:i/>
                <w:sz w:val="24"/>
              </w:rPr>
              <w:t xml:space="preserve">supported the Ministry of Women’s Empowerment and Child Protection to </w:t>
            </w:r>
            <w:r w:rsidRPr="00537584">
              <w:rPr>
                <w:rFonts w:asciiTheme="minorHAnsi" w:hAnsiTheme="minorHAnsi"/>
                <w:i/>
                <w:sz w:val="24"/>
              </w:rPr>
              <w:t xml:space="preserve">launch a successful public campaign that influenced voters to elect women candidates to targeted provincial and district parliaments. UNDP also </w:t>
            </w:r>
            <w:r w:rsidR="00802EAF">
              <w:rPr>
                <w:rFonts w:asciiTheme="minorHAnsi" w:hAnsiTheme="minorHAnsi"/>
                <w:i/>
                <w:sz w:val="24"/>
              </w:rPr>
              <w:t xml:space="preserve">supported the </w:t>
            </w:r>
            <w:r w:rsidRPr="00537584">
              <w:rPr>
                <w:rFonts w:asciiTheme="minorHAnsi" w:hAnsiTheme="minorHAnsi"/>
                <w:i/>
                <w:sz w:val="24"/>
              </w:rPr>
              <w:t>train</w:t>
            </w:r>
            <w:r w:rsidR="00802EAF">
              <w:rPr>
                <w:rFonts w:asciiTheme="minorHAnsi" w:hAnsiTheme="minorHAnsi"/>
                <w:i/>
                <w:sz w:val="24"/>
              </w:rPr>
              <w:t>ing of</w:t>
            </w:r>
            <w:r w:rsidRPr="00537584">
              <w:rPr>
                <w:rFonts w:asciiTheme="minorHAnsi" w:hAnsiTheme="minorHAnsi"/>
                <w:i/>
                <w:sz w:val="24"/>
              </w:rPr>
              <w:t xml:space="preserve"> women MP candidates to brand themselves and to run effective political campaigns to get elected to parliament. </w:t>
            </w:r>
            <w:r w:rsidR="00B50E12">
              <w:rPr>
                <w:rFonts w:asciiTheme="minorHAnsi" w:hAnsiTheme="minorHAnsi"/>
                <w:i/>
                <w:sz w:val="24"/>
              </w:rPr>
              <w:t>There was also i</w:t>
            </w:r>
            <w:r w:rsidRPr="00537584">
              <w:rPr>
                <w:rFonts w:asciiTheme="minorHAnsi" w:hAnsiTheme="minorHAnsi"/>
                <w:i/>
                <w:sz w:val="24"/>
              </w:rPr>
              <w:t xml:space="preserve">ncreased </w:t>
            </w:r>
            <w:r w:rsidR="00B50E12">
              <w:rPr>
                <w:rFonts w:asciiTheme="minorHAnsi" w:hAnsiTheme="minorHAnsi"/>
                <w:i/>
                <w:sz w:val="24"/>
              </w:rPr>
              <w:t>c</w:t>
            </w:r>
            <w:r w:rsidRPr="00537584">
              <w:rPr>
                <w:rFonts w:asciiTheme="minorHAnsi" w:hAnsiTheme="minorHAnsi"/>
                <w:i/>
                <w:sz w:val="24"/>
              </w:rPr>
              <w:t xml:space="preserve">apacity </w:t>
            </w:r>
            <w:r w:rsidR="00B50E12">
              <w:rPr>
                <w:rFonts w:asciiTheme="minorHAnsi" w:hAnsiTheme="minorHAnsi"/>
                <w:i/>
                <w:sz w:val="24"/>
              </w:rPr>
              <w:t>d</w:t>
            </w:r>
            <w:r w:rsidRPr="00537584">
              <w:rPr>
                <w:rFonts w:asciiTheme="minorHAnsi" w:hAnsiTheme="minorHAnsi"/>
                <w:i/>
                <w:sz w:val="24"/>
              </w:rPr>
              <w:t xml:space="preserve">emonstrated by </w:t>
            </w:r>
            <w:r w:rsidR="00B50E12">
              <w:rPr>
                <w:rFonts w:asciiTheme="minorHAnsi" w:hAnsiTheme="minorHAnsi"/>
                <w:i/>
                <w:sz w:val="24"/>
              </w:rPr>
              <w:t>w</w:t>
            </w:r>
            <w:r w:rsidRPr="00537584">
              <w:rPr>
                <w:rFonts w:asciiTheme="minorHAnsi" w:hAnsiTheme="minorHAnsi"/>
                <w:i/>
                <w:sz w:val="24"/>
              </w:rPr>
              <w:t xml:space="preserve">omen MPs to </w:t>
            </w:r>
            <w:r w:rsidR="00B50E12">
              <w:rPr>
                <w:rFonts w:asciiTheme="minorHAnsi" w:hAnsiTheme="minorHAnsi"/>
                <w:i/>
                <w:sz w:val="24"/>
              </w:rPr>
              <w:t>u</w:t>
            </w:r>
            <w:r w:rsidRPr="00537584">
              <w:rPr>
                <w:rFonts w:asciiTheme="minorHAnsi" w:hAnsiTheme="minorHAnsi"/>
                <w:i/>
                <w:sz w:val="24"/>
              </w:rPr>
              <w:t xml:space="preserve">ndertake their </w:t>
            </w:r>
            <w:r w:rsidR="00B50E12">
              <w:rPr>
                <w:rFonts w:asciiTheme="minorHAnsi" w:hAnsiTheme="minorHAnsi"/>
                <w:i/>
                <w:sz w:val="24"/>
              </w:rPr>
              <w:t>f</w:t>
            </w:r>
            <w:r w:rsidRPr="00537584">
              <w:rPr>
                <w:rFonts w:asciiTheme="minorHAnsi" w:hAnsiTheme="minorHAnsi"/>
                <w:i/>
                <w:sz w:val="24"/>
              </w:rPr>
              <w:t xml:space="preserve">unctions </w:t>
            </w:r>
            <w:r w:rsidR="00B50E12">
              <w:rPr>
                <w:rFonts w:asciiTheme="minorHAnsi" w:hAnsiTheme="minorHAnsi"/>
                <w:i/>
                <w:sz w:val="24"/>
              </w:rPr>
              <w:t>a</w:t>
            </w:r>
            <w:r w:rsidRPr="00537584">
              <w:rPr>
                <w:rFonts w:asciiTheme="minorHAnsi" w:hAnsiTheme="minorHAnsi"/>
                <w:i/>
                <w:sz w:val="24"/>
              </w:rPr>
              <w:t>fter the April 2014 elections</w:t>
            </w:r>
            <w:r w:rsidR="00B50E12">
              <w:rPr>
                <w:rFonts w:asciiTheme="minorHAnsi" w:hAnsiTheme="minorHAnsi"/>
                <w:i/>
                <w:sz w:val="24"/>
              </w:rPr>
              <w:t xml:space="preserve">. </w:t>
            </w:r>
            <w:r w:rsidR="00802EAF">
              <w:rPr>
                <w:rFonts w:asciiTheme="minorHAnsi" w:hAnsiTheme="minorHAnsi"/>
                <w:i/>
                <w:sz w:val="24"/>
              </w:rPr>
              <w:t>The GoI-</w:t>
            </w:r>
            <w:r w:rsidRPr="00537584">
              <w:rPr>
                <w:rFonts w:asciiTheme="minorHAnsi" w:hAnsiTheme="minorHAnsi"/>
                <w:i/>
                <w:sz w:val="24"/>
              </w:rPr>
              <w:t>UNDP</w:t>
            </w:r>
            <w:r w:rsidR="00802EAF">
              <w:rPr>
                <w:rFonts w:asciiTheme="minorHAnsi" w:hAnsiTheme="minorHAnsi"/>
                <w:i/>
                <w:sz w:val="24"/>
              </w:rPr>
              <w:t xml:space="preserve"> project</w:t>
            </w:r>
            <w:r w:rsidRPr="00537584">
              <w:rPr>
                <w:rFonts w:asciiTheme="minorHAnsi" w:hAnsiTheme="minorHAnsi"/>
                <w:i/>
                <w:sz w:val="24"/>
              </w:rPr>
              <w:t xml:space="preserve"> provided support to elected women MPs (mainly new MPs) within the National Parliament, Regional House of Representatives, and targeted provincial and district parliaments, to undertake their legislative, oversight and budgetary functions. In addition, </w:t>
            </w:r>
            <w:r w:rsidR="00802EAF">
              <w:rPr>
                <w:rFonts w:asciiTheme="minorHAnsi" w:hAnsiTheme="minorHAnsi"/>
                <w:i/>
                <w:sz w:val="24"/>
              </w:rPr>
              <w:t xml:space="preserve">the project </w:t>
            </w:r>
            <w:r w:rsidR="00B50E12">
              <w:rPr>
                <w:rFonts w:asciiTheme="minorHAnsi" w:hAnsiTheme="minorHAnsi"/>
                <w:i/>
                <w:sz w:val="24"/>
              </w:rPr>
              <w:t xml:space="preserve">helped </w:t>
            </w:r>
            <w:r w:rsidRPr="00537584">
              <w:rPr>
                <w:rFonts w:asciiTheme="minorHAnsi" w:hAnsiTheme="minorHAnsi"/>
                <w:i/>
                <w:sz w:val="24"/>
              </w:rPr>
              <w:t>strengthen women MPs knowledge of i) decentralization issues, ii) gender mainstreaming, and iii) communication skills. According to the results of pre- and post- tests, targeted women MP’s knowledge on their basic functions, and these three issues, increased by 44.6 percent.</w:t>
            </w:r>
          </w:p>
          <w:p w14:paraId="3A560935" w14:textId="261F4DE3" w:rsidR="0020236C" w:rsidRPr="0020236C" w:rsidRDefault="0020236C" w:rsidP="00E74058">
            <w:pPr>
              <w:pStyle w:val="BodyText2"/>
              <w:jc w:val="both"/>
              <w:rPr>
                <w:rFonts w:asciiTheme="minorHAnsi" w:hAnsiTheme="minorHAnsi"/>
                <w:i/>
                <w:sz w:val="24"/>
              </w:rPr>
            </w:pPr>
          </w:p>
        </w:tc>
      </w:tr>
      <w:tr w:rsidR="00694F35" w:rsidRPr="00DC7354" w14:paraId="497257FC" w14:textId="77777777" w:rsidTr="00694F35">
        <w:tc>
          <w:tcPr>
            <w:tcW w:w="3150" w:type="dxa"/>
            <w:tcBorders>
              <w:bottom w:val="single" w:sz="4" w:space="0" w:color="auto"/>
            </w:tcBorders>
            <w:shd w:val="clear" w:color="auto" w:fill="95B3D7" w:themeFill="accent1" w:themeFillTint="99"/>
          </w:tcPr>
          <w:p w14:paraId="11FAAE7F" w14:textId="27809395" w:rsidR="00694F35" w:rsidRPr="00347861" w:rsidRDefault="0047429E" w:rsidP="00E74058">
            <w:pPr>
              <w:pStyle w:val="BodyText2"/>
              <w:jc w:val="both"/>
              <w:rPr>
                <w:rFonts w:asciiTheme="minorHAnsi" w:hAnsiTheme="minorHAnsi"/>
                <w:b/>
                <w:i/>
              </w:rPr>
            </w:pPr>
            <w:r w:rsidRPr="00347861">
              <w:rPr>
                <w:rFonts w:asciiTheme="minorHAnsi" w:hAnsiTheme="minorHAnsi"/>
                <w:b/>
                <w:i/>
              </w:rPr>
              <w:lastRenderedPageBreak/>
              <w:t>6</w:t>
            </w:r>
            <w:r w:rsidR="00694F35" w:rsidRPr="00347861">
              <w:rPr>
                <w:rFonts w:asciiTheme="minorHAnsi" w:hAnsiTheme="minorHAnsi"/>
                <w:b/>
                <w:i/>
              </w:rPr>
              <w:t xml:space="preserve">. </w:t>
            </w:r>
            <w:r w:rsidR="00BF23A1" w:rsidRPr="00347861">
              <w:rPr>
                <w:rFonts w:asciiTheme="minorHAnsi" w:hAnsiTheme="minorHAnsi"/>
                <w:b/>
                <w:i/>
              </w:rPr>
              <w:t>Strengthened institutional capacity of provincial governance in achieving objective of decentralization policy in more accountable, responsive and effective way</w:t>
            </w:r>
          </w:p>
        </w:tc>
        <w:tc>
          <w:tcPr>
            <w:tcW w:w="1440" w:type="dxa"/>
            <w:tcBorders>
              <w:bottom w:val="single" w:sz="4" w:space="0" w:color="auto"/>
            </w:tcBorders>
            <w:shd w:val="clear" w:color="auto" w:fill="auto"/>
          </w:tcPr>
          <w:p w14:paraId="5904F5A8" w14:textId="4373667B"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16,370</w:t>
            </w:r>
            <w:r w:rsidRPr="00DC7354">
              <w:rPr>
                <w:rFonts w:asciiTheme="minorHAnsi" w:hAnsiTheme="minorHAnsi"/>
              </w:rPr>
              <w:t>,</w:t>
            </w:r>
            <w:r w:rsidR="002C7C02">
              <w:rPr>
                <w:rFonts w:asciiTheme="minorHAnsi" w:hAnsiTheme="minorHAnsi"/>
              </w:rPr>
              <w:t>827</w:t>
            </w:r>
          </w:p>
        </w:tc>
        <w:tc>
          <w:tcPr>
            <w:tcW w:w="3960" w:type="dxa"/>
            <w:tcBorders>
              <w:left w:val="single" w:sz="4" w:space="0" w:color="auto"/>
              <w:bottom w:val="single" w:sz="4" w:space="0" w:color="auto"/>
            </w:tcBorders>
          </w:tcPr>
          <w:p w14:paraId="16271D09" w14:textId="77777777" w:rsidR="00BF23A1" w:rsidRPr="001F7D07" w:rsidRDefault="00BF23A1" w:rsidP="00E74058">
            <w:pPr>
              <w:jc w:val="both"/>
              <w:rPr>
                <w:b/>
                <w:sz w:val="16"/>
                <w:szCs w:val="16"/>
              </w:rPr>
            </w:pPr>
            <w:r w:rsidRPr="001F7D07">
              <w:rPr>
                <w:b/>
                <w:sz w:val="16"/>
                <w:szCs w:val="16"/>
              </w:rPr>
              <w:t xml:space="preserve">Indicators: </w:t>
            </w:r>
          </w:p>
          <w:p w14:paraId="75919A9D" w14:textId="7666CC5A" w:rsidR="00BF23A1" w:rsidRPr="00347861" w:rsidRDefault="00BF23A1" w:rsidP="00E74058">
            <w:pPr>
              <w:pStyle w:val="BodyText2"/>
              <w:numPr>
                <w:ilvl w:val="0"/>
                <w:numId w:val="25"/>
              </w:numPr>
              <w:jc w:val="both"/>
              <w:rPr>
                <w:rFonts w:asciiTheme="minorHAnsi" w:hAnsiTheme="minorHAnsi"/>
                <w:i/>
              </w:rPr>
            </w:pPr>
            <w:r w:rsidRPr="00347861">
              <w:rPr>
                <w:rFonts w:asciiTheme="minorHAnsi" w:hAnsiTheme="minorHAnsi"/>
                <w:i/>
              </w:rPr>
              <w:t xml:space="preserve">Ratings of provincial government performance based on the Provincial Performance Accountability Report (Laporan Akuntabilitas Kinerja Instansi pemerintah – LAKIP); </w:t>
            </w:r>
          </w:p>
          <w:p w14:paraId="6DE569A6" w14:textId="3711F514" w:rsidR="00BF23A1" w:rsidRPr="00347861" w:rsidRDefault="00BF23A1" w:rsidP="00E74058">
            <w:pPr>
              <w:pStyle w:val="BodyText2"/>
              <w:numPr>
                <w:ilvl w:val="0"/>
                <w:numId w:val="25"/>
              </w:numPr>
              <w:jc w:val="both"/>
              <w:rPr>
                <w:rFonts w:asciiTheme="minorHAnsi" w:hAnsiTheme="minorHAnsi"/>
                <w:i/>
              </w:rPr>
            </w:pPr>
            <w:r w:rsidRPr="00347861">
              <w:rPr>
                <w:rFonts w:asciiTheme="minorHAnsi" w:hAnsiTheme="minorHAnsi"/>
                <w:i/>
              </w:rPr>
              <w:t xml:space="preserve">Number of provinces with </w:t>
            </w:r>
            <w:r w:rsidR="00802EAF">
              <w:rPr>
                <w:rFonts w:asciiTheme="minorHAnsi" w:hAnsiTheme="minorHAnsi"/>
                <w:i/>
              </w:rPr>
              <w:t>un</w:t>
            </w:r>
            <w:r w:rsidRPr="00347861">
              <w:rPr>
                <w:rFonts w:asciiTheme="minorHAnsi" w:hAnsiTheme="minorHAnsi"/>
                <w:i/>
              </w:rPr>
              <w:t xml:space="preserve">qualified audit opinions based on Local </w:t>
            </w:r>
            <w:r w:rsidRPr="00347861">
              <w:rPr>
                <w:rFonts w:asciiTheme="minorHAnsi" w:hAnsiTheme="minorHAnsi"/>
                <w:i/>
              </w:rPr>
              <w:lastRenderedPageBreak/>
              <w:t xml:space="preserve">Governments’ Financial Report. Source: the state auditor opinion (BPK) on Local Governments’ Financial Report (Laporan Keuangan Pemerintah Daerah – LKPD) issued by BPK; </w:t>
            </w:r>
          </w:p>
          <w:p w14:paraId="151305CF" w14:textId="19064C30" w:rsidR="00BF23A1" w:rsidRPr="00347861" w:rsidRDefault="00BF23A1" w:rsidP="00E74058">
            <w:pPr>
              <w:pStyle w:val="BodyText2"/>
              <w:numPr>
                <w:ilvl w:val="0"/>
                <w:numId w:val="25"/>
              </w:numPr>
              <w:jc w:val="both"/>
              <w:rPr>
                <w:rFonts w:asciiTheme="minorHAnsi" w:hAnsiTheme="minorHAnsi"/>
                <w:i/>
              </w:rPr>
            </w:pPr>
            <w:r w:rsidRPr="00347861">
              <w:rPr>
                <w:rFonts w:asciiTheme="minorHAnsi" w:hAnsiTheme="minorHAnsi"/>
                <w:i/>
              </w:rPr>
              <w:t xml:space="preserve">Ratings of Local Government Performance based on Performance Evaluation of the Conduct of Regional Government (Evaluasi Kinerja Penyelenggaraan Pemerintahan Daerah – EKPPD);  </w:t>
            </w:r>
          </w:p>
          <w:p w14:paraId="6AA128F2" w14:textId="15D29D75" w:rsidR="00694F35" w:rsidRPr="00920DBC" w:rsidRDefault="00BF23A1" w:rsidP="00E74058">
            <w:pPr>
              <w:pStyle w:val="BodyText2"/>
              <w:numPr>
                <w:ilvl w:val="0"/>
                <w:numId w:val="25"/>
              </w:numPr>
              <w:jc w:val="both"/>
              <w:rPr>
                <w:rFonts w:asciiTheme="minorHAnsi" w:hAnsiTheme="minorHAnsi"/>
                <w:i/>
              </w:rPr>
            </w:pPr>
            <w:r w:rsidRPr="00347861">
              <w:rPr>
                <w:rFonts w:asciiTheme="minorHAnsi" w:hAnsiTheme="minorHAnsi"/>
                <w:i/>
              </w:rPr>
              <w:t>4) % of regional technical offices (SKPDs) that implement MSS in planning and budgeting (based on GR No. 65/2007)</w:t>
            </w:r>
          </w:p>
        </w:tc>
        <w:tc>
          <w:tcPr>
            <w:tcW w:w="5490" w:type="dxa"/>
            <w:tcBorders>
              <w:bottom w:val="single" w:sz="4" w:space="0" w:color="auto"/>
            </w:tcBorders>
            <w:shd w:val="clear" w:color="auto" w:fill="auto"/>
          </w:tcPr>
          <w:p w14:paraId="43ACCC0B" w14:textId="5A034D80" w:rsidR="00694F35" w:rsidRPr="00167FE0" w:rsidRDefault="00167FE0" w:rsidP="00E74058">
            <w:pPr>
              <w:pStyle w:val="BodyText2"/>
              <w:numPr>
                <w:ilvl w:val="0"/>
                <w:numId w:val="34"/>
              </w:numPr>
              <w:jc w:val="both"/>
              <w:rPr>
                <w:rFonts w:asciiTheme="minorHAnsi" w:hAnsiTheme="minorHAnsi"/>
                <w:i/>
              </w:rPr>
            </w:pPr>
            <w:r w:rsidRPr="00167FE0">
              <w:rPr>
                <w:rFonts w:asciiTheme="minorHAnsi" w:hAnsiTheme="minorHAnsi"/>
                <w:i/>
              </w:rPr>
              <w:lastRenderedPageBreak/>
              <w:t xml:space="preserve">Baseline 2011, based on the central government’s evaluation in 2011, 9 provincial governments scored “CC” (good), 18 provincial governments scored “C” (less than good), and 2 provincial governments scored “D” (poor). Provinces of Aceh, North Sumatra, and Gorontalo are rated C, NTT is CC, and Bangka Belitung is D; Current status, some progress: 15 out of 33 regional governments have an increased performance rating in comparison to 2011 (LAKIP </w:t>
            </w:r>
            <w:r w:rsidRPr="00167FE0">
              <w:rPr>
                <w:rFonts w:asciiTheme="minorHAnsi" w:hAnsiTheme="minorHAnsi"/>
                <w:i/>
              </w:rPr>
              <w:lastRenderedPageBreak/>
              <w:t>Report)</w:t>
            </w:r>
          </w:p>
          <w:p w14:paraId="2E818699" w14:textId="3736317C" w:rsidR="00545695" w:rsidRPr="000E1370" w:rsidRDefault="00802EAF" w:rsidP="00802EAF">
            <w:pPr>
              <w:pStyle w:val="BodyText2"/>
              <w:numPr>
                <w:ilvl w:val="0"/>
                <w:numId w:val="34"/>
              </w:numPr>
              <w:jc w:val="both"/>
              <w:rPr>
                <w:rFonts w:asciiTheme="minorHAnsi" w:hAnsiTheme="minorHAnsi"/>
                <w:i/>
              </w:rPr>
            </w:pPr>
            <w:r w:rsidRPr="00802EAF">
              <w:rPr>
                <w:rFonts w:asciiTheme="minorHAnsi" w:hAnsiTheme="minorHAnsi"/>
                <w:i/>
              </w:rPr>
              <w:t>Baseline, Semester 2 2010 on LKPD 2009: 6 provinces achieved Un- Qualified Opinion (22% of the 29 provinces).  (Source of data: BPK</w:t>
            </w:r>
            <w:r w:rsidR="00545695" w:rsidRPr="000E1370">
              <w:rPr>
                <w:rFonts w:asciiTheme="minorHAnsi" w:hAnsiTheme="minorHAnsi"/>
                <w:i/>
              </w:rPr>
              <w:t>);</w:t>
            </w:r>
            <w:r w:rsidR="000E1370" w:rsidRPr="000E1370">
              <w:rPr>
                <w:rFonts w:asciiTheme="minorHAnsi" w:hAnsiTheme="minorHAnsi"/>
                <w:i/>
              </w:rPr>
              <w:t xml:space="preserve"> </w:t>
            </w:r>
            <w:r w:rsidR="00545695" w:rsidRPr="000E1370">
              <w:rPr>
                <w:rFonts w:asciiTheme="minorHAnsi" w:hAnsiTheme="minorHAnsi"/>
                <w:i/>
              </w:rPr>
              <w:t>Current status</w:t>
            </w:r>
            <w:r w:rsidR="000E1370">
              <w:rPr>
                <w:rFonts w:asciiTheme="minorHAnsi" w:hAnsiTheme="minorHAnsi"/>
                <w:i/>
              </w:rPr>
              <w:t xml:space="preserve">, </w:t>
            </w:r>
            <w:r w:rsidR="00F51106">
              <w:rPr>
                <w:rFonts w:asciiTheme="minorHAnsi" w:hAnsiTheme="minorHAnsi"/>
                <w:i/>
              </w:rPr>
              <w:t>some progress</w:t>
            </w:r>
            <w:r w:rsidR="00545695" w:rsidRPr="000E1370">
              <w:rPr>
                <w:rFonts w:asciiTheme="minorHAnsi" w:hAnsiTheme="minorHAnsi"/>
                <w:i/>
              </w:rPr>
              <w:t>:</w:t>
            </w:r>
          </w:p>
          <w:p w14:paraId="7DDFA8C9" w14:textId="4341ABEC" w:rsidR="00694F35" w:rsidRDefault="00802EAF" w:rsidP="00E74058">
            <w:pPr>
              <w:pStyle w:val="BodyText2"/>
              <w:ind w:left="360"/>
              <w:jc w:val="both"/>
              <w:rPr>
                <w:rFonts w:asciiTheme="minorHAnsi" w:hAnsiTheme="minorHAnsi"/>
                <w:i/>
              </w:rPr>
            </w:pPr>
            <w:r w:rsidRPr="00802EAF">
              <w:rPr>
                <w:rFonts w:asciiTheme="minorHAnsi" w:hAnsiTheme="minorHAnsi"/>
                <w:i/>
              </w:rPr>
              <w:t>15 provinces achieved Un-Qualified opinion (52% of the 29 provinces); (Source of data: BPK</w:t>
            </w:r>
            <w:r w:rsidR="000E1370">
              <w:rPr>
                <w:rFonts w:asciiTheme="minorHAnsi" w:hAnsiTheme="minorHAnsi"/>
                <w:i/>
              </w:rPr>
              <w:t>)</w:t>
            </w:r>
          </w:p>
          <w:p w14:paraId="085B28E0" w14:textId="77777777" w:rsidR="00943B70" w:rsidRDefault="00943B70" w:rsidP="00E74058">
            <w:pPr>
              <w:pStyle w:val="BodyText2"/>
              <w:ind w:left="360"/>
              <w:jc w:val="both"/>
              <w:rPr>
                <w:rFonts w:asciiTheme="minorHAnsi" w:hAnsiTheme="minorHAnsi"/>
                <w:i/>
              </w:rPr>
            </w:pPr>
          </w:p>
          <w:p w14:paraId="5B3F391B" w14:textId="6BFADC99" w:rsidR="00943B70" w:rsidRDefault="00943B70" w:rsidP="00F51106">
            <w:pPr>
              <w:pStyle w:val="BodyText2"/>
              <w:numPr>
                <w:ilvl w:val="0"/>
                <w:numId w:val="34"/>
              </w:numPr>
              <w:jc w:val="both"/>
              <w:rPr>
                <w:rFonts w:asciiTheme="minorHAnsi" w:hAnsiTheme="minorHAnsi"/>
                <w:i/>
              </w:rPr>
            </w:pPr>
            <w:r w:rsidRPr="00943B70">
              <w:rPr>
                <w:rFonts w:asciiTheme="minorHAnsi" w:hAnsiTheme="minorHAnsi"/>
                <w:i/>
              </w:rPr>
              <w:t xml:space="preserve">Baseline EKPPD 2010 on LPPD 2009: Mean score of provinces 2.4 (on scale of 4). 29 provinces with high score; 3 provinces medium. Province of Aceh (rank 30; score 1,9782); North Sumatera (rank 10; score 2,6643); NTT (rank 24; score 2,4196); Bangka Belitung (rank 14; score 2,6015); Gorontalo (rank 20; score 2,4846) (Source of data: MoHA); </w:t>
            </w:r>
            <w:r w:rsidR="00F51106" w:rsidRPr="00F51106">
              <w:rPr>
                <w:rFonts w:asciiTheme="minorHAnsi" w:hAnsiTheme="minorHAnsi"/>
                <w:i/>
              </w:rPr>
              <w:t>Current status: EKPPD 2014 on LPPD 2012: Mean score of provinces 2.2 (on scale of 4). 24 provinces with high score; 9 provinces medium. Province of Aceh (rank 30; score 1.7867); North Sumatera (rank 19; score 2.1965); NTT (rank 31; score 1.7313); Bangka Belitung (rank 12; score 2.3393); Gorontalo (rank 16; score 2.2263) (Source of Data : MoHA);</w:t>
            </w:r>
          </w:p>
          <w:p w14:paraId="7D4E8C89" w14:textId="11F40E55" w:rsidR="00943B70" w:rsidRPr="00920DBC" w:rsidRDefault="00943B70" w:rsidP="00E74058">
            <w:pPr>
              <w:pStyle w:val="BodyText2"/>
              <w:numPr>
                <w:ilvl w:val="0"/>
                <w:numId w:val="34"/>
              </w:numPr>
              <w:jc w:val="both"/>
              <w:rPr>
                <w:rFonts w:asciiTheme="minorHAnsi" w:hAnsiTheme="minorHAnsi"/>
                <w:i/>
              </w:rPr>
            </w:pPr>
            <w:r w:rsidRPr="00943B70">
              <w:rPr>
                <w:rFonts w:asciiTheme="minorHAnsi" w:hAnsiTheme="minorHAnsi"/>
                <w:i/>
              </w:rPr>
              <w:t>Baseline, 2012: Only 3 MSS (health, social, and environment) have been facilitated for implementation at the national level. (Source of data: Dit. Urusan</w:t>
            </w:r>
            <w:r w:rsidR="0020236C">
              <w:rPr>
                <w:rFonts w:asciiTheme="minorHAnsi" w:hAnsiTheme="minorHAnsi"/>
                <w:i/>
              </w:rPr>
              <w:t xml:space="preserve"> </w:t>
            </w:r>
            <w:r w:rsidRPr="00943B70">
              <w:rPr>
                <w:rFonts w:asciiTheme="minorHAnsi" w:hAnsiTheme="minorHAnsi"/>
                <w:i/>
              </w:rPr>
              <w:t>Pemerintahan Daerah, Ditjen Otda,MoHA).Current status, target achieved: MSS established for 15 sectors, and MSS implemented at the subnational level (MSS Paper)</w:t>
            </w:r>
          </w:p>
        </w:tc>
      </w:tr>
      <w:tr w:rsidR="00694F35" w:rsidRPr="00DC7354" w14:paraId="67B16664" w14:textId="77777777" w:rsidTr="00694F35">
        <w:tc>
          <w:tcPr>
            <w:tcW w:w="14040" w:type="dxa"/>
            <w:gridSpan w:val="4"/>
          </w:tcPr>
          <w:p w14:paraId="42A62DE5" w14:textId="77777777" w:rsidR="00694F35" w:rsidRPr="00837C4B" w:rsidRDefault="00694F35" w:rsidP="00E74058">
            <w:pPr>
              <w:pStyle w:val="BodyText2"/>
              <w:jc w:val="both"/>
              <w:rPr>
                <w:rFonts w:asciiTheme="minorHAnsi" w:hAnsiTheme="minorHAnsi"/>
                <w:b/>
              </w:rPr>
            </w:pPr>
            <w:r w:rsidRPr="00837C4B">
              <w:rPr>
                <w:rFonts w:asciiTheme="minorHAnsi" w:hAnsiTheme="minorHAnsi"/>
                <w:b/>
              </w:rPr>
              <w:lastRenderedPageBreak/>
              <w:t>UNDP Contribution:</w:t>
            </w:r>
          </w:p>
          <w:p w14:paraId="145300EA" w14:textId="77777777" w:rsidR="00694F35" w:rsidRDefault="00694F35" w:rsidP="00E74058">
            <w:pPr>
              <w:pStyle w:val="BodyText2"/>
              <w:jc w:val="both"/>
              <w:rPr>
                <w:rFonts w:asciiTheme="minorHAnsi" w:hAnsiTheme="minorHAnsi"/>
              </w:rPr>
            </w:pPr>
          </w:p>
          <w:p w14:paraId="4F56D139" w14:textId="77777777" w:rsidR="00694F35" w:rsidRPr="0020236C" w:rsidRDefault="00694F35" w:rsidP="00E74058">
            <w:pPr>
              <w:pStyle w:val="BodyText2"/>
              <w:jc w:val="both"/>
              <w:rPr>
                <w:rFonts w:asciiTheme="minorHAnsi" w:hAnsiTheme="minorHAnsi"/>
                <w:sz w:val="24"/>
              </w:rPr>
            </w:pPr>
            <w:r w:rsidRPr="0020236C">
              <w:rPr>
                <w:rFonts w:asciiTheme="minorHAnsi" w:hAnsiTheme="minorHAnsi"/>
                <w:sz w:val="24"/>
                <w:u w:val="single"/>
              </w:rPr>
              <w:t>CP Outputs</w:t>
            </w:r>
            <w:r w:rsidRPr="0020236C">
              <w:rPr>
                <w:rFonts w:asciiTheme="minorHAnsi" w:hAnsiTheme="minorHAnsi"/>
                <w:sz w:val="24"/>
              </w:rPr>
              <w:t>:</w:t>
            </w:r>
          </w:p>
          <w:p w14:paraId="50A544BC" w14:textId="4DE88BD0" w:rsidR="00694F35" w:rsidRPr="0020236C" w:rsidRDefault="00694F35" w:rsidP="00E74058">
            <w:pPr>
              <w:pStyle w:val="BodyText2"/>
              <w:jc w:val="both"/>
              <w:rPr>
                <w:rFonts w:asciiTheme="minorHAnsi" w:hAnsiTheme="minorHAnsi"/>
                <w:i/>
                <w:sz w:val="24"/>
              </w:rPr>
            </w:pPr>
            <w:r w:rsidRPr="0020236C">
              <w:rPr>
                <w:rFonts w:asciiTheme="minorHAnsi" w:hAnsiTheme="minorHAnsi"/>
                <w:i/>
                <w:sz w:val="24"/>
              </w:rPr>
              <w:t xml:space="preserve">The UNDP CP identified </w:t>
            </w:r>
            <w:r w:rsidR="00645E6A">
              <w:rPr>
                <w:rFonts w:asciiTheme="minorHAnsi" w:hAnsiTheme="minorHAnsi"/>
                <w:i/>
                <w:sz w:val="24"/>
              </w:rPr>
              <w:t>three</w:t>
            </w:r>
            <w:r w:rsidR="0020236C" w:rsidRPr="0020236C">
              <w:rPr>
                <w:rFonts w:asciiTheme="minorHAnsi" w:hAnsiTheme="minorHAnsi"/>
                <w:i/>
                <w:sz w:val="24"/>
              </w:rPr>
              <w:t xml:space="preserve"> </w:t>
            </w:r>
            <w:r w:rsidRPr="0020236C">
              <w:rPr>
                <w:rFonts w:asciiTheme="minorHAnsi" w:hAnsiTheme="minorHAnsi"/>
                <w:i/>
                <w:sz w:val="24"/>
              </w:rPr>
              <w:t xml:space="preserve">major outputs to support the Government in achieving this outcome: (a) </w:t>
            </w:r>
            <w:r w:rsidR="00BF23A1" w:rsidRPr="0020236C">
              <w:rPr>
                <w:rFonts w:asciiTheme="minorHAnsi" w:hAnsiTheme="minorHAnsi"/>
                <w:i/>
                <w:sz w:val="24"/>
              </w:rPr>
              <w:t>Resources put in place to  support the refinement of policies and regulatory framework for administrative reform (organization, business process and human resources), decentralization and local governance</w:t>
            </w:r>
            <w:r w:rsidRPr="0020236C">
              <w:rPr>
                <w:rFonts w:asciiTheme="minorHAnsi" w:hAnsiTheme="minorHAnsi"/>
                <w:i/>
                <w:sz w:val="24"/>
              </w:rPr>
              <w:t xml:space="preserve">; (b) </w:t>
            </w:r>
            <w:r w:rsidR="00BF23A1" w:rsidRPr="0020236C">
              <w:rPr>
                <w:rFonts w:asciiTheme="minorHAnsi" w:hAnsiTheme="minorHAnsi"/>
                <w:i/>
                <w:sz w:val="24"/>
              </w:rPr>
              <w:t>Improved public services delivery through the refinement and implementation of Minimum Service Standard (MSS) and improved functioning of public complaints and control mechanisms in the province</w:t>
            </w:r>
            <w:r w:rsidRPr="0020236C">
              <w:rPr>
                <w:rFonts w:asciiTheme="minorHAnsi" w:hAnsiTheme="minorHAnsi"/>
                <w:i/>
                <w:sz w:val="24"/>
              </w:rPr>
              <w:t xml:space="preserve">, </w:t>
            </w:r>
            <w:r w:rsidR="00634354">
              <w:rPr>
                <w:rFonts w:asciiTheme="minorHAnsi" w:hAnsiTheme="minorHAnsi"/>
                <w:i/>
                <w:sz w:val="24"/>
              </w:rPr>
              <w:t xml:space="preserve">and </w:t>
            </w:r>
            <w:r w:rsidRPr="0020236C">
              <w:rPr>
                <w:rFonts w:asciiTheme="minorHAnsi" w:hAnsiTheme="minorHAnsi"/>
                <w:i/>
                <w:sz w:val="24"/>
              </w:rPr>
              <w:t xml:space="preserve">(c) </w:t>
            </w:r>
            <w:r w:rsidR="00BF23A1" w:rsidRPr="0020236C">
              <w:rPr>
                <w:rFonts w:asciiTheme="minorHAnsi" w:hAnsiTheme="minorHAnsi"/>
                <w:i/>
                <w:sz w:val="24"/>
              </w:rPr>
              <w:t>Provincial civil service reform initiated to support strategic development planning and implementation of MSS in target areas</w:t>
            </w:r>
            <w:r w:rsidR="00634354">
              <w:rPr>
                <w:rFonts w:asciiTheme="minorHAnsi" w:hAnsiTheme="minorHAnsi"/>
                <w:i/>
                <w:sz w:val="24"/>
              </w:rPr>
              <w:t>.</w:t>
            </w:r>
          </w:p>
          <w:p w14:paraId="6F4AAFA5" w14:textId="77777777" w:rsidR="00694F35" w:rsidRPr="00347861" w:rsidRDefault="00694F35" w:rsidP="00E74058">
            <w:pPr>
              <w:pStyle w:val="BodyText2"/>
              <w:jc w:val="both"/>
              <w:rPr>
                <w:rFonts w:asciiTheme="minorHAnsi" w:hAnsiTheme="minorHAnsi"/>
                <w:i/>
              </w:rPr>
            </w:pPr>
          </w:p>
          <w:p w14:paraId="1F41347F" w14:textId="77777777" w:rsidR="00694F35" w:rsidRPr="0020236C" w:rsidRDefault="00694F35" w:rsidP="00E74058">
            <w:pPr>
              <w:pStyle w:val="BodyText2"/>
              <w:jc w:val="both"/>
              <w:rPr>
                <w:rFonts w:asciiTheme="minorHAnsi" w:hAnsiTheme="minorHAnsi"/>
                <w:sz w:val="24"/>
              </w:rPr>
            </w:pPr>
            <w:r w:rsidRPr="0020236C">
              <w:rPr>
                <w:rFonts w:asciiTheme="minorHAnsi" w:hAnsiTheme="minorHAnsi"/>
                <w:sz w:val="24"/>
                <w:u w:val="single"/>
              </w:rPr>
              <w:t>Progress and Achievements</w:t>
            </w:r>
            <w:r w:rsidRPr="0020236C">
              <w:rPr>
                <w:rFonts w:asciiTheme="minorHAnsi" w:hAnsiTheme="minorHAnsi"/>
                <w:sz w:val="24"/>
              </w:rPr>
              <w:t>:</w:t>
            </w:r>
          </w:p>
          <w:p w14:paraId="6D06BA02" w14:textId="77777777" w:rsidR="00694F35" w:rsidRDefault="00694F35" w:rsidP="00E74058">
            <w:pPr>
              <w:pStyle w:val="BodyText2"/>
              <w:ind w:left="360"/>
              <w:jc w:val="both"/>
              <w:rPr>
                <w:rFonts w:asciiTheme="minorHAnsi" w:hAnsiTheme="minorHAnsi"/>
              </w:rPr>
            </w:pPr>
          </w:p>
          <w:p w14:paraId="197C9B5C" w14:textId="3302C600" w:rsidR="00880F28" w:rsidRPr="0020236C" w:rsidRDefault="00880F28" w:rsidP="00E74058">
            <w:pPr>
              <w:pStyle w:val="BodyText2"/>
              <w:jc w:val="both"/>
              <w:rPr>
                <w:rFonts w:asciiTheme="minorHAnsi" w:hAnsiTheme="minorHAnsi"/>
                <w:i/>
                <w:sz w:val="24"/>
              </w:rPr>
            </w:pPr>
            <w:r w:rsidRPr="0020236C">
              <w:rPr>
                <w:rFonts w:asciiTheme="minorHAnsi" w:hAnsiTheme="minorHAnsi"/>
                <w:b/>
                <w:i/>
                <w:sz w:val="24"/>
              </w:rPr>
              <w:t>Output 3.2.1. Administrative reform:</w:t>
            </w:r>
            <w:r w:rsidRPr="0020236C">
              <w:rPr>
                <w:rFonts w:asciiTheme="minorHAnsi" w:hAnsiTheme="minorHAnsi"/>
                <w:i/>
                <w:sz w:val="24"/>
              </w:rPr>
              <w:t xml:space="preserve"> Indonesia’s decentralization has reached a new milestone with the passage of Law No. 23/2014 which</w:t>
            </w:r>
            <w:r w:rsidR="0020236C" w:rsidRPr="0020236C">
              <w:rPr>
                <w:rFonts w:asciiTheme="minorHAnsi" w:hAnsiTheme="minorHAnsi"/>
                <w:i/>
                <w:sz w:val="24"/>
              </w:rPr>
              <w:t xml:space="preserve"> </w:t>
            </w:r>
            <w:r w:rsidRPr="0020236C">
              <w:rPr>
                <w:rFonts w:asciiTheme="minorHAnsi" w:hAnsiTheme="minorHAnsi"/>
                <w:i/>
                <w:sz w:val="24"/>
              </w:rPr>
              <w:t>provides much needed clarity, amongst other things, on the role and function of the different tiers of government (i.e. national, provincial, and district/city government). UNDP supported the development of the new law</w:t>
            </w:r>
            <w:r w:rsidR="009813F1" w:rsidRPr="0020236C">
              <w:rPr>
                <w:rFonts w:asciiTheme="minorHAnsi" w:hAnsiTheme="minorHAnsi"/>
                <w:i/>
                <w:sz w:val="24"/>
              </w:rPr>
              <w:t xml:space="preserve"> </w:t>
            </w:r>
            <w:r w:rsidRPr="0020236C">
              <w:rPr>
                <w:rFonts w:asciiTheme="minorHAnsi" w:hAnsiTheme="minorHAnsi"/>
                <w:i/>
                <w:sz w:val="24"/>
              </w:rPr>
              <w:t xml:space="preserve">through academic papers </w:t>
            </w:r>
            <w:r w:rsidR="009813F1" w:rsidRPr="0020236C">
              <w:rPr>
                <w:rFonts w:asciiTheme="minorHAnsi" w:hAnsiTheme="minorHAnsi"/>
                <w:i/>
                <w:sz w:val="24"/>
              </w:rPr>
              <w:t>and stakeholder consultations</w:t>
            </w:r>
            <w:r w:rsidRPr="0020236C">
              <w:rPr>
                <w:rFonts w:asciiTheme="minorHAnsi" w:hAnsiTheme="minorHAnsi"/>
                <w:i/>
                <w:sz w:val="24"/>
              </w:rPr>
              <w:t>, which reflected on le</w:t>
            </w:r>
            <w:r w:rsidR="009813F1" w:rsidRPr="0020236C">
              <w:rPr>
                <w:rFonts w:asciiTheme="minorHAnsi" w:hAnsiTheme="minorHAnsi"/>
                <w:i/>
                <w:sz w:val="24"/>
              </w:rPr>
              <w:t xml:space="preserve">ssons learned from a </w:t>
            </w:r>
            <w:r w:rsidR="00F51106">
              <w:rPr>
                <w:rFonts w:asciiTheme="minorHAnsi" w:hAnsiTheme="minorHAnsi"/>
                <w:i/>
                <w:sz w:val="24"/>
              </w:rPr>
              <w:t>GOI-</w:t>
            </w:r>
            <w:r w:rsidR="009813F1" w:rsidRPr="0020236C">
              <w:rPr>
                <w:rFonts w:asciiTheme="minorHAnsi" w:hAnsiTheme="minorHAnsi"/>
                <w:i/>
                <w:sz w:val="24"/>
              </w:rPr>
              <w:t>UNDP pilot</w:t>
            </w:r>
            <w:r w:rsidR="00F51106">
              <w:rPr>
                <w:rFonts w:asciiTheme="minorHAnsi" w:hAnsiTheme="minorHAnsi"/>
                <w:i/>
                <w:sz w:val="24"/>
              </w:rPr>
              <w:t xml:space="preserve"> project</w:t>
            </w:r>
            <w:r w:rsidRPr="0020236C">
              <w:rPr>
                <w:rFonts w:asciiTheme="minorHAnsi" w:hAnsiTheme="minorHAnsi"/>
                <w:i/>
                <w:sz w:val="24"/>
              </w:rPr>
              <w:t>. Under the pilot, three provincial governments tested a</w:t>
            </w:r>
            <w:r w:rsidR="009813F1" w:rsidRPr="0020236C">
              <w:rPr>
                <w:rFonts w:asciiTheme="minorHAnsi" w:hAnsiTheme="minorHAnsi"/>
                <w:i/>
                <w:sz w:val="24"/>
              </w:rPr>
              <w:t xml:space="preserve"> </w:t>
            </w:r>
            <w:r w:rsidRPr="0020236C">
              <w:rPr>
                <w:rFonts w:asciiTheme="minorHAnsi" w:hAnsiTheme="minorHAnsi"/>
                <w:i/>
                <w:sz w:val="24"/>
              </w:rPr>
              <w:t>stronger coordination, assistance and monitoring role for the provincial government in relation to the districts/cities in sectoral areas like health, education, and tourism. A matrix developed by</w:t>
            </w:r>
            <w:r w:rsidR="009813F1" w:rsidRPr="0020236C">
              <w:rPr>
                <w:rFonts w:asciiTheme="minorHAnsi" w:hAnsiTheme="minorHAnsi"/>
                <w:i/>
                <w:sz w:val="24"/>
              </w:rPr>
              <w:t xml:space="preserve"> </w:t>
            </w:r>
            <w:r w:rsidR="00F51106">
              <w:rPr>
                <w:rFonts w:asciiTheme="minorHAnsi" w:hAnsiTheme="minorHAnsi"/>
                <w:i/>
                <w:sz w:val="24"/>
              </w:rPr>
              <w:t>the project</w:t>
            </w:r>
            <w:r w:rsidRPr="0020236C">
              <w:rPr>
                <w:rFonts w:asciiTheme="minorHAnsi" w:hAnsiTheme="minorHAnsi"/>
                <w:i/>
                <w:sz w:val="24"/>
              </w:rPr>
              <w:t>, which proposed new roles and responsibilities for the different tiers of government within seven sectors, was adopted verb</w:t>
            </w:r>
            <w:r w:rsidR="009813F1" w:rsidRPr="0020236C">
              <w:rPr>
                <w:rFonts w:asciiTheme="minorHAnsi" w:hAnsiTheme="minorHAnsi"/>
                <w:i/>
                <w:sz w:val="24"/>
              </w:rPr>
              <w:t>atim within Law No.23/2014.</w:t>
            </w:r>
          </w:p>
          <w:p w14:paraId="1B9B3429" w14:textId="77777777" w:rsidR="00880F28" w:rsidRPr="009813F1" w:rsidRDefault="00880F28" w:rsidP="00E74058">
            <w:pPr>
              <w:pStyle w:val="BodyText2"/>
              <w:jc w:val="both"/>
              <w:rPr>
                <w:rFonts w:asciiTheme="minorHAnsi" w:hAnsiTheme="minorHAnsi"/>
                <w:i/>
              </w:rPr>
            </w:pPr>
          </w:p>
          <w:p w14:paraId="67DE51F1" w14:textId="2910644C" w:rsidR="00F22323" w:rsidRPr="00F22323" w:rsidRDefault="00880F28" w:rsidP="00E74058">
            <w:pPr>
              <w:pStyle w:val="BodyText2"/>
              <w:jc w:val="both"/>
              <w:rPr>
                <w:rFonts w:asciiTheme="minorHAnsi" w:hAnsiTheme="minorHAnsi"/>
                <w:i/>
                <w:sz w:val="24"/>
              </w:rPr>
            </w:pPr>
            <w:r w:rsidRPr="00F22323">
              <w:rPr>
                <w:rFonts w:asciiTheme="minorHAnsi" w:hAnsiTheme="minorHAnsi"/>
                <w:b/>
                <w:i/>
                <w:sz w:val="24"/>
              </w:rPr>
              <w:t>Output 3.2.2. Minimum service standards</w:t>
            </w:r>
            <w:r w:rsidR="00F22323" w:rsidRPr="00F22323">
              <w:rPr>
                <w:rFonts w:asciiTheme="minorHAnsi" w:hAnsiTheme="minorHAnsi"/>
                <w:b/>
                <w:i/>
                <w:sz w:val="24"/>
              </w:rPr>
              <w:t xml:space="preserve"> (MSS)</w:t>
            </w:r>
            <w:r w:rsidR="00F22323" w:rsidRPr="00F22323">
              <w:rPr>
                <w:rFonts w:asciiTheme="minorHAnsi" w:hAnsiTheme="minorHAnsi"/>
                <w:i/>
                <w:sz w:val="24"/>
              </w:rPr>
              <w:t xml:space="preserve">: </w:t>
            </w:r>
            <w:r w:rsidR="00F51106">
              <w:rPr>
                <w:rFonts w:asciiTheme="minorHAnsi" w:hAnsiTheme="minorHAnsi"/>
                <w:i/>
                <w:sz w:val="24"/>
              </w:rPr>
              <w:t>a Bappenas-</w:t>
            </w:r>
            <w:r w:rsidR="009711F9">
              <w:rPr>
                <w:rFonts w:asciiTheme="minorHAnsi" w:hAnsiTheme="minorHAnsi"/>
                <w:i/>
                <w:sz w:val="24"/>
              </w:rPr>
              <w:t xml:space="preserve">UNDP </w:t>
            </w:r>
            <w:r w:rsidR="00F51106">
              <w:rPr>
                <w:rFonts w:asciiTheme="minorHAnsi" w:hAnsiTheme="minorHAnsi"/>
                <w:i/>
                <w:sz w:val="24"/>
              </w:rPr>
              <w:t xml:space="preserve">project on provincial governance </w:t>
            </w:r>
            <w:r w:rsidR="009711F9">
              <w:rPr>
                <w:rFonts w:asciiTheme="minorHAnsi" w:hAnsiTheme="minorHAnsi"/>
                <w:i/>
                <w:sz w:val="24"/>
              </w:rPr>
              <w:t xml:space="preserve">helped pilot </w:t>
            </w:r>
            <w:r w:rsidR="00F22323" w:rsidRPr="00F22323">
              <w:rPr>
                <w:rFonts w:asciiTheme="minorHAnsi" w:hAnsiTheme="minorHAnsi"/>
                <w:i/>
                <w:sz w:val="24"/>
              </w:rPr>
              <w:t xml:space="preserve">MSS </w:t>
            </w:r>
            <w:r w:rsidR="009711F9">
              <w:rPr>
                <w:rFonts w:asciiTheme="minorHAnsi" w:hAnsiTheme="minorHAnsi"/>
                <w:i/>
                <w:sz w:val="24"/>
              </w:rPr>
              <w:t>for</w:t>
            </w:r>
            <w:r w:rsidR="00F22323" w:rsidRPr="00F22323">
              <w:rPr>
                <w:rFonts w:asciiTheme="minorHAnsi" w:hAnsiTheme="minorHAnsi"/>
                <w:i/>
                <w:sz w:val="24"/>
              </w:rPr>
              <w:t xml:space="preserve"> education </w:t>
            </w:r>
            <w:r w:rsidR="009711F9">
              <w:rPr>
                <w:rFonts w:asciiTheme="minorHAnsi" w:hAnsiTheme="minorHAnsi"/>
                <w:i/>
                <w:sz w:val="24"/>
              </w:rPr>
              <w:t>in the</w:t>
            </w:r>
            <w:r w:rsidR="00F22323" w:rsidRPr="00F22323">
              <w:rPr>
                <w:rFonts w:asciiTheme="minorHAnsi" w:hAnsiTheme="minorHAnsi"/>
                <w:i/>
                <w:sz w:val="24"/>
              </w:rPr>
              <w:t xml:space="preserve"> Pohwuato Disrict in Gorontalo. </w:t>
            </w:r>
            <w:r w:rsidR="009711F9">
              <w:rPr>
                <w:rFonts w:asciiTheme="minorHAnsi" w:hAnsiTheme="minorHAnsi"/>
                <w:i/>
                <w:sz w:val="24"/>
              </w:rPr>
              <w:t>Initial w</w:t>
            </w:r>
            <w:r w:rsidR="00F22323" w:rsidRPr="00F22323">
              <w:rPr>
                <w:rFonts w:asciiTheme="minorHAnsi" w:hAnsiTheme="minorHAnsi"/>
                <w:i/>
                <w:sz w:val="24"/>
              </w:rPr>
              <w:t xml:space="preserve">ork was also </w:t>
            </w:r>
            <w:r w:rsidR="009711F9">
              <w:rPr>
                <w:rFonts w:asciiTheme="minorHAnsi" w:hAnsiTheme="minorHAnsi"/>
                <w:i/>
                <w:sz w:val="24"/>
              </w:rPr>
              <w:t xml:space="preserve">undertaken </w:t>
            </w:r>
            <w:r w:rsidR="00F22323" w:rsidRPr="00F22323">
              <w:rPr>
                <w:rFonts w:asciiTheme="minorHAnsi" w:hAnsiTheme="minorHAnsi"/>
                <w:i/>
                <w:sz w:val="24"/>
              </w:rPr>
              <w:t xml:space="preserve">on health MSS within a village programme in the district. </w:t>
            </w:r>
            <w:r w:rsidR="009711F9">
              <w:rPr>
                <w:rFonts w:asciiTheme="minorHAnsi" w:hAnsiTheme="minorHAnsi"/>
                <w:i/>
                <w:sz w:val="24"/>
              </w:rPr>
              <w:t xml:space="preserve">UNDP also supported the development of </w:t>
            </w:r>
            <w:r w:rsidR="00F22323" w:rsidRPr="00F22323">
              <w:rPr>
                <w:rFonts w:asciiTheme="minorHAnsi" w:hAnsiTheme="minorHAnsi"/>
                <w:i/>
                <w:sz w:val="24"/>
              </w:rPr>
              <w:t>standardised costings for MSS in Bangka Belitung Province.</w:t>
            </w:r>
            <w:r w:rsidR="009711F9">
              <w:rPr>
                <w:rFonts w:asciiTheme="minorHAnsi" w:hAnsiTheme="minorHAnsi"/>
                <w:i/>
                <w:sz w:val="24"/>
              </w:rPr>
              <w:t xml:space="preserve"> It is expected that lessons learnt from these initial pilots will help inform larger scale roll-out in the next CP cycle. </w:t>
            </w:r>
            <w:r w:rsidR="00F22323" w:rsidRPr="00F22323">
              <w:rPr>
                <w:rFonts w:asciiTheme="minorHAnsi" w:hAnsiTheme="minorHAnsi"/>
                <w:i/>
                <w:sz w:val="24"/>
              </w:rPr>
              <w:t xml:space="preserve"> </w:t>
            </w:r>
          </w:p>
          <w:p w14:paraId="70B3E001" w14:textId="77777777" w:rsidR="00880F28" w:rsidRDefault="00880F28" w:rsidP="00E74058">
            <w:pPr>
              <w:pStyle w:val="BodyText2"/>
              <w:jc w:val="both"/>
              <w:rPr>
                <w:b/>
              </w:rPr>
            </w:pPr>
          </w:p>
          <w:p w14:paraId="3FA56D8A" w14:textId="34C33BA0" w:rsidR="00880F28" w:rsidRDefault="00880F28" w:rsidP="00E74058">
            <w:pPr>
              <w:pStyle w:val="BodyText2"/>
              <w:jc w:val="both"/>
              <w:rPr>
                <w:b/>
              </w:rPr>
            </w:pPr>
            <w:r w:rsidRPr="00645E6A">
              <w:rPr>
                <w:rFonts w:asciiTheme="minorHAnsi" w:hAnsiTheme="minorHAnsi"/>
                <w:b/>
                <w:i/>
                <w:sz w:val="24"/>
              </w:rPr>
              <w:t>Output 3.2.3 Provincial civil service reform</w:t>
            </w:r>
            <w:r>
              <w:rPr>
                <w:b/>
              </w:rPr>
              <w:t>:</w:t>
            </w:r>
            <w:r w:rsidR="00634354">
              <w:rPr>
                <w:b/>
              </w:rPr>
              <w:t xml:space="preserve"> </w:t>
            </w:r>
            <w:r w:rsidR="00D1775E">
              <w:rPr>
                <w:rFonts w:asciiTheme="minorHAnsi" w:hAnsiTheme="minorHAnsi"/>
                <w:i/>
                <w:sz w:val="24"/>
              </w:rPr>
              <w:t xml:space="preserve">Through its </w:t>
            </w:r>
            <w:r w:rsidR="00634354" w:rsidRPr="00634354">
              <w:rPr>
                <w:rFonts w:asciiTheme="minorHAnsi" w:hAnsiTheme="minorHAnsi"/>
                <w:i/>
                <w:sz w:val="24"/>
              </w:rPr>
              <w:t>P</w:t>
            </w:r>
            <w:r w:rsidR="00D1775E">
              <w:rPr>
                <w:rFonts w:asciiTheme="minorHAnsi" w:hAnsiTheme="minorHAnsi"/>
                <w:i/>
                <w:sz w:val="24"/>
              </w:rPr>
              <w:t xml:space="preserve">rovincial </w:t>
            </w:r>
            <w:r w:rsidR="00634354" w:rsidRPr="00634354">
              <w:rPr>
                <w:rFonts w:asciiTheme="minorHAnsi" w:hAnsiTheme="minorHAnsi"/>
                <w:i/>
                <w:sz w:val="24"/>
              </w:rPr>
              <w:t>G</w:t>
            </w:r>
            <w:r w:rsidR="00D1775E">
              <w:rPr>
                <w:rFonts w:asciiTheme="minorHAnsi" w:hAnsiTheme="minorHAnsi"/>
                <w:i/>
                <w:sz w:val="24"/>
              </w:rPr>
              <w:t xml:space="preserve">overnance </w:t>
            </w:r>
            <w:r w:rsidR="00634354" w:rsidRPr="00634354">
              <w:rPr>
                <w:rFonts w:asciiTheme="minorHAnsi" w:hAnsiTheme="minorHAnsi"/>
                <w:i/>
                <w:sz w:val="24"/>
              </w:rPr>
              <w:t>S</w:t>
            </w:r>
            <w:r w:rsidR="00D1775E">
              <w:rPr>
                <w:rFonts w:asciiTheme="minorHAnsi" w:hAnsiTheme="minorHAnsi"/>
                <w:i/>
                <w:sz w:val="24"/>
              </w:rPr>
              <w:t xml:space="preserve">upport </w:t>
            </w:r>
            <w:r w:rsidR="00634354" w:rsidRPr="00634354">
              <w:rPr>
                <w:rFonts w:asciiTheme="minorHAnsi" w:hAnsiTheme="minorHAnsi"/>
                <w:i/>
                <w:sz w:val="24"/>
              </w:rPr>
              <w:t>P</w:t>
            </w:r>
            <w:r w:rsidR="00D1775E">
              <w:rPr>
                <w:rFonts w:asciiTheme="minorHAnsi" w:hAnsiTheme="minorHAnsi"/>
                <w:i/>
                <w:sz w:val="24"/>
              </w:rPr>
              <w:t xml:space="preserve">rogramme UNDP partnered with </w:t>
            </w:r>
            <w:r w:rsidR="00634354" w:rsidRPr="00634354">
              <w:rPr>
                <w:rFonts w:asciiTheme="minorHAnsi" w:hAnsiTheme="minorHAnsi"/>
                <w:i/>
                <w:sz w:val="24"/>
              </w:rPr>
              <w:t>Bappenas and participating provinces to initiate processes of bureaucracy reform and to trial and adopt innovati</w:t>
            </w:r>
            <w:r w:rsidR="00D1775E">
              <w:rPr>
                <w:rFonts w:asciiTheme="minorHAnsi" w:hAnsiTheme="minorHAnsi"/>
                <w:i/>
                <w:sz w:val="24"/>
              </w:rPr>
              <w:t xml:space="preserve">ons in governance, including </w:t>
            </w:r>
            <w:r w:rsidR="00634354" w:rsidRPr="00634354">
              <w:rPr>
                <w:rFonts w:asciiTheme="minorHAnsi" w:hAnsiTheme="minorHAnsi"/>
                <w:i/>
                <w:sz w:val="24"/>
              </w:rPr>
              <w:t>pro-poor planning, budgeting and monitoring methodolog</w:t>
            </w:r>
            <w:r w:rsidR="00D1775E">
              <w:rPr>
                <w:rFonts w:asciiTheme="minorHAnsi" w:hAnsiTheme="minorHAnsi"/>
                <w:i/>
                <w:sz w:val="24"/>
              </w:rPr>
              <w:t>ies</w:t>
            </w:r>
            <w:r w:rsidR="00634354" w:rsidRPr="00634354">
              <w:rPr>
                <w:rFonts w:asciiTheme="minorHAnsi" w:hAnsiTheme="minorHAnsi"/>
                <w:i/>
                <w:sz w:val="24"/>
              </w:rPr>
              <w:t xml:space="preserve">. Bureaucracy reform road maps </w:t>
            </w:r>
            <w:r w:rsidR="00D1775E">
              <w:rPr>
                <w:rFonts w:asciiTheme="minorHAnsi" w:hAnsiTheme="minorHAnsi"/>
                <w:i/>
                <w:sz w:val="24"/>
              </w:rPr>
              <w:t xml:space="preserve">were developed in four self-selected provinces </w:t>
            </w:r>
            <w:r w:rsidR="00634354" w:rsidRPr="00634354">
              <w:rPr>
                <w:rFonts w:asciiTheme="minorHAnsi" w:hAnsiTheme="minorHAnsi"/>
                <w:i/>
                <w:sz w:val="24"/>
              </w:rPr>
              <w:t xml:space="preserve">with UNDP assistance </w:t>
            </w:r>
            <w:r w:rsidR="00D1775E">
              <w:rPr>
                <w:rFonts w:asciiTheme="minorHAnsi" w:hAnsiTheme="minorHAnsi"/>
                <w:i/>
                <w:sz w:val="24"/>
              </w:rPr>
              <w:t xml:space="preserve">(East Nusa Tengara, </w:t>
            </w:r>
            <w:r w:rsidR="00634354" w:rsidRPr="00634354">
              <w:rPr>
                <w:rFonts w:asciiTheme="minorHAnsi" w:hAnsiTheme="minorHAnsi"/>
                <w:i/>
                <w:sz w:val="24"/>
              </w:rPr>
              <w:t>Aceh, Gorontalo and Bangka Belitung</w:t>
            </w:r>
            <w:r w:rsidR="00634354">
              <w:t>.</w:t>
            </w:r>
            <w:r w:rsidR="00D1775E">
              <w:t>) The lessons learnt from these early pilots are being codified into knowledge products and will be used to inform policy discussions on bureaucracy reform in the new CP cycle.</w:t>
            </w:r>
          </w:p>
          <w:p w14:paraId="77F39A10" w14:textId="77777777" w:rsidR="00880F28" w:rsidRDefault="00880F28" w:rsidP="00E74058">
            <w:pPr>
              <w:pStyle w:val="BodyText2"/>
              <w:jc w:val="both"/>
              <w:rPr>
                <w:b/>
              </w:rPr>
            </w:pPr>
          </w:p>
          <w:p w14:paraId="70650046" w14:textId="77777777" w:rsidR="0020236C" w:rsidRDefault="0020236C" w:rsidP="00E74058">
            <w:pPr>
              <w:pStyle w:val="BodyText2"/>
              <w:jc w:val="both"/>
              <w:rPr>
                <w:b/>
              </w:rPr>
            </w:pPr>
          </w:p>
          <w:p w14:paraId="1EC92F59" w14:textId="77777777" w:rsidR="006A7AB0" w:rsidRDefault="006A7AB0" w:rsidP="00E74058">
            <w:pPr>
              <w:pStyle w:val="BodyText2"/>
              <w:jc w:val="both"/>
              <w:rPr>
                <w:b/>
              </w:rPr>
            </w:pPr>
            <w:r>
              <w:rPr>
                <w:b/>
              </w:rPr>
              <w:t xml:space="preserve">Gender: </w:t>
            </w:r>
          </w:p>
          <w:p w14:paraId="1612FDB3" w14:textId="6B6C01F2" w:rsidR="006A7AB0" w:rsidRPr="0020236C" w:rsidRDefault="006A7AB0" w:rsidP="00E74058">
            <w:pPr>
              <w:pStyle w:val="BodyText2"/>
              <w:jc w:val="both"/>
              <w:rPr>
                <w:rFonts w:asciiTheme="minorHAnsi" w:hAnsiTheme="minorHAnsi"/>
                <w:i/>
                <w:sz w:val="24"/>
              </w:rPr>
            </w:pPr>
            <w:r w:rsidRPr="0020236C">
              <w:rPr>
                <w:rFonts w:asciiTheme="minorHAnsi" w:hAnsiTheme="minorHAnsi"/>
                <w:i/>
                <w:sz w:val="24"/>
              </w:rPr>
              <w:t>P3BM Data Forums Collect and Verify Gender Data</w:t>
            </w:r>
            <w:r w:rsidR="0020236C" w:rsidRPr="0020236C">
              <w:rPr>
                <w:rFonts w:asciiTheme="minorHAnsi" w:hAnsiTheme="minorHAnsi"/>
                <w:i/>
                <w:sz w:val="24"/>
              </w:rPr>
              <w:t xml:space="preserve">. </w:t>
            </w:r>
            <w:r w:rsidRPr="0020236C">
              <w:rPr>
                <w:rFonts w:asciiTheme="minorHAnsi" w:hAnsiTheme="minorHAnsi"/>
                <w:i/>
                <w:sz w:val="24"/>
              </w:rPr>
              <w:t xml:space="preserve">Under various projects, UNDP has helped establish Data Forums, which collect and verify the accuracy of MDG data, including data with gender dimensions (MDG 3, and to some extent, MDG 1, 2, 4, 5 and 6). In Gorontalo for instance the forum was integrated into the provincial planning agency (Bappeda) through the establishment of a Technical Implementation Data Unit, whilst in Bangka Belitung, the forum was legalized through a Governor Decree, which </w:t>
            </w:r>
            <w:r w:rsidR="00F51106">
              <w:rPr>
                <w:rFonts w:asciiTheme="minorHAnsi" w:hAnsiTheme="minorHAnsi"/>
                <w:i/>
                <w:sz w:val="24"/>
              </w:rPr>
              <w:t>the GoI-</w:t>
            </w:r>
            <w:r w:rsidRPr="0020236C">
              <w:rPr>
                <w:rFonts w:asciiTheme="minorHAnsi" w:hAnsiTheme="minorHAnsi"/>
                <w:i/>
                <w:sz w:val="24"/>
              </w:rPr>
              <w:t xml:space="preserve">UNDP </w:t>
            </w:r>
            <w:r w:rsidR="00F51106">
              <w:rPr>
                <w:rFonts w:asciiTheme="minorHAnsi" w:hAnsiTheme="minorHAnsi"/>
                <w:i/>
                <w:sz w:val="24"/>
              </w:rPr>
              <w:t xml:space="preserve">project </w:t>
            </w:r>
            <w:r w:rsidRPr="0020236C">
              <w:rPr>
                <w:rFonts w:asciiTheme="minorHAnsi" w:hAnsiTheme="minorHAnsi"/>
                <w:i/>
                <w:sz w:val="24"/>
              </w:rPr>
              <w:t xml:space="preserve">helped draft. </w:t>
            </w:r>
          </w:p>
          <w:p w14:paraId="770B0BC0" w14:textId="77777777" w:rsidR="006A7AB0" w:rsidRPr="0020236C" w:rsidRDefault="006A7AB0" w:rsidP="00E74058">
            <w:pPr>
              <w:pStyle w:val="BodyText2"/>
              <w:jc w:val="both"/>
              <w:rPr>
                <w:rFonts w:asciiTheme="minorHAnsi" w:hAnsiTheme="minorHAnsi"/>
                <w:i/>
                <w:sz w:val="24"/>
              </w:rPr>
            </w:pPr>
          </w:p>
          <w:p w14:paraId="4BCAE4D3" w14:textId="02C6C15B" w:rsidR="006A7AB0" w:rsidRPr="0020236C" w:rsidRDefault="006A7AB0" w:rsidP="00E74058">
            <w:pPr>
              <w:pStyle w:val="BodyText2"/>
              <w:jc w:val="both"/>
              <w:rPr>
                <w:b/>
                <w:sz w:val="24"/>
              </w:rPr>
            </w:pPr>
            <w:r w:rsidRPr="0020236C">
              <w:rPr>
                <w:rFonts w:asciiTheme="minorHAnsi" w:hAnsiTheme="minorHAnsi"/>
                <w:i/>
                <w:sz w:val="24"/>
              </w:rPr>
              <w:t>PHDRs Consider Gender</w:t>
            </w:r>
            <w:r w:rsidR="0020236C" w:rsidRPr="0020236C">
              <w:rPr>
                <w:rFonts w:asciiTheme="minorHAnsi" w:hAnsiTheme="minorHAnsi"/>
                <w:i/>
                <w:sz w:val="24"/>
              </w:rPr>
              <w:t xml:space="preserve">: </w:t>
            </w:r>
            <w:r w:rsidRPr="0020236C">
              <w:rPr>
                <w:rFonts w:asciiTheme="minorHAnsi" w:hAnsiTheme="minorHAnsi"/>
                <w:i/>
                <w:sz w:val="24"/>
              </w:rPr>
              <w:t xml:space="preserve">The draft provincial human development reports (PHDRs) for </w:t>
            </w:r>
            <w:r w:rsidR="00D1775E">
              <w:rPr>
                <w:rFonts w:asciiTheme="minorHAnsi" w:hAnsiTheme="minorHAnsi"/>
                <w:i/>
                <w:sz w:val="24"/>
              </w:rPr>
              <w:t xml:space="preserve">East </w:t>
            </w:r>
            <w:r w:rsidRPr="0020236C">
              <w:rPr>
                <w:rFonts w:asciiTheme="minorHAnsi" w:hAnsiTheme="minorHAnsi"/>
                <w:i/>
                <w:sz w:val="24"/>
              </w:rPr>
              <w:t>N</w:t>
            </w:r>
            <w:r w:rsidR="00D1775E">
              <w:rPr>
                <w:rFonts w:asciiTheme="minorHAnsi" w:hAnsiTheme="minorHAnsi"/>
                <w:i/>
                <w:sz w:val="24"/>
              </w:rPr>
              <w:t xml:space="preserve">usa </w:t>
            </w:r>
            <w:r w:rsidRPr="0020236C">
              <w:rPr>
                <w:rFonts w:asciiTheme="minorHAnsi" w:hAnsiTheme="minorHAnsi"/>
                <w:i/>
                <w:sz w:val="24"/>
              </w:rPr>
              <w:t>T</w:t>
            </w:r>
            <w:r w:rsidR="00D1775E">
              <w:rPr>
                <w:rFonts w:asciiTheme="minorHAnsi" w:hAnsiTheme="minorHAnsi"/>
                <w:i/>
                <w:sz w:val="24"/>
              </w:rPr>
              <w:t>engara and</w:t>
            </w:r>
            <w:r w:rsidRPr="0020236C">
              <w:rPr>
                <w:rFonts w:asciiTheme="minorHAnsi" w:hAnsiTheme="minorHAnsi"/>
                <w:i/>
                <w:sz w:val="24"/>
              </w:rPr>
              <w:t xml:space="preserve"> Bangka Belitung include the Gender Empowerment Index thereby ensuring policy recommendations on economic development advance gender equality and women’s empowerment. The inclusion of these recommendations within the </w:t>
            </w:r>
            <w:r w:rsidR="00D1775E">
              <w:rPr>
                <w:rFonts w:asciiTheme="minorHAnsi" w:hAnsiTheme="minorHAnsi"/>
                <w:i/>
                <w:sz w:val="24"/>
              </w:rPr>
              <w:t>local medium term development plan (</w:t>
            </w:r>
            <w:r w:rsidRPr="0020236C">
              <w:rPr>
                <w:rFonts w:asciiTheme="minorHAnsi" w:hAnsiTheme="minorHAnsi"/>
                <w:i/>
                <w:sz w:val="24"/>
              </w:rPr>
              <w:t>RPJMD</w:t>
            </w:r>
            <w:r w:rsidR="00D1775E">
              <w:rPr>
                <w:rFonts w:asciiTheme="minorHAnsi" w:hAnsiTheme="minorHAnsi"/>
                <w:i/>
                <w:sz w:val="24"/>
              </w:rPr>
              <w:t>)</w:t>
            </w:r>
            <w:r w:rsidRPr="0020236C">
              <w:rPr>
                <w:rFonts w:asciiTheme="minorHAnsi" w:hAnsiTheme="minorHAnsi"/>
                <w:i/>
                <w:sz w:val="24"/>
              </w:rPr>
              <w:t>, will</w:t>
            </w:r>
            <w:r w:rsidR="00D1775E">
              <w:rPr>
                <w:rFonts w:asciiTheme="minorHAnsi" w:hAnsiTheme="minorHAnsi"/>
                <w:i/>
                <w:sz w:val="24"/>
              </w:rPr>
              <w:t xml:space="preserve"> help</w:t>
            </w:r>
            <w:r w:rsidRPr="0020236C">
              <w:rPr>
                <w:rFonts w:asciiTheme="minorHAnsi" w:hAnsiTheme="minorHAnsi"/>
                <w:i/>
                <w:sz w:val="24"/>
              </w:rPr>
              <w:t xml:space="preserve"> ensure </w:t>
            </w:r>
            <w:r w:rsidR="00D1775E">
              <w:rPr>
                <w:rFonts w:asciiTheme="minorHAnsi" w:hAnsiTheme="minorHAnsi"/>
                <w:i/>
                <w:sz w:val="24"/>
              </w:rPr>
              <w:t xml:space="preserve">that development </w:t>
            </w:r>
            <w:r w:rsidRPr="0020236C">
              <w:rPr>
                <w:rFonts w:asciiTheme="minorHAnsi" w:hAnsiTheme="minorHAnsi"/>
                <w:i/>
                <w:sz w:val="24"/>
              </w:rPr>
              <w:t>policy is consistent within these principles over the next five years</w:t>
            </w:r>
            <w:r w:rsidRPr="0020236C">
              <w:rPr>
                <w:rFonts w:cs="Arial"/>
                <w:sz w:val="13"/>
                <w:szCs w:val="9"/>
              </w:rPr>
              <w:t>.</w:t>
            </w:r>
          </w:p>
          <w:p w14:paraId="253119A4" w14:textId="77777777" w:rsidR="00880F28" w:rsidRPr="00DC7354" w:rsidRDefault="00880F28" w:rsidP="00E74058">
            <w:pPr>
              <w:pStyle w:val="BodyText2"/>
              <w:jc w:val="both"/>
              <w:rPr>
                <w:rFonts w:asciiTheme="minorHAnsi" w:hAnsiTheme="minorHAnsi"/>
              </w:rPr>
            </w:pPr>
          </w:p>
        </w:tc>
      </w:tr>
      <w:tr w:rsidR="00694F35" w:rsidRPr="00DC7354" w14:paraId="0AC1516E" w14:textId="77777777" w:rsidTr="00694F35">
        <w:tc>
          <w:tcPr>
            <w:tcW w:w="3150" w:type="dxa"/>
            <w:tcBorders>
              <w:bottom w:val="single" w:sz="4" w:space="0" w:color="auto"/>
            </w:tcBorders>
            <w:shd w:val="clear" w:color="auto" w:fill="95B3D7" w:themeFill="accent1" w:themeFillTint="99"/>
          </w:tcPr>
          <w:p w14:paraId="1BB204EA" w14:textId="09FCA488" w:rsidR="00694F35" w:rsidRPr="000823AC" w:rsidRDefault="0047429E" w:rsidP="00E74058">
            <w:pPr>
              <w:pStyle w:val="BodyText2"/>
              <w:jc w:val="both"/>
              <w:rPr>
                <w:rFonts w:asciiTheme="minorHAnsi" w:hAnsiTheme="minorHAnsi"/>
                <w:b/>
              </w:rPr>
            </w:pPr>
            <w:r>
              <w:rPr>
                <w:rFonts w:asciiTheme="minorHAnsi" w:hAnsiTheme="minorHAnsi"/>
                <w:b/>
              </w:rPr>
              <w:lastRenderedPageBreak/>
              <w:t>7</w:t>
            </w:r>
            <w:r w:rsidR="00694F35" w:rsidRPr="000823AC">
              <w:rPr>
                <w:rFonts w:asciiTheme="minorHAnsi" w:hAnsiTheme="minorHAnsi"/>
                <w:b/>
              </w:rPr>
              <w:t xml:space="preserve">. </w:t>
            </w:r>
            <w:r w:rsidR="002C33D0" w:rsidRPr="002C33D0">
              <w:rPr>
                <w:rFonts w:asciiTheme="minorHAnsi" w:hAnsiTheme="minorHAnsi"/>
                <w:b/>
                <w:i/>
              </w:rPr>
              <w:t>Justice providers and institutions are more effective in protecting human rights, and citizens enjoy improved access to justice</w:t>
            </w:r>
          </w:p>
        </w:tc>
        <w:tc>
          <w:tcPr>
            <w:tcW w:w="1440" w:type="dxa"/>
            <w:tcBorders>
              <w:bottom w:val="single" w:sz="4" w:space="0" w:color="auto"/>
            </w:tcBorders>
            <w:shd w:val="clear" w:color="auto" w:fill="auto"/>
          </w:tcPr>
          <w:p w14:paraId="17733EC8" w14:textId="0541B388"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9,267,213</w:t>
            </w:r>
          </w:p>
        </w:tc>
        <w:tc>
          <w:tcPr>
            <w:tcW w:w="3960" w:type="dxa"/>
            <w:tcBorders>
              <w:left w:val="single" w:sz="4" w:space="0" w:color="auto"/>
              <w:bottom w:val="single" w:sz="4" w:space="0" w:color="auto"/>
            </w:tcBorders>
          </w:tcPr>
          <w:p w14:paraId="6F762BEE" w14:textId="77777777" w:rsidR="002C33D0" w:rsidRPr="00636CD0" w:rsidRDefault="002C33D0" w:rsidP="00E74058">
            <w:pPr>
              <w:jc w:val="both"/>
              <w:rPr>
                <w:b/>
                <w:sz w:val="16"/>
                <w:szCs w:val="16"/>
              </w:rPr>
            </w:pPr>
            <w:r w:rsidRPr="00636CD0">
              <w:rPr>
                <w:b/>
                <w:sz w:val="16"/>
                <w:szCs w:val="16"/>
              </w:rPr>
              <w:t>Indicators:</w:t>
            </w:r>
          </w:p>
          <w:p w14:paraId="0BAAEFAE" w14:textId="78DA2007" w:rsidR="002C33D0" w:rsidRDefault="002C33D0" w:rsidP="00E74058">
            <w:pPr>
              <w:pStyle w:val="BodyText2"/>
              <w:numPr>
                <w:ilvl w:val="0"/>
                <w:numId w:val="26"/>
              </w:numPr>
              <w:jc w:val="both"/>
              <w:rPr>
                <w:rFonts w:asciiTheme="minorHAnsi" w:hAnsiTheme="minorHAnsi"/>
                <w:i/>
              </w:rPr>
            </w:pPr>
            <w:r w:rsidRPr="003B0607">
              <w:rPr>
                <w:rFonts w:asciiTheme="minorHAnsi" w:hAnsiTheme="minorHAnsi"/>
                <w:i/>
              </w:rPr>
              <w:t xml:space="preserve">Level of progress in the implementation of key strategies of the National Strategy on Access to Justice (NSA2J) 2010-2014; </w:t>
            </w:r>
          </w:p>
          <w:p w14:paraId="37B98A54" w14:textId="4107165D" w:rsidR="002C33D0" w:rsidRPr="003B0607" w:rsidRDefault="002C33D0" w:rsidP="00E74058">
            <w:pPr>
              <w:pStyle w:val="BodyText2"/>
              <w:numPr>
                <w:ilvl w:val="0"/>
                <w:numId w:val="26"/>
              </w:numPr>
              <w:jc w:val="both"/>
              <w:rPr>
                <w:rFonts w:asciiTheme="minorHAnsi" w:hAnsiTheme="minorHAnsi"/>
                <w:i/>
              </w:rPr>
            </w:pPr>
            <w:r w:rsidRPr="003B0607">
              <w:rPr>
                <w:rFonts w:asciiTheme="minorHAnsi" w:hAnsiTheme="minorHAnsi"/>
                <w:i/>
              </w:rPr>
              <w:t xml:space="preserve">Level of satisfaction among target groups with available justice mechanism as measured by score of WJP Rule of Law Index and KPK Index on Public Sector Integrity </w:t>
            </w:r>
          </w:p>
          <w:p w14:paraId="3B65FAEE" w14:textId="23026599" w:rsidR="00694F35" w:rsidRPr="00920DBC" w:rsidRDefault="002C33D0" w:rsidP="00E74058">
            <w:pPr>
              <w:pStyle w:val="BodyText2"/>
              <w:numPr>
                <w:ilvl w:val="0"/>
                <w:numId w:val="26"/>
              </w:numPr>
              <w:jc w:val="both"/>
              <w:rPr>
                <w:rFonts w:asciiTheme="minorHAnsi" w:hAnsiTheme="minorHAnsi"/>
                <w:i/>
              </w:rPr>
            </w:pPr>
            <w:r w:rsidRPr="003B0607">
              <w:rPr>
                <w:rFonts w:asciiTheme="minorHAnsi" w:hAnsiTheme="minorHAnsi"/>
                <w:i/>
              </w:rPr>
              <w:t xml:space="preserve"> % change in delivery of legal aid budget for the poor in  national and targeted subnational governments</w:t>
            </w:r>
          </w:p>
        </w:tc>
        <w:tc>
          <w:tcPr>
            <w:tcW w:w="5490" w:type="dxa"/>
            <w:tcBorders>
              <w:bottom w:val="single" w:sz="4" w:space="0" w:color="auto"/>
            </w:tcBorders>
            <w:shd w:val="clear" w:color="auto" w:fill="auto"/>
          </w:tcPr>
          <w:p w14:paraId="525843F1" w14:textId="22B403AA" w:rsidR="00694F35" w:rsidRPr="004D031E" w:rsidRDefault="004D031E" w:rsidP="00E74058">
            <w:pPr>
              <w:pStyle w:val="BodyText2"/>
              <w:numPr>
                <w:ilvl w:val="0"/>
                <w:numId w:val="36"/>
              </w:numPr>
              <w:jc w:val="both"/>
              <w:rPr>
                <w:rFonts w:asciiTheme="minorHAnsi" w:hAnsiTheme="minorHAnsi"/>
                <w:i/>
              </w:rPr>
            </w:pPr>
            <w:r w:rsidRPr="004D031E">
              <w:rPr>
                <w:rFonts w:asciiTheme="minorHAnsi" w:hAnsiTheme="minorHAnsi"/>
                <w:i/>
              </w:rPr>
              <w:t xml:space="preserve">Baseline 2011, National Strategy on Access to Justice was finalized in 2009. Current status, </w:t>
            </w:r>
            <w:r w:rsidR="00D27C8C">
              <w:rPr>
                <w:rFonts w:asciiTheme="minorHAnsi" w:hAnsiTheme="minorHAnsi"/>
                <w:i/>
              </w:rPr>
              <w:t>some progress</w:t>
            </w:r>
            <w:r w:rsidRPr="004D031E">
              <w:rPr>
                <w:rFonts w:asciiTheme="minorHAnsi" w:hAnsiTheme="minorHAnsi"/>
                <w:i/>
              </w:rPr>
              <w:t>: approximately 90% of key strategies in NSA2J integrated into the RPJMN 2015-201</w:t>
            </w:r>
            <w:r w:rsidR="00D27C8C">
              <w:rPr>
                <w:rFonts w:asciiTheme="minorHAnsi" w:hAnsiTheme="minorHAnsi"/>
                <w:i/>
              </w:rPr>
              <w:t>9, free legal aid service expanded, line Ministries implemented some elements of NSA2J.</w:t>
            </w:r>
          </w:p>
          <w:p w14:paraId="5DA158D3" w14:textId="77777777" w:rsidR="00694F35" w:rsidRDefault="00C04783" w:rsidP="00E74058">
            <w:pPr>
              <w:pStyle w:val="BodyText2"/>
              <w:numPr>
                <w:ilvl w:val="0"/>
                <w:numId w:val="36"/>
              </w:numPr>
              <w:jc w:val="both"/>
              <w:rPr>
                <w:rFonts w:asciiTheme="minorHAnsi" w:hAnsiTheme="minorHAnsi"/>
                <w:i/>
              </w:rPr>
            </w:pPr>
            <w:r w:rsidRPr="00C04783">
              <w:rPr>
                <w:rFonts w:asciiTheme="minorHAnsi" w:hAnsiTheme="minorHAnsi"/>
                <w:i/>
              </w:rPr>
              <w:t xml:space="preserve">Baseline, 2011: World Justice Project Index (2010): Access to Civil Justice (0.40), Effective Criminal Justice (0.55). KPK Index on Public Sector Integrity (2010): 6.16; Current status, some progress: World Justice Project Index (2014): Access to Civil Justice (0.47), Effective Criminal Justice (0.37). KPK Index on Public Sector Integrity (2014): 7.22 </w:t>
            </w:r>
            <w:r>
              <w:rPr>
                <w:rFonts w:asciiTheme="minorHAnsi" w:hAnsiTheme="minorHAnsi"/>
                <w:i/>
              </w:rPr>
              <w:t>(WJP ROL Index)</w:t>
            </w:r>
          </w:p>
          <w:p w14:paraId="08F553F1" w14:textId="09E4BA47" w:rsidR="0043559F" w:rsidRPr="0043559F" w:rsidRDefault="0043559F" w:rsidP="00E74058">
            <w:pPr>
              <w:pStyle w:val="BodyText2"/>
              <w:numPr>
                <w:ilvl w:val="0"/>
                <w:numId w:val="36"/>
              </w:numPr>
              <w:jc w:val="both"/>
              <w:rPr>
                <w:rFonts w:asciiTheme="minorHAnsi" w:hAnsiTheme="minorHAnsi"/>
                <w:i/>
              </w:rPr>
            </w:pPr>
            <w:r w:rsidRPr="0043559F">
              <w:rPr>
                <w:rFonts w:asciiTheme="minorHAnsi" w:hAnsiTheme="minorHAnsi"/>
                <w:i/>
              </w:rPr>
              <w:t xml:space="preserve">Baseline: As of 2010, the Government of Indonesia allocated the Supreme Court  IDR 41.9 billion for the national legal aid budget with 7.5 billion (17%) of it delivered to the poor” </w:t>
            </w:r>
          </w:p>
          <w:p w14:paraId="0FF6D11F" w14:textId="593A8447" w:rsidR="00C04783" w:rsidRPr="00920DBC" w:rsidRDefault="0043559F" w:rsidP="00E74058">
            <w:pPr>
              <w:pStyle w:val="BodyText2"/>
              <w:ind w:left="360"/>
              <w:jc w:val="both"/>
              <w:rPr>
                <w:rFonts w:asciiTheme="minorHAnsi" w:hAnsiTheme="minorHAnsi"/>
                <w:i/>
              </w:rPr>
            </w:pPr>
            <w:r w:rsidRPr="0043559F">
              <w:rPr>
                <w:rFonts w:asciiTheme="minorHAnsi" w:hAnsiTheme="minorHAnsi"/>
                <w:i/>
              </w:rPr>
              <w:t>(Source of Data</w:t>
            </w:r>
            <w:r w:rsidR="00F51106">
              <w:rPr>
                <w:rFonts w:asciiTheme="minorHAnsi" w:hAnsiTheme="minorHAnsi"/>
                <w:i/>
              </w:rPr>
              <w:t>:</w:t>
            </w:r>
            <w:r w:rsidRPr="0043559F">
              <w:rPr>
                <w:rFonts w:asciiTheme="minorHAnsi" w:hAnsiTheme="minorHAnsi"/>
                <w:i/>
              </w:rPr>
              <w:t xml:space="preserve"> Supreme Court). Current status</w:t>
            </w:r>
            <w:r>
              <w:rPr>
                <w:rFonts w:asciiTheme="minorHAnsi" w:hAnsiTheme="minorHAnsi"/>
                <w:i/>
              </w:rPr>
              <w:t xml:space="preserve">, some progress: </w:t>
            </w:r>
            <w:r w:rsidRPr="0043559F">
              <w:rPr>
                <w:rFonts w:asciiTheme="minorHAnsi" w:hAnsiTheme="minorHAnsi"/>
                <w:i/>
              </w:rPr>
              <w:t>Of the IDR45 billion (approximately USD3.7 million) allocated for legal aid, IDR</w:t>
            </w:r>
            <w:r w:rsidR="00795E5B">
              <w:rPr>
                <w:rFonts w:asciiTheme="minorHAnsi" w:hAnsiTheme="minorHAnsi"/>
                <w:i/>
              </w:rPr>
              <w:t xml:space="preserve"> </w:t>
            </w:r>
            <w:r w:rsidRPr="0043559F">
              <w:rPr>
                <w:rFonts w:asciiTheme="minorHAnsi" w:hAnsiTheme="minorHAnsi"/>
                <w:i/>
              </w:rPr>
              <w:t>9,002,448,200 (20%) was delivered to the poor</w:t>
            </w:r>
            <w:r w:rsidR="003A51F5">
              <w:rPr>
                <w:rFonts w:asciiTheme="minorHAnsi" w:hAnsiTheme="minorHAnsi"/>
                <w:i/>
              </w:rPr>
              <w:t xml:space="preserve"> in 2014</w:t>
            </w:r>
            <w:r w:rsidRPr="0043559F">
              <w:rPr>
                <w:rFonts w:asciiTheme="minorHAnsi" w:hAnsiTheme="minorHAnsi"/>
                <w:i/>
              </w:rPr>
              <w:t>.</w:t>
            </w:r>
          </w:p>
        </w:tc>
      </w:tr>
      <w:tr w:rsidR="00694F35" w:rsidRPr="00DC7354" w14:paraId="1621B791" w14:textId="77777777" w:rsidTr="00694F35">
        <w:tc>
          <w:tcPr>
            <w:tcW w:w="14040" w:type="dxa"/>
            <w:gridSpan w:val="4"/>
          </w:tcPr>
          <w:p w14:paraId="355DA128" w14:textId="5E4B13BC" w:rsidR="00694F35" w:rsidRPr="00837C4B" w:rsidRDefault="00694F35" w:rsidP="00E74058">
            <w:pPr>
              <w:pStyle w:val="BodyText2"/>
              <w:jc w:val="both"/>
              <w:rPr>
                <w:rFonts w:asciiTheme="minorHAnsi" w:hAnsiTheme="minorHAnsi"/>
                <w:b/>
              </w:rPr>
            </w:pPr>
            <w:r w:rsidRPr="00837C4B">
              <w:rPr>
                <w:rFonts w:asciiTheme="minorHAnsi" w:hAnsiTheme="minorHAnsi"/>
                <w:b/>
              </w:rPr>
              <w:t>UNDP Contribution:</w:t>
            </w:r>
          </w:p>
          <w:p w14:paraId="63B71FEC" w14:textId="77777777" w:rsidR="00694F35" w:rsidRDefault="00694F35" w:rsidP="00E74058">
            <w:pPr>
              <w:pStyle w:val="BodyText2"/>
              <w:jc w:val="both"/>
              <w:rPr>
                <w:rFonts w:asciiTheme="minorHAnsi" w:hAnsiTheme="minorHAnsi"/>
              </w:rPr>
            </w:pPr>
          </w:p>
          <w:p w14:paraId="03508691" w14:textId="77777777" w:rsidR="00694F35" w:rsidRPr="006473C6" w:rsidRDefault="00694F35" w:rsidP="00E74058">
            <w:pPr>
              <w:pStyle w:val="BodyText2"/>
              <w:jc w:val="both"/>
              <w:rPr>
                <w:rFonts w:asciiTheme="minorHAnsi" w:hAnsiTheme="minorHAnsi"/>
                <w:sz w:val="24"/>
              </w:rPr>
            </w:pPr>
            <w:r w:rsidRPr="006473C6">
              <w:rPr>
                <w:rFonts w:asciiTheme="minorHAnsi" w:hAnsiTheme="minorHAnsi"/>
                <w:sz w:val="24"/>
                <w:u w:val="single"/>
              </w:rPr>
              <w:t>CP Outputs</w:t>
            </w:r>
            <w:r w:rsidRPr="006473C6">
              <w:rPr>
                <w:rFonts w:asciiTheme="minorHAnsi" w:hAnsiTheme="minorHAnsi"/>
                <w:sz w:val="24"/>
              </w:rPr>
              <w:t>:</w:t>
            </w:r>
          </w:p>
          <w:p w14:paraId="43471662" w14:textId="5953319F" w:rsidR="00694F35" w:rsidRPr="006473C6" w:rsidRDefault="00694F35" w:rsidP="00E74058">
            <w:pPr>
              <w:pStyle w:val="BodyText2"/>
              <w:jc w:val="both"/>
              <w:rPr>
                <w:rFonts w:asciiTheme="minorHAnsi" w:hAnsiTheme="minorHAnsi"/>
                <w:i/>
                <w:sz w:val="24"/>
              </w:rPr>
            </w:pPr>
            <w:r w:rsidRPr="006473C6">
              <w:rPr>
                <w:rFonts w:asciiTheme="minorHAnsi" w:hAnsiTheme="minorHAnsi"/>
                <w:i/>
                <w:sz w:val="24"/>
              </w:rPr>
              <w:t xml:space="preserve">The UNDP CP identified </w:t>
            </w:r>
            <w:r w:rsidR="006473C6">
              <w:rPr>
                <w:rFonts w:asciiTheme="minorHAnsi" w:hAnsiTheme="minorHAnsi"/>
                <w:i/>
                <w:sz w:val="24"/>
              </w:rPr>
              <w:t xml:space="preserve">four </w:t>
            </w:r>
            <w:r w:rsidRPr="006473C6">
              <w:rPr>
                <w:rFonts w:asciiTheme="minorHAnsi" w:hAnsiTheme="minorHAnsi"/>
                <w:i/>
                <w:sz w:val="24"/>
              </w:rPr>
              <w:t>major outputs to support the Government in achieving this outcome: (a</w:t>
            </w:r>
            <w:r w:rsidR="003B0607" w:rsidRPr="006473C6">
              <w:rPr>
                <w:rFonts w:asciiTheme="minorHAnsi" w:hAnsiTheme="minorHAnsi"/>
                <w:i/>
                <w:sz w:val="24"/>
              </w:rPr>
              <w:t xml:space="preserve">) </w:t>
            </w:r>
            <w:r w:rsidR="002C33D0" w:rsidRPr="006473C6">
              <w:rPr>
                <w:rFonts w:asciiTheme="minorHAnsi" w:hAnsiTheme="minorHAnsi"/>
                <w:i/>
                <w:sz w:val="24"/>
              </w:rPr>
              <w:t>Relevant ministries and subnational government agencies in target provinces have the necessary financial and human resources, technical expertise, and mechanisms to implement and coordinate the NSA2J.</w:t>
            </w:r>
            <w:r w:rsidRPr="006473C6">
              <w:rPr>
                <w:rFonts w:asciiTheme="minorHAnsi" w:hAnsiTheme="minorHAnsi"/>
                <w:i/>
                <w:sz w:val="24"/>
              </w:rPr>
              <w:t xml:space="preserve">; (b) </w:t>
            </w:r>
            <w:r w:rsidR="004042C9" w:rsidRPr="006473C6">
              <w:rPr>
                <w:rFonts w:asciiTheme="minorHAnsi" w:hAnsiTheme="minorHAnsi"/>
                <w:i/>
                <w:sz w:val="24"/>
              </w:rPr>
              <w:t>State agencies mandated with legal aid provision (BPHN) and public complaint and grievance handling mechanisms (Komnas HAM, Ditjen HAM, OMBUDSMAN, and Komisi Yudisial) have adequate  financial and human resources, technical expertise and  effective mechanisms to provide legal aid services for and to address complaints by citizens, particularly the poor and the marginalized</w:t>
            </w:r>
            <w:r w:rsidRPr="006473C6">
              <w:rPr>
                <w:rFonts w:asciiTheme="minorHAnsi" w:hAnsiTheme="minorHAnsi"/>
                <w:i/>
                <w:sz w:val="24"/>
              </w:rPr>
              <w:t xml:space="preserve">, (c) </w:t>
            </w:r>
            <w:r w:rsidR="004042C9" w:rsidRPr="006473C6">
              <w:rPr>
                <w:rFonts w:asciiTheme="minorHAnsi" w:hAnsiTheme="minorHAnsi"/>
                <w:i/>
                <w:sz w:val="24"/>
              </w:rPr>
              <w:t>Mechanisms established to assist informal justice providers in target provinces to enhance access of the poor to justice, particularly for women and vulnerable groups</w:t>
            </w:r>
            <w:r w:rsidRPr="006473C6">
              <w:rPr>
                <w:rFonts w:asciiTheme="minorHAnsi" w:hAnsiTheme="minorHAnsi"/>
                <w:i/>
                <w:sz w:val="24"/>
              </w:rPr>
              <w:t xml:space="preserve">, </w:t>
            </w:r>
            <w:r w:rsidR="004042C9" w:rsidRPr="006473C6">
              <w:rPr>
                <w:rFonts w:asciiTheme="minorHAnsi" w:hAnsiTheme="minorHAnsi"/>
                <w:i/>
                <w:sz w:val="24"/>
              </w:rPr>
              <w:t xml:space="preserve">and </w:t>
            </w:r>
            <w:r w:rsidRPr="006473C6">
              <w:rPr>
                <w:rFonts w:asciiTheme="minorHAnsi" w:hAnsiTheme="minorHAnsi"/>
                <w:i/>
                <w:sz w:val="24"/>
              </w:rPr>
              <w:t xml:space="preserve">(d) </w:t>
            </w:r>
            <w:r w:rsidR="004042C9" w:rsidRPr="006473C6">
              <w:rPr>
                <w:rFonts w:asciiTheme="minorHAnsi" w:hAnsiTheme="minorHAnsi"/>
                <w:i/>
                <w:sz w:val="24"/>
              </w:rPr>
              <w:t>Strengthened policies, regulatory frameworks, and stakeholder governance capacity on issues related to the sustainable management of natural resources at national and target subnational levels and the guarantee of the rights of local and adat communities</w:t>
            </w:r>
            <w:r w:rsidR="004042C9" w:rsidRPr="006473C6">
              <w:rPr>
                <w:i/>
                <w:iCs/>
                <w:szCs w:val="16"/>
              </w:rPr>
              <w:t>.</w:t>
            </w:r>
          </w:p>
          <w:p w14:paraId="19327FCE" w14:textId="77777777" w:rsidR="00694F35" w:rsidRPr="006473C6" w:rsidRDefault="00694F35" w:rsidP="00E74058">
            <w:pPr>
              <w:pStyle w:val="BodyText2"/>
              <w:jc w:val="both"/>
              <w:rPr>
                <w:rFonts w:asciiTheme="minorHAnsi" w:hAnsiTheme="minorHAnsi"/>
                <w:sz w:val="24"/>
              </w:rPr>
            </w:pPr>
          </w:p>
          <w:p w14:paraId="415DAFEB" w14:textId="77777777" w:rsidR="00694F35" w:rsidRPr="006473C6" w:rsidRDefault="00694F35" w:rsidP="00E74058">
            <w:pPr>
              <w:pStyle w:val="BodyText2"/>
              <w:jc w:val="both"/>
              <w:rPr>
                <w:rFonts w:asciiTheme="minorHAnsi" w:hAnsiTheme="minorHAnsi"/>
                <w:sz w:val="24"/>
              </w:rPr>
            </w:pPr>
            <w:r w:rsidRPr="006473C6">
              <w:rPr>
                <w:rFonts w:asciiTheme="minorHAnsi" w:hAnsiTheme="minorHAnsi"/>
                <w:sz w:val="24"/>
                <w:u w:val="single"/>
              </w:rPr>
              <w:t>Progress and Achievements</w:t>
            </w:r>
            <w:r w:rsidRPr="006473C6">
              <w:rPr>
                <w:rFonts w:asciiTheme="minorHAnsi" w:hAnsiTheme="minorHAnsi"/>
                <w:sz w:val="24"/>
              </w:rPr>
              <w:t>:</w:t>
            </w:r>
          </w:p>
          <w:p w14:paraId="58F60412" w14:textId="77777777" w:rsidR="00694F35" w:rsidRDefault="00694F35" w:rsidP="00E74058">
            <w:pPr>
              <w:pStyle w:val="BodyText2"/>
              <w:ind w:left="360"/>
              <w:jc w:val="both"/>
              <w:rPr>
                <w:rFonts w:asciiTheme="minorHAnsi" w:hAnsiTheme="minorHAnsi"/>
              </w:rPr>
            </w:pPr>
          </w:p>
          <w:p w14:paraId="1F518701" w14:textId="25F85785" w:rsidR="002D43B6" w:rsidRPr="006473C6" w:rsidRDefault="00A53E21" w:rsidP="00E74058">
            <w:pPr>
              <w:pStyle w:val="BodyText2"/>
              <w:jc w:val="both"/>
              <w:rPr>
                <w:rFonts w:asciiTheme="minorHAnsi" w:hAnsiTheme="minorHAnsi"/>
                <w:i/>
                <w:sz w:val="24"/>
              </w:rPr>
            </w:pPr>
            <w:r w:rsidRPr="006473C6">
              <w:rPr>
                <w:rFonts w:asciiTheme="minorHAnsi" w:hAnsiTheme="minorHAnsi"/>
                <w:b/>
                <w:i/>
                <w:sz w:val="24"/>
              </w:rPr>
              <w:t>Output (a) The National Strategy for Access to Justice (NSA2J)</w:t>
            </w:r>
            <w:r w:rsidRPr="006473C6">
              <w:rPr>
                <w:rFonts w:asciiTheme="minorHAnsi" w:hAnsiTheme="minorHAnsi"/>
                <w:i/>
                <w:sz w:val="24"/>
              </w:rPr>
              <w:t xml:space="preserve">: </w:t>
            </w:r>
            <w:r w:rsidR="00316520">
              <w:rPr>
                <w:rFonts w:asciiTheme="minorHAnsi" w:hAnsiTheme="minorHAnsi"/>
                <w:i/>
                <w:sz w:val="24"/>
              </w:rPr>
              <w:t xml:space="preserve">The Medium Term Evaluation observed that </w:t>
            </w:r>
            <w:r w:rsidRPr="006473C6">
              <w:rPr>
                <w:rFonts w:asciiTheme="minorHAnsi" w:hAnsiTheme="minorHAnsi"/>
                <w:i/>
                <w:sz w:val="24"/>
              </w:rPr>
              <w:t xml:space="preserve">UNDP has played a very useful </w:t>
            </w:r>
            <w:r w:rsidRPr="006473C6">
              <w:rPr>
                <w:rFonts w:asciiTheme="minorHAnsi" w:hAnsiTheme="minorHAnsi"/>
                <w:i/>
                <w:sz w:val="24"/>
              </w:rPr>
              <w:lastRenderedPageBreak/>
              <w:t xml:space="preserve">role in helping GOI to establish a </w:t>
            </w:r>
            <w:r w:rsidR="00D27C8C">
              <w:rPr>
                <w:rFonts w:asciiTheme="minorHAnsi" w:hAnsiTheme="minorHAnsi"/>
                <w:i/>
                <w:sz w:val="24"/>
              </w:rPr>
              <w:t xml:space="preserve">national </w:t>
            </w:r>
            <w:r w:rsidRPr="006473C6">
              <w:rPr>
                <w:rFonts w:asciiTheme="minorHAnsi" w:hAnsiTheme="minorHAnsi"/>
                <w:i/>
                <w:sz w:val="24"/>
              </w:rPr>
              <w:t>strategy for access to justice.</w:t>
            </w:r>
            <w:r w:rsidR="002D43B6" w:rsidRPr="006473C6">
              <w:rPr>
                <w:rFonts w:asciiTheme="minorHAnsi" w:hAnsiTheme="minorHAnsi"/>
                <w:i/>
                <w:sz w:val="24"/>
              </w:rPr>
              <w:t xml:space="preserve"> UNDP supported the establishment of the NSA2J Secretariat and its increasingly effective role in coordination and in rolling out of legal aid programmes and juvenile justice systems. By 2013 the Secretariat, which </w:t>
            </w:r>
            <w:r w:rsidR="00316520">
              <w:rPr>
                <w:rFonts w:asciiTheme="minorHAnsi" w:hAnsiTheme="minorHAnsi"/>
                <w:i/>
                <w:sz w:val="24"/>
              </w:rPr>
              <w:t xml:space="preserve">was housed </w:t>
            </w:r>
            <w:r w:rsidR="002D43B6" w:rsidRPr="006473C6">
              <w:rPr>
                <w:rFonts w:asciiTheme="minorHAnsi" w:hAnsiTheme="minorHAnsi"/>
                <w:i/>
                <w:sz w:val="24"/>
              </w:rPr>
              <w:t>under Bappenas, was effectively coordinat</w:t>
            </w:r>
            <w:r w:rsidR="00316520">
              <w:rPr>
                <w:rFonts w:asciiTheme="minorHAnsi" w:hAnsiTheme="minorHAnsi"/>
                <w:i/>
                <w:sz w:val="24"/>
              </w:rPr>
              <w:t>ing</w:t>
            </w:r>
            <w:r w:rsidR="002D43B6" w:rsidRPr="006473C6">
              <w:rPr>
                <w:rFonts w:asciiTheme="minorHAnsi" w:hAnsiTheme="minorHAnsi"/>
                <w:i/>
                <w:sz w:val="24"/>
              </w:rPr>
              <w:t>, overs</w:t>
            </w:r>
            <w:r w:rsidR="00316520">
              <w:rPr>
                <w:rFonts w:asciiTheme="minorHAnsi" w:hAnsiTheme="minorHAnsi"/>
                <w:i/>
                <w:sz w:val="24"/>
              </w:rPr>
              <w:t>e</w:t>
            </w:r>
            <w:r w:rsidR="002D43B6" w:rsidRPr="006473C6">
              <w:rPr>
                <w:rFonts w:asciiTheme="minorHAnsi" w:hAnsiTheme="minorHAnsi"/>
                <w:i/>
                <w:sz w:val="24"/>
              </w:rPr>
              <w:t>e</w:t>
            </w:r>
            <w:r w:rsidR="00316520">
              <w:rPr>
                <w:rFonts w:asciiTheme="minorHAnsi" w:hAnsiTheme="minorHAnsi"/>
                <w:i/>
                <w:sz w:val="24"/>
              </w:rPr>
              <w:t>ing</w:t>
            </w:r>
            <w:r w:rsidR="002D43B6" w:rsidRPr="006473C6">
              <w:rPr>
                <w:rFonts w:asciiTheme="minorHAnsi" w:hAnsiTheme="minorHAnsi"/>
                <w:i/>
                <w:sz w:val="24"/>
              </w:rPr>
              <w:t>, and evaluat</w:t>
            </w:r>
            <w:r w:rsidR="00316520">
              <w:rPr>
                <w:rFonts w:asciiTheme="minorHAnsi" w:hAnsiTheme="minorHAnsi"/>
                <w:i/>
                <w:sz w:val="24"/>
              </w:rPr>
              <w:t>ing</w:t>
            </w:r>
            <w:r w:rsidR="002D43B6" w:rsidRPr="006473C6">
              <w:rPr>
                <w:rFonts w:asciiTheme="minorHAnsi" w:hAnsiTheme="minorHAnsi"/>
                <w:i/>
                <w:sz w:val="24"/>
              </w:rPr>
              <w:t xml:space="preserve"> the implementation of the NSA2J strategy.</w:t>
            </w:r>
            <w:r w:rsidR="00135E07">
              <w:rPr>
                <w:rFonts w:asciiTheme="minorHAnsi" w:hAnsiTheme="minorHAnsi"/>
                <w:i/>
                <w:sz w:val="24"/>
              </w:rPr>
              <w:t xml:space="preserve"> </w:t>
            </w:r>
            <w:r w:rsidR="00135E07" w:rsidRPr="00135E07">
              <w:rPr>
                <w:rFonts w:asciiTheme="minorHAnsi" w:hAnsiTheme="minorHAnsi"/>
                <w:i/>
                <w:sz w:val="24"/>
              </w:rPr>
              <w:t xml:space="preserve">The inclusion of key NSA2J strategies within the </w:t>
            </w:r>
            <w:r w:rsidR="00135E07">
              <w:rPr>
                <w:rFonts w:asciiTheme="minorHAnsi" w:hAnsiTheme="minorHAnsi"/>
                <w:i/>
                <w:sz w:val="24"/>
              </w:rPr>
              <w:t xml:space="preserve">new </w:t>
            </w:r>
            <w:r w:rsidR="00135E07" w:rsidRPr="00135E07">
              <w:rPr>
                <w:rFonts w:asciiTheme="minorHAnsi" w:hAnsiTheme="minorHAnsi"/>
                <w:i/>
                <w:sz w:val="24"/>
              </w:rPr>
              <w:t>RPJMN</w:t>
            </w:r>
            <w:r w:rsidR="00135E07">
              <w:rPr>
                <w:rFonts w:asciiTheme="minorHAnsi" w:hAnsiTheme="minorHAnsi"/>
                <w:i/>
                <w:sz w:val="24"/>
              </w:rPr>
              <w:t xml:space="preserve"> 2015-2019</w:t>
            </w:r>
            <w:r w:rsidR="00135E07" w:rsidRPr="00135E07">
              <w:rPr>
                <w:rFonts w:asciiTheme="minorHAnsi" w:hAnsiTheme="minorHAnsi"/>
                <w:i/>
                <w:sz w:val="24"/>
              </w:rPr>
              <w:t xml:space="preserve"> is partly attributable to </w:t>
            </w:r>
            <w:r w:rsidR="003A51F5">
              <w:rPr>
                <w:rFonts w:asciiTheme="minorHAnsi" w:hAnsiTheme="minorHAnsi"/>
                <w:i/>
                <w:sz w:val="24"/>
              </w:rPr>
              <w:t>the GOI-</w:t>
            </w:r>
            <w:r w:rsidR="00135E07" w:rsidRPr="00135E07">
              <w:rPr>
                <w:rFonts w:asciiTheme="minorHAnsi" w:hAnsiTheme="minorHAnsi"/>
                <w:i/>
                <w:sz w:val="24"/>
              </w:rPr>
              <w:t>UNDP</w:t>
            </w:r>
            <w:r w:rsidR="003A51F5">
              <w:rPr>
                <w:rFonts w:asciiTheme="minorHAnsi" w:hAnsiTheme="minorHAnsi"/>
                <w:i/>
                <w:sz w:val="24"/>
              </w:rPr>
              <w:t xml:space="preserve"> access to justice</w:t>
            </w:r>
            <w:r w:rsidR="00135E07" w:rsidRPr="00135E07">
              <w:rPr>
                <w:rFonts w:asciiTheme="minorHAnsi" w:hAnsiTheme="minorHAnsi"/>
                <w:i/>
                <w:sz w:val="24"/>
              </w:rPr>
              <w:t xml:space="preserve"> </w:t>
            </w:r>
            <w:r w:rsidR="003A51F5">
              <w:rPr>
                <w:rFonts w:asciiTheme="minorHAnsi" w:hAnsiTheme="minorHAnsi"/>
                <w:i/>
                <w:sz w:val="24"/>
              </w:rPr>
              <w:t xml:space="preserve">project, which supported </w:t>
            </w:r>
            <w:r w:rsidR="00135E07" w:rsidRPr="00135E07">
              <w:rPr>
                <w:rFonts w:asciiTheme="minorHAnsi" w:hAnsiTheme="minorHAnsi"/>
                <w:i/>
                <w:sz w:val="24"/>
              </w:rPr>
              <w:t>a thematic background study</w:t>
            </w:r>
            <w:r w:rsidR="00135E07">
              <w:rPr>
                <w:rFonts w:asciiTheme="minorHAnsi" w:hAnsiTheme="minorHAnsi"/>
                <w:i/>
                <w:sz w:val="24"/>
              </w:rPr>
              <w:t xml:space="preserve"> used to inform work on the RPJMN</w:t>
            </w:r>
            <w:r w:rsidR="00135E07" w:rsidRPr="00135E07">
              <w:rPr>
                <w:rFonts w:asciiTheme="minorHAnsi" w:hAnsiTheme="minorHAnsi"/>
                <w:i/>
                <w:sz w:val="24"/>
              </w:rPr>
              <w:t xml:space="preserve">. This study examined key results from the RPJMN (2010-14) implementation and sustainability of these results </w:t>
            </w:r>
            <w:r w:rsidR="00135E07">
              <w:rPr>
                <w:rFonts w:asciiTheme="minorHAnsi" w:hAnsiTheme="minorHAnsi"/>
                <w:i/>
                <w:sz w:val="24"/>
              </w:rPr>
              <w:t>and recommended elements for inclusion in the new RPJMN</w:t>
            </w:r>
            <w:r w:rsidR="00135E07" w:rsidRPr="00135E07">
              <w:rPr>
                <w:rFonts w:asciiTheme="minorHAnsi" w:hAnsiTheme="minorHAnsi"/>
                <w:i/>
                <w:sz w:val="24"/>
              </w:rPr>
              <w:t>.</w:t>
            </w:r>
          </w:p>
          <w:p w14:paraId="59374CB5" w14:textId="77777777" w:rsidR="002D43B6" w:rsidRPr="006473C6" w:rsidRDefault="002D43B6" w:rsidP="00E74058">
            <w:pPr>
              <w:pStyle w:val="BodyText2"/>
              <w:jc w:val="both"/>
              <w:rPr>
                <w:rFonts w:asciiTheme="minorHAnsi" w:hAnsiTheme="minorHAnsi"/>
                <w:i/>
                <w:sz w:val="24"/>
              </w:rPr>
            </w:pPr>
          </w:p>
          <w:p w14:paraId="79168F6C" w14:textId="07828347" w:rsidR="006810AC" w:rsidRPr="006473C6" w:rsidRDefault="00A53E21" w:rsidP="00E74058">
            <w:pPr>
              <w:pStyle w:val="BodyText2"/>
              <w:jc w:val="both"/>
              <w:rPr>
                <w:rFonts w:asciiTheme="minorHAnsi" w:hAnsiTheme="minorHAnsi"/>
                <w:i/>
                <w:sz w:val="24"/>
              </w:rPr>
            </w:pPr>
            <w:r w:rsidRPr="006473C6">
              <w:rPr>
                <w:rFonts w:asciiTheme="minorHAnsi" w:hAnsiTheme="minorHAnsi"/>
                <w:b/>
                <w:i/>
                <w:sz w:val="24"/>
              </w:rPr>
              <w:t>Output (b) Legal aid and public complaints:</w:t>
            </w:r>
            <w:r w:rsidR="006810AC" w:rsidRPr="006473C6">
              <w:rPr>
                <w:rFonts w:asciiTheme="minorHAnsi" w:hAnsiTheme="minorHAnsi"/>
                <w:i/>
                <w:sz w:val="24"/>
              </w:rPr>
              <w:t xml:space="preserve"> </w:t>
            </w:r>
            <w:r w:rsidR="00DD6439" w:rsidRPr="006473C6">
              <w:rPr>
                <w:rFonts w:asciiTheme="minorHAnsi" w:hAnsiTheme="minorHAnsi"/>
                <w:i/>
                <w:sz w:val="24"/>
              </w:rPr>
              <w:t>All public service providers in Indonesia must establish public complaints mec</w:t>
            </w:r>
            <w:r w:rsidR="00892478" w:rsidRPr="006473C6">
              <w:rPr>
                <w:rFonts w:asciiTheme="minorHAnsi" w:hAnsiTheme="minorHAnsi"/>
                <w:i/>
                <w:sz w:val="24"/>
              </w:rPr>
              <w:t>hanisms (PCMs) (Law No.25/2009)</w:t>
            </w:r>
            <w:r w:rsidR="00DD6439" w:rsidRPr="006473C6">
              <w:rPr>
                <w:rFonts w:asciiTheme="minorHAnsi" w:hAnsiTheme="minorHAnsi"/>
                <w:i/>
                <w:sz w:val="24"/>
              </w:rPr>
              <w:t xml:space="preserve">. In 2012-2013, </w:t>
            </w:r>
            <w:r w:rsidR="003A51F5">
              <w:rPr>
                <w:rFonts w:asciiTheme="minorHAnsi" w:hAnsiTheme="minorHAnsi"/>
                <w:i/>
                <w:sz w:val="24"/>
              </w:rPr>
              <w:t>a GOI-</w:t>
            </w:r>
            <w:r w:rsidR="00DD6439" w:rsidRPr="006473C6">
              <w:rPr>
                <w:rFonts w:asciiTheme="minorHAnsi" w:hAnsiTheme="minorHAnsi"/>
                <w:i/>
                <w:sz w:val="24"/>
              </w:rPr>
              <w:t xml:space="preserve">UNDP </w:t>
            </w:r>
            <w:r w:rsidR="003A51F5">
              <w:rPr>
                <w:rFonts w:asciiTheme="minorHAnsi" w:hAnsiTheme="minorHAnsi"/>
                <w:i/>
                <w:sz w:val="24"/>
              </w:rPr>
              <w:t xml:space="preserve">project supported the </w:t>
            </w:r>
            <w:r w:rsidR="00DD6439" w:rsidRPr="006473C6">
              <w:rPr>
                <w:rFonts w:asciiTheme="minorHAnsi" w:hAnsiTheme="minorHAnsi"/>
                <w:i/>
                <w:sz w:val="24"/>
              </w:rPr>
              <w:t>develop</w:t>
            </w:r>
            <w:r w:rsidR="003A51F5">
              <w:rPr>
                <w:rFonts w:asciiTheme="minorHAnsi" w:hAnsiTheme="minorHAnsi"/>
                <w:i/>
                <w:sz w:val="24"/>
              </w:rPr>
              <w:t>ment of</w:t>
            </w:r>
            <w:r w:rsidR="00DD6439" w:rsidRPr="006473C6">
              <w:rPr>
                <w:rFonts w:asciiTheme="minorHAnsi" w:hAnsiTheme="minorHAnsi"/>
                <w:i/>
                <w:sz w:val="24"/>
              </w:rPr>
              <w:t xml:space="preserve"> Presidential Regulation (Perpres) No.76/2013 on the technical requirements and minimum service standar</w:t>
            </w:r>
            <w:r w:rsidR="00892478" w:rsidRPr="006473C6">
              <w:rPr>
                <w:rFonts w:asciiTheme="minorHAnsi" w:hAnsiTheme="minorHAnsi"/>
                <w:i/>
                <w:sz w:val="24"/>
              </w:rPr>
              <w:t>ds (MSS) to operationalize PCMs</w:t>
            </w:r>
            <w:r w:rsidR="00DD6439" w:rsidRPr="006473C6">
              <w:rPr>
                <w:rFonts w:asciiTheme="minorHAnsi" w:hAnsiTheme="minorHAnsi"/>
                <w:i/>
                <w:sz w:val="24"/>
              </w:rPr>
              <w:t>. The assumption is</w:t>
            </w:r>
            <w:r w:rsidR="00135E07">
              <w:rPr>
                <w:rFonts w:asciiTheme="minorHAnsi" w:hAnsiTheme="minorHAnsi"/>
                <w:i/>
                <w:sz w:val="24"/>
              </w:rPr>
              <w:t xml:space="preserve"> that</w:t>
            </w:r>
            <w:r w:rsidR="00DD6439" w:rsidRPr="006473C6">
              <w:rPr>
                <w:rFonts w:asciiTheme="minorHAnsi" w:hAnsiTheme="minorHAnsi"/>
                <w:i/>
                <w:sz w:val="24"/>
              </w:rPr>
              <w:t xml:space="preserve"> an effective PCM</w:t>
            </w:r>
            <w:r w:rsidR="00892478" w:rsidRPr="006473C6">
              <w:rPr>
                <w:rFonts w:asciiTheme="minorHAnsi" w:hAnsiTheme="minorHAnsi"/>
                <w:i/>
                <w:sz w:val="24"/>
              </w:rPr>
              <w:t xml:space="preserve"> </w:t>
            </w:r>
            <w:r w:rsidR="00DD6439" w:rsidRPr="006473C6">
              <w:rPr>
                <w:rFonts w:asciiTheme="minorHAnsi" w:hAnsiTheme="minorHAnsi"/>
                <w:i/>
                <w:sz w:val="24"/>
              </w:rPr>
              <w:t>feedback mechanism will ensure basic services are more representative of the needs and interests of Indonesia’s citizens, since citizens will be able to hold the government to account, and</w:t>
            </w:r>
            <w:r w:rsidR="00892478" w:rsidRPr="006473C6">
              <w:rPr>
                <w:rFonts w:asciiTheme="minorHAnsi" w:hAnsiTheme="minorHAnsi"/>
                <w:i/>
                <w:sz w:val="24"/>
              </w:rPr>
              <w:t xml:space="preserve"> </w:t>
            </w:r>
            <w:r w:rsidR="00DD6439" w:rsidRPr="006473C6">
              <w:rPr>
                <w:rFonts w:asciiTheme="minorHAnsi" w:hAnsiTheme="minorHAnsi"/>
                <w:i/>
                <w:sz w:val="24"/>
              </w:rPr>
              <w:t xml:space="preserve">secure remedies for their grievances. </w:t>
            </w:r>
            <w:r w:rsidR="00135E07">
              <w:rPr>
                <w:rFonts w:asciiTheme="minorHAnsi" w:hAnsiTheme="minorHAnsi"/>
                <w:i/>
                <w:sz w:val="24"/>
              </w:rPr>
              <w:t>During the CP cycle</w:t>
            </w:r>
            <w:r w:rsidR="00DD6439" w:rsidRPr="006473C6">
              <w:rPr>
                <w:rFonts w:asciiTheme="minorHAnsi" w:hAnsiTheme="minorHAnsi"/>
                <w:i/>
                <w:sz w:val="24"/>
              </w:rPr>
              <w:t>, UNDP and the National Ombudsman, supported nine PCMs in service provid</w:t>
            </w:r>
            <w:r w:rsidR="00135E07">
              <w:rPr>
                <w:rFonts w:asciiTheme="minorHAnsi" w:hAnsiTheme="minorHAnsi"/>
                <w:i/>
                <w:sz w:val="24"/>
              </w:rPr>
              <w:t>ing agencies</w:t>
            </w:r>
            <w:r w:rsidR="00DD6439" w:rsidRPr="006473C6">
              <w:rPr>
                <w:rFonts w:asciiTheme="minorHAnsi" w:hAnsiTheme="minorHAnsi"/>
                <w:i/>
                <w:sz w:val="24"/>
              </w:rPr>
              <w:t xml:space="preserve"> to pilot the new technical requirements and MSS. The targeted</w:t>
            </w:r>
            <w:r w:rsidR="006473C6">
              <w:rPr>
                <w:rFonts w:asciiTheme="minorHAnsi" w:hAnsiTheme="minorHAnsi"/>
                <w:i/>
                <w:sz w:val="24"/>
              </w:rPr>
              <w:t xml:space="preserve"> </w:t>
            </w:r>
            <w:r w:rsidR="00DD6439" w:rsidRPr="006473C6">
              <w:rPr>
                <w:rFonts w:asciiTheme="minorHAnsi" w:hAnsiTheme="minorHAnsi"/>
                <w:i/>
                <w:sz w:val="24"/>
              </w:rPr>
              <w:t>providers demonstrated increased effectiveness in responding to complaints as a result, with the number of complaints successfully resolved increasing by 33 percentage points from 60</w:t>
            </w:r>
            <w:r w:rsidR="00892478" w:rsidRPr="006473C6">
              <w:rPr>
                <w:rFonts w:asciiTheme="minorHAnsi" w:hAnsiTheme="minorHAnsi"/>
                <w:i/>
                <w:sz w:val="24"/>
              </w:rPr>
              <w:t xml:space="preserve"> </w:t>
            </w:r>
            <w:r w:rsidR="00DD6439" w:rsidRPr="006473C6">
              <w:rPr>
                <w:rFonts w:asciiTheme="minorHAnsi" w:hAnsiTheme="minorHAnsi"/>
                <w:i/>
                <w:sz w:val="24"/>
              </w:rPr>
              <w:t>perc</w:t>
            </w:r>
            <w:r w:rsidR="00892478" w:rsidRPr="006473C6">
              <w:rPr>
                <w:rFonts w:asciiTheme="minorHAnsi" w:hAnsiTheme="minorHAnsi"/>
                <w:i/>
                <w:sz w:val="24"/>
              </w:rPr>
              <w:t>ent (2013) to 93 percent (2014)</w:t>
            </w:r>
            <w:r w:rsidR="00DD6439" w:rsidRPr="006473C6">
              <w:rPr>
                <w:rFonts w:asciiTheme="minorHAnsi" w:hAnsiTheme="minorHAnsi"/>
                <w:i/>
                <w:sz w:val="24"/>
              </w:rPr>
              <w:t>. In 2015, UNDP will support the Ombudsman to document lessons learned from this pilot and apply them to other PCMs operating throughout</w:t>
            </w:r>
            <w:r w:rsidR="00892478" w:rsidRPr="006473C6">
              <w:rPr>
                <w:rFonts w:asciiTheme="minorHAnsi" w:hAnsiTheme="minorHAnsi"/>
                <w:i/>
                <w:sz w:val="24"/>
              </w:rPr>
              <w:t xml:space="preserve"> </w:t>
            </w:r>
            <w:r w:rsidR="00DD6439" w:rsidRPr="006473C6">
              <w:rPr>
                <w:rFonts w:asciiTheme="minorHAnsi" w:hAnsiTheme="minorHAnsi"/>
                <w:i/>
                <w:sz w:val="24"/>
              </w:rPr>
              <w:t>Indonesia</w:t>
            </w:r>
            <w:r w:rsidR="00892478" w:rsidRPr="006473C6">
              <w:rPr>
                <w:rFonts w:asciiTheme="minorHAnsi" w:hAnsiTheme="minorHAnsi"/>
                <w:i/>
                <w:sz w:val="24"/>
              </w:rPr>
              <w:t>.</w:t>
            </w:r>
            <w:r w:rsidR="006810AC" w:rsidRPr="006473C6">
              <w:rPr>
                <w:rFonts w:asciiTheme="minorHAnsi" w:hAnsiTheme="minorHAnsi"/>
                <w:i/>
                <w:sz w:val="24"/>
              </w:rPr>
              <w:t xml:space="preserve"> </w:t>
            </w:r>
          </w:p>
          <w:p w14:paraId="62BC9797" w14:textId="621FCD5F" w:rsidR="00A53E21" w:rsidRDefault="00A53E21" w:rsidP="00E74058">
            <w:pPr>
              <w:pStyle w:val="BodyText2"/>
              <w:jc w:val="both"/>
              <w:rPr>
                <w:b/>
              </w:rPr>
            </w:pPr>
          </w:p>
          <w:p w14:paraId="6110F84D" w14:textId="0375DC97" w:rsidR="00892478" w:rsidRPr="006473C6" w:rsidRDefault="00892478" w:rsidP="00E74058">
            <w:pPr>
              <w:pStyle w:val="BodyText2"/>
              <w:jc w:val="both"/>
              <w:rPr>
                <w:rFonts w:asciiTheme="minorHAnsi" w:hAnsiTheme="minorHAnsi"/>
                <w:i/>
                <w:sz w:val="24"/>
              </w:rPr>
            </w:pPr>
            <w:r w:rsidRPr="006473C6">
              <w:rPr>
                <w:rFonts w:asciiTheme="minorHAnsi" w:hAnsiTheme="minorHAnsi"/>
                <w:i/>
                <w:sz w:val="24"/>
              </w:rPr>
              <w:t>In 2009, 83 percent of Indonesia’s poor could</w:t>
            </w:r>
            <w:r w:rsidR="00EB5215">
              <w:rPr>
                <w:rFonts w:asciiTheme="minorHAnsi" w:hAnsiTheme="minorHAnsi"/>
                <w:i/>
                <w:sz w:val="24"/>
              </w:rPr>
              <w:t xml:space="preserve"> not</w:t>
            </w:r>
            <w:r w:rsidRPr="006473C6">
              <w:rPr>
                <w:rFonts w:asciiTheme="minorHAnsi" w:hAnsiTheme="minorHAnsi"/>
                <w:i/>
                <w:sz w:val="24"/>
              </w:rPr>
              <w:t xml:space="preserve"> access formal justice services as court and transportation costs were out of reach.</w:t>
            </w:r>
            <w:r w:rsidR="00645E6A">
              <w:rPr>
                <w:rFonts w:asciiTheme="minorHAnsi" w:hAnsiTheme="minorHAnsi"/>
                <w:i/>
                <w:sz w:val="24"/>
              </w:rPr>
              <w:t xml:space="preserve"> </w:t>
            </w:r>
            <w:r w:rsidRPr="006473C6">
              <w:rPr>
                <w:rFonts w:asciiTheme="minorHAnsi" w:hAnsiTheme="minorHAnsi"/>
                <w:i/>
                <w:sz w:val="24"/>
              </w:rPr>
              <w:t xml:space="preserve">In poorer regions like East Nusa Tenggara, this fell to less than ten percent. In order to increase the poor’s access to the formal justice system, Law No.16/2011 was passed. Rather than rely on the Supreme Court to provide legal aid, the onus was now placed on locally-based legal aid organizations (organisasi bantuan hukum/OBH). In 2012-2013, </w:t>
            </w:r>
            <w:r w:rsidR="003A51F5">
              <w:rPr>
                <w:rFonts w:asciiTheme="minorHAnsi" w:hAnsiTheme="minorHAnsi"/>
                <w:i/>
                <w:sz w:val="24"/>
              </w:rPr>
              <w:t>the GoI-</w:t>
            </w:r>
            <w:r w:rsidRPr="006473C6">
              <w:rPr>
                <w:rFonts w:asciiTheme="minorHAnsi" w:hAnsiTheme="minorHAnsi"/>
                <w:i/>
                <w:sz w:val="24"/>
              </w:rPr>
              <w:t xml:space="preserve">UNDP </w:t>
            </w:r>
            <w:r w:rsidR="003A51F5">
              <w:rPr>
                <w:rFonts w:asciiTheme="minorHAnsi" w:hAnsiTheme="minorHAnsi"/>
                <w:i/>
                <w:sz w:val="24"/>
              </w:rPr>
              <w:t xml:space="preserve">access to justice project </w:t>
            </w:r>
            <w:r w:rsidRPr="006473C6">
              <w:rPr>
                <w:rFonts w:asciiTheme="minorHAnsi" w:hAnsiTheme="minorHAnsi"/>
                <w:i/>
                <w:sz w:val="24"/>
              </w:rPr>
              <w:t>helped develop three regulations to implement the new legal aid system. In 2013, the total number of beneficiaries accessing legal aid services from 310 OBH amounted to around 1628 persons. 41 OBH based in five out of 34 provinces were directly supported by</w:t>
            </w:r>
            <w:r w:rsidR="003A51F5">
              <w:rPr>
                <w:rFonts w:asciiTheme="minorHAnsi" w:hAnsiTheme="minorHAnsi"/>
                <w:i/>
                <w:sz w:val="24"/>
              </w:rPr>
              <w:t xml:space="preserve"> the GoI-</w:t>
            </w:r>
            <w:r w:rsidRPr="006473C6">
              <w:rPr>
                <w:rFonts w:asciiTheme="minorHAnsi" w:hAnsiTheme="minorHAnsi"/>
                <w:i/>
                <w:sz w:val="24"/>
              </w:rPr>
              <w:t>UNDP</w:t>
            </w:r>
            <w:r w:rsidR="003A51F5">
              <w:rPr>
                <w:rFonts w:asciiTheme="minorHAnsi" w:hAnsiTheme="minorHAnsi"/>
                <w:i/>
                <w:sz w:val="24"/>
              </w:rPr>
              <w:t xml:space="preserve"> project</w:t>
            </w:r>
            <w:r w:rsidRPr="006473C6">
              <w:rPr>
                <w:rFonts w:asciiTheme="minorHAnsi" w:hAnsiTheme="minorHAnsi"/>
                <w:i/>
                <w:sz w:val="24"/>
              </w:rPr>
              <w:t xml:space="preserve">. The clientele (228 people) of these OBH represented 14 percent of the total national beneficiaries. By 2014, approximately 2,612 poor persons were accessing the services, of which 383 persons (17% of the total national beneficiaries) accessed legal aid from 28 OBH supported by UNDP in three target provinces. </w:t>
            </w:r>
          </w:p>
          <w:p w14:paraId="079AA258" w14:textId="77777777" w:rsidR="00A53E21" w:rsidRPr="006473C6" w:rsidRDefault="00A53E21" w:rsidP="00E74058">
            <w:pPr>
              <w:pStyle w:val="BodyText2"/>
              <w:jc w:val="both"/>
              <w:rPr>
                <w:rFonts w:asciiTheme="minorHAnsi" w:hAnsiTheme="minorHAnsi"/>
                <w:i/>
                <w:sz w:val="24"/>
              </w:rPr>
            </w:pPr>
          </w:p>
          <w:p w14:paraId="00938B8B" w14:textId="77777777" w:rsidR="00892478" w:rsidRDefault="00892478" w:rsidP="00E74058">
            <w:pPr>
              <w:pStyle w:val="BodyText2"/>
              <w:jc w:val="both"/>
              <w:rPr>
                <w:b/>
              </w:rPr>
            </w:pPr>
          </w:p>
          <w:p w14:paraId="5252CBAE" w14:textId="52EBA13C" w:rsidR="00A53E21" w:rsidRPr="006473C6" w:rsidRDefault="00A53E21" w:rsidP="00E74058">
            <w:pPr>
              <w:pStyle w:val="BodyText2"/>
              <w:jc w:val="both"/>
              <w:rPr>
                <w:rFonts w:asciiTheme="minorHAnsi" w:hAnsiTheme="minorHAnsi"/>
                <w:i/>
                <w:sz w:val="24"/>
              </w:rPr>
            </w:pPr>
            <w:r w:rsidRPr="006473C6">
              <w:rPr>
                <w:rFonts w:asciiTheme="minorHAnsi" w:hAnsiTheme="minorHAnsi"/>
                <w:b/>
                <w:i/>
                <w:sz w:val="24"/>
              </w:rPr>
              <w:t>Output (c) Informal justice providers:</w:t>
            </w:r>
            <w:r w:rsidR="006810AC" w:rsidRPr="006473C6">
              <w:rPr>
                <w:rFonts w:asciiTheme="minorHAnsi" w:hAnsiTheme="minorHAnsi"/>
                <w:i/>
                <w:sz w:val="24"/>
              </w:rPr>
              <w:t xml:space="preserve"> </w:t>
            </w:r>
            <w:r w:rsidR="00544E8C">
              <w:rPr>
                <w:rFonts w:asciiTheme="minorHAnsi" w:hAnsiTheme="minorHAnsi"/>
                <w:i/>
                <w:sz w:val="24"/>
              </w:rPr>
              <w:t xml:space="preserve">In </w:t>
            </w:r>
            <w:r w:rsidR="006810AC" w:rsidRPr="006473C6">
              <w:rPr>
                <w:rFonts w:asciiTheme="minorHAnsi" w:hAnsiTheme="minorHAnsi"/>
                <w:i/>
                <w:sz w:val="24"/>
              </w:rPr>
              <w:t>two provinces</w:t>
            </w:r>
            <w:r w:rsidR="00544E8C">
              <w:rPr>
                <w:rFonts w:asciiTheme="minorHAnsi" w:hAnsiTheme="minorHAnsi"/>
                <w:i/>
                <w:sz w:val="24"/>
              </w:rPr>
              <w:t xml:space="preserve">, </w:t>
            </w:r>
            <w:r w:rsidR="006810AC" w:rsidRPr="006473C6">
              <w:rPr>
                <w:rFonts w:asciiTheme="minorHAnsi" w:hAnsiTheme="minorHAnsi"/>
                <w:i/>
                <w:sz w:val="24"/>
              </w:rPr>
              <w:t>Central Sulawesi and Central Kalimantan</w:t>
            </w:r>
            <w:r w:rsidR="00544E8C">
              <w:rPr>
                <w:rFonts w:asciiTheme="minorHAnsi" w:hAnsiTheme="minorHAnsi"/>
                <w:i/>
                <w:sz w:val="24"/>
              </w:rPr>
              <w:t xml:space="preserve">, </w:t>
            </w:r>
            <w:r w:rsidR="006810AC" w:rsidRPr="006473C6">
              <w:rPr>
                <w:rFonts w:asciiTheme="minorHAnsi" w:hAnsiTheme="minorHAnsi"/>
                <w:i/>
                <w:sz w:val="24"/>
              </w:rPr>
              <w:t>both government and customary leaders value having a framework in place that allows customary law and practice to work hand in hand with the formal justice system to help in maintaining local peace and good order.</w:t>
            </w:r>
            <w:r w:rsidR="00544E8C">
              <w:rPr>
                <w:rFonts w:asciiTheme="minorHAnsi" w:hAnsiTheme="minorHAnsi"/>
                <w:i/>
                <w:sz w:val="24"/>
              </w:rPr>
              <w:t xml:space="preserve"> Early UNDP </w:t>
            </w:r>
            <w:r w:rsidR="006810AC" w:rsidRPr="006473C6">
              <w:rPr>
                <w:rFonts w:asciiTheme="minorHAnsi" w:hAnsiTheme="minorHAnsi"/>
                <w:i/>
                <w:sz w:val="24"/>
              </w:rPr>
              <w:t xml:space="preserve">work in Aceh </w:t>
            </w:r>
            <w:r w:rsidR="00544E8C">
              <w:rPr>
                <w:rFonts w:asciiTheme="minorHAnsi" w:hAnsiTheme="minorHAnsi"/>
                <w:i/>
                <w:sz w:val="24"/>
              </w:rPr>
              <w:t xml:space="preserve">Province </w:t>
            </w:r>
            <w:r w:rsidR="006810AC" w:rsidRPr="006473C6">
              <w:rPr>
                <w:rFonts w:asciiTheme="minorHAnsi" w:hAnsiTheme="minorHAnsi"/>
                <w:i/>
                <w:sz w:val="24"/>
              </w:rPr>
              <w:t>with the Aceh Customary Council, which is a formal mechanism, has contributed significantly to development of good practice</w:t>
            </w:r>
            <w:r w:rsidR="00544E8C">
              <w:rPr>
                <w:rFonts w:asciiTheme="minorHAnsi" w:hAnsiTheme="minorHAnsi"/>
                <w:i/>
                <w:sz w:val="24"/>
              </w:rPr>
              <w:t xml:space="preserve"> in informal justice provision</w:t>
            </w:r>
            <w:r w:rsidR="006810AC" w:rsidRPr="006473C6">
              <w:rPr>
                <w:rFonts w:asciiTheme="minorHAnsi" w:hAnsiTheme="minorHAnsi"/>
                <w:i/>
                <w:sz w:val="24"/>
              </w:rPr>
              <w:t>.</w:t>
            </w:r>
            <w:r w:rsidR="00DD6439" w:rsidRPr="006473C6">
              <w:rPr>
                <w:rFonts w:asciiTheme="minorHAnsi" w:hAnsiTheme="minorHAnsi"/>
                <w:i/>
                <w:sz w:val="24"/>
              </w:rPr>
              <w:t xml:space="preserve"> This success is now being replicated by the project </w:t>
            </w:r>
            <w:r w:rsidR="00DD6439" w:rsidRPr="006473C6">
              <w:rPr>
                <w:rFonts w:asciiTheme="minorHAnsi" w:hAnsiTheme="minorHAnsi"/>
                <w:i/>
                <w:sz w:val="24"/>
              </w:rPr>
              <w:lastRenderedPageBreak/>
              <w:t>in Central Sulawesi and Central Kalimantan. Paralegal training (effectively for village mediators) has also been provided by UNDP in Central Kalimantan</w:t>
            </w:r>
            <w:r w:rsidR="00544E8C">
              <w:rPr>
                <w:rFonts w:asciiTheme="minorHAnsi" w:hAnsiTheme="minorHAnsi"/>
                <w:i/>
                <w:sz w:val="24"/>
              </w:rPr>
              <w:t xml:space="preserve">, with over </w:t>
            </w:r>
            <w:r w:rsidR="00DD6439" w:rsidRPr="006473C6">
              <w:rPr>
                <w:rFonts w:asciiTheme="minorHAnsi" w:hAnsiTheme="minorHAnsi"/>
                <w:i/>
                <w:sz w:val="24"/>
              </w:rPr>
              <w:t>100 pe</w:t>
            </w:r>
            <w:r w:rsidR="00544E8C">
              <w:rPr>
                <w:rFonts w:asciiTheme="minorHAnsi" w:hAnsiTheme="minorHAnsi"/>
                <w:i/>
                <w:sz w:val="24"/>
              </w:rPr>
              <w:t xml:space="preserve">rsons </w:t>
            </w:r>
            <w:r w:rsidR="00DD6439" w:rsidRPr="006473C6">
              <w:rPr>
                <w:rFonts w:asciiTheme="minorHAnsi" w:hAnsiTheme="minorHAnsi"/>
                <w:i/>
                <w:sz w:val="24"/>
              </w:rPr>
              <w:t>train</w:t>
            </w:r>
            <w:r w:rsidR="00544E8C">
              <w:rPr>
                <w:rFonts w:asciiTheme="minorHAnsi" w:hAnsiTheme="minorHAnsi"/>
                <w:i/>
                <w:sz w:val="24"/>
              </w:rPr>
              <w:t>ed</w:t>
            </w:r>
            <w:r w:rsidR="00DD6439" w:rsidRPr="006473C6">
              <w:rPr>
                <w:rFonts w:asciiTheme="minorHAnsi" w:hAnsiTheme="minorHAnsi"/>
                <w:i/>
                <w:sz w:val="24"/>
              </w:rPr>
              <w:t>.</w:t>
            </w:r>
          </w:p>
          <w:p w14:paraId="4922856D" w14:textId="77777777" w:rsidR="00892478" w:rsidRDefault="00892478" w:rsidP="00E74058">
            <w:pPr>
              <w:pStyle w:val="BodyText2"/>
              <w:jc w:val="both"/>
              <w:rPr>
                <w:b/>
              </w:rPr>
            </w:pPr>
          </w:p>
          <w:p w14:paraId="5C7C311A" w14:textId="1220C84A" w:rsidR="008C3968" w:rsidRPr="006473C6" w:rsidRDefault="00A53E21" w:rsidP="00E74058">
            <w:pPr>
              <w:pStyle w:val="BodyText2"/>
              <w:jc w:val="both"/>
              <w:rPr>
                <w:rFonts w:asciiTheme="minorHAnsi" w:hAnsiTheme="minorHAnsi"/>
                <w:i/>
                <w:sz w:val="24"/>
              </w:rPr>
            </w:pPr>
            <w:r w:rsidRPr="006473C6">
              <w:rPr>
                <w:rFonts w:asciiTheme="minorHAnsi" w:hAnsiTheme="minorHAnsi"/>
                <w:b/>
                <w:i/>
                <w:sz w:val="24"/>
              </w:rPr>
              <w:t>Output (d) Justice in natural resources:</w:t>
            </w:r>
            <w:r w:rsidR="008C3968" w:rsidRPr="006473C6">
              <w:rPr>
                <w:rFonts w:asciiTheme="minorHAnsi" w:hAnsiTheme="minorHAnsi"/>
                <w:i/>
                <w:sz w:val="24"/>
              </w:rPr>
              <w:t xml:space="preserve">  </w:t>
            </w:r>
            <w:r w:rsidR="00745866" w:rsidRPr="006473C6">
              <w:rPr>
                <w:rFonts w:asciiTheme="minorHAnsi" w:hAnsiTheme="minorHAnsi"/>
                <w:i/>
                <w:sz w:val="24"/>
              </w:rPr>
              <w:t xml:space="preserve">UNDP’s PGA (Provincial Governance Assessment) project developed </w:t>
            </w:r>
            <w:r w:rsidR="00544E8C">
              <w:rPr>
                <w:rFonts w:asciiTheme="minorHAnsi" w:hAnsiTheme="minorHAnsi"/>
                <w:i/>
                <w:sz w:val="24"/>
              </w:rPr>
              <w:t xml:space="preserve">a </w:t>
            </w:r>
            <w:r w:rsidR="00745866" w:rsidRPr="006473C6">
              <w:rPr>
                <w:rFonts w:asciiTheme="minorHAnsi" w:hAnsiTheme="minorHAnsi"/>
                <w:i/>
                <w:sz w:val="24"/>
              </w:rPr>
              <w:t xml:space="preserve">Forest Governance Index. </w:t>
            </w:r>
            <w:r w:rsidR="00891490" w:rsidRPr="006473C6">
              <w:rPr>
                <w:rFonts w:asciiTheme="minorHAnsi" w:hAnsiTheme="minorHAnsi"/>
                <w:i/>
                <w:sz w:val="24"/>
              </w:rPr>
              <w:t>Progress has been made in piloting the PGA Index in Jambi and South Sumatra provinces. The Jambi provincial government now has more province specific governance data covering all districts to help implementing its REDD+ strategy. In South Sumatra, as part of the PGA exercise, a province specific study was undertaken to compare the PGA governance findings with the financial resources available to more strategically address recommendations for improved governance.</w:t>
            </w:r>
            <w:r w:rsidR="00745866" w:rsidRPr="006473C6">
              <w:rPr>
                <w:rFonts w:asciiTheme="minorHAnsi" w:hAnsiTheme="minorHAnsi"/>
                <w:i/>
                <w:sz w:val="24"/>
              </w:rPr>
              <w:t xml:space="preserve"> </w:t>
            </w:r>
            <w:r w:rsidR="003A51F5">
              <w:rPr>
                <w:rFonts w:asciiTheme="minorHAnsi" w:hAnsiTheme="minorHAnsi"/>
                <w:i/>
                <w:sz w:val="24"/>
              </w:rPr>
              <w:t xml:space="preserve">UNDP is working with the new Ministry of Environment and Forestry to adopt and use the index as a benchmark for assessing the quality of forest governance and as a tool to inform the design of programmes and policies to address gaps in forest governance. </w:t>
            </w:r>
            <w:r w:rsidR="008C3968" w:rsidRPr="006473C6">
              <w:rPr>
                <w:rFonts w:asciiTheme="minorHAnsi" w:hAnsiTheme="minorHAnsi"/>
                <w:i/>
                <w:sz w:val="24"/>
              </w:rPr>
              <w:t xml:space="preserve">  </w:t>
            </w:r>
          </w:p>
          <w:p w14:paraId="4CE853A5" w14:textId="77777777" w:rsidR="008C3968" w:rsidRPr="006473C6" w:rsidRDefault="008C3968" w:rsidP="00E74058">
            <w:pPr>
              <w:pStyle w:val="BodyText2"/>
              <w:jc w:val="both"/>
              <w:rPr>
                <w:rFonts w:asciiTheme="minorHAnsi" w:hAnsiTheme="minorHAnsi"/>
                <w:i/>
                <w:sz w:val="24"/>
              </w:rPr>
            </w:pPr>
          </w:p>
          <w:p w14:paraId="07DDAD39" w14:textId="77777777" w:rsidR="008C3968" w:rsidRPr="006473C6" w:rsidRDefault="008C3968" w:rsidP="00E74058">
            <w:pPr>
              <w:pStyle w:val="BodyText2"/>
              <w:jc w:val="both"/>
              <w:rPr>
                <w:rFonts w:asciiTheme="minorHAnsi" w:hAnsiTheme="minorHAnsi"/>
                <w:b/>
                <w:i/>
                <w:sz w:val="24"/>
              </w:rPr>
            </w:pPr>
            <w:r w:rsidRPr="006473C6">
              <w:rPr>
                <w:rFonts w:asciiTheme="minorHAnsi" w:hAnsiTheme="minorHAnsi"/>
                <w:b/>
                <w:i/>
                <w:sz w:val="24"/>
              </w:rPr>
              <w:t xml:space="preserve">Gender: </w:t>
            </w:r>
          </w:p>
          <w:p w14:paraId="0B139E94" w14:textId="35A1BDD3" w:rsidR="00A53E21" w:rsidRDefault="008C3968" w:rsidP="00E74058">
            <w:pPr>
              <w:pStyle w:val="BodyText2"/>
              <w:jc w:val="both"/>
              <w:rPr>
                <w:rFonts w:asciiTheme="minorHAnsi" w:hAnsiTheme="minorHAnsi"/>
                <w:i/>
                <w:sz w:val="24"/>
              </w:rPr>
            </w:pPr>
            <w:r w:rsidRPr="006473C6">
              <w:rPr>
                <w:rFonts w:asciiTheme="minorHAnsi" w:hAnsiTheme="minorHAnsi"/>
                <w:i/>
                <w:sz w:val="24"/>
              </w:rPr>
              <w:t>Adat Justice Providers in Aceh more Effective in Upholding Women’s Rights</w:t>
            </w:r>
            <w:r w:rsidR="00FC5FF7" w:rsidRPr="006473C6">
              <w:rPr>
                <w:rFonts w:asciiTheme="minorHAnsi" w:hAnsiTheme="minorHAnsi"/>
                <w:i/>
                <w:sz w:val="24"/>
              </w:rPr>
              <w:t>.</w:t>
            </w:r>
            <w:r w:rsidRPr="006473C6">
              <w:rPr>
                <w:rFonts w:asciiTheme="minorHAnsi" w:hAnsiTheme="minorHAnsi"/>
                <w:i/>
                <w:sz w:val="24"/>
              </w:rPr>
              <w:t xml:space="preserve"> The results of a beneficiary satisfaction survey in Aceh show 96.5% of justice users believe adat justice</w:t>
            </w:r>
            <w:r w:rsidR="000C1FD3" w:rsidRPr="006473C6">
              <w:rPr>
                <w:rFonts w:asciiTheme="minorHAnsi" w:hAnsiTheme="minorHAnsi"/>
                <w:i/>
                <w:sz w:val="24"/>
              </w:rPr>
              <w:t xml:space="preserve"> </w:t>
            </w:r>
            <w:r w:rsidRPr="006473C6">
              <w:rPr>
                <w:rFonts w:asciiTheme="minorHAnsi" w:hAnsiTheme="minorHAnsi"/>
                <w:i/>
                <w:sz w:val="24"/>
              </w:rPr>
              <w:t>processes and outcomes uphold equal rights for women. The survey demonstrates that processes and outcomes are more considerate of women’s rights compared to half a decade ago.</w:t>
            </w:r>
            <w:r w:rsidR="00FC5FF7" w:rsidRPr="006473C6">
              <w:rPr>
                <w:rFonts w:asciiTheme="minorHAnsi" w:hAnsiTheme="minorHAnsi"/>
                <w:i/>
                <w:sz w:val="24"/>
              </w:rPr>
              <w:t xml:space="preserve"> </w:t>
            </w:r>
            <w:r w:rsidRPr="006473C6">
              <w:rPr>
                <w:rFonts w:asciiTheme="minorHAnsi" w:hAnsiTheme="minorHAnsi"/>
                <w:i/>
                <w:sz w:val="24"/>
              </w:rPr>
              <w:t>Furthermore, improvements were most signifi</w:t>
            </w:r>
            <w:r w:rsidR="00FC5FF7" w:rsidRPr="006473C6">
              <w:rPr>
                <w:rFonts w:asciiTheme="minorHAnsi" w:hAnsiTheme="minorHAnsi"/>
                <w:i/>
                <w:sz w:val="24"/>
              </w:rPr>
              <w:t>cant in areas</w:t>
            </w:r>
            <w:r w:rsidR="003A51F5">
              <w:rPr>
                <w:rFonts w:asciiTheme="minorHAnsi" w:hAnsiTheme="minorHAnsi"/>
                <w:i/>
                <w:sz w:val="24"/>
              </w:rPr>
              <w:t xml:space="preserve"> supported by a GOI-UNDP project on access to justice</w:t>
            </w:r>
            <w:r w:rsidRPr="006473C6">
              <w:rPr>
                <w:rFonts w:asciiTheme="minorHAnsi" w:hAnsiTheme="minorHAnsi"/>
                <w:i/>
                <w:sz w:val="24"/>
              </w:rPr>
              <w:t>. UNDP has worked in Aceh to strengthen the informal justice system including measures to ensure that</w:t>
            </w:r>
            <w:r w:rsidR="00FC5FF7" w:rsidRPr="006473C6">
              <w:rPr>
                <w:rFonts w:asciiTheme="minorHAnsi" w:hAnsiTheme="minorHAnsi"/>
                <w:i/>
                <w:sz w:val="24"/>
              </w:rPr>
              <w:t xml:space="preserve"> </w:t>
            </w:r>
            <w:r w:rsidRPr="006473C6">
              <w:rPr>
                <w:rFonts w:asciiTheme="minorHAnsi" w:hAnsiTheme="minorHAnsi"/>
                <w:i/>
                <w:sz w:val="24"/>
              </w:rPr>
              <w:t xml:space="preserve">adat justice is considerate of women’s rights. UNDP is now </w:t>
            </w:r>
            <w:r w:rsidR="003A51F5">
              <w:rPr>
                <w:rFonts w:asciiTheme="minorHAnsi" w:hAnsiTheme="minorHAnsi"/>
                <w:i/>
                <w:sz w:val="24"/>
              </w:rPr>
              <w:t xml:space="preserve">working with the GOI to </w:t>
            </w:r>
            <w:r w:rsidRPr="006473C6">
              <w:rPr>
                <w:rFonts w:asciiTheme="minorHAnsi" w:hAnsiTheme="minorHAnsi"/>
                <w:i/>
                <w:sz w:val="24"/>
              </w:rPr>
              <w:t>replicat</w:t>
            </w:r>
            <w:r w:rsidR="003A51F5">
              <w:rPr>
                <w:rFonts w:asciiTheme="minorHAnsi" w:hAnsiTheme="minorHAnsi"/>
                <w:i/>
                <w:sz w:val="24"/>
              </w:rPr>
              <w:t>e</w:t>
            </w:r>
            <w:r w:rsidRPr="006473C6">
              <w:rPr>
                <w:rFonts w:asciiTheme="minorHAnsi" w:hAnsiTheme="minorHAnsi"/>
                <w:i/>
                <w:sz w:val="24"/>
              </w:rPr>
              <w:t xml:space="preserve"> the Aceh model to another two provinces. Almost 1 in 5 OBH Supported by UNDP Specialize in Women’s Rights</w:t>
            </w:r>
            <w:r w:rsidR="00544E8C">
              <w:rPr>
                <w:rFonts w:asciiTheme="minorHAnsi" w:hAnsiTheme="minorHAnsi"/>
                <w:i/>
                <w:sz w:val="24"/>
              </w:rPr>
              <w:t>.</w:t>
            </w:r>
            <w:r w:rsidRPr="006473C6">
              <w:rPr>
                <w:rFonts w:asciiTheme="minorHAnsi" w:hAnsiTheme="minorHAnsi"/>
                <w:i/>
                <w:sz w:val="24"/>
              </w:rPr>
              <w:t xml:space="preserve"> Legal</w:t>
            </w:r>
            <w:r w:rsidR="00FC5FF7" w:rsidRPr="006473C6">
              <w:rPr>
                <w:rFonts w:asciiTheme="minorHAnsi" w:hAnsiTheme="minorHAnsi"/>
                <w:i/>
                <w:sz w:val="24"/>
              </w:rPr>
              <w:t xml:space="preserve"> </w:t>
            </w:r>
            <w:r w:rsidRPr="006473C6">
              <w:rPr>
                <w:rFonts w:asciiTheme="minorHAnsi" w:hAnsiTheme="minorHAnsi"/>
                <w:i/>
                <w:sz w:val="24"/>
              </w:rPr>
              <w:t>aid provides the poor with an avenue to seek redress against sexual and gender based violence, and gender inequality in the public and private spheres. Five UNDP supported OBH have</w:t>
            </w:r>
            <w:r w:rsidR="00FC5FF7" w:rsidRPr="006473C6">
              <w:rPr>
                <w:rFonts w:asciiTheme="minorHAnsi" w:hAnsiTheme="minorHAnsi"/>
                <w:i/>
                <w:sz w:val="24"/>
              </w:rPr>
              <w:t xml:space="preserve"> </w:t>
            </w:r>
            <w:r w:rsidRPr="006473C6">
              <w:rPr>
                <w:rFonts w:asciiTheme="minorHAnsi" w:hAnsiTheme="minorHAnsi"/>
                <w:i/>
                <w:sz w:val="24"/>
              </w:rPr>
              <w:t>specialised expertise in these issues</w:t>
            </w:r>
            <w:r w:rsidR="00FC5FF7" w:rsidRPr="006473C6">
              <w:rPr>
                <w:rFonts w:asciiTheme="minorHAnsi" w:hAnsiTheme="minorHAnsi"/>
                <w:i/>
                <w:sz w:val="24"/>
              </w:rPr>
              <w:t>.</w:t>
            </w:r>
          </w:p>
          <w:p w14:paraId="2A26308F" w14:textId="11EA7106" w:rsidR="004D2B27" w:rsidRPr="007948A1" w:rsidRDefault="004D2B27" w:rsidP="00E74058">
            <w:pPr>
              <w:pStyle w:val="BodyText2"/>
              <w:jc w:val="both"/>
              <w:rPr>
                <w:b/>
              </w:rPr>
            </w:pPr>
          </w:p>
        </w:tc>
      </w:tr>
      <w:tr w:rsidR="00694F35" w:rsidRPr="00DC7354" w14:paraId="0C3546FC" w14:textId="77777777" w:rsidTr="00694F35">
        <w:tc>
          <w:tcPr>
            <w:tcW w:w="3150" w:type="dxa"/>
            <w:tcBorders>
              <w:bottom w:val="single" w:sz="4" w:space="0" w:color="auto"/>
            </w:tcBorders>
            <w:shd w:val="clear" w:color="auto" w:fill="95B3D7" w:themeFill="accent1" w:themeFillTint="99"/>
          </w:tcPr>
          <w:p w14:paraId="268BF272" w14:textId="2AF85CFD" w:rsidR="00E05F1A" w:rsidRPr="000823AC" w:rsidRDefault="0047429E" w:rsidP="00E74058">
            <w:pPr>
              <w:pStyle w:val="BodyText2"/>
              <w:jc w:val="both"/>
              <w:rPr>
                <w:rFonts w:asciiTheme="minorHAnsi" w:hAnsiTheme="minorHAnsi"/>
                <w:b/>
              </w:rPr>
            </w:pPr>
            <w:r>
              <w:rPr>
                <w:rFonts w:asciiTheme="minorHAnsi" w:hAnsiTheme="minorHAnsi"/>
                <w:b/>
              </w:rPr>
              <w:lastRenderedPageBreak/>
              <w:t>8</w:t>
            </w:r>
            <w:r w:rsidR="00694F35" w:rsidRPr="000823AC">
              <w:rPr>
                <w:rFonts w:asciiTheme="minorHAnsi" w:hAnsiTheme="minorHAnsi"/>
                <w:b/>
              </w:rPr>
              <w:t xml:space="preserve">. </w:t>
            </w:r>
            <w:r w:rsidR="00E05F1A" w:rsidRPr="00E05F1A">
              <w:rPr>
                <w:rFonts w:asciiTheme="minorHAnsi" w:hAnsiTheme="minorHAnsi"/>
                <w:b/>
                <w:i/>
              </w:rPr>
              <w:t>GOI and civil society are more effective in identifying and managing conflict and their impact within Indonesia’s communities</w:t>
            </w:r>
          </w:p>
        </w:tc>
        <w:tc>
          <w:tcPr>
            <w:tcW w:w="1440" w:type="dxa"/>
            <w:tcBorders>
              <w:bottom w:val="single" w:sz="4" w:space="0" w:color="auto"/>
            </w:tcBorders>
            <w:shd w:val="clear" w:color="auto" w:fill="auto"/>
          </w:tcPr>
          <w:p w14:paraId="61E0BECD" w14:textId="049503D2"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3,595,028</w:t>
            </w:r>
          </w:p>
        </w:tc>
        <w:tc>
          <w:tcPr>
            <w:tcW w:w="3960" w:type="dxa"/>
            <w:tcBorders>
              <w:left w:val="single" w:sz="4" w:space="0" w:color="auto"/>
              <w:bottom w:val="single" w:sz="4" w:space="0" w:color="auto"/>
            </w:tcBorders>
          </w:tcPr>
          <w:p w14:paraId="1ED68BD8" w14:textId="613EC52C" w:rsidR="00E05F1A" w:rsidRPr="003B0607" w:rsidRDefault="00E05F1A" w:rsidP="00E74058">
            <w:pPr>
              <w:pStyle w:val="BodyText2"/>
              <w:numPr>
                <w:ilvl w:val="0"/>
                <w:numId w:val="27"/>
              </w:numPr>
              <w:jc w:val="both"/>
              <w:rPr>
                <w:rFonts w:asciiTheme="minorHAnsi" w:hAnsiTheme="minorHAnsi"/>
                <w:i/>
              </w:rPr>
            </w:pPr>
            <w:r w:rsidRPr="003B0607">
              <w:rPr>
                <w:rFonts w:asciiTheme="minorHAnsi" w:hAnsiTheme="minorHAnsi"/>
                <w:i/>
              </w:rPr>
              <w:t xml:space="preserve">Number of violent social conflicts; </w:t>
            </w:r>
          </w:p>
          <w:p w14:paraId="27BFAD6B" w14:textId="1A0D55F6" w:rsidR="00E05F1A" w:rsidRPr="003B0607" w:rsidRDefault="00E05F1A" w:rsidP="00E74058">
            <w:pPr>
              <w:pStyle w:val="BodyText2"/>
              <w:numPr>
                <w:ilvl w:val="0"/>
                <w:numId w:val="27"/>
              </w:numPr>
              <w:jc w:val="both"/>
              <w:rPr>
                <w:rFonts w:asciiTheme="minorHAnsi" w:hAnsiTheme="minorHAnsi"/>
                <w:i/>
              </w:rPr>
            </w:pPr>
            <w:r w:rsidRPr="003B0607">
              <w:rPr>
                <w:rFonts w:asciiTheme="minorHAnsi" w:hAnsiTheme="minorHAnsi"/>
                <w:i/>
              </w:rPr>
              <w:t>Number of new or revised policies / regulatory frameworks that promote peace and prevent conflict</w:t>
            </w:r>
          </w:p>
          <w:p w14:paraId="3D25DA96" w14:textId="2C07AE74" w:rsidR="00694F35" w:rsidRPr="00920DBC" w:rsidRDefault="00E05F1A" w:rsidP="00E74058">
            <w:pPr>
              <w:pStyle w:val="BodyText2"/>
              <w:numPr>
                <w:ilvl w:val="0"/>
                <w:numId w:val="27"/>
              </w:numPr>
              <w:jc w:val="both"/>
              <w:rPr>
                <w:rFonts w:asciiTheme="minorHAnsi" w:hAnsiTheme="minorHAnsi"/>
                <w:i/>
              </w:rPr>
            </w:pPr>
            <w:r w:rsidRPr="003B0607">
              <w:rPr>
                <w:rFonts w:asciiTheme="minorHAnsi" w:hAnsiTheme="minorHAnsi"/>
                <w:i/>
              </w:rPr>
              <w:t>% of national budget allocated for promoting peace and conflict prevention.</w:t>
            </w:r>
          </w:p>
        </w:tc>
        <w:tc>
          <w:tcPr>
            <w:tcW w:w="5490" w:type="dxa"/>
            <w:tcBorders>
              <w:bottom w:val="single" w:sz="4" w:space="0" w:color="auto"/>
            </w:tcBorders>
            <w:shd w:val="clear" w:color="auto" w:fill="auto"/>
          </w:tcPr>
          <w:p w14:paraId="4CBE62D5" w14:textId="26945C5D" w:rsidR="00694F35" w:rsidRPr="003F4F4C" w:rsidRDefault="003F4F4C" w:rsidP="00E74058">
            <w:pPr>
              <w:pStyle w:val="BodyText2"/>
              <w:numPr>
                <w:ilvl w:val="0"/>
                <w:numId w:val="37"/>
              </w:numPr>
              <w:jc w:val="both"/>
              <w:rPr>
                <w:rFonts w:asciiTheme="minorHAnsi" w:hAnsiTheme="minorHAnsi"/>
                <w:i/>
              </w:rPr>
            </w:pPr>
            <w:r w:rsidRPr="003F4F4C">
              <w:rPr>
                <w:rFonts w:asciiTheme="minorHAnsi" w:hAnsiTheme="minorHAnsi"/>
                <w:i/>
              </w:rPr>
              <w:t>Baseline, 970 violent conflicts in 2010 and 917 in 2011 (Source SNPK); Current status</w:t>
            </w:r>
            <w:r>
              <w:rPr>
                <w:rFonts w:asciiTheme="minorHAnsi" w:hAnsiTheme="minorHAnsi"/>
                <w:i/>
              </w:rPr>
              <w:t xml:space="preserve">: </w:t>
            </w:r>
            <w:r w:rsidR="00D9662F">
              <w:rPr>
                <w:rFonts w:asciiTheme="minorHAnsi" w:hAnsiTheme="minorHAnsi"/>
                <w:i/>
              </w:rPr>
              <w:t>no</w:t>
            </w:r>
            <w:r w:rsidRPr="003F4F4C">
              <w:rPr>
                <w:rFonts w:asciiTheme="minorHAnsi" w:hAnsiTheme="minorHAnsi"/>
                <w:i/>
              </w:rPr>
              <w:t xml:space="preserve"> progress: 1,299 in 2012 and 1,038 in 2013; 1,029 in 2014</w:t>
            </w:r>
            <w:r>
              <w:rPr>
                <w:rFonts w:asciiTheme="minorHAnsi" w:hAnsiTheme="minorHAnsi"/>
                <w:i/>
              </w:rPr>
              <w:t xml:space="preserve"> </w:t>
            </w:r>
          </w:p>
          <w:p w14:paraId="67D1667E" w14:textId="1BD2AF37" w:rsidR="00694F35" w:rsidRDefault="003F4F4C" w:rsidP="00E74058">
            <w:pPr>
              <w:pStyle w:val="BodyText2"/>
              <w:numPr>
                <w:ilvl w:val="0"/>
                <w:numId w:val="37"/>
              </w:numPr>
              <w:jc w:val="both"/>
              <w:rPr>
                <w:rFonts w:asciiTheme="minorHAnsi" w:hAnsiTheme="minorHAnsi"/>
                <w:i/>
              </w:rPr>
            </w:pPr>
            <w:r>
              <w:rPr>
                <w:rFonts w:asciiTheme="minorHAnsi" w:hAnsiTheme="minorHAnsi"/>
                <w:i/>
              </w:rPr>
              <w:t xml:space="preserve">Baseline (2012): Bill on Social Conflict Management deliberated in National Parliament, Conflict Prevention Framework for action drafted and Conflict-sensitive Development Planning </w:t>
            </w:r>
            <w:r w:rsidR="00220822">
              <w:rPr>
                <w:rFonts w:asciiTheme="minorHAnsi" w:hAnsiTheme="minorHAnsi"/>
                <w:i/>
              </w:rPr>
              <w:t>guidelines developed. Current</w:t>
            </w:r>
            <w:r w:rsidRPr="003F4F4C">
              <w:rPr>
                <w:rFonts w:asciiTheme="minorHAnsi" w:hAnsiTheme="minorHAnsi"/>
                <w:i/>
              </w:rPr>
              <w:t xml:space="preserve"> Status</w:t>
            </w:r>
            <w:r w:rsidR="00220822">
              <w:rPr>
                <w:rFonts w:asciiTheme="minorHAnsi" w:hAnsiTheme="minorHAnsi"/>
                <w:i/>
              </w:rPr>
              <w:t xml:space="preserve">, target reached: </w:t>
            </w:r>
            <w:r w:rsidRPr="003F4F4C">
              <w:rPr>
                <w:rFonts w:asciiTheme="minorHAnsi" w:hAnsiTheme="minorHAnsi"/>
                <w:i/>
              </w:rPr>
              <w:t>7 at national level, 11 at subnational. 4 new national level pol</w:t>
            </w:r>
            <w:r w:rsidR="002058BA">
              <w:rPr>
                <w:rFonts w:asciiTheme="minorHAnsi" w:hAnsiTheme="minorHAnsi"/>
                <w:i/>
              </w:rPr>
              <w:t xml:space="preserve">icy frameworks endorsed in 2014. Law on Social Conflict  Management passed. </w:t>
            </w:r>
          </w:p>
          <w:p w14:paraId="3EE25720" w14:textId="11B29A18" w:rsidR="00220822" w:rsidRPr="00920DBC" w:rsidRDefault="00220822" w:rsidP="00E74058">
            <w:pPr>
              <w:pStyle w:val="BodyText2"/>
              <w:numPr>
                <w:ilvl w:val="0"/>
                <w:numId w:val="37"/>
              </w:numPr>
              <w:jc w:val="both"/>
              <w:rPr>
                <w:rFonts w:asciiTheme="minorHAnsi" w:hAnsiTheme="minorHAnsi"/>
                <w:i/>
              </w:rPr>
            </w:pPr>
            <w:r>
              <w:rPr>
                <w:rFonts w:asciiTheme="minorHAnsi" w:hAnsiTheme="minorHAnsi"/>
                <w:i/>
              </w:rPr>
              <w:t xml:space="preserve">Baseline: 2012, IDR 256,241,100,000 for peace and conflict prevention or 0.02% from total national budget in 2011 </w:t>
            </w:r>
            <w:r>
              <w:rPr>
                <w:rFonts w:asciiTheme="minorHAnsi" w:hAnsiTheme="minorHAnsi"/>
                <w:i/>
              </w:rPr>
              <w:lastRenderedPageBreak/>
              <w:t xml:space="preserve">(1.23 quadrillion); Current status (2014, No change: </w:t>
            </w:r>
            <w:r w:rsidRPr="00220822">
              <w:rPr>
                <w:rFonts w:asciiTheme="minorHAnsi" w:hAnsiTheme="minorHAnsi"/>
                <w:i/>
              </w:rPr>
              <w:t>Up until the end of 2014, insufficient quantitative data from the government is available to measure the change in 2014. Data only available from the Social Affairs Ministry indicating IDR 60,236,283,000 allocated in 2014 to peace and conflict interventions. Of this amount, 44.5% specifically allocated to conflict prevention</w:t>
            </w:r>
            <w:r>
              <w:rPr>
                <w:rFonts w:asciiTheme="minorHAnsi" w:hAnsiTheme="minorHAnsi"/>
                <w:i/>
              </w:rPr>
              <w:t>.</w:t>
            </w:r>
          </w:p>
        </w:tc>
      </w:tr>
      <w:tr w:rsidR="00694F35" w:rsidRPr="00DC7354" w14:paraId="07A93677" w14:textId="77777777" w:rsidTr="00694F35">
        <w:tc>
          <w:tcPr>
            <w:tcW w:w="14040" w:type="dxa"/>
            <w:gridSpan w:val="4"/>
          </w:tcPr>
          <w:p w14:paraId="72F0FBA6" w14:textId="77777777" w:rsidR="00694F35" w:rsidRPr="00837C4B" w:rsidRDefault="00694F35" w:rsidP="00E74058">
            <w:pPr>
              <w:pStyle w:val="BodyText2"/>
              <w:jc w:val="both"/>
              <w:rPr>
                <w:rFonts w:asciiTheme="minorHAnsi" w:hAnsiTheme="minorHAnsi"/>
                <w:b/>
              </w:rPr>
            </w:pPr>
            <w:r w:rsidRPr="00837C4B">
              <w:rPr>
                <w:rFonts w:asciiTheme="minorHAnsi" w:hAnsiTheme="minorHAnsi"/>
                <w:b/>
              </w:rPr>
              <w:lastRenderedPageBreak/>
              <w:t>UNDP Contribution:</w:t>
            </w:r>
          </w:p>
          <w:p w14:paraId="0298B792" w14:textId="77777777" w:rsidR="00694F35" w:rsidRDefault="00694F35" w:rsidP="00E74058">
            <w:pPr>
              <w:pStyle w:val="BodyText2"/>
              <w:jc w:val="both"/>
              <w:rPr>
                <w:rFonts w:asciiTheme="minorHAnsi" w:hAnsiTheme="minorHAnsi"/>
              </w:rPr>
            </w:pPr>
          </w:p>
          <w:p w14:paraId="37C701F4" w14:textId="77777777" w:rsidR="00694F35" w:rsidRPr="00A046D3" w:rsidRDefault="00694F35" w:rsidP="00E74058">
            <w:pPr>
              <w:pStyle w:val="BodyText2"/>
              <w:jc w:val="both"/>
              <w:rPr>
                <w:rFonts w:asciiTheme="minorHAnsi" w:hAnsiTheme="minorHAnsi"/>
                <w:sz w:val="24"/>
              </w:rPr>
            </w:pPr>
            <w:r w:rsidRPr="00A046D3">
              <w:rPr>
                <w:rFonts w:asciiTheme="minorHAnsi" w:hAnsiTheme="minorHAnsi"/>
                <w:sz w:val="24"/>
                <w:u w:val="single"/>
              </w:rPr>
              <w:t>CP Outputs</w:t>
            </w:r>
            <w:r w:rsidRPr="00A046D3">
              <w:rPr>
                <w:rFonts w:asciiTheme="minorHAnsi" w:hAnsiTheme="minorHAnsi"/>
                <w:sz w:val="24"/>
              </w:rPr>
              <w:t>:</w:t>
            </w:r>
          </w:p>
          <w:p w14:paraId="68A2C408" w14:textId="623B2286" w:rsidR="00694F35" w:rsidRPr="00A046D3" w:rsidRDefault="00694F35" w:rsidP="00E74058">
            <w:pPr>
              <w:pStyle w:val="BodyText2"/>
              <w:jc w:val="both"/>
              <w:rPr>
                <w:rFonts w:asciiTheme="minorHAnsi" w:hAnsiTheme="minorHAnsi"/>
                <w:i/>
                <w:sz w:val="24"/>
              </w:rPr>
            </w:pPr>
            <w:r w:rsidRPr="00A046D3">
              <w:rPr>
                <w:rFonts w:asciiTheme="minorHAnsi" w:hAnsiTheme="minorHAnsi"/>
                <w:i/>
                <w:sz w:val="24"/>
              </w:rPr>
              <w:t xml:space="preserve">The UNDP CP identified three major outputs to support the Government in achieving this outcome: (a) </w:t>
            </w:r>
            <w:r w:rsidR="00420CEC" w:rsidRPr="00A046D3">
              <w:rPr>
                <w:rFonts w:asciiTheme="minorHAnsi" w:hAnsiTheme="minorHAnsi"/>
                <w:i/>
                <w:sz w:val="24"/>
              </w:rPr>
              <w:t>Policy and regulatory framework for conflict prevention established at national level and in targeted areas</w:t>
            </w:r>
            <w:r w:rsidRPr="00A046D3">
              <w:rPr>
                <w:rFonts w:asciiTheme="minorHAnsi" w:hAnsiTheme="minorHAnsi"/>
                <w:i/>
                <w:sz w:val="24"/>
              </w:rPr>
              <w:t xml:space="preserve">; (b) </w:t>
            </w:r>
            <w:r w:rsidR="00125FB0" w:rsidRPr="00A046D3">
              <w:rPr>
                <w:rFonts w:asciiTheme="minorHAnsi" w:hAnsiTheme="minorHAnsi"/>
                <w:i/>
                <w:sz w:val="24"/>
              </w:rPr>
              <w:t>Institutional system for conflict prevention established at national level and in targeted areas</w:t>
            </w:r>
            <w:r w:rsidRPr="00A046D3">
              <w:rPr>
                <w:rFonts w:asciiTheme="minorHAnsi" w:hAnsiTheme="minorHAnsi"/>
                <w:i/>
                <w:sz w:val="24"/>
              </w:rPr>
              <w:t xml:space="preserve">, and (c) </w:t>
            </w:r>
            <w:r w:rsidR="00125FB0" w:rsidRPr="00A046D3">
              <w:rPr>
                <w:rFonts w:asciiTheme="minorHAnsi" w:hAnsiTheme="minorHAnsi"/>
                <w:i/>
                <w:sz w:val="24"/>
              </w:rPr>
              <w:t>Communities are able to apply conflict prevention approaches and mechanisms that promote social cohesion, and sustainable welfare and livelihoods towards safe and stable well- being</w:t>
            </w:r>
            <w:r w:rsidR="00326283">
              <w:rPr>
                <w:rFonts w:asciiTheme="minorHAnsi" w:hAnsiTheme="minorHAnsi"/>
                <w:i/>
                <w:sz w:val="24"/>
              </w:rPr>
              <w:t>.</w:t>
            </w:r>
          </w:p>
          <w:p w14:paraId="4747684F" w14:textId="77777777" w:rsidR="00694F35" w:rsidRDefault="00694F35" w:rsidP="00E74058">
            <w:pPr>
              <w:pStyle w:val="BodyText2"/>
              <w:jc w:val="both"/>
              <w:rPr>
                <w:rFonts w:asciiTheme="minorHAnsi" w:hAnsiTheme="minorHAnsi"/>
              </w:rPr>
            </w:pPr>
          </w:p>
          <w:p w14:paraId="19796CC7" w14:textId="77777777" w:rsidR="00694F35" w:rsidRPr="00326283" w:rsidRDefault="00694F35" w:rsidP="00E74058">
            <w:pPr>
              <w:pStyle w:val="BodyText2"/>
              <w:jc w:val="both"/>
              <w:rPr>
                <w:rFonts w:asciiTheme="minorHAnsi" w:hAnsiTheme="minorHAnsi"/>
                <w:sz w:val="24"/>
              </w:rPr>
            </w:pPr>
            <w:r w:rsidRPr="00326283">
              <w:rPr>
                <w:rFonts w:asciiTheme="minorHAnsi" w:hAnsiTheme="minorHAnsi"/>
                <w:sz w:val="24"/>
                <w:u w:val="single"/>
              </w:rPr>
              <w:t>Progress and Achievements</w:t>
            </w:r>
            <w:r w:rsidRPr="00326283">
              <w:rPr>
                <w:rFonts w:asciiTheme="minorHAnsi" w:hAnsiTheme="minorHAnsi"/>
                <w:sz w:val="24"/>
              </w:rPr>
              <w:t>:</w:t>
            </w:r>
          </w:p>
          <w:p w14:paraId="6B8B32D6" w14:textId="77777777" w:rsidR="007948A1" w:rsidRDefault="007948A1" w:rsidP="00E74058">
            <w:pPr>
              <w:pStyle w:val="BodyText2"/>
              <w:jc w:val="both"/>
              <w:rPr>
                <w:rFonts w:asciiTheme="minorHAnsi" w:hAnsiTheme="minorHAnsi"/>
              </w:rPr>
            </w:pPr>
          </w:p>
          <w:p w14:paraId="7A7DE76B" w14:textId="3CDD71E0" w:rsidR="00A046D3" w:rsidRPr="00A046D3" w:rsidRDefault="007948A1" w:rsidP="00E74058">
            <w:pPr>
              <w:pStyle w:val="BodyText2"/>
              <w:jc w:val="both"/>
              <w:rPr>
                <w:rFonts w:asciiTheme="minorHAnsi" w:hAnsiTheme="minorHAnsi"/>
                <w:i/>
                <w:sz w:val="24"/>
              </w:rPr>
            </w:pPr>
            <w:r w:rsidRPr="00044DDE">
              <w:rPr>
                <w:b/>
                <w:i/>
              </w:rPr>
              <w:t>Output (a) Framework for conflict prevention:</w:t>
            </w:r>
            <w:r w:rsidR="00A046D3">
              <w:rPr>
                <w:b/>
              </w:rPr>
              <w:t xml:space="preserve"> </w:t>
            </w:r>
            <w:r w:rsidR="00A046D3" w:rsidRPr="00A046D3">
              <w:rPr>
                <w:rFonts w:asciiTheme="minorHAnsi" w:hAnsiTheme="minorHAnsi"/>
                <w:i/>
                <w:sz w:val="24"/>
              </w:rPr>
              <w:t>In 2014 the UNDP-supported Conflict Prevention Framework (CPF), under development since 2008, was launched by the Vice President’s Office. The CPF has become the basis</w:t>
            </w:r>
            <w:r w:rsidR="00A046D3">
              <w:rPr>
                <w:rFonts w:asciiTheme="minorHAnsi" w:hAnsiTheme="minorHAnsi"/>
                <w:i/>
                <w:sz w:val="24"/>
              </w:rPr>
              <w:t xml:space="preserve"> </w:t>
            </w:r>
            <w:r w:rsidR="00A046D3" w:rsidRPr="00A046D3">
              <w:rPr>
                <w:rFonts w:asciiTheme="minorHAnsi" w:hAnsiTheme="minorHAnsi"/>
                <w:i/>
                <w:sz w:val="24"/>
              </w:rPr>
              <w:t>for a National Strategy and Action Plan (titled “National Vision and Character Building for Nation Unity”) developed under the leadership of the National Planning &amp; Development Agency</w:t>
            </w:r>
          </w:p>
          <w:p w14:paraId="28FA472C" w14:textId="0CB2AC48" w:rsidR="00044DDE" w:rsidRPr="00A046D3" w:rsidRDefault="00A046D3" w:rsidP="00E74058">
            <w:pPr>
              <w:pStyle w:val="BodyText2"/>
              <w:jc w:val="both"/>
              <w:rPr>
                <w:rFonts w:asciiTheme="minorHAnsi" w:hAnsiTheme="minorHAnsi"/>
                <w:i/>
                <w:sz w:val="24"/>
              </w:rPr>
            </w:pPr>
            <w:r w:rsidRPr="00A046D3">
              <w:rPr>
                <w:rFonts w:asciiTheme="minorHAnsi" w:hAnsiTheme="minorHAnsi"/>
                <w:i/>
                <w:sz w:val="24"/>
              </w:rPr>
              <w:t>(Bappenas). The National Strategy, which was jointly formulated by the government and UNDP, has conflict prevention as one of its focuses and provides a legal framework for implementing</w:t>
            </w:r>
            <w:r>
              <w:rPr>
                <w:rFonts w:asciiTheme="minorHAnsi" w:hAnsiTheme="minorHAnsi"/>
                <w:i/>
                <w:sz w:val="24"/>
              </w:rPr>
              <w:t xml:space="preserve"> the CPF</w:t>
            </w:r>
            <w:r w:rsidRPr="00A046D3">
              <w:rPr>
                <w:rFonts w:asciiTheme="minorHAnsi" w:hAnsiTheme="minorHAnsi"/>
                <w:i/>
                <w:sz w:val="24"/>
              </w:rPr>
              <w:t xml:space="preserve">. </w:t>
            </w:r>
          </w:p>
          <w:p w14:paraId="472D5A6B" w14:textId="72838AE8" w:rsidR="00A046D3" w:rsidRPr="00A046D3" w:rsidRDefault="00A046D3" w:rsidP="00E74058">
            <w:pPr>
              <w:pStyle w:val="BodyText2"/>
              <w:jc w:val="both"/>
              <w:rPr>
                <w:rFonts w:asciiTheme="minorHAnsi" w:hAnsiTheme="minorHAnsi"/>
                <w:i/>
                <w:sz w:val="24"/>
              </w:rPr>
            </w:pPr>
          </w:p>
          <w:p w14:paraId="0762F698" w14:textId="22352619" w:rsidR="007948A1" w:rsidRDefault="007948A1" w:rsidP="00E74058">
            <w:pPr>
              <w:pStyle w:val="BodyText2"/>
              <w:jc w:val="both"/>
              <w:rPr>
                <w:b/>
              </w:rPr>
            </w:pPr>
            <w:r w:rsidRPr="00044DDE">
              <w:rPr>
                <w:b/>
                <w:i/>
              </w:rPr>
              <w:t>Output (b) Institutional system for conflict prevention:</w:t>
            </w:r>
            <w:r w:rsidR="00044DDE">
              <w:rPr>
                <w:b/>
              </w:rPr>
              <w:t xml:space="preserve"> </w:t>
            </w:r>
            <w:r w:rsidR="00044DDE" w:rsidRPr="00A046D3">
              <w:rPr>
                <w:rFonts w:asciiTheme="minorHAnsi" w:hAnsiTheme="minorHAnsi"/>
                <w:i/>
                <w:sz w:val="24"/>
              </w:rPr>
              <w:t>A policy paper on conflict prevention</w:t>
            </w:r>
            <w:r w:rsidR="00044DDE">
              <w:rPr>
                <w:rFonts w:asciiTheme="minorHAnsi" w:hAnsiTheme="minorHAnsi"/>
                <w:i/>
                <w:sz w:val="24"/>
              </w:rPr>
              <w:t xml:space="preserve"> </w:t>
            </w:r>
            <w:r w:rsidR="00044DDE" w:rsidRPr="00A046D3">
              <w:rPr>
                <w:rFonts w:asciiTheme="minorHAnsi" w:hAnsiTheme="minorHAnsi"/>
                <w:i/>
                <w:sz w:val="24"/>
              </w:rPr>
              <w:t xml:space="preserve">commissioned by a UNDP-supported project was formulated by the State Science Research Institute/LIPI. It was taken up in the draft 2015-2019 RPJMN </w:t>
            </w:r>
            <w:r w:rsidR="00044DDE">
              <w:rPr>
                <w:rFonts w:asciiTheme="minorHAnsi" w:hAnsiTheme="minorHAnsi"/>
                <w:i/>
                <w:sz w:val="24"/>
              </w:rPr>
              <w:t>(</w:t>
            </w:r>
            <w:r w:rsidR="00044DDE" w:rsidRPr="00A046D3">
              <w:rPr>
                <w:rFonts w:asciiTheme="minorHAnsi" w:hAnsiTheme="minorHAnsi"/>
                <w:i/>
                <w:sz w:val="24"/>
              </w:rPr>
              <w:t>5-year development plan</w:t>
            </w:r>
            <w:r w:rsidR="00044DDE">
              <w:rPr>
                <w:rFonts w:asciiTheme="minorHAnsi" w:hAnsiTheme="minorHAnsi"/>
                <w:i/>
                <w:sz w:val="24"/>
              </w:rPr>
              <w:t xml:space="preserve">) </w:t>
            </w:r>
            <w:r w:rsidR="00044DDE" w:rsidRPr="00A046D3">
              <w:rPr>
                <w:rFonts w:asciiTheme="minorHAnsi" w:hAnsiTheme="minorHAnsi"/>
                <w:i/>
                <w:sz w:val="24"/>
              </w:rPr>
              <w:t>as a cross-cutting theme and sub-area</w:t>
            </w:r>
            <w:r w:rsidR="00044DDE">
              <w:rPr>
                <w:rFonts w:asciiTheme="minorHAnsi" w:hAnsiTheme="minorHAnsi"/>
                <w:i/>
                <w:sz w:val="24"/>
              </w:rPr>
              <w:t xml:space="preserve"> </w:t>
            </w:r>
            <w:r w:rsidR="00044DDE" w:rsidRPr="00A046D3">
              <w:rPr>
                <w:rFonts w:asciiTheme="minorHAnsi" w:hAnsiTheme="minorHAnsi"/>
                <w:i/>
                <w:sz w:val="24"/>
              </w:rPr>
              <w:t>on Domestic Political A</w:t>
            </w:r>
            <w:r w:rsidR="00044DDE">
              <w:rPr>
                <w:rFonts w:asciiTheme="minorHAnsi" w:hAnsiTheme="minorHAnsi"/>
                <w:i/>
                <w:sz w:val="24"/>
              </w:rPr>
              <w:t>ffairs</w:t>
            </w:r>
            <w:r w:rsidR="00044DDE" w:rsidRPr="00A046D3">
              <w:rPr>
                <w:rFonts w:asciiTheme="minorHAnsi" w:hAnsiTheme="minorHAnsi"/>
                <w:i/>
                <w:sz w:val="24"/>
              </w:rPr>
              <w:t>. In addition, social cohesion and peacebuilding were interwoven into the vision and strategy of the Jokowi-Jusuf Kalla a</w:t>
            </w:r>
            <w:r w:rsidR="00044DDE">
              <w:rPr>
                <w:rFonts w:asciiTheme="minorHAnsi" w:hAnsiTheme="minorHAnsi"/>
                <w:i/>
                <w:sz w:val="24"/>
              </w:rPr>
              <w:t>dministration as a 9th priority</w:t>
            </w:r>
            <w:r w:rsidR="00044DDE" w:rsidRPr="00A046D3">
              <w:rPr>
                <w:rFonts w:asciiTheme="minorHAnsi" w:hAnsiTheme="minorHAnsi"/>
                <w:i/>
                <w:sz w:val="24"/>
              </w:rPr>
              <w:t>. In</w:t>
            </w:r>
            <w:r w:rsidR="00044DDE">
              <w:rPr>
                <w:rFonts w:asciiTheme="minorHAnsi" w:hAnsiTheme="minorHAnsi"/>
                <w:i/>
                <w:sz w:val="24"/>
              </w:rPr>
              <w:t xml:space="preserve"> </w:t>
            </w:r>
            <w:r w:rsidR="00044DDE" w:rsidRPr="00A046D3">
              <w:rPr>
                <w:rFonts w:asciiTheme="minorHAnsi" w:hAnsiTheme="minorHAnsi"/>
                <w:i/>
                <w:sz w:val="24"/>
              </w:rPr>
              <w:t xml:space="preserve">2012 a Law on Social Conflict Management, which was developed with UNDP support, was passed. Since then, </w:t>
            </w:r>
            <w:r w:rsidR="002058BA">
              <w:rPr>
                <w:rFonts w:asciiTheme="minorHAnsi" w:hAnsiTheme="minorHAnsi"/>
                <w:i/>
                <w:sz w:val="24"/>
              </w:rPr>
              <w:t>the GOI-U</w:t>
            </w:r>
            <w:r w:rsidR="00044DDE" w:rsidRPr="00A046D3">
              <w:rPr>
                <w:rFonts w:asciiTheme="minorHAnsi" w:hAnsiTheme="minorHAnsi"/>
                <w:i/>
                <w:sz w:val="24"/>
              </w:rPr>
              <w:t xml:space="preserve">NDP </w:t>
            </w:r>
            <w:r w:rsidR="002058BA">
              <w:rPr>
                <w:rFonts w:asciiTheme="minorHAnsi" w:hAnsiTheme="minorHAnsi"/>
                <w:i/>
                <w:sz w:val="24"/>
              </w:rPr>
              <w:t xml:space="preserve">project </w:t>
            </w:r>
            <w:r w:rsidR="00044DDE" w:rsidRPr="00A046D3">
              <w:rPr>
                <w:rFonts w:asciiTheme="minorHAnsi" w:hAnsiTheme="minorHAnsi"/>
                <w:i/>
                <w:sz w:val="24"/>
              </w:rPr>
              <w:t xml:space="preserve">has assisted the </w:t>
            </w:r>
            <w:r w:rsidR="002058BA">
              <w:rPr>
                <w:rFonts w:asciiTheme="minorHAnsi" w:hAnsiTheme="minorHAnsi"/>
                <w:i/>
                <w:sz w:val="24"/>
              </w:rPr>
              <w:t xml:space="preserve">line Ministry </w:t>
            </w:r>
            <w:r w:rsidR="00044DDE" w:rsidRPr="00A046D3">
              <w:rPr>
                <w:rFonts w:asciiTheme="minorHAnsi" w:hAnsiTheme="minorHAnsi"/>
                <w:i/>
                <w:sz w:val="24"/>
              </w:rPr>
              <w:t>to draft the decree required to</w:t>
            </w:r>
            <w:r w:rsidR="00044DDE">
              <w:rPr>
                <w:rFonts w:asciiTheme="minorHAnsi" w:hAnsiTheme="minorHAnsi"/>
                <w:i/>
                <w:sz w:val="24"/>
              </w:rPr>
              <w:t xml:space="preserve"> </w:t>
            </w:r>
            <w:r w:rsidR="00044DDE" w:rsidRPr="00A046D3">
              <w:rPr>
                <w:rFonts w:asciiTheme="minorHAnsi" w:hAnsiTheme="minorHAnsi"/>
                <w:i/>
                <w:sz w:val="24"/>
              </w:rPr>
              <w:t xml:space="preserve">operationalize the Law. The decree defines a clearer role </w:t>
            </w:r>
            <w:r w:rsidR="00D9662F">
              <w:rPr>
                <w:rFonts w:asciiTheme="minorHAnsi" w:hAnsiTheme="minorHAnsi"/>
                <w:i/>
                <w:sz w:val="24"/>
              </w:rPr>
              <w:t>for</w:t>
            </w:r>
            <w:r w:rsidR="00044DDE" w:rsidRPr="00A046D3">
              <w:rPr>
                <w:rFonts w:asciiTheme="minorHAnsi" w:hAnsiTheme="minorHAnsi"/>
                <w:i/>
                <w:sz w:val="24"/>
              </w:rPr>
              <w:t xml:space="preserve"> government, civil society and security apparatus in managing and preventing conflict. The decree is awaiting signature by</w:t>
            </w:r>
            <w:r w:rsidR="00044DDE">
              <w:rPr>
                <w:rFonts w:asciiTheme="minorHAnsi" w:hAnsiTheme="minorHAnsi"/>
                <w:i/>
                <w:sz w:val="24"/>
              </w:rPr>
              <w:t xml:space="preserve"> </w:t>
            </w:r>
            <w:r w:rsidR="00044DDE" w:rsidRPr="00A046D3">
              <w:rPr>
                <w:rFonts w:asciiTheme="minorHAnsi" w:hAnsiTheme="minorHAnsi"/>
                <w:i/>
                <w:sz w:val="24"/>
              </w:rPr>
              <w:t>Indonesia’s new President.</w:t>
            </w:r>
          </w:p>
          <w:p w14:paraId="30C6A2BE" w14:textId="77777777" w:rsidR="007948A1" w:rsidRDefault="007948A1" w:rsidP="00E74058">
            <w:pPr>
              <w:pStyle w:val="BodyText2"/>
              <w:jc w:val="both"/>
              <w:rPr>
                <w:b/>
              </w:rPr>
            </w:pPr>
          </w:p>
          <w:p w14:paraId="4F5E2B4A" w14:textId="6C356DEB" w:rsidR="007948A1" w:rsidRDefault="007948A1" w:rsidP="00E74058">
            <w:pPr>
              <w:pStyle w:val="BodyText2"/>
              <w:jc w:val="both"/>
              <w:rPr>
                <w:rFonts w:asciiTheme="minorHAnsi" w:hAnsiTheme="minorHAnsi"/>
              </w:rPr>
            </w:pPr>
            <w:r w:rsidRPr="00044DDE">
              <w:rPr>
                <w:b/>
                <w:i/>
              </w:rPr>
              <w:t>Output (c) Community conflict prevention:</w:t>
            </w:r>
            <w:r w:rsidR="00A046D3">
              <w:rPr>
                <w:b/>
              </w:rPr>
              <w:t xml:space="preserve"> </w:t>
            </w:r>
            <w:r w:rsidR="00A046D3" w:rsidRPr="00A046D3">
              <w:rPr>
                <w:rFonts w:asciiTheme="minorHAnsi" w:hAnsiTheme="minorHAnsi"/>
                <w:i/>
                <w:sz w:val="24"/>
              </w:rPr>
              <w:t xml:space="preserve">A peace education curriculum for public servants was developed with the National Administration </w:t>
            </w:r>
            <w:r w:rsidR="00A046D3" w:rsidRPr="00A046D3">
              <w:rPr>
                <w:rFonts w:asciiTheme="minorHAnsi" w:hAnsiTheme="minorHAnsi"/>
                <w:i/>
                <w:sz w:val="24"/>
              </w:rPr>
              <w:lastRenderedPageBreak/>
              <w:t>Body (LAN). The curriculum was piloted and 80 trainers</w:t>
            </w:r>
            <w:r w:rsidR="00A046D3">
              <w:rPr>
                <w:rFonts w:asciiTheme="minorHAnsi" w:hAnsiTheme="minorHAnsi"/>
                <w:i/>
                <w:sz w:val="24"/>
              </w:rPr>
              <w:t xml:space="preserve"> </w:t>
            </w:r>
            <w:r w:rsidR="00A046D3" w:rsidRPr="00A046D3">
              <w:rPr>
                <w:rFonts w:asciiTheme="minorHAnsi" w:hAnsiTheme="minorHAnsi"/>
                <w:i/>
                <w:sz w:val="24"/>
              </w:rPr>
              <w:t>are equipped and ready to train government officials. LAN plans to roll out the curriculum in 2015, making it mandatory for high-level government officials. UNDP supported the</w:t>
            </w:r>
            <w:r w:rsidR="00A046D3">
              <w:rPr>
                <w:rFonts w:asciiTheme="minorHAnsi" w:hAnsiTheme="minorHAnsi"/>
                <w:i/>
                <w:sz w:val="24"/>
              </w:rPr>
              <w:t xml:space="preserve"> </w:t>
            </w:r>
            <w:r w:rsidR="00A046D3" w:rsidRPr="00A046D3">
              <w:rPr>
                <w:rFonts w:asciiTheme="minorHAnsi" w:hAnsiTheme="minorHAnsi"/>
                <w:i/>
                <w:sz w:val="24"/>
              </w:rPr>
              <w:t>development of a training guideline on conflict-sensitive budgeting addressed to government officials and budget planners, providing the knowledge and capacity to financially plan and allocate</w:t>
            </w:r>
            <w:r w:rsidR="00A046D3">
              <w:rPr>
                <w:rFonts w:asciiTheme="minorHAnsi" w:hAnsiTheme="minorHAnsi"/>
                <w:i/>
                <w:sz w:val="24"/>
              </w:rPr>
              <w:t xml:space="preserve"> </w:t>
            </w:r>
            <w:r w:rsidR="00A046D3" w:rsidRPr="00A046D3">
              <w:rPr>
                <w:rFonts w:asciiTheme="minorHAnsi" w:hAnsiTheme="minorHAnsi"/>
                <w:i/>
                <w:sz w:val="24"/>
              </w:rPr>
              <w:t>budget for activities that promote conflict prevention and peacebuilding. This support is expected to contribute to greater conflict sensitivity in</w:t>
            </w:r>
            <w:r w:rsidR="00044DDE">
              <w:rPr>
                <w:rFonts w:asciiTheme="minorHAnsi" w:hAnsiTheme="minorHAnsi"/>
                <w:i/>
                <w:sz w:val="24"/>
              </w:rPr>
              <w:t xml:space="preserve"> the work of the government.</w:t>
            </w:r>
          </w:p>
          <w:p w14:paraId="2A706583" w14:textId="77777777" w:rsidR="007948A1" w:rsidRDefault="007948A1" w:rsidP="00E74058">
            <w:pPr>
              <w:pStyle w:val="BodyText2"/>
              <w:ind w:left="360"/>
              <w:jc w:val="both"/>
              <w:rPr>
                <w:rFonts w:asciiTheme="minorHAnsi" w:hAnsiTheme="minorHAnsi"/>
              </w:rPr>
            </w:pPr>
          </w:p>
          <w:p w14:paraId="6CDA4DB6" w14:textId="67F84B39" w:rsidR="007948A1" w:rsidRPr="0087756F" w:rsidRDefault="0087756F" w:rsidP="00E74058">
            <w:pPr>
              <w:pStyle w:val="BodyText2"/>
              <w:jc w:val="both"/>
              <w:rPr>
                <w:rFonts w:asciiTheme="minorHAnsi" w:hAnsiTheme="minorHAnsi"/>
                <w:i/>
                <w:sz w:val="24"/>
              </w:rPr>
            </w:pPr>
            <w:r w:rsidRPr="0087756F">
              <w:rPr>
                <w:rFonts w:asciiTheme="minorHAnsi" w:hAnsiTheme="minorHAnsi"/>
                <w:b/>
                <w:i/>
                <w:sz w:val="24"/>
              </w:rPr>
              <w:t>Gender</w:t>
            </w:r>
            <w:r>
              <w:rPr>
                <w:rFonts w:asciiTheme="minorHAnsi" w:hAnsiTheme="minorHAnsi"/>
                <w:b/>
                <w:i/>
                <w:sz w:val="24"/>
              </w:rPr>
              <w:t xml:space="preserve">: </w:t>
            </w:r>
            <w:r w:rsidRPr="0087756F">
              <w:rPr>
                <w:rFonts w:asciiTheme="minorHAnsi" w:hAnsiTheme="minorHAnsi"/>
                <w:i/>
                <w:sz w:val="24"/>
              </w:rPr>
              <w:t>Through N-Peace regional initiatives, the CO organized capacity building interventions for women to strengthen their participation &amp; leadership in peacebuilding. 18 women &amp; 2 men took</w:t>
            </w:r>
            <w:r>
              <w:rPr>
                <w:rFonts w:asciiTheme="minorHAnsi" w:hAnsiTheme="minorHAnsi"/>
                <w:i/>
                <w:sz w:val="24"/>
              </w:rPr>
              <w:t xml:space="preserve"> </w:t>
            </w:r>
            <w:r w:rsidRPr="0087756F">
              <w:rPr>
                <w:rFonts w:asciiTheme="minorHAnsi" w:hAnsiTheme="minorHAnsi"/>
                <w:i/>
                <w:sz w:val="24"/>
              </w:rPr>
              <w:t>part in a joint training between Timor Leste &amp; Indonesia, while another 6 women participated in a regional training. The issuance of a Presidential Decree on Protection &amp; Empowerment of</w:t>
            </w:r>
            <w:r>
              <w:rPr>
                <w:rFonts w:asciiTheme="minorHAnsi" w:hAnsiTheme="minorHAnsi"/>
                <w:i/>
                <w:sz w:val="24"/>
              </w:rPr>
              <w:t xml:space="preserve"> </w:t>
            </w:r>
            <w:r w:rsidRPr="0087756F">
              <w:rPr>
                <w:rFonts w:asciiTheme="minorHAnsi" w:hAnsiTheme="minorHAnsi"/>
                <w:i/>
                <w:sz w:val="24"/>
              </w:rPr>
              <w:t>Women &amp; Children in Social Conflict in 2014 paved the way for the formulation of a National Action Plan (NAP) in the same area. These policy frameworks will support the implementation of the</w:t>
            </w:r>
            <w:r>
              <w:rPr>
                <w:rFonts w:asciiTheme="minorHAnsi" w:hAnsiTheme="minorHAnsi"/>
                <w:i/>
                <w:sz w:val="24"/>
              </w:rPr>
              <w:t xml:space="preserve"> </w:t>
            </w:r>
            <w:r w:rsidRPr="0087756F">
              <w:rPr>
                <w:rFonts w:asciiTheme="minorHAnsi" w:hAnsiTheme="minorHAnsi"/>
                <w:i/>
                <w:sz w:val="24"/>
              </w:rPr>
              <w:t>Social Conflict Management Law by mandating the protection and guarantee of rights of women and children in conflict. UNDP contributed to the formulation of the NAP by hosting two</w:t>
            </w:r>
            <w:r>
              <w:rPr>
                <w:rFonts w:asciiTheme="minorHAnsi" w:hAnsiTheme="minorHAnsi"/>
                <w:i/>
                <w:sz w:val="24"/>
              </w:rPr>
              <w:t xml:space="preserve"> </w:t>
            </w:r>
            <w:r w:rsidRPr="0087756F">
              <w:rPr>
                <w:rFonts w:asciiTheme="minorHAnsi" w:hAnsiTheme="minorHAnsi"/>
                <w:i/>
                <w:sz w:val="24"/>
              </w:rPr>
              <w:t>workshops and developing monitoring indicators. UNDP APRC/N-PEACE mobilized resource persons from the Philippines to provide inputs to the NAP. Indonesia is the 3rd country to adopt</w:t>
            </w:r>
            <w:r>
              <w:rPr>
                <w:rFonts w:asciiTheme="minorHAnsi" w:hAnsiTheme="minorHAnsi"/>
                <w:i/>
                <w:sz w:val="24"/>
              </w:rPr>
              <w:t xml:space="preserve"> </w:t>
            </w:r>
            <w:r w:rsidRPr="0087756F">
              <w:rPr>
                <w:rFonts w:asciiTheme="minorHAnsi" w:hAnsiTheme="minorHAnsi"/>
                <w:i/>
                <w:sz w:val="24"/>
              </w:rPr>
              <w:t>such an action plan.</w:t>
            </w:r>
          </w:p>
          <w:p w14:paraId="03F92265" w14:textId="77777777" w:rsidR="007948A1" w:rsidRPr="00DC7354" w:rsidRDefault="007948A1" w:rsidP="00E74058">
            <w:pPr>
              <w:pStyle w:val="BodyText2"/>
              <w:jc w:val="both"/>
              <w:rPr>
                <w:rFonts w:asciiTheme="minorHAnsi" w:hAnsiTheme="minorHAnsi"/>
              </w:rPr>
            </w:pPr>
          </w:p>
        </w:tc>
      </w:tr>
      <w:tr w:rsidR="00694F35" w:rsidRPr="00DC7354" w14:paraId="4ACF5383" w14:textId="77777777" w:rsidTr="00694F35">
        <w:tc>
          <w:tcPr>
            <w:tcW w:w="3150" w:type="dxa"/>
            <w:tcBorders>
              <w:bottom w:val="single" w:sz="4" w:space="0" w:color="auto"/>
            </w:tcBorders>
            <w:shd w:val="clear" w:color="auto" w:fill="95B3D7" w:themeFill="accent1" w:themeFillTint="99"/>
          </w:tcPr>
          <w:p w14:paraId="019B286F" w14:textId="3C5A5330" w:rsidR="005A73E1" w:rsidRPr="000823AC" w:rsidRDefault="0047429E" w:rsidP="00E74058">
            <w:pPr>
              <w:pStyle w:val="BodyText2"/>
              <w:jc w:val="both"/>
              <w:rPr>
                <w:rFonts w:asciiTheme="minorHAnsi" w:hAnsiTheme="minorHAnsi"/>
                <w:b/>
              </w:rPr>
            </w:pPr>
            <w:r>
              <w:rPr>
                <w:rFonts w:asciiTheme="minorHAnsi" w:hAnsiTheme="minorHAnsi"/>
                <w:b/>
              </w:rPr>
              <w:lastRenderedPageBreak/>
              <w:t>9</w:t>
            </w:r>
            <w:r w:rsidR="00694F35" w:rsidRPr="000823AC">
              <w:rPr>
                <w:rFonts w:asciiTheme="minorHAnsi" w:hAnsiTheme="minorHAnsi"/>
                <w:b/>
              </w:rPr>
              <w:t xml:space="preserve">. </w:t>
            </w:r>
            <w:r w:rsidR="005A73E1" w:rsidRPr="005A73E1">
              <w:rPr>
                <w:rFonts w:asciiTheme="minorHAnsi" w:hAnsiTheme="minorHAnsi"/>
                <w:b/>
                <w:i/>
              </w:rPr>
              <w:t>GOI and communities capacity to respond to and recover from disasters and conflicts is more effective and timely</w:t>
            </w:r>
          </w:p>
        </w:tc>
        <w:tc>
          <w:tcPr>
            <w:tcW w:w="1440" w:type="dxa"/>
            <w:tcBorders>
              <w:bottom w:val="single" w:sz="4" w:space="0" w:color="auto"/>
            </w:tcBorders>
            <w:shd w:val="clear" w:color="auto" w:fill="auto"/>
          </w:tcPr>
          <w:p w14:paraId="386ADC74" w14:textId="38736740"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24,596,950</w:t>
            </w:r>
          </w:p>
        </w:tc>
        <w:tc>
          <w:tcPr>
            <w:tcW w:w="3960" w:type="dxa"/>
            <w:tcBorders>
              <w:left w:val="single" w:sz="4" w:space="0" w:color="auto"/>
              <w:bottom w:val="single" w:sz="4" w:space="0" w:color="auto"/>
            </w:tcBorders>
          </w:tcPr>
          <w:p w14:paraId="4FC22707" w14:textId="7FAC0C7B" w:rsidR="005A73E1" w:rsidRPr="003B0607" w:rsidRDefault="005A73E1" w:rsidP="00E74058">
            <w:pPr>
              <w:pStyle w:val="BodyText2"/>
              <w:numPr>
                <w:ilvl w:val="0"/>
                <w:numId w:val="28"/>
              </w:numPr>
              <w:jc w:val="both"/>
              <w:rPr>
                <w:rFonts w:asciiTheme="minorHAnsi" w:hAnsiTheme="minorHAnsi"/>
                <w:i/>
              </w:rPr>
            </w:pPr>
            <w:r w:rsidRPr="003B0607">
              <w:rPr>
                <w:rFonts w:asciiTheme="minorHAnsi" w:hAnsiTheme="minorHAnsi"/>
                <w:i/>
              </w:rPr>
              <w:t xml:space="preserve">Existence of sustainable post-crisis recovery frameworks, guidelines and methodologies in line with international practices and standards </w:t>
            </w:r>
          </w:p>
          <w:p w14:paraId="77B702B0" w14:textId="7DD86A4D" w:rsidR="00694F35" w:rsidRPr="005A73E1" w:rsidRDefault="005A73E1" w:rsidP="00E74058">
            <w:pPr>
              <w:pStyle w:val="BodyText2"/>
              <w:numPr>
                <w:ilvl w:val="0"/>
                <w:numId w:val="28"/>
              </w:numPr>
              <w:jc w:val="both"/>
              <w:rPr>
                <w:b/>
                <w:sz w:val="16"/>
                <w:szCs w:val="16"/>
              </w:rPr>
            </w:pPr>
            <w:r w:rsidRPr="003B0607">
              <w:rPr>
                <w:rFonts w:asciiTheme="minorHAnsi" w:hAnsiTheme="minorHAnsi"/>
                <w:i/>
              </w:rPr>
              <w:t>Ability of GOI to carry out their recovery mandate and coordination with minimal external support, and share experiences globally.</w:t>
            </w:r>
          </w:p>
        </w:tc>
        <w:tc>
          <w:tcPr>
            <w:tcW w:w="5490" w:type="dxa"/>
            <w:tcBorders>
              <w:bottom w:val="single" w:sz="4" w:space="0" w:color="auto"/>
            </w:tcBorders>
            <w:shd w:val="clear" w:color="auto" w:fill="auto"/>
          </w:tcPr>
          <w:p w14:paraId="42EF127F" w14:textId="560F65C1" w:rsidR="00694F35" w:rsidRPr="0084052F" w:rsidRDefault="0084052F" w:rsidP="00E74058">
            <w:pPr>
              <w:pStyle w:val="BodyText2"/>
              <w:numPr>
                <w:ilvl w:val="0"/>
                <w:numId w:val="38"/>
              </w:numPr>
              <w:jc w:val="both"/>
              <w:rPr>
                <w:rFonts w:asciiTheme="minorHAnsi" w:hAnsiTheme="minorHAnsi"/>
                <w:i/>
              </w:rPr>
            </w:pPr>
            <w:r w:rsidRPr="0084052F">
              <w:rPr>
                <w:rFonts w:asciiTheme="minorHAnsi" w:hAnsiTheme="minorHAnsi"/>
                <w:i/>
              </w:rPr>
              <w:t>Baseline, 2011: International framework, guidelines and methodologies used by GoI but not endorsed through policy framework. Current status (2014</w:t>
            </w:r>
            <w:r w:rsidR="002058BA">
              <w:rPr>
                <w:rFonts w:asciiTheme="minorHAnsi" w:hAnsiTheme="minorHAnsi"/>
                <w:i/>
              </w:rPr>
              <w:t>)</w:t>
            </w:r>
            <w:r w:rsidRPr="0084052F">
              <w:rPr>
                <w:rFonts w:asciiTheme="minorHAnsi" w:hAnsiTheme="minorHAnsi"/>
                <w:i/>
              </w:rPr>
              <w:t xml:space="preserve">, significant progress: ERNA tools developed and refined based on the trial results in post-disaster areas. BNPB has adopted an early recovery approach &amp; plans to develop official guidelines legalized through a ministerial decree in 2015; Decision Support System application is ready and installed in BNPB’s server. Early use has been trialled; PDNA Mobile application developed and integrated in BNPB server. This application is intended to ensure timeliness and accuracy of data in order to expedite the delivery of results from post-disaster analysis; Draft RENAKSI (recovery action plan) Guideline formally submitted to BNPB for legal review; Recovery Training Module for govt officials developed, piloted and transferred to BNPB. </w:t>
            </w:r>
          </w:p>
          <w:p w14:paraId="2EAD562A" w14:textId="648DCC59" w:rsidR="00694F35" w:rsidRPr="0084052F" w:rsidRDefault="0084052F" w:rsidP="002058BA">
            <w:pPr>
              <w:pStyle w:val="BodyText2"/>
              <w:numPr>
                <w:ilvl w:val="0"/>
                <w:numId w:val="38"/>
              </w:numPr>
              <w:jc w:val="both"/>
              <w:rPr>
                <w:rFonts w:asciiTheme="minorHAnsi" w:hAnsiTheme="minorHAnsi"/>
                <w:i/>
              </w:rPr>
            </w:pPr>
            <w:r w:rsidRPr="0084052F">
              <w:rPr>
                <w:rFonts w:asciiTheme="minorHAnsi" w:hAnsiTheme="minorHAnsi"/>
                <w:i/>
              </w:rPr>
              <w:t xml:space="preserve">Baseline (2011): GoI has capacity to lead recovery coordination and programming but still requires substantial international support; Current status (2014), significant progress: - </w:t>
            </w:r>
            <w:r w:rsidR="002058BA">
              <w:rPr>
                <w:rFonts w:asciiTheme="minorHAnsi" w:hAnsiTheme="minorHAnsi"/>
                <w:i/>
              </w:rPr>
              <w:t xml:space="preserve">GOI now leads all major national and regional </w:t>
            </w:r>
            <w:r w:rsidR="002058BA">
              <w:rPr>
                <w:rFonts w:asciiTheme="minorHAnsi" w:hAnsiTheme="minorHAnsi"/>
                <w:i/>
              </w:rPr>
              <w:lastRenderedPageBreak/>
              <w:t>disaster recovery efforts with minimal external support</w:t>
            </w:r>
            <w:r w:rsidRPr="0084052F">
              <w:rPr>
                <w:rFonts w:asciiTheme="minorHAnsi" w:hAnsiTheme="minorHAnsi"/>
                <w:i/>
              </w:rPr>
              <w:t xml:space="preserve"> </w:t>
            </w:r>
          </w:p>
        </w:tc>
      </w:tr>
      <w:tr w:rsidR="00694F35" w:rsidRPr="00DC7354" w14:paraId="15859618" w14:textId="77777777" w:rsidTr="00694F35">
        <w:tc>
          <w:tcPr>
            <w:tcW w:w="14040" w:type="dxa"/>
            <w:gridSpan w:val="4"/>
          </w:tcPr>
          <w:p w14:paraId="0EC3A2A8" w14:textId="77777777" w:rsidR="00694F35" w:rsidRPr="00837C4B" w:rsidRDefault="00694F35" w:rsidP="00E74058">
            <w:pPr>
              <w:pStyle w:val="BodyText2"/>
              <w:jc w:val="both"/>
              <w:rPr>
                <w:rFonts w:asciiTheme="minorHAnsi" w:hAnsiTheme="minorHAnsi"/>
                <w:b/>
              </w:rPr>
            </w:pPr>
            <w:r w:rsidRPr="00837C4B">
              <w:rPr>
                <w:rFonts w:asciiTheme="minorHAnsi" w:hAnsiTheme="minorHAnsi"/>
                <w:b/>
              </w:rPr>
              <w:lastRenderedPageBreak/>
              <w:t>UNDP Contribution:</w:t>
            </w:r>
          </w:p>
          <w:p w14:paraId="7D3F88E9" w14:textId="77777777" w:rsidR="00694F35" w:rsidRDefault="00694F35" w:rsidP="00E74058">
            <w:pPr>
              <w:pStyle w:val="BodyText2"/>
              <w:jc w:val="both"/>
              <w:rPr>
                <w:rFonts w:asciiTheme="minorHAnsi" w:hAnsiTheme="minorHAnsi"/>
              </w:rPr>
            </w:pPr>
          </w:p>
          <w:p w14:paraId="0974485D" w14:textId="77777777" w:rsidR="00694F35" w:rsidRPr="0087756F" w:rsidRDefault="00694F35" w:rsidP="00E74058">
            <w:pPr>
              <w:pStyle w:val="BodyText2"/>
              <w:jc w:val="both"/>
              <w:rPr>
                <w:rFonts w:asciiTheme="minorHAnsi" w:hAnsiTheme="minorHAnsi"/>
                <w:sz w:val="24"/>
              </w:rPr>
            </w:pPr>
            <w:r w:rsidRPr="0087756F">
              <w:rPr>
                <w:rFonts w:asciiTheme="minorHAnsi" w:hAnsiTheme="minorHAnsi"/>
                <w:sz w:val="24"/>
                <w:u w:val="single"/>
              </w:rPr>
              <w:t>CP Outputs</w:t>
            </w:r>
            <w:r w:rsidRPr="0087756F">
              <w:rPr>
                <w:rFonts w:asciiTheme="minorHAnsi" w:hAnsiTheme="minorHAnsi"/>
                <w:sz w:val="24"/>
              </w:rPr>
              <w:t>:</w:t>
            </w:r>
          </w:p>
          <w:p w14:paraId="4D08C99D" w14:textId="0F3571F4" w:rsidR="00694F35" w:rsidRPr="0087756F" w:rsidRDefault="00694F35" w:rsidP="00E74058">
            <w:pPr>
              <w:pStyle w:val="BodyText2"/>
              <w:jc w:val="both"/>
              <w:rPr>
                <w:rFonts w:asciiTheme="minorHAnsi" w:hAnsiTheme="minorHAnsi"/>
                <w:i/>
                <w:sz w:val="24"/>
              </w:rPr>
            </w:pPr>
            <w:r w:rsidRPr="0087756F">
              <w:rPr>
                <w:rFonts w:asciiTheme="minorHAnsi" w:hAnsiTheme="minorHAnsi"/>
                <w:i/>
                <w:sz w:val="24"/>
              </w:rPr>
              <w:t xml:space="preserve">The UNDP CP identified </w:t>
            </w:r>
            <w:r w:rsidR="0029439F">
              <w:rPr>
                <w:rFonts w:asciiTheme="minorHAnsi" w:hAnsiTheme="minorHAnsi"/>
                <w:i/>
                <w:sz w:val="24"/>
              </w:rPr>
              <w:t xml:space="preserve">four </w:t>
            </w:r>
            <w:r w:rsidRPr="0087756F">
              <w:rPr>
                <w:rFonts w:asciiTheme="minorHAnsi" w:hAnsiTheme="minorHAnsi"/>
                <w:i/>
                <w:sz w:val="24"/>
              </w:rPr>
              <w:t xml:space="preserve">major outputs to support the Government in achieving this outcome: (a) </w:t>
            </w:r>
            <w:r w:rsidR="00D55B6C" w:rsidRPr="0087756F">
              <w:rPr>
                <w:rFonts w:asciiTheme="minorHAnsi" w:hAnsiTheme="minorHAnsi"/>
                <w:i/>
                <w:sz w:val="24"/>
              </w:rPr>
              <w:t>Sustainable post-crisis recovery regulatory framework, incorporating cross cutting principles of ‘Do No Harm’, ‘Build Back Better’, gender, environmental sustainability and good governance is applied</w:t>
            </w:r>
            <w:r w:rsidRPr="0087756F">
              <w:rPr>
                <w:rFonts w:asciiTheme="minorHAnsi" w:hAnsiTheme="minorHAnsi"/>
                <w:i/>
                <w:sz w:val="24"/>
              </w:rPr>
              <w:t xml:space="preserve">; (b) </w:t>
            </w:r>
            <w:r w:rsidR="00D55B6C" w:rsidRPr="0087756F">
              <w:rPr>
                <w:rFonts w:asciiTheme="minorHAnsi" w:hAnsiTheme="minorHAnsi"/>
                <w:i/>
                <w:sz w:val="24"/>
              </w:rPr>
              <w:t>Indonesia-adapted post crisis recovery methodologies are prescribed and utilized</w:t>
            </w:r>
            <w:r w:rsidRPr="0087756F">
              <w:rPr>
                <w:rFonts w:asciiTheme="minorHAnsi" w:hAnsiTheme="minorHAnsi"/>
                <w:i/>
                <w:sz w:val="24"/>
              </w:rPr>
              <w:t xml:space="preserve">, (c) </w:t>
            </w:r>
            <w:r w:rsidR="00D55B6C" w:rsidRPr="0087756F">
              <w:rPr>
                <w:rFonts w:asciiTheme="minorHAnsi" w:hAnsiTheme="minorHAnsi"/>
                <w:i/>
                <w:sz w:val="24"/>
              </w:rPr>
              <w:t>Government-led institutional arrangement, involving relevant multi-stakeholders, to undertake post crisis recovery strengthened</w:t>
            </w:r>
            <w:r w:rsidRPr="0087756F">
              <w:rPr>
                <w:rFonts w:asciiTheme="minorHAnsi" w:hAnsiTheme="minorHAnsi"/>
                <w:i/>
                <w:sz w:val="24"/>
              </w:rPr>
              <w:t xml:space="preserve">, </w:t>
            </w:r>
            <w:r w:rsidR="00D55B6C" w:rsidRPr="0087756F">
              <w:rPr>
                <w:rFonts w:asciiTheme="minorHAnsi" w:hAnsiTheme="minorHAnsi"/>
                <w:i/>
                <w:sz w:val="24"/>
              </w:rPr>
              <w:t xml:space="preserve">and </w:t>
            </w:r>
            <w:r w:rsidRPr="0087756F">
              <w:rPr>
                <w:rFonts w:asciiTheme="minorHAnsi" w:hAnsiTheme="minorHAnsi"/>
                <w:i/>
                <w:sz w:val="24"/>
              </w:rPr>
              <w:t xml:space="preserve">(d) </w:t>
            </w:r>
            <w:r w:rsidR="00D55B6C" w:rsidRPr="0087756F">
              <w:rPr>
                <w:rFonts w:asciiTheme="minorHAnsi" w:hAnsiTheme="minorHAnsi"/>
                <w:i/>
                <w:sz w:val="24"/>
              </w:rPr>
              <w:t>Field application of Recovery Framework with feedback mechanism in place</w:t>
            </w:r>
          </w:p>
          <w:p w14:paraId="652B5DDB" w14:textId="77777777" w:rsidR="00694F35" w:rsidRDefault="00694F35" w:rsidP="00E74058">
            <w:pPr>
              <w:pStyle w:val="BodyText2"/>
              <w:jc w:val="both"/>
              <w:rPr>
                <w:rFonts w:asciiTheme="minorHAnsi" w:hAnsiTheme="minorHAnsi"/>
              </w:rPr>
            </w:pPr>
          </w:p>
          <w:p w14:paraId="4BBC81E2" w14:textId="77777777" w:rsidR="00694F35" w:rsidRPr="00A37A50" w:rsidRDefault="00694F35" w:rsidP="00E74058">
            <w:pPr>
              <w:pStyle w:val="BodyText2"/>
              <w:jc w:val="both"/>
              <w:rPr>
                <w:rFonts w:asciiTheme="minorHAnsi" w:hAnsiTheme="minorHAnsi"/>
                <w:sz w:val="24"/>
              </w:rPr>
            </w:pPr>
            <w:r w:rsidRPr="00A37A50">
              <w:rPr>
                <w:rFonts w:asciiTheme="minorHAnsi" w:hAnsiTheme="minorHAnsi"/>
                <w:sz w:val="24"/>
                <w:u w:val="single"/>
              </w:rPr>
              <w:t>Progress and Achievements</w:t>
            </w:r>
            <w:r w:rsidRPr="00A37A50">
              <w:rPr>
                <w:rFonts w:asciiTheme="minorHAnsi" w:hAnsiTheme="minorHAnsi"/>
                <w:sz w:val="24"/>
              </w:rPr>
              <w:t>:</w:t>
            </w:r>
          </w:p>
          <w:p w14:paraId="6227C89B" w14:textId="77777777" w:rsidR="0087756F" w:rsidRDefault="0087756F" w:rsidP="00E74058">
            <w:pPr>
              <w:pStyle w:val="BodyText2"/>
              <w:jc w:val="both"/>
              <w:rPr>
                <w:rFonts w:asciiTheme="minorHAnsi" w:hAnsiTheme="minorHAnsi"/>
              </w:rPr>
            </w:pPr>
          </w:p>
          <w:p w14:paraId="5D585F8A" w14:textId="542CAB6A" w:rsidR="0029439F" w:rsidRDefault="0029439F" w:rsidP="00E74058">
            <w:pPr>
              <w:pStyle w:val="BodyText2"/>
              <w:jc w:val="both"/>
              <w:rPr>
                <w:rFonts w:asciiTheme="minorHAnsi" w:hAnsiTheme="minorHAnsi"/>
                <w:i/>
                <w:sz w:val="24"/>
              </w:rPr>
            </w:pPr>
            <w:r w:rsidRPr="00A37A50">
              <w:rPr>
                <w:rFonts w:asciiTheme="minorHAnsi" w:hAnsiTheme="minorHAnsi"/>
                <w:b/>
                <w:i/>
                <w:sz w:val="24"/>
              </w:rPr>
              <w:t xml:space="preserve">Output (a) </w:t>
            </w:r>
            <w:r w:rsidR="00A37A50" w:rsidRPr="00A37A50">
              <w:rPr>
                <w:b/>
                <w:i/>
              </w:rPr>
              <w:t>Post-crisis regulatory framework:</w:t>
            </w:r>
            <w:r w:rsidR="00A37A50">
              <w:rPr>
                <w:b/>
              </w:rPr>
              <w:t xml:space="preserve"> </w:t>
            </w:r>
            <w:r w:rsidRPr="0029439F">
              <w:rPr>
                <w:rFonts w:asciiTheme="minorHAnsi" w:hAnsiTheme="minorHAnsi"/>
                <w:i/>
                <w:sz w:val="24"/>
              </w:rPr>
              <w:t>Since 2010, UNDP has assisted the National Disaster Management Agency (BNPB) to put in place comprehensive recovery guidelines covering assessment, planning, implementation,</w:t>
            </w:r>
            <w:r>
              <w:rPr>
                <w:rFonts w:asciiTheme="minorHAnsi" w:hAnsiTheme="minorHAnsi"/>
                <w:i/>
                <w:sz w:val="24"/>
              </w:rPr>
              <w:t xml:space="preserve"> </w:t>
            </w:r>
            <w:r w:rsidRPr="0029439F">
              <w:rPr>
                <w:rFonts w:asciiTheme="minorHAnsi" w:hAnsiTheme="minorHAnsi"/>
                <w:i/>
                <w:sz w:val="24"/>
              </w:rPr>
              <w:t>funding mechanisms, and M&amp;E. Indonesia is the 1st country to develop home-grown Rehab/Recon Guidelines/RRGs &amp; Post Disaster Needs Assessment tools. In 2014, another step</w:t>
            </w:r>
            <w:r>
              <w:rPr>
                <w:rFonts w:asciiTheme="minorHAnsi" w:hAnsiTheme="minorHAnsi"/>
                <w:i/>
                <w:sz w:val="24"/>
              </w:rPr>
              <w:t xml:space="preserve"> </w:t>
            </w:r>
            <w:r w:rsidRPr="0029439F">
              <w:rPr>
                <w:rFonts w:asciiTheme="minorHAnsi" w:hAnsiTheme="minorHAnsi"/>
                <w:i/>
                <w:sz w:val="24"/>
              </w:rPr>
              <w:t xml:space="preserve">forward was taken by the drafting of Early Recovery Needs Assessment (ERNA) tool and Action Panning guidelines. </w:t>
            </w:r>
          </w:p>
          <w:p w14:paraId="59BC0675" w14:textId="77777777" w:rsidR="0029439F" w:rsidRDefault="0029439F" w:rsidP="00E74058">
            <w:pPr>
              <w:pStyle w:val="BodyText2"/>
              <w:jc w:val="both"/>
              <w:rPr>
                <w:rFonts w:asciiTheme="minorHAnsi" w:hAnsiTheme="minorHAnsi"/>
                <w:i/>
                <w:sz w:val="24"/>
              </w:rPr>
            </w:pPr>
          </w:p>
          <w:p w14:paraId="1D508D59" w14:textId="79EFBF6F" w:rsidR="0029439F" w:rsidRDefault="0029439F" w:rsidP="00E74058">
            <w:pPr>
              <w:pStyle w:val="BodyText2"/>
              <w:jc w:val="both"/>
              <w:rPr>
                <w:rFonts w:asciiTheme="minorHAnsi" w:hAnsiTheme="minorHAnsi"/>
                <w:i/>
                <w:sz w:val="24"/>
              </w:rPr>
            </w:pPr>
            <w:r w:rsidRPr="00A37A50">
              <w:rPr>
                <w:rFonts w:asciiTheme="minorHAnsi" w:hAnsiTheme="minorHAnsi"/>
                <w:b/>
                <w:i/>
                <w:sz w:val="24"/>
              </w:rPr>
              <w:t xml:space="preserve">Output </w:t>
            </w:r>
            <w:r w:rsidR="00A37A50" w:rsidRPr="00A37A50">
              <w:rPr>
                <w:rFonts w:asciiTheme="minorHAnsi" w:hAnsiTheme="minorHAnsi"/>
                <w:b/>
                <w:i/>
                <w:sz w:val="24"/>
              </w:rPr>
              <w:t>(b)</w:t>
            </w:r>
            <w:r w:rsidRPr="00A37A50">
              <w:rPr>
                <w:rFonts w:asciiTheme="minorHAnsi" w:hAnsiTheme="minorHAnsi"/>
                <w:b/>
                <w:i/>
                <w:sz w:val="24"/>
              </w:rPr>
              <w:t xml:space="preserve">: </w:t>
            </w:r>
            <w:r w:rsidR="00A37A50" w:rsidRPr="00A37A50">
              <w:rPr>
                <w:b/>
                <w:i/>
              </w:rPr>
              <w:t>Post-crisis recovery methodologies:</w:t>
            </w:r>
            <w:r w:rsidR="00A37A50">
              <w:rPr>
                <w:b/>
              </w:rPr>
              <w:t xml:space="preserve"> </w:t>
            </w:r>
            <w:r w:rsidRPr="0029439F">
              <w:rPr>
                <w:rFonts w:asciiTheme="minorHAnsi" w:hAnsiTheme="minorHAnsi"/>
                <w:i/>
                <w:sz w:val="24"/>
              </w:rPr>
              <w:t>As a result of UNDP’s partnership with BNPB, GoI has enriched</w:t>
            </w:r>
            <w:r>
              <w:rPr>
                <w:rFonts w:asciiTheme="minorHAnsi" w:hAnsiTheme="minorHAnsi"/>
                <w:i/>
                <w:sz w:val="24"/>
              </w:rPr>
              <w:t xml:space="preserve"> </w:t>
            </w:r>
            <w:r w:rsidRPr="0029439F">
              <w:rPr>
                <w:rFonts w:asciiTheme="minorHAnsi" w:hAnsiTheme="minorHAnsi"/>
                <w:i/>
                <w:sz w:val="24"/>
              </w:rPr>
              <w:t>its post-disaster recovery tools with global recovery models &amp; best practices. The PDNA, which was applied in 2 post-disaster recovery planning processes in 2014, has combined</w:t>
            </w:r>
            <w:r>
              <w:rPr>
                <w:rFonts w:asciiTheme="minorHAnsi" w:hAnsiTheme="minorHAnsi"/>
                <w:i/>
                <w:sz w:val="24"/>
              </w:rPr>
              <w:t xml:space="preserve"> </w:t>
            </w:r>
            <w:r w:rsidRPr="0029439F">
              <w:rPr>
                <w:rFonts w:asciiTheme="minorHAnsi" w:hAnsiTheme="minorHAnsi"/>
                <w:i/>
                <w:sz w:val="24"/>
              </w:rPr>
              <w:t>methodologies from UND</w:t>
            </w:r>
            <w:r>
              <w:rPr>
                <w:rFonts w:asciiTheme="minorHAnsi" w:hAnsiTheme="minorHAnsi"/>
                <w:i/>
                <w:sz w:val="24"/>
              </w:rPr>
              <w:t>P’s HRNA &amp; the Word Bank’s DaLA</w:t>
            </w:r>
            <w:r w:rsidRPr="0029439F">
              <w:rPr>
                <w:rFonts w:asciiTheme="minorHAnsi" w:hAnsiTheme="minorHAnsi"/>
                <w:i/>
                <w:sz w:val="24"/>
              </w:rPr>
              <w:t>.</w:t>
            </w:r>
          </w:p>
          <w:p w14:paraId="034E4E58" w14:textId="77777777" w:rsidR="0029439F" w:rsidRDefault="0029439F" w:rsidP="00E74058">
            <w:pPr>
              <w:pStyle w:val="BodyText2"/>
              <w:jc w:val="both"/>
              <w:rPr>
                <w:rFonts w:asciiTheme="minorHAnsi" w:hAnsiTheme="minorHAnsi"/>
                <w:i/>
                <w:sz w:val="24"/>
              </w:rPr>
            </w:pPr>
          </w:p>
          <w:p w14:paraId="576D239F" w14:textId="2EE563DA" w:rsidR="0029439F" w:rsidRDefault="0029439F" w:rsidP="00E74058">
            <w:pPr>
              <w:pStyle w:val="BodyText2"/>
              <w:jc w:val="both"/>
              <w:rPr>
                <w:rFonts w:asciiTheme="minorHAnsi" w:hAnsiTheme="minorHAnsi"/>
                <w:i/>
                <w:sz w:val="24"/>
              </w:rPr>
            </w:pPr>
            <w:r w:rsidRPr="00A37A50">
              <w:rPr>
                <w:rFonts w:asciiTheme="minorHAnsi" w:hAnsiTheme="minorHAnsi"/>
                <w:b/>
                <w:i/>
                <w:sz w:val="24"/>
              </w:rPr>
              <w:t xml:space="preserve">Output 3: </w:t>
            </w:r>
            <w:r w:rsidR="00A37A50" w:rsidRPr="00A37A50">
              <w:rPr>
                <w:rFonts w:asciiTheme="minorHAnsi" w:hAnsiTheme="minorHAnsi"/>
                <w:b/>
                <w:i/>
                <w:sz w:val="24"/>
              </w:rPr>
              <w:t>Post-crisis institutional arrangements:</w:t>
            </w:r>
            <w:r w:rsidR="00A37A50">
              <w:rPr>
                <w:b/>
              </w:rPr>
              <w:t xml:space="preserve"> </w:t>
            </w:r>
            <w:r w:rsidRPr="0029439F">
              <w:rPr>
                <w:rFonts w:asciiTheme="minorHAnsi" w:hAnsiTheme="minorHAnsi"/>
                <w:i/>
                <w:sz w:val="24"/>
              </w:rPr>
              <w:t>UNDP has advocated the need to expand recovery practices to support early recovery to fill the gap between</w:t>
            </w:r>
            <w:r>
              <w:rPr>
                <w:rFonts w:asciiTheme="minorHAnsi" w:hAnsiTheme="minorHAnsi"/>
                <w:i/>
                <w:sz w:val="24"/>
              </w:rPr>
              <w:t xml:space="preserve"> </w:t>
            </w:r>
            <w:r w:rsidRPr="0029439F">
              <w:rPr>
                <w:rFonts w:asciiTheme="minorHAnsi" w:hAnsiTheme="minorHAnsi"/>
                <w:i/>
                <w:sz w:val="24"/>
              </w:rPr>
              <w:t>emergency response &amp; longer-term govt rehab/recon. In 2012, BNPB announced that on-call emergency funds could be used to support recovery efforts. In response, UNDP provided technical</w:t>
            </w:r>
            <w:r>
              <w:rPr>
                <w:rFonts w:asciiTheme="minorHAnsi" w:hAnsiTheme="minorHAnsi"/>
                <w:i/>
                <w:sz w:val="24"/>
              </w:rPr>
              <w:t xml:space="preserve"> </w:t>
            </w:r>
            <w:r w:rsidRPr="0029439F">
              <w:rPr>
                <w:rFonts w:asciiTheme="minorHAnsi" w:hAnsiTheme="minorHAnsi"/>
                <w:i/>
                <w:sz w:val="24"/>
              </w:rPr>
              <w:t>inputs to support the development of ERNA framework in 2013, which included piloting in 2 post-disaster scenarios &amp; refinement of the tool. In 2014, ERNA was applied in 4 recovery</w:t>
            </w:r>
            <w:r>
              <w:rPr>
                <w:rFonts w:asciiTheme="minorHAnsi" w:hAnsiTheme="minorHAnsi"/>
                <w:i/>
                <w:sz w:val="24"/>
              </w:rPr>
              <w:t xml:space="preserve"> </w:t>
            </w:r>
            <w:r w:rsidRPr="0029439F">
              <w:rPr>
                <w:rFonts w:asciiTheme="minorHAnsi" w:hAnsiTheme="minorHAnsi"/>
                <w:i/>
                <w:sz w:val="24"/>
              </w:rPr>
              <w:t>i</w:t>
            </w:r>
            <w:r>
              <w:rPr>
                <w:rFonts w:asciiTheme="minorHAnsi" w:hAnsiTheme="minorHAnsi"/>
                <w:i/>
                <w:sz w:val="24"/>
              </w:rPr>
              <w:t>nterventions that involved BNPB</w:t>
            </w:r>
            <w:r w:rsidRPr="0029439F">
              <w:rPr>
                <w:rFonts w:asciiTheme="minorHAnsi" w:hAnsiTheme="minorHAnsi"/>
                <w:i/>
                <w:sz w:val="24"/>
              </w:rPr>
              <w:t>. BNPB, receptive to expanding the post-disaster framework, plans to develop an official guideline on early recovery in 2015, drawing on empirical</w:t>
            </w:r>
            <w:r w:rsidR="00A37A50">
              <w:rPr>
                <w:rFonts w:asciiTheme="minorHAnsi" w:hAnsiTheme="minorHAnsi"/>
                <w:i/>
                <w:sz w:val="24"/>
              </w:rPr>
              <w:t xml:space="preserve"> </w:t>
            </w:r>
            <w:r w:rsidRPr="0029439F">
              <w:rPr>
                <w:rFonts w:asciiTheme="minorHAnsi" w:hAnsiTheme="minorHAnsi"/>
                <w:i/>
                <w:sz w:val="24"/>
              </w:rPr>
              <w:t xml:space="preserve">experiences in 2013-2014. </w:t>
            </w:r>
          </w:p>
          <w:p w14:paraId="40585AD7" w14:textId="77777777" w:rsidR="0029439F" w:rsidRDefault="0029439F" w:rsidP="00E74058">
            <w:pPr>
              <w:pStyle w:val="BodyText2"/>
              <w:jc w:val="both"/>
              <w:rPr>
                <w:rFonts w:asciiTheme="minorHAnsi" w:hAnsiTheme="minorHAnsi"/>
                <w:i/>
                <w:sz w:val="24"/>
              </w:rPr>
            </w:pPr>
          </w:p>
          <w:p w14:paraId="7CC34115" w14:textId="582F36F4" w:rsidR="0029439F" w:rsidRPr="0029439F" w:rsidRDefault="0029439F" w:rsidP="00E74058">
            <w:pPr>
              <w:pStyle w:val="BodyText2"/>
              <w:jc w:val="both"/>
              <w:rPr>
                <w:rFonts w:asciiTheme="minorHAnsi" w:hAnsiTheme="minorHAnsi"/>
                <w:i/>
                <w:sz w:val="24"/>
              </w:rPr>
            </w:pPr>
            <w:r w:rsidRPr="00A37A50">
              <w:rPr>
                <w:rFonts w:asciiTheme="minorHAnsi" w:hAnsiTheme="minorHAnsi"/>
                <w:b/>
                <w:i/>
                <w:sz w:val="24"/>
              </w:rPr>
              <w:t xml:space="preserve">Output 4: </w:t>
            </w:r>
            <w:r w:rsidR="00A37A50" w:rsidRPr="00A37A50">
              <w:rPr>
                <w:rFonts w:asciiTheme="minorHAnsi" w:hAnsiTheme="minorHAnsi"/>
                <w:b/>
                <w:i/>
                <w:sz w:val="24"/>
              </w:rPr>
              <w:t>Field application of the recovery framework:</w:t>
            </w:r>
            <w:r w:rsidR="00A37A50" w:rsidRPr="00A37A50">
              <w:rPr>
                <w:rFonts w:asciiTheme="minorHAnsi" w:hAnsiTheme="minorHAnsi"/>
                <w:i/>
                <w:sz w:val="24"/>
              </w:rPr>
              <w:t xml:space="preserve"> </w:t>
            </w:r>
            <w:r w:rsidRPr="0029439F">
              <w:rPr>
                <w:rFonts w:asciiTheme="minorHAnsi" w:hAnsiTheme="minorHAnsi"/>
                <w:i/>
                <w:sz w:val="24"/>
              </w:rPr>
              <w:t>Capitalising on best practices from direct recovery support following the 2010 Merapi eruption, UNDP worked with</w:t>
            </w:r>
            <w:r>
              <w:rPr>
                <w:rFonts w:asciiTheme="minorHAnsi" w:hAnsiTheme="minorHAnsi"/>
                <w:i/>
                <w:sz w:val="24"/>
              </w:rPr>
              <w:t xml:space="preserve"> </w:t>
            </w:r>
            <w:r w:rsidRPr="0029439F">
              <w:rPr>
                <w:rFonts w:asciiTheme="minorHAnsi" w:hAnsiTheme="minorHAnsi"/>
                <w:i/>
                <w:sz w:val="24"/>
              </w:rPr>
              <w:t>BNPB &amp; the Central Statistics Agency to scale-up and refine comm</w:t>
            </w:r>
            <w:r>
              <w:rPr>
                <w:rFonts w:asciiTheme="minorHAnsi" w:hAnsiTheme="minorHAnsi"/>
                <w:i/>
                <w:sz w:val="24"/>
              </w:rPr>
              <w:t>unity recovery monitoring tools</w:t>
            </w:r>
            <w:r w:rsidRPr="0029439F">
              <w:rPr>
                <w:rFonts w:asciiTheme="minorHAnsi" w:hAnsiTheme="minorHAnsi"/>
                <w:i/>
                <w:sz w:val="24"/>
              </w:rPr>
              <w:t>. These efforts culminated in BNPB’s launching of a household survey tool &amp; the world’s</w:t>
            </w:r>
            <w:r>
              <w:rPr>
                <w:rFonts w:asciiTheme="minorHAnsi" w:hAnsiTheme="minorHAnsi"/>
                <w:i/>
                <w:sz w:val="24"/>
              </w:rPr>
              <w:t xml:space="preserve"> </w:t>
            </w:r>
            <w:r w:rsidRPr="0029439F">
              <w:rPr>
                <w:rFonts w:asciiTheme="minorHAnsi" w:hAnsiTheme="minorHAnsi"/>
                <w:i/>
                <w:sz w:val="24"/>
              </w:rPr>
              <w:t>first ever Disas</w:t>
            </w:r>
            <w:r>
              <w:rPr>
                <w:rFonts w:asciiTheme="minorHAnsi" w:hAnsiTheme="minorHAnsi"/>
                <w:i/>
                <w:sz w:val="24"/>
              </w:rPr>
              <w:t>ter Recovery Index in 2013-2014</w:t>
            </w:r>
            <w:r w:rsidRPr="0029439F">
              <w:rPr>
                <w:rFonts w:asciiTheme="minorHAnsi" w:hAnsiTheme="minorHAnsi"/>
                <w:i/>
                <w:sz w:val="24"/>
              </w:rPr>
              <w:t xml:space="preserve">. The methodology </w:t>
            </w:r>
            <w:r w:rsidRPr="0029439F">
              <w:rPr>
                <w:rFonts w:asciiTheme="minorHAnsi" w:hAnsiTheme="minorHAnsi"/>
                <w:i/>
                <w:sz w:val="24"/>
              </w:rPr>
              <w:lastRenderedPageBreak/>
              <w:t>was improved in 2014 and will be completed in 2015 to become a standardize tool to measure post-disaster</w:t>
            </w:r>
            <w:r>
              <w:rPr>
                <w:rFonts w:asciiTheme="minorHAnsi" w:hAnsiTheme="minorHAnsi"/>
                <w:i/>
                <w:sz w:val="24"/>
              </w:rPr>
              <w:t xml:space="preserve"> </w:t>
            </w:r>
            <w:r w:rsidRPr="0029439F">
              <w:rPr>
                <w:rFonts w:asciiTheme="minorHAnsi" w:hAnsiTheme="minorHAnsi"/>
                <w:i/>
                <w:sz w:val="24"/>
              </w:rPr>
              <w:t>recovery</w:t>
            </w:r>
          </w:p>
          <w:p w14:paraId="69A4B917" w14:textId="77777777" w:rsidR="0029439F" w:rsidRDefault="0029439F" w:rsidP="00E74058">
            <w:pPr>
              <w:pStyle w:val="BodyText2"/>
              <w:jc w:val="both"/>
              <w:rPr>
                <w:rFonts w:asciiTheme="minorHAnsi" w:hAnsiTheme="minorHAnsi"/>
              </w:rPr>
            </w:pPr>
          </w:p>
          <w:p w14:paraId="1E0020D8" w14:textId="53C2BDBE" w:rsidR="0087756F" w:rsidRPr="00A37A50" w:rsidRDefault="00A37A50" w:rsidP="00E74058">
            <w:pPr>
              <w:pStyle w:val="BodyText2"/>
              <w:jc w:val="both"/>
              <w:rPr>
                <w:rFonts w:asciiTheme="minorHAnsi" w:hAnsiTheme="minorHAnsi"/>
                <w:i/>
                <w:sz w:val="22"/>
              </w:rPr>
            </w:pPr>
            <w:r w:rsidRPr="00A37A50">
              <w:rPr>
                <w:rFonts w:asciiTheme="minorHAnsi" w:hAnsiTheme="minorHAnsi"/>
                <w:b/>
                <w:i/>
                <w:sz w:val="22"/>
              </w:rPr>
              <w:t>Gender:</w:t>
            </w:r>
            <w:r w:rsidRPr="00A37A50">
              <w:rPr>
                <w:rFonts w:asciiTheme="minorHAnsi" w:hAnsiTheme="minorHAnsi"/>
                <w:i/>
                <w:sz w:val="22"/>
              </w:rPr>
              <w:t xml:space="preserve"> UNDP advocates the importance of gender mainstreaming issues in terms of needs, access, &amp; control over resources in national level policy-making. Gender issues have been integrated into recovery guidelines. The alignment of Head of Agency Decree (Perka) No.17/2010 on gender equality with the RRGs is being advocated at all levels, and integrated into BNPB &amp; BPBD practices. Many important gender equity principles have been recognized and incorporated in the I-PDNA (PERKA no.15/2011). For instance, a strong correlation can be found between what is stipulated in RRG and I-PDNA Guidelines  with regards to the inclusion of vulnerable groups like women, elderly, disabled &amp; children. This is to ensure that their needs are given equal weight when compiling the PDNA and later when formulating rehab/recon action plans. The Recovery M&amp;E Technical Guideline also underlines specific areas relating to coordination and consultation of women and children in recovery efforts.</w:t>
            </w:r>
          </w:p>
          <w:p w14:paraId="4E57B347" w14:textId="77777777" w:rsidR="00A37A50" w:rsidRPr="00DC7354" w:rsidRDefault="00A37A50" w:rsidP="00E74058">
            <w:pPr>
              <w:pStyle w:val="BodyText2"/>
              <w:jc w:val="both"/>
              <w:rPr>
                <w:rFonts w:asciiTheme="minorHAnsi" w:hAnsiTheme="minorHAnsi"/>
              </w:rPr>
            </w:pPr>
          </w:p>
        </w:tc>
      </w:tr>
      <w:tr w:rsidR="00694F35" w:rsidRPr="00DC7354" w14:paraId="293879B7" w14:textId="77777777" w:rsidTr="00694F35">
        <w:tc>
          <w:tcPr>
            <w:tcW w:w="3150" w:type="dxa"/>
            <w:tcBorders>
              <w:bottom w:val="single" w:sz="4" w:space="0" w:color="auto"/>
            </w:tcBorders>
            <w:shd w:val="clear" w:color="auto" w:fill="95B3D7" w:themeFill="accent1" w:themeFillTint="99"/>
          </w:tcPr>
          <w:p w14:paraId="40DBCE64" w14:textId="74A009C3" w:rsidR="00FC165E" w:rsidRPr="000823AC" w:rsidRDefault="00694F35" w:rsidP="00E74058">
            <w:pPr>
              <w:pStyle w:val="BodyText2"/>
              <w:jc w:val="both"/>
              <w:rPr>
                <w:rFonts w:asciiTheme="minorHAnsi" w:hAnsiTheme="minorHAnsi"/>
                <w:b/>
              </w:rPr>
            </w:pPr>
            <w:r w:rsidRPr="000823AC">
              <w:rPr>
                <w:rFonts w:asciiTheme="minorHAnsi" w:hAnsiTheme="minorHAnsi"/>
                <w:b/>
              </w:rPr>
              <w:lastRenderedPageBreak/>
              <w:t>1</w:t>
            </w:r>
            <w:r w:rsidR="0047429E">
              <w:rPr>
                <w:rFonts w:asciiTheme="minorHAnsi" w:hAnsiTheme="minorHAnsi"/>
                <w:b/>
              </w:rPr>
              <w:t>0</w:t>
            </w:r>
            <w:r w:rsidRPr="000823AC">
              <w:rPr>
                <w:rFonts w:asciiTheme="minorHAnsi" w:hAnsiTheme="minorHAnsi"/>
                <w:b/>
              </w:rPr>
              <w:t xml:space="preserve">. </w:t>
            </w:r>
            <w:r w:rsidR="00FC165E" w:rsidRPr="00FC165E">
              <w:rPr>
                <w:rFonts w:asciiTheme="minorHAnsi" w:hAnsiTheme="minorHAnsi"/>
                <w:b/>
                <w:i/>
              </w:rPr>
              <w:t>GOI and communities have minimized the risk of adverse impacts of disasters, through the application of DRR policies, regulations and practices</w:t>
            </w:r>
          </w:p>
        </w:tc>
        <w:tc>
          <w:tcPr>
            <w:tcW w:w="1440" w:type="dxa"/>
            <w:tcBorders>
              <w:bottom w:val="single" w:sz="4" w:space="0" w:color="auto"/>
            </w:tcBorders>
            <w:shd w:val="clear" w:color="auto" w:fill="auto"/>
          </w:tcPr>
          <w:p w14:paraId="4B89AA98" w14:textId="55BAB2FB" w:rsidR="00694F35" w:rsidRPr="00DC7354" w:rsidRDefault="00694F35" w:rsidP="00E74058">
            <w:pPr>
              <w:pStyle w:val="BodyText2"/>
              <w:jc w:val="both"/>
              <w:rPr>
                <w:rFonts w:asciiTheme="minorHAnsi" w:hAnsiTheme="minorHAnsi"/>
              </w:rPr>
            </w:pPr>
            <w:r w:rsidRPr="00DC7354">
              <w:rPr>
                <w:rFonts w:asciiTheme="minorHAnsi" w:hAnsiTheme="minorHAnsi"/>
              </w:rPr>
              <w:t>$</w:t>
            </w:r>
            <w:r w:rsidR="002C7C02">
              <w:rPr>
                <w:rFonts w:asciiTheme="minorHAnsi" w:hAnsiTheme="minorHAnsi"/>
              </w:rPr>
              <w:t>11,490</w:t>
            </w:r>
            <w:r w:rsidRPr="00DC7354">
              <w:rPr>
                <w:rFonts w:asciiTheme="minorHAnsi" w:hAnsiTheme="minorHAnsi"/>
              </w:rPr>
              <w:t>,</w:t>
            </w:r>
            <w:r w:rsidR="002C7C02">
              <w:rPr>
                <w:rFonts w:asciiTheme="minorHAnsi" w:hAnsiTheme="minorHAnsi"/>
              </w:rPr>
              <w:t>792</w:t>
            </w:r>
          </w:p>
        </w:tc>
        <w:tc>
          <w:tcPr>
            <w:tcW w:w="3960" w:type="dxa"/>
            <w:tcBorders>
              <w:left w:val="single" w:sz="4" w:space="0" w:color="auto"/>
              <w:bottom w:val="single" w:sz="4" w:space="0" w:color="auto"/>
            </w:tcBorders>
          </w:tcPr>
          <w:p w14:paraId="15EC5BBE" w14:textId="77777777" w:rsidR="00FC165E" w:rsidRDefault="00FC165E" w:rsidP="00E74058">
            <w:pPr>
              <w:jc w:val="both"/>
              <w:rPr>
                <w:b/>
                <w:sz w:val="16"/>
                <w:szCs w:val="16"/>
              </w:rPr>
            </w:pPr>
            <w:r w:rsidRPr="00DC2706">
              <w:rPr>
                <w:b/>
                <w:sz w:val="16"/>
                <w:szCs w:val="16"/>
              </w:rPr>
              <w:t>Indicators</w:t>
            </w:r>
          </w:p>
          <w:p w14:paraId="27885534" w14:textId="60E82225" w:rsidR="00FC165E" w:rsidRPr="00017B8E" w:rsidRDefault="00FC165E" w:rsidP="00E74058">
            <w:pPr>
              <w:pStyle w:val="BodyText2"/>
              <w:numPr>
                <w:ilvl w:val="0"/>
                <w:numId w:val="29"/>
              </w:numPr>
              <w:jc w:val="both"/>
              <w:rPr>
                <w:rFonts w:asciiTheme="minorHAnsi" w:hAnsiTheme="minorHAnsi"/>
                <w:i/>
              </w:rPr>
            </w:pPr>
            <w:r w:rsidRPr="00017B8E">
              <w:rPr>
                <w:rFonts w:asciiTheme="minorHAnsi" w:hAnsiTheme="minorHAnsi"/>
                <w:i/>
              </w:rPr>
              <w:t xml:space="preserve">% provinces and districts that implement  the  DRR component of DM plans; ), </w:t>
            </w:r>
          </w:p>
          <w:p w14:paraId="343962D0" w14:textId="36D54961" w:rsidR="00FC165E" w:rsidRPr="00017B8E" w:rsidRDefault="00FC165E" w:rsidP="00E74058">
            <w:pPr>
              <w:pStyle w:val="BodyText2"/>
              <w:numPr>
                <w:ilvl w:val="0"/>
                <w:numId w:val="29"/>
              </w:numPr>
              <w:jc w:val="both"/>
              <w:rPr>
                <w:rFonts w:asciiTheme="minorHAnsi" w:hAnsiTheme="minorHAnsi"/>
                <w:i/>
              </w:rPr>
            </w:pPr>
            <w:r w:rsidRPr="00017B8E">
              <w:rPr>
                <w:rFonts w:asciiTheme="minorHAnsi" w:hAnsiTheme="minorHAnsi"/>
                <w:i/>
              </w:rPr>
              <w:t xml:space="preserve">% of high risk districts that reduce their risk level (measured by the 2011 provincial risk maps issued by BNPB); </w:t>
            </w:r>
          </w:p>
          <w:p w14:paraId="47AD800E" w14:textId="018B87DF" w:rsidR="00694F35" w:rsidRPr="00920DBC" w:rsidRDefault="00FC165E" w:rsidP="00E74058">
            <w:pPr>
              <w:pStyle w:val="BodyText2"/>
              <w:numPr>
                <w:ilvl w:val="0"/>
                <w:numId w:val="29"/>
              </w:numPr>
              <w:jc w:val="both"/>
              <w:rPr>
                <w:rFonts w:asciiTheme="minorHAnsi" w:hAnsiTheme="minorHAnsi"/>
                <w:i/>
              </w:rPr>
            </w:pPr>
            <w:r w:rsidRPr="00017B8E">
              <w:rPr>
                <w:rFonts w:asciiTheme="minorHAnsi" w:hAnsiTheme="minorHAnsi"/>
                <w:i/>
              </w:rPr>
              <w:t xml:space="preserve"> % of provinces and districts that allocate minimum 1% of development budget for DRR</w:t>
            </w:r>
          </w:p>
        </w:tc>
        <w:tc>
          <w:tcPr>
            <w:tcW w:w="5490" w:type="dxa"/>
            <w:tcBorders>
              <w:bottom w:val="single" w:sz="4" w:space="0" w:color="auto"/>
            </w:tcBorders>
            <w:shd w:val="clear" w:color="auto" w:fill="auto"/>
          </w:tcPr>
          <w:p w14:paraId="66166FC7" w14:textId="63ECAD3F" w:rsidR="00694F35" w:rsidRPr="00920DBC" w:rsidRDefault="003B24E2" w:rsidP="00E74058">
            <w:pPr>
              <w:pStyle w:val="BodyText2"/>
              <w:numPr>
                <w:ilvl w:val="0"/>
                <w:numId w:val="39"/>
              </w:numPr>
              <w:jc w:val="both"/>
              <w:rPr>
                <w:rFonts w:asciiTheme="minorHAnsi" w:hAnsiTheme="minorHAnsi"/>
                <w:i/>
              </w:rPr>
            </w:pPr>
            <w:r>
              <w:rPr>
                <w:rFonts w:asciiTheme="minorHAnsi" w:hAnsiTheme="minorHAnsi"/>
                <w:i/>
              </w:rPr>
              <w:t xml:space="preserve">Baseline (2011): 9% of provinces and 0.61% districts have formulated DM plans, but not completely implemented. Current status (2014), some progress: </w:t>
            </w:r>
            <w:r w:rsidRPr="003B24E2">
              <w:rPr>
                <w:rFonts w:asciiTheme="minorHAnsi" w:hAnsiTheme="minorHAnsi"/>
                <w:i/>
              </w:rPr>
              <w:t>33 provinces (100%) 64 districts (23%) formulated DM plans using risk assessment results.</w:t>
            </w:r>
          </w:p>
          <w:p w14:paraId="05CB0534" w14:textId="1E049A8C" w:rsidR="00694F35" w:rsidRPr="00920DBC" w:rsidRDefault="003B24E2" w:rsidP="00E74058">
            <w:pPr>
              <w:pStyle w:val="BodyText2"/>
              <w:numPr>
                <w:ilvl w:val="0"/>
                <w:numId w:val="39"/>
              </w:numPr>
              <w:jc w:val="both"/>
              <w:rPr>
                <w:rFonts w:asciiTheme="minorHAnsi" w:hAnsiTheme="minorHAnsi"/>
                <w:i/>
              </w:rPr>
            </w:pPr>
            <w:r>
              <w:rPr>
                <w:rFonts w:asciiTheme="minorHAnsi" w:hAnsiTheme="minorHAnsi"/>
                <w:i/>
              </w:rPr>
              <w:t xml:space="preserve">Baseline (2011) 291 districts categorized as high-risk according to BNPB 2011 risk assessment. Current status, no change: </w:t>
            </w:r>
            <w:r w:rsidRPr="003B24E2">
              <w:rPr>
                <w:rFonts w:asciiTheme="minorHAnsi" w:hAnsiTheme="minorHAnsi"/>
                <w:i/>
              </w:rPr>
              <w:t>Waiting for results of next risk assessment in 2015</w:t>
            </w:r>
          </w:p>
          <w:p w14:paraId="5893628C" w14:textId="2078E3CC" w:rsidR="00694F35" w:rsidRPr="00920DBC" w:rsidRDefault="003B24E2" w:rsidP="00E74058">
            <w:pPr>
              <w:pStyle w:val="BodyText2"/>
              <w:numPr>
                <w:ilvl w:val="0"/>
                <w:numId w:val="39"/>
              </w:numPr>
              <w:jc w:val="both"/>
              <w:rPr>
                <w:rFonts w:asciiTheme="minorHAnsi" w:hAnsiTheme="minorHAnsi"/>
                <w:i/>
              </w:rPr>
            </w:pPr>
            <w:r>
              <w:rPr>
                <w:rFonts w:asciiTheme="minorHAnsi" w:hAnsiTheme="minorHAnsi"/>
                <w:i/>
              </w:rPr>
              <w:t>Baseline (2011): 9% provinces and 0.60% districts allocate minimum 1% development budget for DRR. Currents status</w:t>
            </w:r>
            <w:r w:rsidR="00C83182">
              <w:rPr>
                <w:rFonts w:asciiTheme="minorHAnsi" w:hAnsiTheme="minorHAnsi"/>
                <w:i/>
              </w:rPr>
              <w:t xml:space="preserve"> (2014)</w:t>
            </w:r>
            <w:r>
              <w:rPr>
                <w:rFonts w:asciiTheme="minorHAnsi" w:hAnsiTheme="minorHAnsi"/>
                <w:i/>
              </w:rPr>
              <w:t xml:space="preserve">, regression: </w:t>
            </w:r>
            <w:r w:rsidR="00C83182" w:rsidRPr="00C83182">
              <w:rPr>
                <w:rFonts w:asciiTheme="minorHAnsi" w:hAnsiTheme="minorHAnsi"/>
                <w:i/>
              </w:rPr>
              <w:t>None of surveyed provinces and districts allocated = or &gt;1% development budget for DRR. Data available does not allow for a comparison between baseline and current values because the same districts/provinces are not covered. There has been some progress in terms of developing criteria to track budget allocations</w:t>
            </w:r>
            <w:r w:rsidR="00C83182">
              <w:rPr>
                <w:rFonts w:asciiTheme="minorHAnsi" w:hAnsiTheme="minorHAnsi"/>
                <w:i/>
              </w:rPr>
              <w:t>.</w:t>
            </w:r>
          </w:p>
        </w:tc>
      </w:tr>
      <w:tr w:rsidR="00694F35" w:rsidRPr="00DC7354" w14:paraId="07A0B729" w14:textId="77777777" w:rsidTr="00694F35">
        <w:tc>
          <w:tcPr>
            <w:tcW w:w="14040" w:type="dxa"/>
            <w:gridSpan w:val="4"/>
          </w:tcPr>
          <w:p w14:paraId="76A227AF" w14:textId="77777777" w:rsidR="00694F35" w:rsidRPr="00837C4B" w:rsidRDefault="00694F35" w:rsidP="00E74058">
            <w:pPr>
              <w:pStyle w:val="BodyText2"/>
              <w:jc w:val="both"/>
              <w:rPr>
                <w:rFonts w:asciiTheme="minorHAnsi" w:hAnsiTheme="minorHAnsi"/>
                <w:b/>
              </w:rPr>
            </w:pPr>
            <w:r w:rsidRPr="00837C4B">
              <w:rPr>
                <w:rFonts w:asciiTheme="minorHAnsi" w:hAnsiTheme="minorHAnsi"/>
                <w:b/>
              </w:rPr>
              <w:t>UNDP Contribution:</w:t>
            </w:r>
          </w:p>
          <w:p w14:paraId="411E4AE7" w14:textId="77777777" w:rsidR="00694F35" w:rsidRDefault="00694F35" w:rsidP="00E74058">
            <w:pPr>
              <w:pStyle w:val="BodyText2"/>
              <w:jc w:val="both"/>
              <w:rPr>
                <w:rFonts w:asciiTheme="minorHAnsi" w:hAnsiTheme="minorHAnsi"/>
              </w:rPr>
            </w:pPr>
          </w:p>
          <w:p w14:paraId="422C5F14" w14:textId="77777777" w:rsidR="00694F35" w:rsidRPr="00C13737" w:rsidRDefault="00694F35" w:rsidP="00E74058">
            <w:pPr>
              <w:pStyle w:val="BodyText2"/>
              <w:jc w:val="both"/>
              <w:rPr>
                <w:rFonts w:asciiTheme="minorHAnsi" w:hAnsiTheme="minorHAnsi"/>
                <w:sz w:val="24"/>
              </w:rPr>
            </w:pPr>
            <w:r w:rsidRPr="00C13737">
              <w:rPr>
                <w:rFonts w:asciiTheme="minorHAnsi" w:hAnsiTheme="minorHAnsi"/>
                <w:sz w:val="24"/>
                <w:u w:val="single"/>
              </w:rPr>
              <w:t>CP Outputs</w:t>
            </w:r>
            <w:r w:rsidRPr="00C13737">
              <w:rPr>
                <w:rFonts w:asciiTheme="minorHAnsi" w:hAnsiTheme="minorHAnsi"/>
                <w:sz w:val="24"/>
              </w:rPr>
              <w:t>:</w:t>
            </w:r>
          </w:p>
          <w:p w14:paraId="3B484FF8" w14:textId="3B95A3F4" w:rsidR="00694F35" w:rsidRPr="00C13737" w:rsidRDefault="00694F35" w:rsidP="00E74058">
            <w:pPr>
              <w:pStyle w:val="BodyText2"/>
              <w:jc w:val="both"/>
              <w:rPr>
                <w:rFonts w:asciiTheme="minorHAnsi" w:hAnsiTheme="minorHAnsi"/>
                <w:i/>
                <w:sz w:val="24"/>
              </w:rPr>
            </w:pPr>
            <w:r w:rsidRPr="00C13737">
              <w:rPr>
                <w:rFonts w:asciiTheme="minorHAnsi" w:hAnsiTheme="minorHAnsi"/>
                <w:i/>
                <w:sz w:val="24"/>
              </w:rPr>
              <w:t>The UNDP CP identified t</w:t>
            </w:r>
            <w:r w:rsidR="00691AD4">
              <w:rPr>
                <w:rFonts w:asciiTheme="minorHAnsi" w:hAnsiTheme="minorHAnsi"/>
                <w:i/>
                <w:sz w:val="24"/>
              </w:rPr>
              <w:t>wo</w:t>
            </w:r>
            <w:r w:rsidRPr="00C13737">
              <w:rPr>
                <w:rFonts w:asciiTheme="minorHAnsi" w:hAnsiTheme="minorHAnsi"/>
                <w:i/>
                <w:sz w:val="24"/>
              </w:rPr>
              <w:t xml:space="preserve"> major outputs to support the Government in achieving this outcome: (a) </w:t>
            </w:r>
            <w:r w:rsidR="00FC165E" w:rsidRPr="00C13737">
              <w:rPr>
                <w:rFonts w:asciiTheme="minorHAnsi" w:hAnsiTheme="minorHAnsi"/>
                <w:i/>
                <w:sz w:val="24"/>
              </w:rPr>
              <w:t>Regulatory framework and policy guidance for disaster risk reduction enhanced</w:t>
            </w:r>
            <w:r w:rsidRPr="00C13737">
              <w:rPr>
                <w:rFonts w:asciiTheme="minorHAnsi" w:hAnsiTheme="minorHAnsi"/>
                <w:i/>
                <w:sz w:val="24"/>
              </w:rPr>
              <w:t xml:space="preserve">; </w:t>
            </w:r>
            <w:r w:rsidR="00691AD4">
              <w:rPr>
                <w:rFonts w:asciiTheme="minorHAnsi" w:hAnsiTheme="minorHAnsi"/>
                <w:i/>
                <w:sz w:val="24"/>
              </w:rPr>
              <w:t xml:space="preserve">and </w:t>
            </w:r>
            <w:r w:rsidRPr="00C13737">
              <w:rPr>
                <w:rFonts w:asciiTheme="minorHAnsi" w:hAnsiTheme="minorHAnsi"/>
                <w:i/>
                <w:sz w:val="24"/>
              </w:rPr>
              <w:t xml:space="preserve">(b) </w:t>
            </w:r>
            <w:r w:rsidR="00FC165E" w:rsidRPr="00C13737">
              <w:rPr>
                <w:rFonts w:asciiTheme="minorHAnsi" w:hAnsiTheme="minorHAnsi"/>
                <w:i/>
                <w:sz w:val="24"/>
              </w:rPr>
              <w:t>Institutional capacities disaster management agencies on planning, budgeting, monitoring, and information management strengthened.</w:t>
            </w:r>
          </w:p>
          <w:p w14:paraId="60309E6E" w14:textId="77777777" w:rsidR="00694F35" w:rsidRDefault="00694F35" w:rsidP="00E74058">
            <w:pPr>
              <w:pStyle w:val="BodyText2"/>
              <w:jc w:val="both"/>
              <w:rPr>
                <w:rFonts w:asciiTheme="minorHAnsi" w:hAnsiTheme="minorHAnsi"/>
              </w:rPr>
            </w:pPr>
          </w:p>
          <w:p w14:paraId="443ACAC9" w14:textId="77777777" w:rsidR="00694F35" w:rsidRPr="00845340" w:rsidRDefault="00694F35" w:rsidP="00E74058">
            <w:pPr>
              <w:pStyle w:val="BodyText2"/>
              <w:jc w:val="both"/>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27A7B118" w14:textId="77777777" w:rsidR="00C13737" w:rsidRDefault="00C13737" w:rsidP="00E74058">
            <w:pPr>
              <w:pStyle w:val="BodyText2"/>
              <w:jc w:val="both"/>
              <w:rPr>
                <w:rFonts w:asciiTheme="minorHAnsi" w:hAnsiTheme="minorHAnsi"/>
              </w:rPr>
            </w:pPr>
          </w:p>
          <w:p w14:paraId="3C6CE768" w14:textId="77777777" w:rsidR="00C13737" w:rsidRDefault="00C13737" w:rsidP="00E74058">
            <w:pPr>
              <w:pStyle w:val="BodyText2"/>
              <w:jc w:val="both"/>
              <w:rPr>
                <w:rFonts w:asciiTheme="minorHAnsi" w:hAnsiTheme="minorHAnsi"/>
              </w:rPr>
            </w:pPr>
          </w:p>
          <w:p w14:paraId="52163701" w14:textId="369BD5D2" w:rsidR="00BD0173" w:rsidRDefault="00FB778F" w:rsidP="00E74058">
            <w:pPr>
              <w:pStyle w:val="BodyText2"/>
              <w:jc w:val="both"/>
              <w:rPr>
                <w:rFonts w:asciiTheme="minorHAnsi" w:hAnsiTheme="minorHAnsi"/>
                <w:i/>
                <w:sz w:val="24"/>
              </w:rPr>
            </w:pPr>
            <w:r w:rsidRPr="00B55FDB">
              <w:rPr>
                <w:b/>
              </w:rPr>
              <w:t>Output 4.3.1 Framework for DRR:</w:t>
            </w:r>
            <w:r>
              <w:rPr>
                <w:b/>
              </w:rPr>
              <w:t xml:space="preserve"> </w:t>
            </w:r>
            <w:r w:rsidR="005311E2" w:rsidRPr="005311E2">
              <w:t>a GOI-</w:t>
            </w:r>
            <w:r w:rsidRPr="00FB778F">
              <w:rPr>
                <w:rFonts w:asciiTheme="minorHAnsi" w:hAnsiTheme="minorHAnsi"/>
                <w:i/>
                <w:sz w:val="24"/>
              </w:rPr>
              <w:t xml:space="preserve">UNDP </w:t>
            </w:r>
            <w:r w:rsidR="005311E2">
              <w:rPr>
                <w:rFonts w:asciiTheme="minorHAnsi" w:hAnsiTheme="minorHAnsi"/>
                <w:i/>
                <w:sz w:val="24"/>
              </w:rPr>
              <w:t xml:space="preserve">project </w:t>
            </w:r>
            <w:r w:rsidRPr="00FB778F">
              <w:rPr>
                <w:rFonts w:asciiTheme="minorHAnsi" w:hAnsiTheme="minorHAnsi"/>
                <w:i/>
                <w:sz w:val="24"/>
              </w:rPr>
              <w:t xml:space="preserve">assisted the National Development Planning Agency (Bappenas) </w:t>
            </w:r>
            <w:r w:rsidR="005311E2">
              <w:rPr>
                <w:rFonts w:asciiTheme="minorHAnsi" w:hAnsiTheme="minorHAnsi"/>
                <w:i/>
                <w:sz w:val="24"/>
              </w:rPr>
              <w:t xml:space="preserve">to </w:t>
            </w:r>
            <w:r w:rsidRPr="00FB778F">
              <w:rPr>
                <w:rFonts w:asciiTheme="minorHAnsi" w:hAnsiTheme="minorHAnsi"/>
                <w:i/>
                <w:sz w:val="24"/>
              </w:rPr>
              <w:t>prepare the technocratic draft of the forthcoming RPJMN. The draft specifically addresses DM and DRR in the</w:t>
            </w:r>
            <w:r w:rsidR="00BD0173">
              <w:rPr>
                <w:rFonts w:asciiTheme="minorHAnsi" w:hAnsiTheme="minorHAnsi"/>
                <w:i/>
                <w:sz w:val="24"/>
              </w:rPr>
              <w:t xml:space="preserve"> </w:t>
            </w:r>
            <w:r w:rsidRPr="00FB778F">
              <w:rPr>
                <w:rFonts w:asciiTheme="minorHAnsi" w:hAnsiTheme="minorHAnsi"/>
                <w:i/>
                <w:sz w:val="24"/>
              </w:rPr>
              <w:t>7th priority national development agenda. The DM objective in the next 5 years is to reduce disaster risks in centers of economic growth prone to disasters. This is in line with the draft DM Plan</w:t>
            </w:r>
            <w:r w:rsidR="00BD0173">
              <w:rPr>
                <w:rFonts w:asciiTheme="minorHAnsi" w:hAnsiTheme="minorHAnsi"/>
                <w:i/>
                <w:sz w:val="24"/>
              </w:rPr>
              <w:t xml:space="preserve"> </w:t>
            </w:r>
            <w:r w:rsidRPr="00FB778F">
              <w:rPr>
                <w:rFonts w:asciiTheme="minorHAnsi" w:hAnsiTheme="minorHAnsi"/>
                <w:i/>
                <w:sz w:val="24"/>
              </w:rPr>
              <w:t>2015-2019 prepared by the National Disaster Management Agency (BNPB) with technical support from UNDP. UNDP prepared a background study that incorporated climate change</w:t>
            </w:r>
            <w:r w:rsidR="00BD0173">
              <w:rPr>
                <w:rFonts w:asciiTheme="minorHAnsi" w:hAnsiTheme="minorHAnsi"/>
                <w:i/>
                <w:sz w:val="24"/>
              </w:rPr>
              <w:t xml:space="preserve"> </w:t>
            </w:r>
            <w:r w:rsidRPr="00FB778F">
              <w:rPr>
                <w:rFonts w:asciiTheme="minorHAnsi" w:hAnsiTheme="minorHAnsi"/>
                <w:i/>
                <w:sz w:val="24"/>
              </w:rPr>
              <w:t>adaptation as a DM consideration given the increasing impact of climate and weather induced events. Technical assistance was also provided to draft a monitoring &amp; reporting framework &amp;</w:t>
            </w:r>
            <w:r w:rsidR="00BD0173">
              <w:rPr>
                <w:rFonts w:asciiTheme="minorHAnsi" w:hAnsiTheme="minorHAnsi"/>
                <w:i/>
                <w:sz w:val="24"/>
              </w:rPr>
              <w:t xml:space="preserve"> </w:t>
            </w:r>
            <w:r w:rsidRPr="00FB778F">
              <w:rPr>
                <w:rFonts w:asciiTheme="minorHAnsi" w:hAnsiTheme="minorHAnsi"/>
                <w:i/>
                <w:sz w:val="24"/>
              </w:rPr>
              <w:t xml:space="preserve">DRR Action Plan as part of the 5-year DM Plan 1). </w:t>
            </w:r>
          </w:p>
          <w:p w14:paraId="3F07F501" w14:textId="77777777" w:rsidR="00BD0173" w:rsidRDefault="00BD0173" w:rsidP="00E74058">
            <w:pPr>
              <w:pStyle w:val="BodyText2"/>
              <w:jc w:val="both"/>
              <w:rPr>
                <w:rFonts w:asciiTheme="minorHAnsi" w:hAnsiTheme="minorHAnsi"/>
                <w:i/>
                <w:sz w:val="24"/>
              </w:rPr>
            </w:pPr>
          </w:p>
          <w:p w14:paraId="513791E6" w14:textId="7C45799F" w:rsidR="00FB778F" w:rsidRPr="00FB778F" w:rsidRDefault="00B2431D" w:rsidP="00E74058">
            <w:pPr>
              <w:pStyle w:val="BodyText2"/>
              <w:jc w:val="both"/>
              <w:rPr>
                <w:rFonts w:asciiTheme="minorHAnsi" w:hAnsiTheme="minorHAnsi"/>
                <w:i/>
                <w:sz w:val="24"/>
              </w:rPr>
            </w:pPr>
            <w:r w:rsidRPr="00B55FDB">
              <w:rPr>
                <w:b/>
              </w:rPr>
              <w:t xml:space="preserve">Output 4.3.2 Agency </w:t>
            </w:r>
            <w:r>
              <w:rPr>
                <w:b/>
              </w:rPr>
              <w:t xml:space="preserve">level </w:t>
            </w:r>
            <w:r w:rsidRPr="00B55FDB">
              <w:rPr>
                <w:b/>
              </w:rPr>
              <w:t>DRR in target areas:</w:t>
            </w:r>
            <w:r>
              <w:rPr>
                <w:b/>
              </w:rPr>
              <w:t xml:space="preserve"> </w:t>
            </w:r>
            <w:r w:rsidR="00FB778F" w:rsidRPr="00FB778F">
              <w:rPr>
                <w:rFonts w:asciiTheme="minorHAnsi" w:hAnsiTheme="minorHAnsi"/>
                <w:i/>
                <w:sz w:val="24"/>
              </w:rPr>
              <w:t>Ensuring that development in the ‘centres of growth’ takes place in a resilient manner requires DRR-sensitive spatial planning. UNDP</w:t>
            </w:r>
            <w:r>
              <w:rPr>
                <w:rFonts w:asciiTheme="minorHAnsi" w:hAnsiTheme="minorHAnsi"/>
                <w:i/>
                <w:sz w:val="24"/>
              </w:rPr>
              <w:t xml:space="preserve"> </w:t>
            </w:r>
            <w:r w:rsidR="00FB778F" w:rsidRPr="00FB778F">
              <w:rPr>
                <w:rFonts w:asciiTheme="minorHAnsi" w:hAnsiTheme="minorHAnsi"/>
                <w:i/>
                <w:sz w:val="24"/>
              </w:rPr>
              <w:t>worked with the National Spatial Planning Coordination Board (BKPRN) to formulate a background study &amp; technical material on the integration of DRR into the government’s provincial spatial</w:t>
            </w:r>
            <w:r w:rsidR="00BD0173">
              <w:rPr>
                <w:rFonts w:asciiTheme="minorHAnsi" w:hAnsiTheme="minorHAnsi"/>
                <w:i/>
                <w:sz w:val="24"/>
              </w:rPr>
              <w:t xml:space="preserve"> </w:t>
            </w:r>
            <w:r w:rsidR="00FB778F" w:rsidRPr="00FB778F">
              <w:rPr>
                <w:rFonts w:asciiTheme="minorHAnsi" w:hAnsiTheme="minorHAnsi"/>
                <w:i/>
                <w:sz w:val="24"/>
              </w:rPr>
              <w:t>planning guideline. This will be used by BKPRN to ensure disaster risks become a key conc</w:t>
            </w:r>
            <w:r>
              <w:rPr>
                <w:rFonts w:asciiTheme="minorHAnsi" w:hAnsiTheme="minorHAnsi"/>
                <w:i/>
                <w:sz w:val="24"/>
              </w:rPr>
              <w:t>ern in drawing up spatial plans</w:t>
            </w:r>
            <w:r w:rsidR="00FB778F" w:rsidRPr="00FB778F">
              <w:rPr>
                <w:rFonts w:asciiTheme="minorHAnsi" w:hAnsiTheme="minorHAnsi"/>
                <w:i/>
                <w:sz w:val="24"/>
              </w:rPr>
              <w:t>.</w:t>
            </w:r>
            <w:r>
              <w:rPr>
                <w:rFonts w:asciiTheme="minorHAnsi" w:hAnsiTheme="minorHAnsi"/>
                <w:i/>
                <w:sz w:val="24"/>
              </w:rPr>
              <w:t xml:space="preserve"> </w:t>
            </w:r>
            <w:r w:rsidR="00FB778F" w:rsidRPr="00FB778F">
              <w:rPr>
                <w:rFonts w:asciiTheme="minorHAnsi" w:hAnsiTheme="minorHAnsi"/>
                <w:i/>
                <w:sz w:val="24"/>
              </w:rPr>
              <w:t>Improved investments for DRR were promoted by working</w:t>
            </w:r>
            <w:r w:rsidR="00BD0173">
              <w:rPr>
                <w:rFonts w:asciiTheme="minorHAnsi" w:hAnsiTheme="minorHAnsi"/>
                <w:i/>
                <w:sz w:val="24"/>
              </w:rPr>
              <w:t xml:space="preserve"> </w:t>
            </w:r>
            <w:r w:rsidR="00FB778F" w:rsidRPr="00FB778F">
              <w:rPr>
                <w:rFonts w:asciiTheme="minorHAnsi" w:hAnsiTheme="minorHAnsi"/>
                <w:i/>
                <w:sz w:val="24"/>
              </w:rPr>
              <w:t xml:space="preserve">with Bappenas to develop criteria for tracking fiscal allocations of </w:t>
            </w:r>
            <w:r>
              <w:rPr>
                <w:rFonts w:asciiTheme="minorHAnsi" w:hAnsiTheme="minorHAnsi"/>
                <w:i/>
                <w:sz w:val="24"/>
              </w:rPr>
              <w:t>the national &amp; local government</w:t>
            </w:r>
            <w:r w:rsidR="00FB778F" w:rsidRPr="00FB778F">
              <w:rPr>
                <w:rFonts w:asciiTheme="minorHAnsi" w:hAnsiTheme="minorHAnsi"/>
                <w:i/>
                <w:sz w:val="24"/>
              </w:rPr>
              <w:t>. The criteria will assist GoI to monitor allocations for DRR. In parallel, UNDP worked</w:t>
            </w:r>
            <w:r w:rsidR="00BD0173">
              <w:rPr>
                <w:rFonts w:asciiTheme="minorHAnsi" w:hAnsiTheme="minorHAnsi"/>
                <w:i/>
                <w:sz w:val="24"/>
              </w:rPr>
              <w:t xml:space="preserve"> </w:t>
            </w:r>
            <w:r w:rsidR="00FB778F" w:rsidRPr="00FB778F">
              <w:rPr>
                <w:rFonts w:asciiTheme="minorHAnsi" w:hAnsiTheme="minorHAnsi"/>
                <w:i/>
                <w:sz w:val="24"/>
              </w:rPr>
              <w:t xml:space="preserve">with MoHA to draft a guideline for local governments to assist them in mainstreaming DRR into development planning &amp; budgeting processes </w:t>
            </w:r>
          </w:p>
          <w:p w14:paraId="5BE5146C" w14:textId="77777777" w:rsidR="00FB778F" w:rsidRDefault="00FB778F" w:rsidP="00E74058">
            <w:pPr>
              <w:pStyle w:val="BodyText2"/>
              <w:jc w:val="both"/>
              <w:rPr>
                <w:rFonts w:asciiTheme="minorHAnsi" w:hAnsiTheme="minorHAnsi"/>
              </w:rPr>
            </w:pPr>
          </w:p>
          <w:p w14:paraId="612569A1" w14:textId="511D858E" w:rsidR="00C13737" w:rsidRPr="00C13737" w:rsidRDefault="00C13737" w:rsidP="00E74058">
            <w:pPr>
              <w:pStyle w:val="BodyText2"/>
              <w:jc w:val="both"/>
              <w:rPr>
                <w:rFonts w:asciiTheme="minorHAnsi" w:hAnsiTheme="minorHAnsi"/>
                <w:i/>
                <w:sz w:val="24"/>
              </w:rPr>
            </w:pPr>
            <w:r w:rsidRPr="00C13737">
              <w:rPr>
                <w:rFonts w:asciiTheme="minorHAnsi" w:hAnsiTheme="minorHAnsi"/>
                <w:b/>
                <w:i/>
                <w:sz w:val="24"/>
              </w:rPr>
              <w:t>Gender</w:t>
            </w:r>
            <w:r>
              <w:rPr>
                <w:rFonts w:asciiTheme="minorHAnsi" w:hAnsiTheme="minorHAnsi"/>
                <w:i/>
                <w:sz w:val="24"/>
              </w:rPr>
              <w:t xml:space="preserve">: </w:t>
            </w:r>
            <w:r w:rsidRPr="00C13737">
              <w:rPr>
                <w:rFonts w:asciiTheme="minorHAnsi" w:hAnsiTheme="minorHAnsi"/>
                <w:i/>
                <w:sz w:val="24"/>
              </w:rPr>
              <w:t>In developing a convergence framework for climate risk management (CCA-DRR), UNDP engages women’s groups and gender experts to seek feedback. Gender mainstreaming and</w:t>
            </w:r>
            <w:r>
              <w:rPr>
                <w:rFonts w:asciiTheme="minorHAnsi" w:hAnsiTheme="minorHAnsi"/>
                <w:i/>
                <w:sz w:val="24"/>
              </w:rPr>
              <w:t xml:space="preserve"> </w:t>
            </w:r>
            <w:r w:rsidRPr="00C13737">
              <w:rPr>
                <w:rFonts w:asciiTheme="minorHAnsi" w:hAnsiTheme="minorHAnsi"/>
                <w:i/>
                <w:sz w:val="24"/>
              </w:rPr>
              <w:t>quality aspects will be incorporated into this convergence framework. At a practical level, UNDP is promoting equal participation of women through the development of indicators for assessing</w:t>
            </w:r>
            <w:r>
              <w:rPr>
                <w:rFonts w:asciiTheme="minorHAnsi" w:hAnsiTheme="minorHAnsi"/>
                <w:i/>
                <w:sz w:val="24"/>
              </w:rPr>
              <w:t xml:space="preserve"> </w:t>
            </w:r>
            <w:r w:rsidRPr="00C13737">
              <w:rPr>
                <w:rFonts w:asciiTheme="minorHAnsi" w:hAnsiTheme="minorHAnsi"/>
                <w:i/>
                <w:sz w:val="24"/>
              </w:rPr>
              <w:t xml:space="preserve">climate-induced </w:t>
            </w:r>
            <w:r w:rsidR="00B2431D">
              <w:rPr>
                <w:rFonts w:asciiTheme="minorHAnsi" w:hAnsiTheme="minorHAnsi"/>
                <w:i/>
                <w:sz w:val="24"/>
              </w:rPr>
              <w:t>disasters at sub-national level</w:t>
            </w:r>
            <w:r w:rsidRPr="00C13737">
              <w:rPr>
                <w:rFonts w:asciiTheme="minorHAnsi" w:hAnsiTheme="minorHAnsi"/>
                <w:i/>
                <w:sz w:val="24"/>
              </w:rPr>
              <w:t>. UNDP has also contributed to developing BNPB’s guidelines for mainstreaming gender into DRR and management, protection and</w:t>
            </w:r>
          </w:p>
          <w:p w14:paraId="2E03FA3B" w14:textId="5C1C8A22" w:rsidR="00C13737" w:rsidRPr="00C13737" w:rsidRDefault="00C13737" w:rsidP="00E74058">
            <w:pPr>
              <w:pStyle w:val="BodyText2"/>
              <w:jc w:val="both"/>
              <w:rPr>
                <w:rFonts w:asciiTheme="minorHAnsi" w:hAnsiTheme="minorHAnsi"/>
                <w:i/>
                <w:sz w:val="24"/>
              </w:rPr>
            </w:pPr>
            <w:r w:rsidRPr="00C13737">
              <w:rPr>
                <w:rFonts w:asciiTheme="minorHAnsi" w:hAnsiTheme="minorHAnsi"/>
                <w:i/>
                <w:sz w:val="24"/>
              </w:rPr>
              <w:t>participation of differently disabled groups in Disaster Management by providing technical assistance and substantive inputs to BNPB.</w:t>
            </w:r>
          </w:p>
          <w:p w14:paraId="0A8E13F8" w14:textId="77777777" w:rsidR="00C13737" w:rsidRPr="00DC7354" w:rsidRDefault="00C13737" w:rsidP="00E74058">
            <w:pPr>
              <w:pStyle w:val="BodyText2"/>
              <w:jc w:val="both"/>
              <w:rPr>
                <w:rFonts w:asciiTheme="minorHAnsi" w:hAnsiTheme="minorHAnsi"/>
              </w:rPr>
            </w:pPr>
          </w:p>
        </w:tc>
      </w:tr>
      <w:tr w:rsidR="009E7526" w:rsidRPr="00F01FDE" w14:paraId="2869F837" w14:textId="77777777" w:rsidTr="00694F35">
        <w:tc>
          <w:tcPr>
            <w:tcW w:w="14040" w:type="dxa"/>
            <w:gridSpan w:val="4"/>
          </w:tcPr>
          <w:p w14:paraId="6044205D" w14:textId="77777777" w:rsidR="00011331" w:rsidRDefault="00011331" w:rsidP="00E74058">
            <w:pPr>
              <w:jc w:val="both"/>
              <w:rPr>
                <w:rFonts w:asciiTheme="minorHAnsi" w:hAnsiTheme="minorHAnsi"/>
                <w:sz w:val="20"/>
                <w:u w:val="single"/>
              </w:rPr>
            </w:pPr>
          </w:p>
          <w:p w14:paraId="309A6F78" w14:textId="77777777" w:rsidR="00011331" w:rsidRDefault="00011331" w:rsidP="00E74058">
            <w:pPr>
              <w:jc w:val="both"/>
              <w:rPr>
                <w:rFonts w:asciiTheme="minorHAnsi" w:hAnsiTheme="minorHAnsi"/>
                <w:sz w:val="20"/>
                <w:u w:val="single"/>
              </w:rPr>
            </w:pPr>
          </w:p>
          <w:p w14:paraId="2869F832" w14:textId="77777777" w:rsidR="009E7526" w:rsidRPr="00845340" w:rsidRDefault="009E7526" w:rsidP="00E74058">
            <w:pPr>
              <w:jc w:val="both"/>
              <w:rPr>
                <w:rFonts w:asciiTheme="minorHAnsi" w:hAnsiTheme="minorHAnsi"/>
                <w:sz w:val="20"/>
                <w:u w:val="single"/>
              </w:rPr>
            </w:pPr>
            <w:r w:rsidRPr="00845340">
              <w:rPr>
                <w:rFonts w:asciiTheme="minorHAnsi" w:hAnsiTheme="minorHAnsi"/>
                <w:sz w:val="20"/>
                <w:u w:val="single"/>
              </w:rPr>
              <w:t>Summary of evaluation</w:t>
            </w:r>
            <w:r w:rsidR="00674B1A">
              <w:rPr>
                <w:rFonts w:asciiTheme="minorHAnsi" w:hAnsiTheme="minorHAnsi"/>
                <w:sz w:val="20"/>
                <w:u w:val="single"/>
              </w:rPr>
              <w:t xml:space="preserve"> finding</w:t>
            </w:r>
            <w:r w:rsidRPr="00845340">
              <w:rPr>
                <w:rFonts w:asciiTheme="minorHAnsi" w:hAnsiTheme="minorHAnsi"/>
                <w:sz w:val="20"/>
                <w:u w:val="single"/>
              </w:rPr>
              <w:t>s (</w:t>
            </w:r>
            <w:r w:rsidR="008F0A97" w:rsidRPr="00845340">
              <w:rPr>
                <w:rFonts w:asciiTheme="minorHAnsi" w:hAnsiTheme="minorHAnsi"/>
                <w:sz w:val="20"/>
                <w:u w:val="single"/>
              </w:rPr>
              <w:t xml:space="preserve">e.g. from outcome and project evaluations, UNDAF </w:t>
            </w:r>
            <w:r w:rsidRPr="00845340">
              <w:rPr>
                <w:rFonts w:asciiTheme="minorHAnsi" w:hAnsiTheme="minorHAnsi"/>
                <w:sz w:val="20"/>
                <w:u w:val="single"/>
              </w:rPr>
              <w:t xml:space="preserve">reviews, </w:t>
            </w:r>
            <w:r w:rsidR="008F0A97" w:rsidRPr="00845340">
              <w:rPr>
                <w:rFonts w:asciiTheme="minorHAnsi" w:hAnsiTheme="minorHAnsi"/>
                <w:sz w:val="20"/>
                <w:u w:val="single"/>
              </w:rPr>
              <w:t xml:space="preserve">and other </w:t>
            </w:r>
            <w:r w:rsidRPr="00845340">
              <w:rPr>
                <w:rFonts w:asciiTheme="minorHAnsi" w:hAnsiTheme="minorHAnsi"/>
                <w:sz w:val="20"/>
                <w:u w:val="single"/>
              </w:rPr>
              <w:t>assessments)</w:t>
            </w:r>
          </w:p>
          <w:p w14:paraId="2869F833" w14:textId="77777777" w:rsidR="009E7526" w:rsidRPr="00674B1A" w:rsidRDefault="009E7526" w:rsidP="00E74058">
            <w:pPr>
              <w:jc w:val="both"/>
              <w:rPr>
                <w:rFonts w:asciiTheme="minorHAnsi" w:hAnsiTheme="minorHAnsi"/>
                <w:i/>
                <w:sz w:val="20"/>
              </w:rPr>
            </w:pPr>
            <w:r w:rsidRPr="00845340">
              <w:rPr>
                <w:rFonts w:asciiTheme="minorHAnsi" w:hAnsiTheme="minorHAnsi"/>
                <w:i/>
                <w:sz w:val="20"/>
              </w:rPr>
              <w:t>Based on the  evaluation s and/or assessments undertaken please provide a brief summary of the overall findings on the CP for the 4 year period in terms of performance effectiveness and efficiency and key ac</w:t>
            </w:r>
            <w:r w:rsidR="00674B1A">
              <w:rPr>
                <w:rFonts w:asciiTheme="minorHAnsi" w:hAnsiTheme="minorHAnsi"/>
                <w:i/>
                <w:sz w:val="20"/>
              </w:rPr>
              <w:t>hievements and lessons learned. Maximum 500 words.</w:t>
            </w:r>
          </w:p>
          <w:p w14:paraId="2869F834" w14:textId="77777777" w:rsidR="00674B1A" w:rsidRDefault="00674B1A" w:rsidP="00E74058">
            <w:pPr>
              <w:jc w:val="both"/>
              <w:rPr>
                <w:rFonts w:asciiTheme="minorHAnsi" w:hAnsiTheme="minorHAnsi"/>
                <w:sz w:val="20"/>
              </w:rPr>
            </w:pPr>
          </w:p>
          <w:p w14:paraId="07060876" w14:textId="77777777" w:rsidR="001D3A31" w:rsidRPr="001D3A31" w:rsidRDefault="009E7526" w:rsidP="00E74058">
            <w:pPr>
              <w:jc w:val="both"/>
              <w:rPr>
                <w:rFonts w:asciiTheme="minorHAnsi" w:hAnsiTheme="minorHAnsi"/>
              </w:rPr>
            </w:pPr>
            <w:r w:rsidRPr="001D3A31">
              <w:rPr>
                <w:rFonts w:asciiTheme="minorHAnsi" w:hAnsiTheme="minorHAnsi"/>
                <w:u w:val="single"/>
              </w:rPr>
              <w:t>Key Achievements</w:t>
            </w:r>
            <w:r w:rsidR="005F6261" w:rsidRPr="001D3A31">
              <w:rPr>
                <w:rFonts w:asciiTheme="minorHAnsi" w:hAnsiTheme="minorHAnsi"/>
              </w:rPr>
              <w:t>:</w:t>
            </w:r>
          </w:p>
          <w:p w14:paraId="66EDD83B" w14:textId="77777777" w:rsidR="001D3A31" w:rsidRDefault="001D3A31" w:rsidP="00E74058">
            <w:pPr>
              <w:jc w:val="both"/>
              <w:rPr>
                <w:rFonts w:asciiTheme="minorHAnsi" w:hAnsiTheme="minorHAnsi"/>
                <w:sz w:val="20"/>
              </w:rPr>
            </w:pPr>
          </w:p>
          <w:p w14:paraId="2674350E" w14:textId="5CCFAE27" w:rsidR="001D3A31" w:rsidRPr="001D3A31" w:rsidRDefault="001D3A31" w:rsidP="00E74058">
            <w:pPr>
              <w:pStyle w:val="BodyText2"/>
              <w:jc w:val="both"/>
              <w:rPr>
                <w:rFonts w:asciiTheme="minorHAnsi" w:hAnsiTheme="minorHAnsi"/>
                <w:i/>
                <w:sz w:val="24"/>
              </w:rPr>
            </w:pPr>
            <w:r w:rsidRPr="001D3A31">
              <w:rPr>
                <w:rFonts w:asciiTheme="minorHAnsi" w:hAnsiTheme="minorHAnsi"/>
                <w:i/>
                <w:sz w:val="24"/>
              </w:rPr>
              <w:t xml:space="preserve">UNDP has helped GOI make a large number of achievements across its portfolio, with solid achievements in all Outcome areas. </w:t>
            </w:r>
            <w:r w:rsidR="00EC4E64">
              <w:rPr>
                <w:rFonts w:asciiTheme="minorHAnsi" w:hAnsiTheme="minorHAnsi"/>
                <w:i/>
                <w:sz w:val="24"/>
              </w:rPr>
              <w:t>O</w:t>
            </w:r>
            <w:r w:rsidRPr="001D3A31">
              <w:rPr>
                <w:rFonts w:asciiTheme="minorHAnsi" w:hAnsiTheme="minorHAnsi"/>
                <w:i/>
                <w:sz w:val="24"/>
              </w:rPr>
              <w:t xml:space="preserve">f particular </w:t>
            </w:r>
            <w:r w:rsidRPr="001D3A31">
              <w:rPr>
                <w:rFonts w:asciiTheme="minorHAnsi" w:hAnsiTheme="minorHAnsi"/>
                <w:i/>
                <w:sz w:val="24"/>
              </w:rPr>
              <w:lastRenderedPageBreak/>
              <w:t xml:space="preserve">note in each Outcome area are: </w:t>
            </w:r>
          </w:p>
          <w:p w14:paraId="53242E74" w14:textId="6AED8EDB" w:rsidR="001D3A31" w:rsidRPr="00D40D5A" w:rsidRDefault="001D3A31" w:rsidP="00E74058">
            <w:pPr>
              <w:pStyle w:val="NormanlNumber"/>
              <w:rPr>
                <w:b/>
              </w:rPr>
            </w:pPr>
            <w:r>
              <w:t xml:space="preserve">Work on accelerating MDGs; </w:t>
            </w:r>
          </w:p>
          <w:p w14:paraId="2E170636" w14:textId="0D2A3874" w:rsidR="001D3A31" w:rsidRPr="00D40D5A" w:rsidRDefault="001D3A31" w:rsidP="00E74058">
            <w:pPr>
              <w:pStyle w:val="NormanlNumber"/>
              <w:rPr>
                <w:b/>
              </w:rPr>
            </w:pPr>
            <w:r>
              <w:t xml:space="preserve">The establishment of watershed management arrangements; </w:t>
            </w:r>
          </w:p>
          <w:p w14:paraId="445618F0" w14:textId="371B27A6" w:rsidR="001D3A31" w:rsidRPr="00D40D5A" w:rsidRDefault="001D3A31" w:rsidP="00E74058">
            <w:pPr>
              <w:pStyle w:val="NormanlNumber"/>
              <w:rPr>
                <w:b/>
              </w:rPr>
            </w:pPr>
            <w:r>
              <w:t xml:space="preserve">The trialling of renewable energy technologies that demonstrate impact of reducing greenhouse gases; </w:t>
            </w:r>
          </w:p>
          <w:p w14:paraId="3607886E" w14:textId="5D0A4B4C" w:rsidR="001D3A31" w:rsidRPr="00D40D5A" w:rsidRDefault="001D3A31" w:rsidP="00E74058">
            <w:pPr>
              <w:pStyle w:val="NormanlNumber"/>
              <w:rPr>
                <w:b/>
              </w:rPr>
            </w:pPr>
            <w:r>
              <w:t xml:space="preserve">The </w:t>
            </w:r>
            <w:r w:rsidR="00EC4E64">
              <w:t xml:space="preserve">implementation </w:t>
            </w:r>
            <w:r>
              <w:t xml:space="preserve">of the </w:t>
            </w:r>
            <w:r w:rsidR="00EC4E64">
              <w:t xml:space="preserve">national </w:t>
            </w:r>
            <w:r>
              <w:t xml:space="preserve">REDD+ </w:t>
            </w:r>
            <w:r w:rsidR="00EC4E64">
              <w:t>programme</w:t>
            </w:r>
            <w:r>
              <w:t xml:space="preserve"> and the </w:t>
            </w:r>
            <w:r w:rsidR="00EC4E64">
              <w:t xml:space="preserve">establishment of the </w:t>
            </w:r>
            <w:r>
              <w:t>Indonesia Climate Change Trust Fund;</w:t>
            </w:r>
          </w:p>
          <w:p w14:paraId="5A09A440" w14:textId="78D4A98B" w:rsidR="001D3A31" w:rsidRPr="00D40D5A" w:rsidRDefault="001D3A31" w:rsidP="00E74058">
            <w:pPr>
              <w:pStyle w:val="NormanlNumber"/>
              <w:rPr>
                <w:b/>
              </w:rPr>
            </w:pPr>
            <w:r>
              <w:t>The introduction and use of the Indonesia Democracy Index;</w:t>
            </w:r>
          </w:p>
          <w:p w14:paraId="3EEEFF3F" w14:textId="71348A88" w:rsidR="001D3A31" w:rsidRPr="007464B5" w:rsidRDefault="001D3A31" w:rsidP="00E74058">
            <w:pPr>
              <w:pStyle w:val="NormanlNumber"/>
              <w:rPr>
                <w:b/>
              </w:rPr>
            </w:pPr>
            <w:r>
              <w:t>The revision of the Law on Decentralisation and innovative pro-poor planning and budgeting methods at the sub-national level;</w:t>
            </w:r>
          </w:p>
          <w:p w14:paraId="71C2DF1D" w14:textId="08409DE0" w:rsidR="001D3A31" w:rsidRPr="007464B5" w:rsidRDefault="001D3A31" w:rsidP="00E74058">
            <w:pPr>
              <w:pStyle w:val="NormanlNumber"/>
              <w:rPr>
                <w:b/>
              </w:rPr>
            </w:pPr>
            <w:r>
              <w:t>The establishment of the National Strategy for Access to Justice and the creation of legal aid and public complaints mechanisms; the establishment of the Participatory Governance Assessment methodology</w:t>
            </w:r>
          </w:p>
          <w:p w14:paraId="5BF64376" w14:textId="77777777" w:rsidR="001D3A31" w:rsidRPr="007464B5" w:rsidRDefault="001D3A31" w:rsidP="00E74058">
            <w:pPr>
              <w:pStyle w:val="NormanlNumber"/>
              <w:rPr>
                <w:b/>
              </w:rPr>
            </w:pPr>
            <w:r>
              <w:t>The establishment of a comprehensive conflict prevention and peace building framework;</w:t>
            </w:r>
          </w:p>
          <w:p w14:paraId="1186DD50" w14:textId="77777777" w:rsidR="001D3A31" w:rsidRPr="007464B5" w:rsidRDefault="001D3A31" w:rsidP="00E74058">
            <w:pPr>
              <w:pStyle w:val="NormanlNumber"/>
              <w:rPr>
                <w:b/>
              </w:rPr>
            </w:pPr>
            <w:r>
              <w:t>Major consolidation of Indonesia’s disaster recovery framework; and</w:t>
            </w:r>
          </w:p>
          <w:p w14:paraId="7DE4F890" w14:textId="77777777" w:rsidR="001D3A31" w:rsidRDefault="001D3A31" w:rsidP="00E74058">
            <w:pPr>
              <w:pStyle w:val="NormanlNumber"/>
              <w:rPr>
                <w:b/>
              </w:rPr>
            </w:pPr>
            <w:r>
              <w:t>Considerable consolidation in the disaster risk reduction framework.</w:t>
            </w:r>
          </w:p>
          <w:p w14:paraId="7110359C" w14:textId="77777777" w:rsidR="001D3A31" w:rsidRDefault="001D3A31" w:rsidP="00E74058">
            <w:pPr>
              <w:jc w:val="both"/>
              <w:rPr>
                <w:rFonts w:asciiTheme="minorHAnsi" w:hAnsiTheme="minorHAnsi"/>
                <w:sz w:val="20"/>
              </w:rPr>
            </w:pPr>
          </w:p>
          <w:p w14:paraId="0DC13BEA" w14:textId="77777777" w:rsidR="009E7526" w:rsidRDefault="009E7526" w:rsidP="00E74058">
            <w:pPr>
              <w:pStyle w:val="BodyText2"/>
              <w:jc w:val="both"/>
              <w:rPr>
                <w:rFonts w:asciiTheme="minorHAnsi" w:hAnsiTheme="minorHAnsi"/>
              </w:rPr>
            </w:pPr>
            <w:r w:rsidRPr="00674B1A">
              <w:rPr>
                <w:rFonts w:asciiTheme="minorHAnsi" w:hAnsiTheme="minorHAnsi"/>
                <w:u w:val="single"/>
              </w:rPr>
              <w:t>Major Lessons Learnt</w:t>
            </w:r>
            <w:r w:rsidR="005F6261" w:rsidRPr="00845340">
              <w:rPr>
                <w:rFonts w:asciiTheme="minorHAnsi" w:hAnsiTheme="minorHAnsi"/>
              </w:rPr>
              <w:t>:</w:t>
            </w:r>
          </w:p>
          <w:p w14:paraId="49242971" w14:textId="77777777" w:rsidR="00B2431D" w:rsidRPr="00B2431D" w:rsidRDefault="00B2431D" w:rsidP="00E74058">
            <w:pPr>
              <w:pStyle w:val="BodyText2"/>
              <w:jc w:val="both"/>
              <w:rPr>
                <w:rFonts w:asciiTheme="minorHAnsi" w:hAnsiTheme="minorHAnsi"/>
                <w:i/>
                <w:sz w:val="24"/>
              </w:rPr>
            </w:pPr>
          </w:p>
          <w:p w14:paraId="0B56BF0D" w14:textId="28112CF0" w:rsidR="00B2431D" w:rsidRPr="00B2431D" w:rsidRDefault="00B2431D" w:rsidP="00E74058">
            <w:pPr>
              <w:pStyle w:val="BodyText2"/>
              <w:jc w:val="both"/>
              <w:rPr>
                <w:rFonts w:asciiTheme="minorHAnsi" w:hAnsiTheme="minorHAnsi"/>
                <w:i/>
                <w:sz w:val="24"/>
              </w:rPr>
            </w:pPr>
            <w:r w:rsidRPr="00B2431D">
              <w:rPr>
                <w:rFonts w:asciiTheme="minorHAnsi" w:hAnsiTheme="minorHAnsi"/>
                <w:i/>
                <w:sz w:val="24"/>
              </w:rPr>
              <w:t>On resource mobilization, there was a continued decline in traditional donor support to Indonesia due in part to both donor reprioritization of their</w:t>
            </w:r>
            <w:r w:rsidR="00A26AD9">
              <w:rPr>
                <w:rFonts w:asciiTheme="minorHAnsi" w:hAnsiTheme="minorHAnsi"/>
                <w:i/>
                <w:sz w:val="24"/>
              </w:rPr>
              <w:t xml:space="preserve"> </w:t>
            </w:r>
            <w:r w:rsidRPr="00B2431D">
              <w:rPr>
                <w:rFonts w:asciiTheme="minorHAnsi" w:hAnsiTheme="minorHAnsi"/>
                <w:i/>
                <w:sz w:val="24"/>
              </w:rPr>
              <w:t>budgets to lesser developed countries. The resource environment has become more challenging, and it is clear that funding from the private sector will not fill the funding</w:t>
            </w:r>
            <w:r>
              <w:rPr>
                <w:rFonts w:asciiTheme="minorHAnsi" w:hAnsiTheme="minorHAnsi"/>
                <w:i/>
                <w:sz w:val="24"/>
              </w:rPr>
              <w:t xml:space="preserve"> </w:t>
            </w:r>
            <w:r w:rsidRPr="00B2431D">
              <w:rPr>
                <w:rFonts w:asciiTheme="minorHAnsi" w:hAnsiTheme="minorHAnsi"/>
                <w:i/>
                <w:sz w:val="24"/>
              </w:rPr>
              <w:t>gap. This calls for new strategies, including greater focus on government cost-sharing. Data gathering challenges continue to underscore the need for greater investments in building up the evidence base</w:t>
            </w:r>
            <w:r w:rsidR="00A26AD9">
              <w:rPr>
                <w:rFonts w:asciiTheme="minorHAnsi" w:hAnsiTheme="minorHAnsi"/>
                <w:i/>
                <w:sz w:val="24"/>
              </w:rPr>
              <w:t xml:space="preserve"> </w:t>
            </w:r>
            <w:r w:rsidRPr="00B2431D">
              <w:rPr>
                <w:rFonts w:asciiTheme="minorHAnsi" w:hAnsiTheme="minorHAnsi"/>
                <w:i/>
                <w:sz w:val="24"/>
              </w:rPr>
              <w:t>of programmes and enhancing the quality of results framework. There is also a need for improved targeting of specific population groups to demonstrate tangible impact on poverty and inequality</w:t>
            </w:r>
            <w:r>
              <w:rPr>
                <w:rFonts w:asciiTheme="minorHAnsi" w:hAnsiTheme="minorHAnsi"/>
                <w:i/>
                <w:sz w:val="24"/>
              </w:rPr>
              <w:t xml:space="preserve"> </w:t>
            </w:r>
            <w:r w:rsidRPr="00B2431D">
              <w:rPr>
                <w:rFonts w:asciiTheme="minorHAnsi" w:hAnsiTheme="minorHAnsi"/>
                <w:i/>
                <w:sz w:val="24"/>
              </w:rPr>
              <w:t>reduction. The significant scale-up of the CO’s Knowledge Management and Communications related initiatives had positive impacts on our engagement with government and other parties. Partnership</w:t>
            </w:r>
            <w:r w:rsidR="00A26AD9">
              <w:rPr>
                <w:rFonts w:asciiTheme="minorHAnsi" w:hAnsiTheme="minorHAnsi"/>
                <w:i/>
                <w:sz w:val="24"/>
              </w:rPr>
              <w:t xml:space="preserve"> </w:t>
            </w:r>
            <w:r w:rsidRPr="00B2431D">
              <w:rPr>
                <w:rFonts w:asciiTheme="minorHAnsi" w:hAnsiTheme="minorHAnsi"/>
                <w:i/>
                <w:sz w:val="24"/>
              </w:rPr>
              <w:t>events, policy seminars, knowledge sharing sessions, training courses, extensive media interviews and coverage, as well as web and social media exposure are helping to both develop internal capacities</w:t>
            </w:r>
            <w:r>
              <w:rPr>
                <w:rFonts w:asciiTheme="minorHAnsi" w:hAnsiTheme="minorHAnsi"/>
                <w:i/>
                <w:sz w:val="24"/>
              </w:rPr>
              <w:t xml:space="preserve"> </w:t>
            </w:r>
            <w:r w:rsidRPr="00B2431D">
              <w:rPr>
                <w:rFonts w:asciiTheme="minorHAnsi" w:hAnsiTheme="minorHAnsi"/>
                <w:i/>
                <w:sz w:val="24"/>
              </w:rPr>
              <w:t>as well as create a more positive view of UNDP and its work in Indonesia.</w:t>
            </w:r>
          </w:p>
          <w:p w14:paraId="2869F836" w14:textId="77777777" w:rsidR="00B2431D" w:rsidRPr="00F01FDE" w:rsidRDefault="00B2431D" w:rsidP="00E74058">
            <w:pPr>
              <w:pStyle w:val="BodyText2"/>
              <w:jc w:val="both"/>
              <w:rPr>
                <w:rFonts w:ascii="Times New Roman" w:hAnsi="Times New Roman"/>
              </w:rPr>
            </w:pPr>
          </w:p>
        </w:tc>
      </w:tr>
    </w:tbl>
    <w:p w14:paraId="2869F838" w14:textId="77777777" w:rsidR="004B3911" w:rsidRDefault="004B3911" w:rsidP="00E74058">
      <w:pPr>
        <w:pStyle w:val="BodyText2"/>
        <w:jc w:val="both"/>
        <w:rPr>
          <w:rFonts w:ascii="Times New Roman" w:hAnsi="Times New Roman"/>
          <w:sz w:val="24"/>
        </w:rPr>
      </w:pPr>
    </w:p>
    <w:p w14:paraId="0D1A4972" w14:textId="77777777" w:rsidR="0076065B" w:rsidRDefault="0076065B" w:rsidP="00E74058">
      <w:pPr>
        <w:pStyle w:val="BodyText2"/>
        <w:jc w:val="both"/>
        <w:rPr>
          <w:rFonts w:ascii="Times New Roman" w:hAnsi="Times New Roman"/>
          <w:sz w:val="24"/>
        </w:rPr>
      </w:pPr>
    </w:p>
    <w:p w14:paraId="44805C80" w14:textId="77777777" w:rsidR="0076065B" w:rsidRDefault="0076065B" w:rsidP="00E74058">
      <w:pPr>
        <w:pStyle w:val="BodyText2"/>
        <w:jc w:val="both"/>
        <w:rPr>
          <w:rFonts w:ascii="Times New Roman" w:hAnsi="Times New Roman"/>
          <w:sz w:val="24"/>
        </w:rPr>
      </w:pPr>
    </w:p>
    <w:p w14:paraId="0B697C49" w14:textId="77777777" w:rsidR="0076065B" w:rsidRDefault="0076065B" w:rsidP="00E74058">
      <w:pPr>
        <w:pStyle w:val="BodyText2"/>
        <w:jc w:val="both"/>
        <w:rPr>
          <w:rFonts w:ascii="Times New Roman" w:hAnsi="Times New Roman"/>
          <w:sz w:val="24"/>
        </w:rPr>
      </w:pPr>
    </w:p>
    <w:p w14:paraId="68D1B191" w14:textId="77777777" w:rsidR="0076065B" w:rsidRDefault="0076065B" w:rsidP="00E74058">
      <w:pPr>
        <w:pStyle w:val="BodyText2"/>
        <w:jc w:val="both"/>
        <w:rPr>
          <w:rFonts w:ascii="Times New Roman" w:hAnsi="Times New Roman"/>
          <w:sz w:val="24"/>
        </w:rPr>
      </w:pPr>
    </w:p>
    <w:p w14:paraId="2869F839" w14:textId="77777777" w:rsidR="00E37E7A" w:rsidRDefault="00EA7740" w:rsidP="00E74058">
      <w:pPr>
        <w:pStyle w:val="BodyText2"/>
        <w:jc w:val="both"/>
        <w:rPr>
          <w:rFonts w:asciiTheme="minorHAnsi" w:hAnsiTheme="minorHAnsi"/>
          <w:sz w:val="24"/>
        </w:rPr>
      </w:pPr>
      <w:r>
        <w:rPr>
          <w:rFonts w:asciiTheme="minorHAnsi" w:hAnsiTheme="minorHAnsi"/>
          <w:sz w:val="24"/>
        </w:rPr>
        <w:lastRenderedPageBreak/>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tbl>
      <w:tblPr>
        <w:tblW w:w="10743" w:type="dxa"/>
        <w:tblInd w:w="-3" w:type="dxa"/>
        <w:tblCellMar>
          <w:left w:w="0" w:type="dxa"/>
          <w:right w:w="0" w:type="dxa"/>
        </w:tblCellMar>
        <w:tblLook w:val="04A0" w:firstRow="1" w:lastRow="0" w:firstColumn="1" w:lastColumn="0" w:noHBand="0" w:noVBand="1"/>
      </w:tblPr>
      <w:tblGrid>
        <w:gridCol w:w="4420"/>
        <w:gridCol w:w="1674"/>
        <w:gridCol w:w="1725"/>
        <w:gridCol w:w="1662"/>
        <w:gridCol w:w="1262"/>
      </w:tblGrid>
      <w:tr w:rsidR="006E506F" w14:paraId="05C3469A" w14:textId="3B7B1285" w:rsidTr="006E506F">
        <w:trPr>
          <w:gridAfter w:val="1"/>
          <w:wAfter w:w="1262" w:type="dxa"/>
          <w:trHeight w:val="300"/>
        </w:trPr>
        <w:tc>
          <w:tcPr>
            <w:tcW w:w="4420" w:type="dxa"/>
            <w:noWrap/>
            <w:tcMar>
              <w:top w:w="0" w:type="dxa"/>
              <w:left w:w="108" w:type="dxa"/>
              <w:bottom w:w="0" w:type="dxa"/>
              <w:right w:w="108" w:type="dxa"/>
            </w:tcMar>
            <w:vAlign w:val="bottom"/>
          </w:tcPr>
          <w:p w14:paraId="0B4177B2" w14:textId="69231F8F" w:rsidR="006E506F" w:rsidRDefault="006E506F">
            <w:pPr>
              <w:rPr>
                <w:rFonts w:ascii="Calibri" w:eastAsiaTheme="minorHAnsi" w:hAnsi="Calibri"/>
                <w:color w:val="000000"/>
                <w:sz w:val="18"/>
                <w:szCs w:val="18"/>
              </w:rPr>
            </w:pPr>
          </w:p>
        </w:tc>
        <w:tc>
          <w:tcPr>
            <w:tcW w:w="5061" w:type="dxa"/>
            <w:gridSpan w:val="3"/>
          </w:tcPr>
          <w:p w14:paraId="7B825214" w14:textId="77777777" w:rsidR="006E506F" w:rsidRDefault="006E506F">
            <w:pPr>
              <w:rPr>
                <w:rFonts w:ascii="Calibri" w:eastAsiaTheme="minorHAnsi" w:hAnsi="Calibri"/>
                <w:color w:val="000000"/>
                <w:sz w:val="18"/>
                <w:szCs w:val="18"/>
              </w:rPr>
            </w:pPr>
          </w:p>
        </w:tc>
      </w:tr>
      <w:tr w:rsidR="006E506F" w14:paraId="456A5C8D" w14:textId="5193BA55" w:rsidTr="006E506F">
        <w:trPr>
          <w:gridAfter w:val="1"/>
          <w:wAfter w:w="1262" w:type="dxa"/>
          <w:trHeight w:val="300"/>
        </w:trPr>
        <w:tc>
          <w:tcPr>
            <w:tcW w:w="4420" w:type="dxa"/>
            <w:noWrap/>
            <w:tcMar>
              <w:top w:w="0" w:type="dxa"/>
              <w:left w:w="108" w:type="dxa"/>
              <w:bottom w:w="0" w:type="dxa"/>
              <w:right w:w="108" w:type="dxa"/>
            </w:tcMar>
            <w:vAlign w:val="bottom"/>
          </w:tcPr>
          <w:p w14:paraId="2F783A84" w14:textId="5FE821AB" w:rsidR="006E506F" w:rsidRDefault="006E506F">
            <w:pPr>
              <w:rPr>
                <w:rFonts w:ascii="Calibri" w:eastAsiaTheme="minorHAnsi" w:hAnsi="Calibri"/>
                <w:color w:val="000000"/>
                <w:sz w:val="18"/>
                <w:szCs w:val="18"/>
              </w:rPr>
            </w:pPr>
          </w:p>
        </w:tc>
        <w:tc>
          <w:tcPr>
            <w:tcW w:w="5061" w:type="dxa"/>
            <w:gridSpan w:val="3"/>
          </w:tcPr>
          <w:p w14:paraId="2B602C77" w14:textId="77777777" w:rsidR="006E506F" w:rsidRDefault="006E506F">
            <w:pPr>
              <w:rPr>
                <w:rFonts w:ascii="Calibri" w:eastAsiaTheme="minorHAnsi" w:hAnsi="Calibri"/>
                <w:color w:val="000000"/>
                <w:sz w:val="18"/>
                <w:szCs w:val="18"/>
              </w:rPr>
            </w:pPr>
          </w:p>
        </w:tc>
      </w:tr>
      <w:tr w:rsidR="006E506F" w14:paraId="704CB74F" w14:textId="2396A60D" w:rsidTr="006E506F">
        <w:trPr>
          <w:trHeight w:val="300"/>
        </w:trPr>
        <w:tc>
          <w:tcPr>
            <w:tcW w:w="4420" w:type="dxa"/>
            <w:vMerge w:val="restart"/>
            <w:tcBorders>
              <w:top w:val="single" w:sz="8" w:space="0" w:color="FFFFFF"/>
              <w:left w:val="single" w:sz="8" w:space="0" w:color="FFFFFF"/>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1AECFFA3" w14:textId="33E081DF" w:rsidR="006E506F" w:rsidRDefault="006E506F">
            <w:pPr>
              <w:jc w:val="center"/>
              <w:rPr>
                <w:rFonts w:ascii="Calibri" w:eastAsiaTheme="minorHAnsi" w:hAnsi="Calibri"/>
                <w:color w:val="FFFFFF"/>
                <w:sz w:val="18"/>
                <w:szCs w:val="18"/>
              </w:rPr>
            </w:pPr>
            <w:r>
              <w:rPr>
                <w:color w:val="FFFFFF"/>
                <w:sz w:val="18"/>
                <w:szCs w:val="18"/>
              </w:rPr>
              <w:t> Focus Area</w:t>
            </w:r>
          </w:p>
        </w:tc>
        <w:tc>
          <w:tcPr>
            <w:tcW w:w="5061" w:type="dxa"/>
            <w:gridSpan w:val="3"/>
            <w:tcBorders>
              <w:top w:val="single" w:sz="8" w:space="0" w:color="FFFFFF"/>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6821B5EA" w14:textId="62245D1E" w:rsidR="006E506F" w:rsidRDefault="006E506F">
            <w:pPr>
              <w:jc w:val="center"/>
              <w:rPr>
                <w:rFonts w:ascii="Calibri" w:eastAsiaTheme="minorHAnsi" w:hAnsi="Calibri"/>
                <w:color w:val="FFFFFF"/>
                <w:sz w:val="18"/>
                <w:szCs w:val="18"/>
              </w:rPr>
            </w:pPr>
            <w:r>
              <w:rPr>
                <w:color w:val="FFFFFF"/>
                <w:sz w:val="18"/>
                <w:szCs w:val="18"/>
              </w:rPr>
              <w:t xml:space="preserve">Programme Expenditure ($)  2011 – 2015* </w:t>
            </w:r>
          </w:p>
        </w:tc>
        <w:tc>
          <w:tcPr>
            <w:tcW w:w="1262" w:type="dxa"/>
            <w:tcBorders>
              <w:top w:val="single" w:sz="8" w:space="0" w:color="FFFFFF"/>
              <w:left w:val="nil"/>
              <w:bottom w:val="single" w:sz="8" w:space="0" w:color="FFFFFF"/>
              <w:right w:val="single" w:sz="8" w:space="0" w:color="FFFFFF"/>
            </w:tcBorders>
            <w:shd w:val="clear" w:color="auto" w:fill="002060"/>
          </w:tcPr>
          <w:p w14:paraId="656D0BE0" w14:textId="3C96799C" w:rsidR="006E506F" w:rsidRDefault="006E506F">
            <w:pPr>
              <w:jc w:val="center"/>
              <w:rPr>
                <w:color w:val="FFFFFF"/>
                <w:sz w:val="18"/>
                <w:szCs w:val="18"/>
              </w:rPr>
            </w:pPr>
            <w:r>
              <w:rPr>
                <w:color w:val="FFFFFF"/>
                <w:sz w:val="18"/>
                <w:szCs w:val="18"/>
              </w:rPr>
              <w:t>% of Total</w:t>
            </w:r>
          </w:p>
        </w:tc>
      </w:tr>
      <w:tr w:rsidR="006E506F" w14:paraId="37BCDABB" w14:textId="236D7156" w:rsidTr="006E506F">
        <w:trPr>
          <w:trHeight w:val="30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A2141B7" w14:textId="77777777" w:rsidR="006E506F" w:rsidRDefault="006E506F">
            <w:pPr>
              <w:rPr>
                <w:rFonts w:ascii="Calibri" w:eastAsiaTheme="minorHAnsi" w:hAnsi="Calibri"/>
                <w:color w:val="FFFFFF"/>
                <w:sz w:val="18"/>
                <w:szCs w:val="18"/>
              </w:rPr>
            </w:pPr>
          </w:p>
        </w:tc>
        <w:tc>
          <w:tcPr>
            <w:tcW w:w="1674" w:type="dxa"/>
            <w:tcBorders>
              <w:top w:val="nil"/>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4F4D071E" w14:textId="77777777" w:rsidR="006E506F" w:rsidRDefault="006E506F">
            <w:pPr>
              <w:jc w:val="center"/>
              <w:rPr>
                <w:rFonts w:ascii="Calibri" w:eastAsiaTheme="minorHAnsi" w:hAnsi="Calibri"/>
                <w:color w:val="FFFFFF"/>
                <w:sz w:val="18"/>
                <w:szCs w:val="18"/>
              </w:rPr>
            </w:pPr>
            <w:r>
              <w:rPr>
                <w:color w:val="FFFFFF"/>
                <w:sz w:val="18"/>
                <w:szCs w:val="18"/>
              </w:rPr>
              <w:t xml:space="preserve"> TRAC </w:t>
            </w:r>
          </w:p>
        </w:tc>
        <w:tc>
          <w:tcPr>
            <w:tcW w:w="1725" w:type="dxa"/>
            <w:tcBorders>
              <w:top w:val="nil"/>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5916F74B" w14:textId="77777777" w:rsidR="006E506F" w:rsidRDefault="006E506F">
            <w:pPr>
              <w:jc w:val="center"/>
              <w:rPr>
                <w:rFonts w:ascii="Calibri" w:eastAsiaTheme="minorHAnsi" w:hAnsi="Calibri"/>
                <w:color w:val="FFFFFF"/>
                <w:sz w:val="18"/>
                <w:szCs w:val="18"/>
              </w:rPr>
            </w:pPr>
            <w:r>
              <w:rPr>
                <w:color w:val="FFFFFF"/>
                <w:sz w:val="18"/>
                <w:szCs w:val="18"/>
              </w:rPr>
              <w:t xml:space="preserve"> Other </w:t>
            </w:r>
          </w:p>
        </w:tc>
        <w:tc>
          <w:tcPr>
            <w:tcW w:w="1662" w:type="dxa"/>
            <w:tcBorders>
              <w:top w:val="nil"/>
              <w:left w:val="nil"/>
              <w:bottom w:val="single" w:sz="8" w:space="0" w:color="FFFFFF"/>
              <w:right w:val="single" w:sz="8" w:space="0" w:color="FFFFFF"/>
            </w:tcBorders>
            <w:shd w:val="clear" w:color="auto" w:fill="002060"/>
            <w:noWrap/>
            <w:tcMar>
              <w:top w:w="0" w:type="dxa"/>
              <w:left w:w="108" w:type="dxa"/>
              <w:bottom w:w="0" w:type="dxa"/>
              <w:right w:w="108" w:type="dxa"/>
            </w:tcMar>
            <w:vAlign w:val="bottom"/>
            <w:hideMark/>
          </w:tcPr>
          <w:p w14:paraId="6119D994" w14:textId="77777777" w:rsidR="006E506F" w:rsidRDefault="006E506F">
            <w:pPr>
              <w:jc w:val="center"/>
              <w:rPr>
                <w:rFonts w:ascii="Calibri" w:eastAsiaTheme="minorHAnsi" w:hAnsi="Calibri"/>
                <w:color w:val="FFFFFF"/>
                <w:sz w:val="18"/>
                <w:szCs w:val="18"/>
              </w:rPr>
            </w:pPr>
            <w:r>
              <w:rPr>
                <w:color w:val="FFFFFF"/>
                <w:sz w:val="18"/>
                <w:szCs w:val="18"/>
              </w:rPr>
              <w:t xml:space="preserve"> Total </w:t>
            </w:r>
          </w:p>
        </w:tc>
        <w:tc>
          <w:tcPr>
            <w:tcW w:w="1262" w:type="dxa"/>
            <w:tcBorders>
              <w:top w:val="nil"/>
              <w:left w:val="nil"/>
              <w:bottom w:val="single" w:sz="8" w:space="0" w:color="FFFFFF"/>
              <w:right w:val="single" w:sz="8" w:space="0" w:color="FFFFFF"/>
            </w:tcBorders>
            <w:shd w:val="clear" w:color="auto" w:fill="002060"/>
          </w:tcPr>
          <w:p w14:paraId="38A1A55E" w14:textId="77777777" w:rsidR="006E506F" w:rsidRDefault="006E506F">
            <w:pPr>
              <w:jc w:val="center"/>
              <w:rPr>
                <w:color w:val="FFFFFF"/>
                <w:sz w:val="18"/>
                <w:szCs w:val="18"/>
              </w:rPr>
            </w:pPr>
          </w:p>
        </w:tc>
      </w:tr>
      <w:tr w:rsidR="006E506F" w14:paraId="5A37221C" w14:textId="2C51D8AC" w:rsidTr="006E506F">
        <w:trPr>
          <w:trHeight w:val="300"/>
        </w:trPr>
        <w:tc>
          <w:tcPr>
            <w:tcW w:w="4420" w:type="dxa"/>
            <w:noWrap/>
            <w:tcMar>
              <w:top w:w="0" w:type="dxa"/>
              <w:left w:w="108" w:type="dxa"/>
              <w:bottom w:w="0" w:type="dxa"/>
              <w:right w:w="108" w:type="dxa"/>
            </w:tcMar>
            <w:vAlign w:val="bottom"/>
            <w:hideMark/>
          </w:tcPr>
          <w:p w14:paraId="63201B36" w14:textId="77777777" w:rsidR="006E506F" w:rsidRDefault="006E506F">
            <w:pPr>
              <w:rPr>
                <w:rFonts w:ascii="Calibri" w:eastAsiaTheme="minorHAnsi" w:hAnsi="Calibri"/>
                <w:color w:val="000000"/>
                <w:sz w:val="18"/>
                <w:szCs w:val="18"/>
              </w:rPr>
            </w:pPr>
            <w:r>
              <w:rPr>
                <w:color w:val="000000"/>
                <w:sz w:val="18"/>
                <w:szCs w:val="18"/>
              </w:rPr>
              <w:t xml:space="preserve"> Poverty and MDGs </w:t>
            </w:r>
          </w:p>
        </w:tc>
        <w:tc>
          <w:tcPr>
            <w:tcW w:w="1674" w:type="dxa"/>
            <w:noWrap/>
            <w:tcMar>
              <w:top w:w="0" w:type="dxa"/>
              <w:left w:w="108" w:type="dxa"/>
              <w:bottom w:w="0" w:type="dxa"/>
              <w:right w:w="108" w:type="dxa"/>
            </w:tcMar>
            <w:vAlign w:val="bottom"/>
            <w:hideMark/>
          </w:tcPr>
          <w:p w14:paraId="6BC4D8F5" w14:textId="77777777" w:rsidR="006E506F" w:rsidRDefault="006E506F">
            <w:pPr>
              <w:rPr>
                <w:rFonts w:ascii="Calibri" w:eastAsiaTheme="minorHAnsi" w:hAnsi="Calibri"/>
                <w:color w:val="000000"/>
                <w:sz w:val="18"/>
                <w:szCs w:val="18"/>
              </w:rPr>
            </w:pPr>
            <w:r>
              <w:rPr>
                <w:color w:val="000000"/>
                <w:sz w:val="18"/>
                <w:szCs w:val="18"/>
              </w:rPr>
              <w:t xml:space="preserve">               2,970,701 </w:t>
            </w:r>
          </w:p>
        </w:tc>
        <w:tc>
          <w:tcPr>
            <w:tcW w:w="1725" w:type="dxa"/>
            <w:noWrap/>
            <w:tcMar>
              <w:top w:w="0" w:type="dxa"/>
              <w:left w:w="108" w:type="dxa"/>
              <w:bottom w:w="0" w:type="dxa"/>
              <w:right w:w="108" w:type="dxa"/>
            </w:tcMar>
            <w:vAlign w:val="bottom"/>
            <w:hideMark/>
          </w:tcPr>
          <w:p w14:paraId="79C41C79" w14:textId="77777777" w:rsidR="006E506F" w:rsidRDefault="006E506F">
            <w:pPr>
              <w:rPr>
                <w:rFonts w:ascii="Calibri" w:eastAsiaTheme="minorHAnsi" w:hAnsi="Calibri"/>
                <w:color w:val="000000"/>
                <w:sz w:val="18"/>
                <w:szCs w:val="18"/>
              </w:rPr>
            </w:pPr>
            <w:r>
              <w:rPr>
                <w:color w:val="000000"/>
                <w:sz w:val="18"/>
                <w:szCs w:val="18"/>
              </w:rPr>
              <w:t xml:space="preserve">              12,645,860 </w:t>
            </w:r>
          </w:p>
        </w:tc>
        <w:tc>
          <w:tcPr>
            <w:tcW w:w="1662" w:type="dxa"/>
            <w:noWrap/>
            <w:tcMar>
              <w:top w:w="0" w:type="dxa"/>
              <w:left w:w="108" w:type="dxa"/>
              <w:bottom w:w="0" w:type="dxa"/>
              <w:right w:w="108" w:type="dxa"/>
            </w:tcMar>
            <w:vAlign w:val="bottom"/>
            <w:hideMark/>
          </w:tcPr>
          <w:p w14:paraId="738541B8" w14:textId="77777777" w:rsidR="006E506F" w:rsidRDefault="006E506F">
            <w:pPr>
              <w:rPr>
                <w:rFonts w:ascii="Calibri" w:eastAsiaTheme="minorHAnsi" w:hAnsi="Calibri"/>
                <w:color w:val="000000"/>
                <w:sz w:val="18"/>
                <w:szCs w:val="18"/>
              </w:rPr>
            </w:pPr>
            <w:r>
              <w:rPr>
                <w:color w:val="000000"/>
                <w:sz w:val="18"/>
                <w:szCs w:val="18"/>
              </w:rPr>
              <w:t xml:space="preserve">            15,616,561 </w:t>
            </w:r>
          </w:p>
        </w:tc>
        <w:tc>
          <w:tcPr>
            <w:tcW w:w="1262" w:type="dxa"/>
          </w:tcPr>
          <w:p w14:paraId="5AF209F0" w14:textId="73C437FA" w:rsidR="006E506F" w:rsidRDefault="006E506F" w:rsidP="006E506F">
            <w:pPr>
              <w:jc w:val="right"/>
              <w:rPr>
                <w:color w:val="000000"/>
                <w:sz w:val="18"/>
                <w:szCs w:val="18"/>
              </w:rPr>
            </w:pPr>
            <w:r>
              <w:rPr>
                <w:color w:val="000000"/>
                <w:sz w:val="18"/>
                <w:szCs w:val="18"/>
              </w:rPr>
              <w:t>8.3</w:t>
            </w:r>
          </w:p>
        </w:tc>
      </w:tr>
      <w:tr w:rsidR="006E506F" w14:paraId="0D978CF4" w14:textId="127412A8" w:rsidTr="006E506F">
        <w:trPr>
          <w:trHeight w:val="300"/>
        </w:trPr>
        <w:tc>
          <w:tcPr>
            <w:tcW w:w="4420" w:type="dxa"/>
            <w:noWrap/>
            <w:tcMar>
              <w:top w:w="0" w:type="dxa"/>
              <w:left w:w="108" w:type="dxa"/>
              <w:bottom w:w="0" w:type="dxa"/>
              <w:right w:w="108" w:type="dxa"/>
            </w:tcMar>
            <w:vAlign w:val="bottom"/>
            <w:hideMark/>
          </w:tcPr>
          <w:p w14:paraId="1024662A" w14:textId="77777777" w:rsidR="006E506F" w:rsidRDefault="006E506F">
            <w:pPr>
              <w:rPr>
                <w:rFonts w:ascii="Calibri" w:eastAsiaTheme="minorHAnsi" w:hAnsi="Calibri"/>
                <w:color w:val="000000"/>
                <w:sz w:val="18"/>
                <w:szCs w:val="18"/>
              </w:rPr>
            </w:pPr>
            <w:r>
              <w:rPr>
                <w:color w:val="000000"/>
                <w:sz w:val="18"/>
                <w:szCs w:val="18"/>
              </w:rPr>
              <w:t xml:space="preserve"> Democratic Governance </w:t>
            </w:r>
          </w:p>
        </w:tc>
        <w:tc>
          <w:tcPr>
            <w:tcW w:w="1674" w:type="dxa"/>
            <w:noWrap/>
            <w:tcMar>
              <w:top w:w="0" w:type="dxa"/>
              <w:left w:w="108" w:type="dxa"/>
              <w:bottom w:w="0" w:type="dxa"/>
              <w:right w:w="108" w:type="dxa"/>
            </w:tcMar>
            <w:vAlign w:val="bottom"/>
            <w:hideMark/>
          </w:tcPr>
          <w:p w14:paraId="7B06D27F" w14:textId="77777777" w:rsidR="006E506F" w:rsidRDefault="006E506F">
            <w:pPr>
              <w:rPr>
                <w:rFonts w:ascii="Calibri" w:eastAsiaTheme="minorHAnsi" w:hAnsi="Calibri"/>
                <w:color w:val="000000"/>
                <w:sz w:val="18"/>
                <w:szCs w:val="18"/>
              </w:rPr>
            </w:pPr>
            <w:r>
              <w:rPr>
                <w:color w:val="000000"/>
                <w:sz w:val="18"/>
                <w:szCs w:val="18"/>
              </w:rPr>
              <w:t xml:space="preserve">               3,362,053 </w:t>
            </w:r>
          </w:p>
        </w:tc>
        <w:tc>
          <w:tcPr>
            <w:tcW w:w="1725" w:type="dxa"/>
            <w:noWrap/>
            <w:tcMar>
              <w:top w:w="0" w:type="dxa"/>
              <w:left w:w="108" w:type="dxa"/>
              <w:bottom w:w="0" w:type="dxa"/>
              <w:right w:w="108" w:type="dxa"/>
            </w:tcMar>
            <w:vAlign w:val="bottom"/>
            <w:hideMark/>
          </w:tcPr>
          <w:p w14:paraId="4FC63FE8" w14:textId="77777777" w:rsidR="006E506F" w:rsidRDefault="006E506F">
            <w:pPr>
              <w:rPr>
                <w:rFonts w:ascii="Calibri" w:eastAsiaTheme="minorHAnsi" w:hAnsi="Calibri"/>
                <w:color w:val="000000"/>
                <w:sz w:val="18"/>
                <w:szCs w:val="18"/>
              </w:rPr>
            </w:pPr>
            <w:r>
              <w:rPr>
                <w:color w:val="000000"/>
                <w:sz w:val="18"/>
                <w:szCs w:val="18"/>
              </w:rPr>
              <w:t xml:space="preserve">              34,807,105 </w:t>
            </w:r>
          </w:p>
        </w:tc>
        <w:tc>
          <w:tcPr>
            <w:tcW w:w="1662" w:type="dxa"/>
            <w:noWrap/>
            <w:tcMar>
              <w:top w:w="0" w:type="dxa"/>
              <w:left w:w="108" w:type="dxa"/>
              <w:bottom w:w="0" w:type="dxa"/>
              <w:right w:w="108" w:type="dxa"/>
            </w:tcMar>
            <w:vAlign w:val="bottom"/>
            <w:hideMark/>
          </w:tcPr>
          <w:p w14:paraId="038E852C" w14:textId="77777777" w:rsidR="006E506F" w:rsidRDefault="006E506F">
            <w:pPr>
              <w:rPr>
                <w:rFonts w:ascii="Calibri" w:eastAsiaTheme="minorHAnsi" w:hAnsi="Calibri"/>
                <w:color w:val="000000"/>
                <w:sz w:val="18"/>
                <w:szCs w:val="18"/>
              </w:rPr>
            </w:pPr>
            <w:r>
              <w:rPr>
                <w:color w:val="000000"/>
                <w:sz w:val="18"/>
                <w:szCs w:val="18"/>
              </w:rPr>
              <w:t xml:space="preserve">            38,169,158 </w:t>
            </w:r>
          </w:p>
        </w:tc>
        <w:tc>
          <w:tcPr>
            <w:tcW w:w="1262" w:type="dxa"/>
          </w:tcPr>
          <w:p w14:paraId="09FC820A" w14:textId="49A457A6" w:rsidR="006E506F" w:rsidRDefault="006E506F" w:rsidP="006E506F">
            <w:pPr>
              <w:jc w:val="right"/>
              <w:rPr>
                <w:color w:val="000000"/>
                <w:sz w:val="18"/>
                <w:szCs w:val="18"/>
              </w:rPr>
            </w:pPr>
            <w:r>
              <w:rPr>
                <w:color w:val="000000"/>
                <w:sz w:val="18"/>
                <w:szCs w:val="18"/>
              </w:rPr>
              <w:t>20.3</w:t>
            </w:r>
          </w:p>
        </w:tc>
      </w:tr>
      <w:tr w:rsidR="006E506F" w14:paraId="7769A1EE" w14:textId="3715664A" w:rsidTr="006E506F">
        <w:trPr>
          <w:trHeight w:val="300"/>
        </w:trPr>
        <w:tc>
          <w:tcPr>
            <w:tcW w:w="4420" w:type="dxa"/>
            <w:noWrap/>
            <w:tcMar>
              <w:top w:w="0" w:type="dxa"/>
              <w:left w:w="108" w:type="dxa"/>
              <w:bottom w:w="0" w:type="dxa"/>
              <w:right w:w="108" w:type="dxa"/>
            </w:tcMar>
            <w:vAlign w:val="bottom"/>
            <w:hideMark/>
          </w:tcPr>
          <w:p w14:paraId="0A072750" w14:textId="77777777" w:rsidR="006E506F" w:rsidRDefault="006E506F">
            <w:pPr>
              <w:rPr>
                <w:rFonts w:ascii="Calibri" w:eastAsiaTheme="minorHAnsi" w:hAnsi="Calibri"/>
                <w:color w:val="000000"/>
                <w:sz w:val="18"/>
                <w:szCs w:val="18"/>
              </w:rPr>
            </w:pPr>
            <w:r>
              <w:rPr>
                <w:color w:val="000000"/>
                <w:sz w:val="18"/>
                <w:szCs w:val="18"/>
              </w:rPr>
              <w:t xml:space="preserve"> Crisis Prevention and Recovery </w:t>
            </w:r>
          </w:p>
        </w:tc>
        <w:tc>
          <w:tcPr>
            <w:tcW w:w="1674" w:type="dxa"/>
            <w:noWrap/>
            <w:tcMar>
              <w:top w:w="0" w:type="dxa"/>
              <w:left w:w="108" w:type="dxa"/>
              <w:bottom w:w="0" w:type="dxa"/>
              <w:right w:w="108" w:type="dxa"/>
            </w:tcMar>
            <w:vAlign w:val="bottom"/>
            <w:hideMark/>
          </w:tcPr>
          <w:p w14:paraId="624FEA8F" w14:textId="77777777" w:rsidR="006E506F" w:rsidRDefault="006E506F">
            <w:pPr>
              <w:rPr>
                <w:rFonts w:ascii="Calibri" w:eastAsiaTheme="minorHAnsi" w:hAnsi="Calibri"/>
                <w:color w:val="000000"/>
                <w:sz w:val="18"/>
                <w:szCs w:val="18"/>
              </w:rPr>
            </w:pPr>
            <w:r>
              <w:rPr>
                <w:color w:val="000000"/>
                <w:sz w:val="18"/>
                <w:szCs w:val="18"/>
              </w:rPr>
              <w:t xml:space="preserve">               4,847,361 </w:t>
            </w:r>
          </w:p>
        </w:tc>
        <w:tc>
          <w:tcPr>
            <w:tcW w:w="1725" w:type="dxa"/>
            <w:noWrap/>
            <w:tcMar>
              <w:top w:w="0" w:type="dxa"/>
              <w:left w:w="108" w:type="dxa"/>
              <w:bottom w:w="0" w:type="dxa"/>
              <w:right w:w="108" w:type="dxa"/>
            </w:tcMar>
            <w:vAlign w:val="bottom"/>
            <w:hideMark/>
          </w:tcPr>
          <w:p w14:paraId="2EE653C1" w14:textId="77777777" w:rsidR="006E506F" w:rsidRDefault="006E506F">
            <w:pPr>
              <w:rPr>
                <w:rFonts w:ascii="Calibri" w:eastAsiaTheme="minorHAnsi" w:hAnsi="Calibri"/>
                <w:color w:val="000000"/>
                <w:sz w:val="18"/>
                <w:szCs w:val="18"/>
              </w:rPr>
            </w:pPr>
            <w:r>
              <w:rPr>
                <w:color w:val="000000"/>
                <w:sz w:val="18"/>
                <w:szCs w:val="18"/>
              </w:rPr>
              <w:t xml:space="preserve">              34,568,227 </w:t>
            </w:r>
          </w:p>
        </w:tc>
        <w:tc>
          <w:tcPr>
            <w:tcW w:w="1662" w:type="dxa"/>
            <w:noWrap/>
            <w:tcMar>
              <w:top w:w="0" w:type="dxa"/>
              <w:left w:w="108" w:type="dxa"/>
              <w:bottom w:w="0" w:type="dxa"/>
              <w:right w:w="108" w:type="dxa"/>
            </w:tcMar>
            <w:vAlign w:val="bottom"/>
            <w:hideMark/>
          </w:tcPr>
          <w:p w14:paraId="5527EADA" w14:textId="77777777" w:rsidR="006E506F" w:rsidRDefault="006E506F">
            <w:pPr>
              <w:rPr>
                <w:rFonts w:ascii="Calibri" w:eastAsiaTheme="minorHAnsi" w:hAnsi="Calibri"/>
                <w:color w:val="000000"/>
                <w:sz w:val="18"/>
                <w:szCs w:val="18"/>
              </w:rPr>
            </w:pPr>
            <w:r>
              <w:rPr>
                <w:color w:val="000000"/>
                <w:sz w:val="18"/>
                <w:szCs w:val="18"/>
              </w:rPr>
              <w:t xml:space="preserve">            39,415,588 </w:t>
            </w:r>
          </w:p>
        </w:tc>
        <w:tc>
          <w:tcPr>
            <w:tcW w:w="1262" w:type="dxa"/>
          </w:tcPr>
          <w:p w14:paraId="4B02089D" w14:textId="40C34F73" w:rsidR="006E506F" w:rsidRDefault="006E506F" w:rsidP="006E506F">
            <w:pPr>
              <w:jc w:val="right"/>
              <w:rPr>
                <w:color w:val="000000"/>
                <w:sz w:val="18"/>
                <w:szCs w:val="18"/>
              </w:rPr>
            </w:pPr>
            <w:r>
              <w:rPr>
                <w:color w:val="000000"/>
                <w:sz w:val="18"/>
                <w:szCs w:val="18"/>
              </w:rPr>
              <w:t>21</w:t>
            </w:r>
          </w:p>
        </w:tc>
      </w:tr>
      <w:tr w:rsidR="006E506F" w14:paraId="5239C82E" w14:textId="28113FCF" w:rsidTr="006E506F">
        <w:trPr>
          <w:trHeight w:val="300"/>
        </w:trPr>
        <w:tc>
          <w:tcPr>
            <w:tcW w:w="4420" w:type="dxa"/>
            <w:noWrap/>
            <w:tcMar>
              <w:top w:w="0" w:type="dxa"/>
              <w:left w:w="108" w:type="dxa"/>
              <w:bottom w:w="0" w:type="dxa"/>
              <w:right w:w="108" w:type="dxa"/>
            </w:tcMar>
            <w:vAlign w:val="bottom"/>
            <w:hideMark/>
          </w:tcPr>
          <w:p w14:paraId="2A762784" w14:textId="77777777" w:rsidR="006E506F" w:rsidRDefault="006E506F">
            <w:pPr>
              <w:rPr>
                <w:rFonts w:ascii="Calibri" w:eastAsiaTheme="minorHAnsi" w:hAnsi="Calibri"/>
                <w:color w:val="000000"/>
                <w:sz w:val="18"/>
                <w:szCs w:val="18"/>
              </w:rPr>
            </w:pPr>
            <w:r>
              <w:rPr>
                <w:color w:val="000000"/>
                <w:sz w:val="18"/>
                <w:szCs w:val="18"/>
              </w:rPr>
              <w:t xml:space="preserve"> Environment and Sustainable Development </w:t>
            </w:r>
          </w:p>
        </w:tc>
        <w:tc>
          <w:tcPr>
            <w:tcW w:w="1674" w:type="dxa"/>
            <w:noWrap/>
            <w:tcMar>
              <w:top w:w="0" w:type="dxa"/>
              <w:left w:w="108" w:type="dxa"/>
              <w:bottom w:w="0" w:type="dxa"/>
              <w:right w:w="108" w:type="dxa"/>
            </w:tcMar>
            <w:vAlign w:val="bottom"/>
            <w:hideMark/>
          </w:tcPr>
          <w:p w14:paraId="43209ADD" w14:textId="77777777" w:rsidR="006E506F" w:rsidRDefault="006E506F">
            <w:pPr>
              <w:rPr>
                <w:rFonts w:ascii="Calibri" w:eastAsiaTheme="minorHAnsi" w:hAnsi="Calibri"/>
                <w:color w:val="000000"/>
                <w:sz w:val="18"/>
                <w:szCs w:val="18"/>
              </w:rPr>
            </w:pPr>
            <w:r>
              <w:rPr>
                <w:color w:val="000000"/>
                <w:sz w:val="18"/>
                <w:szCs w:val="18"/>
              </w:rPr>
              <w:t xml:space="preserve">               2,559,910 </w:t>
            </w:r>
          </w:p>
        </w:tc>
        <w:tc>
          <w:tcPr>
            <w:tcW w:w="1725" w:type="dxa"/>
            <w:noWrap/>
            <w:tcMar>
              <w:top w:w="0" w:type="dxa"/>
              <w:left w:w="108" w:type="dxa"/>
              <w:bottom w:w="0" w:type="dxa"/>
              <w:right w:w="108" w:type="dxa"/>
            </w:tcMar>
            <w:vAlign w:val="bottom"/>
            <w:hideMark/>
          </w:tcPr>
          <w:p w14:paraId="54E1DF09" w14:textId="77777777" w:rsidR="006E506F" w:rsidRDefault="006E506F">
            <w:pPr>
              <w:rPr>
                <w:rFonts w:ascii="Calibri" w:eastAsiaTheme="minorHAnsi" w:hAnsi="Calibri"/>
                <w:color w:val="000000"/>
                <w:sz w:val="18"/>
                <w:szCs w:val="18"/>
              </w:rPr>
            </w:pPr>
            <w:r>
              <w:rPr>
                <w:color w:val="000000"/>
                <w:sz w:val="18"/>
                <w:szCs w:val="18"/>
              </w:rPr>
              <w:t xml:space="preserve">              86,227,271 </w:t>
            </w:r>
          </w:p>
        </w:tc>
        <w:tc>
          <w:tcPr>
            <w:tcW w:w="1662" w:type="dxa"/>
            <w:noWrap/>
            <w:tcMar>
              <w:top w:w="0" w:type="dxa"/>
              <w:left w:w="108" w:type="dxa"/>
              <w:bottom w:w="0" w:type="dxa"/>
              <w:right w:w="108" w:type="dxa"/>
            </w:tcMar>
            <w:vAlign w:val="bottom"/>
            <w:hideMark/>
          </w:tcPr>
          <w:p w14:paraId="7836326F" w14:textId="77777777" w:rsidR="006E506F" w:rsidRDefault="006E506F">
            <w:pPr>
              <w:rPr>
                <w:rFonts w:ascii="Calibri" w:eastAsiaTheme="minorHAnsi" w:hAnsi="Calibri"/>
                <w:color w:val="000000"/>
                <w:sz w:val="18"/>
                <w:szCs w:val="18"/>
              </w:rPr>
            </w:pPr>
            <w:r>
              <w:rPr>
                <w:color w:val="000000"/>
                <w:sz w:val="18"/>
                <w:szCs w:val="18"/>
              </w:rPr>
              <w:t xml:space="preserve">            88,787,181 </w:t>
            </w:r>
          </w:p>
        </w:tc>
        <w:tc>
          <w:tcPr>
            <w:tcW w:w="1262" w:type="dxa"/>
          </w:tcPr>
          <w:p w14:paraId="38C9BAB2" w14:textId="1FCBC7F2" w:rsidR="006E506F" w:rsidRDefault="006E506F" w:rsidP="006E506F">
            <w:pPr>
              <w:jc w:val="right"/>
              <w:rPr>
                <w:color w:val="000000"/>
                <w:sz w:val="18"/>
                <w:szCs w:val="18"/>
              </w:rPr>
            </w:pPr>
            <w:r>
              <w:rPr>
                <w:color w:val="000000"/>
                <w:sz w:val="18"/>
                <w:szCs w:val="18"/>
              </w:rPr>
              <w:t>47</w:t>
            </w:r>
          </w:p>
        </w:tc>
      </w:tr>
      <w:tr w:rsidR="006E506F" w14:paraId="1EFBAAC0" w14:textId="2E0C17FB" w:rsidTr="006E506F">
        <w:trPr>
          <w:trHeight w:val="300"/>
        </w:trPr>
        <w:tc>
          <w:tcPr>
            <w:tcW w:w="4420" w:type="dxa"/>
            <w:noWrap/>
            <w:tcMar>
              <w:top w:w="0" w:type="dxa"/>
              <w:left w:w="108" w:type="dxa"/>
              <w:bottom w:w="0" w:type="dxa"/>
              <w:right w:w="108" w:type="dxa"/>
            </w:tcMar>
            <w:vAlign w:val="bottom"/>
            <w:hideMark/>
          </w:tcPr>
          <w:p w14:paraId="0DC1704B" w14:textId="77777777" w:rsidR="006E506F" w:rsidRDefault="006E506F">
            <w:pPr>
              <w:rPr>
                <w:rFonts w:ascii="Calibri" w:eastAsiaTheme="minorHAnsi" w:hAnsi="Calibri"/>
                <w:color w:val="000000"/>
                <w:sz w:val="18"/>
                <w:szCs w:val="18"/>
              </w:rPr>
            </w:pPr>
            <w:r>
              <w:rPr>
                <w:color w:val="000000"/>
                <w:sz w:val="18"/>
                <w:szCs w:val="18"/>
              </w:rPr>
              <w:t xml:space="preserve"> Programme Monitoring and Evaluation </w:t>
            </w:r>
          </w:p>
        </w:tc>
        <w:tc>
          <w:tcPr>
            <w:tcW w:w="1674" w:type="dxa"/>
            <w:noWrap/>
            <w:tcMar>
              <w:top w:w="0" w:type="dxa"/>
              <w:left w:w="108" w:type="dxa"/>
              <w:bottom w:w="0" w:type="dxa"/>
              <w:right w:w="108" w:type="dxa"/>
            </w:tcMar>
            <w:vAlign w:val="bottom"/>
            <w:hideMark/>
          </w:tcPr>
          <w:p w14:paraId="265B6246" w14:textId="77777777" w:rsidR="006E506F" w:rsidRDefault="006E506F">
            <w:pPr>
              <w:rPr>
                <w:rFonts w:ascii="Calibri" w:eastAsiaTheme="minorHAnsi" w:hAnsi="Calibri"/>
                <w:color w:val="000000"/>
                <w:sz w:val="18"/>
                <w:szCs w:val="18"/>
              </w:rPr>
            </w:pPr>
            <w:r>
              <w:rPr>
                <w:color w:val="000000"/>
                <w:sz w:val="18"/>
                <w:szCs w:val="18"/>
              </w:rPr>
              <w:t xml:space="preserve">               1,574,226 </w:t>
            </w:r>
          </w:p>
        </w:tc>
        <w:tc>
          <w:tcPr>
            <w:tcW w:w="1725" w:type="dxa"/>
            <w:noWrap/>
            <w:tcMar>
              <w:top w:w="0" w:type="dxa"/>
              <w:left w:w="108" w:type="dxa"/>
              <w:bottom w:w="0" w:type="dxa"/>
              <w:right w:w="108" w:type="dxa"/>
            </w:tcMar>
            <w:vAlign w:val="bottom"/>
            <w:hideMark/>
          </w:tcPr>
          <w:p w14:paraId="1AD5E941" w14:textId="77777777" w:rsidR="006E506F" w:rsidRDefault="006E506F">
            <w:pPr>
              <w:rPr>
                <w:rFonts w:ascii="Calibri" w:eastAsiaTheme="minorHAnsi" w:hAnsi="Calibri"/>
                <w:color w:val="000000"/>
                <w:sz w:val="18"/>
                <w:szCs w:val="18"/>
              </w:rPr>
            </w:pPr>
            <w:r>
              <w:rPr>
                <w:color w:val="000000"/>
                <w:sz w:val="18"/>
                <w:szCs w:val="18"/>
              </w:rPr>
              <w:t xml:space="preserve">                4,889,694 </w:t>
            </w:r>
          </w:p>
        </w:tc>
        <w:tc>
          <w:tcPr>
            <w:tcW w:w="1662" w:type="dxa"/>
            <w:noWrap/>
            <w:tcMar>
              <w:top w:w="0" w:type="dxa"/>
              <w:left w:w="108" w:type="dxa"/>
              <w:bottom w:w="0" w:type="dxa"/>
              <w:right w:w="108" w:type="dxa"/>
            </w:tcMar>
            <w:vAlign w:val="bottom"/>
            <w:hideMark/>
          </w:tcPr>
          <w:p w14:paraId="1B622394" w14:textId="77777777" w:rsidR="006E506F" w:rsidRDefault="006E506F">
            <w:pPr>
              <w:rPr>
                <w:rFonts w:ascii="Calibri" w:eastAsiaTheme="minorHAnsi" w:hAnsi="Calibri"/>
                <w:color w:val="000000"/>
                <w:sz w:val="18"/>
                <w:szCs w:val="18"/>
              </w:rPr>
            </w:pPr>
            <w:r>
              <w:rPr>
                <w:color w:val="000000"/>
                <w:sz w:val="18"/>
                <w:szCs w:val="18"/>
              </w:rPr>
              <w:t xml:space="preserve">               6,463,920 </w:t>
            </w:r>
          </w:p>
        </w:tc>
        <w:tc>
          <w:tcPr>
            <w:tcW w:w="1262" w:type="dxa"/>
          </w:tcPr>
          <w:p w14:paraId="2100BF71" w14:textId="67C2483B" w:rsidR="006E506F" w:rsidRDefault="006E506F" w:rsidP="006E506F">
            <w:pPr>
              <w:jc w:val="right"/>
              <w:rPr>
                <w:color w:val="000000"/>
                <w:sz w:val="18"/>
                <w:szCs w:val="18"/>
              </w:rPr>
            </w:pPr>
            <w:r>
              <w:rPr>
                <w:color w:val="000000"/>
                <w:sz w:val="18"/>
                <w:szCs w:val="18"/>
              </w:rPr>
              <w:t>3.4</w:t>
            </w:r>
          </w:p>
        </w:tc>
      </w:tr>
      <w:tr w:rsidR="006E506F" w14:paraId="0BD88242" w14:textId="34BD21ED" w:rsidTr="006E506F">
        <w:trPr>
          <w:trHeight w:val="315"/>
        </w:trPr>
        <w:tc>
          <w:tcPr>
            <w:tcW w:w="442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37D25441" w14:textId="77777777" w:rsidR="006E506F" w:rsidRDefault="006E506F">
            <w:pPr>
              <w:rPr>
                <w:rFonts w:ascii="Calibri" w:eastAsiaTheme="minorHAnsi" w:hAnsi="Calibri"/>
                <w:color w:val="000000"/>
                <w:sz w:val="18"/>
                <w:szCs w:val="18"/>
              </w:rPr>
            </w:pPr>
            <w:r>
              <w:rPr>
                <w:color w:val="000000"/>
                <w:sz w:val="18"/>
                <w:szCs w:val="18"/>
              </w:rPr>
              <w:t xml:space="preserve"> Total </w:t>
            </w:r>
          </w:p>
        </w:tc>
        <w:tc>
          <w:tcPr>
            <w:tcW w:w="1674"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275C03C7" w14:textId="77777777" w:rsidR="006E506F" w:rsidRDefault="006E506F">
            <w:pPr>
              <w:rPr>
                <w:rFonts w:ascii="Calibri" w:eastAsiaTheme="minorHAnsi" w:hAnsi="Calibri"/>
                <w:color w:val="000000"/>
                <w:sz w:val="18"/>
                <w:szCs w:val="18"/>
              </w:rPr>
            </w:pPr>
            <w:r>
              <w:rPr>
                <w:color w:val="000000"/>
                <w:sz w:val="18"/>
                <w:szCs w:val="18"/>
              </w:rPr>
              <w:t xml:space="preserve">             15,314,251 </w:t>
            </w:r>
          </w:p>
        </w:tc>
        <w:tc>
          <w:tcPr>
            <w:tcW w:w="172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1009C0D1" w14:textId="77777777" w:rsidR="006E506F" w:rsidRDefault="006E506F">
            <w:pPr>
              <w:rPr>
                <w:rFonts w:ascii="Calibri" w:eastAsiaTheme="minorHAnsi" w:hAnsi="Calibri"/>
                <w:color w:val="000000"/>
                <w:sz w:val="18"/>
                <w:szCs w:val="18"/>
              </w:rPr>
            </w:pPr>
            <w:r>
              <w:rPr>
                <w:color w:val="000000"/>
                <w:sz w:val="18"/>
                <w:szCs w:val="18"/>
              </w:rPr>
              <w:t xml:space="preserve">           173,138,157 </w:t>
            </w:r>
          </w:p>
        </w:tc>
        <w:tc>
          <w:tcPr>
            <w:tcW w:w="1662"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136BC09" w14:textId="77777777" w:rsidR="006E506F" w:rsidRDefault="006E506F">
            <w:pPr>
              <w:rPr>
                <w:rFonts w:ascii="Calibri" w:eastAsiaTheme="minorHAnsi" w:hAnsi="Calibri"/>
                <w:color w:val="000000"/>
                <w:sz w:val="18"/>
                <w:szCs w:val="18"/>
              </w:rPr>
            </w:pPr>
            <w:r>
              <w:rPr>
                <w:color w:val="000000"/>
                <w:sz w:val="18"/>
                <w:szCs w:val="18"/>
              </w:rPr>
              <w:t xml:space="preserve">          188,452,408 </w:t>
            </w:r>
          </w:p>
        </w:tc>
        <w:tc>
          <w:tcPr>
            <w:tcW w:w="1262" w:type="dxa"/>
            <w:tcBorders>
              <w:top w:val="single" w:sz="8" w:space="0" w:color="auto"/>
              <w:left w:val="nil"/>
              <w:bottom w:val="single" w:sz="8" w:space="0" w:color="auto"/>
              <w:right w:val="nil"/>
            </w:tcBorders>
          </w:tcPr>
          <w:p w14:paraId="56CB4CB3" w14:textId="2359FDEA" w:rsidR="006E506F" w:rsidRDefault="006E506F" w:rsidP="006E506F">
            <w:pPr>
              <w:jc w:val="right"/>
              <w:rPr>
                <w:color w:val="000000"/>
                <w:sz w:val="18"/>
                <w:szCs w:val="18"/>
              </w:rPr>
            </w:pPr>
            <w:r>
              <w:rPr>
                <w:color w:val="000000"/>
                <w:sz w:val="18"/>
                <w:szCs w:val="18"/>
              </w:rPr>
              <w:t>100</w:t>
            </w:r>
          </w:p>
        </w:tc>
      </w:tr>
      <w:tr w:rsidR="006E506F" w14:paraId="7BBBA37D" w14:textId="504A536E" w:rsidTr="006E506F">
        <w:trPr>
          <w:gridAfter w:val="1"/>
          <w:wAfter w:w="1262" w:type="dxa"/>
          <w:trHeight w:val="300"/>
        </w:trPr>
        <w:tc>
          <w:tcPr>
            <w:tcW w:w="4420" w:type="dxa"/>
            <w:noWrap/>
            <w:tcMar>
              <w:top w:w="0" w:type="dxa"/>
              <w:left w:w="108" w:type="dxa"/>
              <w:bottom w:w="0" w:type="dxa"/>
              <w:right w:w="108" w:type="dxa"/>
            </w:tcMar>
            <w:vAlign w:val="bottom"/>
          </w:tcPr>
          <w:p w14:paraId="28153E49" w14:textId="3D9B5CD8" w:rsidR="006E506F" w:rsidRPr="006E506F" w:rsidRDefault="006E506F" w:rsidP="006E506F">
            <w:pPr>
              <w:ind w:left="360"/>
              <w:rPr>
                <w:rFonts w:ascii="Calibri" w:eastAsiaTheme="minorHAnsi" w:hAnsi="Calibri"/>
                <w:color w:val="000000"/>
                <w:sz w:val="18"/>
                <w:szCs w:val="18"/>
              </w:rPr>
            </w:pPr>
            <w:r>
              <w:rPr>
                <w:rFonts w:ascii="Calibri" w:eastAsiaTheme="minorHAnsi" w:hAnsi="Calibri"/>
                <w:color w:val="000000"/>
                <w:sz w:val="18"/>
                <w:szCs w:val="18"/>
              </w:rPr>
              <w:t xml:space="preserve">* </w:t>
            </w:r>
            <w:r w:rsidRPr="006E506F">
              <w:rPr>
                <w:rFonts w:ascii="Calibri" w:eastAsiaTheme="minorHAnsi" w:hAnsi="Calibri"/>
                <w:color w:val="000000"/>
                <w:sz w:val="18"/>
                <w:szCs w:val="18"/>
              </w:rPr>
              <w:t>Table includes planned delivery for 2015.</w:t>
            </w:r>
          </w:p>
          <w:p w14:paraId="5203500F" w14:textId="77777777" w:rsidR="006E506F" w:rsidRDefault="006E506F">
            <w:pPr>
              <w:rPr>
                <w:rFonts w:ascii="Calibri" w:eastAsiaTheme="minorHAnsi" w:hAnsi="Calibri"/>
                <w:color w:val="000000"/>
                <w:sz w:val="18"/>
                <w:szCs w:val="18"/>
              </w:rPr>
            </w:pPr>
          </w:p>
          <w:p w14:paraId="1C6D6989" w14:textId="0D9D4761" w:rsidR="006E506F" w:rsidRDefault="006E506F">
            <w:pPr>
              <w:rPr>
                <w:rFonts w:ascii="Calibri" w:eastAsiaTheme="minorHAnsi" w:hAnsi="Calibri"/>
                <w:color w:val="000000"/>
                <w:sz w:val="18"/>
                <w:szCs w:val="18"/>
              </w:rPr>
            </w:pPr>
          </w:p>
        </w:tc>
        <w:tc>
          <w:tcPr>
            <w:tcW w:w="5061" w:type="dxa"/>
            <w:gridSpan w:val="3"/>
          </w:tcPr>
          <w:p w14:paraId="4E6F8C16" w14:textId="77777777" w:rsidR="006E506F" w:rsidRDefault="006E506F">
            <w:pPr>
              <w:rPr>
                <w:rFonts w:ascii="Calibri" w:eastAsiaTheme="minorHAnsi" w:hAnsi="Calibri"/>
                <w:color w:val="000000"/>
                <w:sz w:val="18"/>
                <w:szCs w:val="18"/>
              </w:rPr>
            </w:pPr>
          </w:p>
        </w:tc>
      </w:tr>
    </w:tbl>
    <w:tbl>
      <w:tblPr>
        <w:tblStyle w:val="TableGrid"/>
        <w:tblW w:w="0" w:type="auto"/>
        <w:tblLook w:val="04A0" w:firstRow="1" w:lastRow="0" w:firstColumn="1" w:lastColumn="0" w:noHBand="0" w:noVBand="1"/>
      </w:tblPr>
      <w:tblGrid>
        <w:gridCol w:w="14176"/>
      </w:tblGrid>
      <w:tr w:rsidR="002547CF" w:rsidRPr="006900FE" w14:paraId="2869F864" w14:textId="77777777" w:rsidTr="00B64ACA">
        <w:tc>
          <w:tcPr>
            <w:tcW w:w="14176" w:type="dxa"/>
          </w:tcPr>
          <w:p w14:paraId="2869F863" w14:textId="46065DB4" w:rsidR="002547CF" w:rsidRPr="006900FE" w:rsidRDefault="002547CF" w:rsidP="00E74058">
            <w:pPr>
              <w:pStyle w:val="BodyText2"/>
              <w:jc w:val="both"/>
              <w:rPr>
                <w:rFonts w:asciiTheme="minorHAnsi" w:hAnsiTheme="minorHAnsi"/>
                <w:b/>
              </w:rPr>
            </w:pPr>
            <w:r w:rsidRPr="006900FE">
              <w:rPr>
                <w:rFonts w:asciiTheme="minorHAnsi" w:hAnsiTheme="minorHAnsi"/>
                <w:b/>
              </w:rPr>
              <w:t xml:space="preserve">Data sources:  </w:t>
            </w:r>
            <w:r w:rsidR="00165CA3">
              <w:rPr>
                <w:rFonts w:asciiTheme="minorHAnsi" w:hAnsiTheme="minorHAnsi"/>
                <w:b/>
              </w:rPr>
              <w:t>Mid-term evaluation of the CPAP 2014; Country Office Annual Report on Performance 2014.</w:t>
            </w:r>
          </w:p>
        </w:tc>
      </w:tr>
      <w:tr w:rsidR="00B64ACA" w:rsidRPr="006900FE" w14:paraId="2869F86A" w14:textId="77777777" w:rsidTr="00B64ACA">
        <w:tc>
          <w:tcPr>
            <w:tcW w:w="14176" w:type="dxa"/>
          </w:tcPr>
          <w:p w14:paraId="2869F869" w14:textId="77777777" w:rsidR="008D791F" w:rsidRPr="006900FE" w:rsidRDefault="008D791F" w:rsidP="00E74058">
            <w:pPr>
              <w:pStyle w:val="BodyText2"/>
              <w:jc w:val="both"/>
              <w:rPr>
                <w:rFonts w:asciiTheme="minorHAnsi" w:hAnsiTheme="minorHAnsi"/>
                <w:b/>
              </w:rPr>
            </w:pPr>
          </w:p>
        </w:tc>
      </w:tr>
    </w:tbl>
    <w:p w14:paraId="2869F86B" w14:textId="77777777" w:rsidR="00635929" w:rsidRDefault="00635929" w:rsidP="00E74058">
      <w:pPr>
        <w:pStyle w:val="BodyText2"/>
        <w:jc w:val="both"/>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28F6" w14:textId="77777777" w:rsidR="00336CA0" w:rsidRDefault="00336CA0">
      <w:r>
        <w:separator/>
      </w:r>
    </w:p>
  </w:endnote>
  <w:endnote w:type="continuationSeparator" w:id="0">
    <w:p w14:paraId="5B5F3B14" w14:textId="77777777" w:rsidR="00336CA0" w:rsidRDefault="0033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B50E12" w:rsidRDefault="00B50E12">
        <w:pPr>
          <w:pStyle w:val="Footer"/>
          <w:jc w:val="center"/>
        </w:pPr>
        <w:r>
          <w:fldChar w:fldCharType="begin"/>
        </w:r>
        <w:r>
          <w:instrText xml:space="preserve"> PAGE   \* MERGEFORMAT </w:instrText>
        </w:r>
        <w:r>
          <w:fldChar w:fldCharType="separate"/>
        </w:r>
        <w:r w:rsidR="00F16E67">
          <w:rPr>
            <w:noProof/>
          </w:rPr>
          <w:t>2</w:t>
        </w:r>
        <w:r>
          <w:rPr>
            <w:noProof/>
          </w:rPr>
          <w:fldChar w:fldCharType="end"/>
        </w:r>
      </w:p>
    </w:sdtContent>
  </w:sdt>
  <w:p w14:paraId="2869F872" w14:textId="77777777" w:rsidR="00B50E12" w:rsidRDefault="00B5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920C" w14:textId="77777777" w:rsidR="00336CA0" w:rsidRDefault="00336CA0">
      <w:r>
        <w:separator/>
      </w:r>
    </w:p>
  </w:footnote>
  <w:footnote w:type="continuationSeparator" w:id="0">
    <w:p w14:paraId="68869829" w14:textId="77777777" w:rsidR="00336CA0" w:rsidRDefault="00336CA0">
      <w:r>
        <w:continuationSeparator/>
      </w:r>
    </w:p>
  </w:footnote>
  <w:footnote w:id="1">
    <w:p w14:paraId="2869F873" w14:textId="77777777" w:rsidR="00B50E12" w:rsidRPr="0064746F" w:rsidRDefault="00B50E12">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3F37F12F" w14:textId="77777777" w:rsidR="00B50E12" w:rsidRPr="00BE7BDF" w:rsidRDefault="00B50E12" w:rsidP="00A8418D">
      <w:pPr>
        <w:pStyle w:val="FootnoteText"/>
      </w:pPr>
      <w:r>
        <w:rPr>
          <w:rStyle w:val="FootnoteReference"/>
        </w:rPr>
        <w:footnoteRef/>
      </w:r>
      <w:r>
        <w:t xml:space="preserve"> Hydrochlorofluorocarbons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870" w14:textId="77777777" w:rsidR="00B50E12" w:rsidRPr="00517955" w:rsidRDefault="00B50E12">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30E"/>
    <w:multiLevelType w:val="hybridMultilevel"/>
    <w:tmpl w:val="CAE41AA0"/>
    <w:lvl w:ilvl="0" w:tplc="C8C6101A">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8295A"/>
    <w:multiLevelType w:val="hybridMultilevel"/>
    <w:tmpl w:val="ADEE0D16"/>
    <w:lvl w:ilvl="0" w:tplc="AF8400E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50BC7"/>
    <w:multiLevelType w:val="multilevel"/>
    <w:tmpl w:val="0624EC6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C66004"/>
    <w:multiLevelType w:val="hybridMultilevel"/>
    <w:tmpl w:val="8BEEB626"/>
    <w:lvl w:ilvl="0" w:tplc="7CFC3EFE">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50AF"/>
    <w:multiLevelType w:val="hybridMultilevel"/>
    <w:tmpl w:val="228E2308"/>
    <w:lvl w:ilvl="0" w:tplc="08BEBF94">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21289"/>
    <w:multiLevelType w:val="hybridMultilevel"/>
    <w:tmpl w:val="B102409E"/>
    <w:lvl w:ilvl="0" w:tplc="4D065F14">
      <w:start w:val="1"/>
      <w:numFmt w:val="decimal"/>
      <w:pStyle w:val="NormanlNumb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702547"/>
    <w:multiLevelType w:val="hybridMultilevel"/>
    <w:tmpl w:val="A482B134"/>
    <w:lvl w:ilvl="0" w:tplc="84509B3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D0373"/>
    <w:multiLevelType w:val="hybridMultilevel"/>
    <w:tmpl w:val="E7F2DC08"/>
    <w:lvl w:ilvl="0" w:tplc="A3962D96">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93807"/>
    <w:multiLevelType w:val="hybridMultilevel"/>
    <w:tmpl w:val="2FAE7526"/>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816CAA"/>
    <w:multiLevelType w:val="hybridMultilevel"/>
    <w:tmpl w:val="183C2544"/>
    <w:lvl w:ilvl="0" w:tplc="13CCF532">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284809"/>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282D06"/>
    <w:multiLevelType w:val="hybridMultilevel"/>
    <w:tmpl w:val="ED0CAA78"/>
    <w:lvl w:ilvl="0" w:tplc="D98EC73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E3056"/>
    <w:multiLevelType w:val="hybridMultilevel"/>
    <w:tmpl w:val="21123344"/>
    <w:lvl w:ilvl="0" w:tplc="A2C258BA">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62F13"/>
    <w:multiLevelType w:val="hybridMultilevel"/>
    <w:tmpl w:val="35DCB4D2"/>
    <w:lvl w:ilvl="0" w:tplc="8E306A6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8E201AA"/>
    <w:multiLevelType w:val="hybridMultilevel"/>
    <w:tmpl w:val="06A06CC2"/>
    <w:lvl w:ilvl="0" w:tplc="B00EB306">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04248"/>
    <w:multiLevelType w:val="hybridMultilevel"/>
    <w:tmpl w:val="1D12BD38"/>
    <w:lvl w:ilvl="0" w:tplc="D508276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4"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944D7"/>
    <w:multiLevelType w:val="hybridMultilevel"/>
    <w:tmpl w:val="5B984DB0"/>
    <w:lvl w:ilvl="0" w:tplc="D508276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17C46"/>
    <w:multiLevelType w:val="multilevel"/>
    <w:tmpl w:val="CA3ACA9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053DE0"/>
    <w:multiLevelType w:val="hybridMultilevel"/>
    <w:tmpl w:val="D7D6A66E"/>
    <w:lvl w:ilvl="0" w:tplc="EA30C98C">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81D28"/>
    <w:multiLevelType w:val="hybridMultilevel"/>
    <w:tmpl w:val="A70E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A27ED"/>
    <w:multiLevelType w:val="hybridMultilevel"/>
    <w:tmpl w:val="F40650EA"/>
    <w:lvl w:ilvl="0" w:tplc="D9AC514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276AEE"/>
    <w:multiLevelType w:val="multilevel"/>
    <w:tmpl w:val="FA6205A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A062F18"/>
    <w:multiLevelType w:val="hybridMultilevel"/>
    <w:tmpl w:val="DB20FD5A"/>
    <w:lvl w:ilvl="0" w:tplc="B7F23D0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5156AB4"/>
    <w:multiLevelType w:val="hybridMultilevel"/>
    <w:tmpl w:val="7E643BB0"/>
    <w:lvl w:ilvl="0" w:tplc="4AFCF754">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84F87"/>
    <w:multiLevelType w:val="hybridMultilevel"/>
    <w:tmpl w:val="8B26A876"/>
    <w:lvl w:ilvl="0" w:tplc="99BAFC18">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56C56"/>
    <w:multiLevelType w:val="hybridMultilevel"/>
    <w:tmpl w:val="E6C24E28"/>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15"/>
  </w:num>
  <w:num w:numId="4">
    <w:abstractNumId w:val="11"/>
  </w:num>
  <w:num w:numId="5">
    <w:abstractNumId w:val="28"/>
  </w:num>
  <w:num w:numId="6">
    <w:abstractNumId w:val="30"/>
  </w:num>
  <w:num w:numId="7">
    <w:abstractNumId w:val="6"/>
  </w:num>
  <w:num w:numId="8">
    <w:abstractNumId w:val="29"/>
  </w:num>
  <w:num w:numId="9">
    <w:abstractNumId w:val="12"/>
  </w:num>
  <w:num w:numId="10">
    <w:abstractNumId w:val="20"/>
  </w:num>
  <w:num w:numId="11">
    <w:abstractNumId w:val="38"/>
  </w:num>
  <w:num w:numId="12">
    <w:abstractNumId w:val="24"/>
  </w:num>
  <w:num w:numId="13">
    <w:abstractNumId w:val="26"/>
  </w:num>
  <w:num w:numId="14">
    <w:abstractNumId w:val="16"/>
  </w:num>
  <w:num w:numId="15">
    <w:abstractNumId w:val="1"/>
  </w:num>
  <w:num w:numId="16">
    <w:abstractNumId w:val="35"/>
  </w:num>
  <w:num w:numId="17">
    <w:abstractNumId w:val="31"/>
  </w:num>
  <w:num w:numId="18">
    <w:abstractNumId w:val="36"/>
  </w:num>
  <w:num w:numId="19">
    <w:abstractNumId w:val="27"/>
  </w:num>
  <w:num w:numId="20">
    <w:abstractNumId w:val="10"/>
  </w:num>
  <w:num w:numId="21">
    <w:abstractNumId w:val="4"/>
  </w:num>
  <w:num w:numId="22">
    <w:abstractNumId w:val="37"/>
  </w:num>
  <w:num w:numId="23">
    <w:abstractNumId w:val="41"/>
  </w:num>
  <w:num w:numId="24">
    <w:abstractNumId w:val="13"/>
  </w:num>
  <w:num w:numId="25">
    <w:abstractNumId w:val="25"/>
  </w:num>
  <w:num w:numId="26">
    <w:abstractNumId w:val="7"/>
  </w:num>
  <w:num w:numId="27">
    <w:abstractNumId w:val="32"/>
  </w:num>
  <w:num w:numId="28">
    <w:abstractNumId w:val="5"/>
  </w:num>
  <w:num w:numId="29">
    <w:abstractNumId w:val="18"/>
  </w:num>
  <w:num w:numId="30">
    <w:abstractNumId w:val="0"/>
  </w:num>
  <w:num w:numId="31">
    <w:abstractNumId w:val="21"/>
  </w:num>
  <w:num w:numId="32">
    <w:abstractNumId w:val="19"/>
  </w:num>
  <w:num w:numId="33">
    <w:abstractNumId w:val="14"/>
  </w:num>
  <w:num w:numId="34">
    <w:abstractNumId w:val="39"/>
  </w:num>
  <w:num w:numId="35">
    <w:abstractNumId w:val="22"/>
  </w:num>
  <w:num w:numId="36">
    <w:abstractNumId w:val="40"/>
  </w:num>
  <w:num w:numId="37">
    <w:abstractNumId w:val="17"/>
  </w:num>
  <w:num w:numId="38">
    <w:abstractNumId w:val="9"/>
  </w:num>
  <w:num w:numId="39">
    <w:abstractNumId w:val="34"/>
  </w:num>
  <w:num w:numId="40">
    <w:abstractNumId w:val="8"/>
  </w:num>
  <w:num w:numId="41">
    <w:abstractNumId w:val="3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331"/>
    <w:rsid w:val="00011A63"/>
    <w:rsid w:val="00014C03"/>
    <w:rsid w:val="00017B8E"/>
    <w:rsid w:val="0003789A"/>
    <w:rsid w:val="00044DDE"/>
    <w:rsid w:val="000502AD"/>
    <w:rsid w:val="00080667"/>
    <w:rsid w:val="000823AC"/>
    <w:rsid w:val="000A049E"/>
    <w:rsid w:val="000B1091"/>
    <w:rsid w:val="000C09B4"/>
    <w:rsid w:val="000C1FD3"/>
    <w:rsid w:val="000C4457"/>
    <w:rsid w:val="000D6DE5"/>
    <w:rsid w:val="000E1370"/>
    <w:rsid w:val="000E1419"/>
    <w:rsid w:val="000F77FD"/>
    <w:rsid w:val="00103A84"/>
    <w:rsid w:val="00106A18"/>
    <w:rsid w:val="00125FB0"/>
    <w:rsid w:val="00135E07"/>
    <w:rsid w:val="0015409F"/>
    <w:rsid w:val="00157815"/>
    <w:rsid w:val="00165CA3"/>
    <w:rsid w:val="001663A4"/>
    <w:rsid w:val="00167DA9"/>
    <w:rsid w:val="00167FE0"/>
    <w:rsid w:val="00176076"/>
    <w:rsid w:val="00180273"/>
    <w:rsid w:val="001956C7"/>
    <w:rsid w:val="0019587C"/>
    <w:rsid w:val="001A4D75"/>
    <w:rsid w:val="001B721D"/>
    <w:rsid w:val="001D03D4"/>
    <w:rsid w:val="001D3A31"/>
    <w:rsid w:val="001F098F"/>
    <w:rsid w:val="001F3524"/>
    <w:rsid w:val="0020236C"/>
    <w:rsid w:val="002058BA"/>
    <w:rsid w:val="00213C92"/>
    <w:rsid w:val="00220822"/>
    <w:rsid w:val="00230A0E"/>
    <w:rsid w:val="002315A5"/>
    <w:rsid w:val="00232597"/>
    <w:rsid w:val="002547CF"/>
    <w:rsid w:val="0026321D"/>
    <w:rsid w:val="00270A1A"/>
    <w:rsid w:val="0029439F"/>
    <w:rsid w:val="002B1719"/>
    <w:rsid w:val="002C33D0"/>
    <w:rsid w:val="002C4B80"/>
    <w:rsid w:val="002C7C02"/>
    <w:rsid w:val="002D43B6"/>
    <w:rsid w:val="002F7E65"/>
    <w:rsid w:val="00315A12"/>
    <w:rsid w:val="00316520"/>
    <w:rsid w:val="0032170C"/>
    <w:rsid w:val="0032175A"/>
    <w:rsid w:val="00322DEA"/>
    <w:rsid w:val="00326283"/>
    <w:rsid w:val="00336CA0"/>
    <w:rsid w:val="00337508"/>
    <w:rsid w:val="00346615"/>
    <w:rsid w:val="003476A7"/>
    <w:rsid w:val="00347861"/>
    <w:rsid w:val="00354CB5"/>
    <w:rsid w:val="00357B0E"/>
    <w:rsid w:val="00363EC5"/>
    <w:rsid w:val="00366AD1"/>
    <w:rsid w:val="00370F74"/>
    <w:rsid w:val="0037523B"/>
    <w:rsid w:val="003752A0"/>
    <w:rsid w:val="00396F34"/>
    <w:rsid w:val="003A51F5"/>
    <w:rsid w:val="003B037A"/>
    <w:rsid w:val="003B0607"/>
    <w:rsid w:val="003B24E2"/>
    <w:rsid w:val="003B422F"/>
    <w:rsid w:val="003D653B"/>
    <w:rsid w:val="003E5E09"/>
    <w:rsid w:val="003F4F4C"/>
    <w:rsid w:val="004004FC"/>
    <w:rsid w:val="004042C9"/>
    <w:rsid w:val="00417008"/>
    <w:rsid w:val="00420CEC"/>
    <w:rsid w:val="00421A9B"/>
    <w:rsid w:val="00424E4F"/>
    <w:rsid w:val="00427B78"/>
    <w:rsid w:val="0043559F"/>
    <w:rsid w:val="004475E6"/>
    <w:rsid w:val="00461D62"/>
    <w:rsid w:val="00472098"/>
    <w:rsid w:val="004732D4"/>
    <w:rsid w:val="0047429E"/>
    <w:rsid w:val="00495C48"/>
    <w:rsid w:val="004B31A6"/>
    <w:rsid w:val="004B3911"/>
    <w:rsid w:val="004C595C"/>
    <w:rsid w:val="004D031E"/>
    <w:rsid w:val="004D2B27"/>
    <w:rsid w:val="004D3DBE"/>
    <w:rsid w:val="004D713F"/>
    <w:rsid w:val="00516AC8"/>
    <w:rsid w:val="00517955"/>
    <w:rsid w:val="0052724C"/>
    <w:rsid w:val="00530FDE"/>
    <w:rsid w:val="005311E2"/>
    <w:rsid w:val="0053698B"/>
    <w:rsid w:val="00537584"/>
    <w:rsid w:val="00544E8C"/>
    <w:rsid w:val="00545695"/>
    <w:rsid w:val="005474ED"/>
    <w:rsid w:val="005555FD"/>
    <w:rsid w:val="005836A2"/>
    <w:rsid w:val="00587DD1"/>
    <w:rsid w:val="005A5F0C"/>
    <w:rsid w:val="005A73E1"/>
    <w:rsid w:val="005A7B65"/>
    <w:rsid w:val="005C0B9B"/>
    <w:rsid w:val="005C6168"/>
    <w:rsid w:val="005E0C05"/>
    <w:rsid w:val="005F2E08"/>
    <w:rsid w:val="005F6261"/>
    <w:rsid w:val="00600197"/>
    <w:rsid w:val="00607AA1"/>
    <w:rsid w:val="00607D5C"/>
    <w:rsid w:val="00612159"/>
    <w:rsid w:val="00615727"/>
    <w:rsid w:val="00623DEE"/>
    <w:rsid w:val="00634354"/>
    <w:rsid w:val="00635929"/>
    <w:rsid w:val="00640761"/>
    <w:rsid w:val="00645E6A"/>
    <w:rsid w:val="006473C6"/>
    <w:rsid w:val="0064746F"/>
    <w:rsid w:val="0067326C"/>
    <w:rsid w:val="00673710"/>
    <w:rsid w:val="00674B1A"/>
    <w:rsid w:val="006810AC"/>
    <w:rsid w:val="006900FE"/>
    <w:rsid w:val="00691AD4"/>
    <w:rsid w:val="00694F35"/>
    <w:rsid w:val="006A655D"/>
    <w:rsid w:val="006A6F03"/>
    <w:rsid w:val="006A7AB0"/>
    <w:rsid w:val="006E3007"/>
    <w:rsid w:val="006E506F"/>
    <w:rsid w:val="006F5D19"/>
    <w:rsid w:val="0070037B"/>
    <w:rsid w:val="00700521"/>
    <w:rsid w:val="007040C3"/>
    <w:rsid w:val="0074064B"/>
    <w:rsid w:val="00745866"/>
    <w:rsid w:val="00747930"/>
    <w:rsid w:val="007479D7"/>
    <w:rsid w:val="0075431F"/>
    <w:rsid w:val="0076065B"/>
    <w:rsid w:val="00760E32"/>
    <w:rsid w:val="00764111"/>
    <w:rsid w:val="00764E41"/>
    <w:rsid w:val="00771515"/>
    <w:rsid w:val="00776056"/>
    <w:rsid w:val="00790C12"/>
    <w:rsid w:val="007948A1"/>
    <w:rsid w:val="00795E5B"/>
    <w:rsid w:val="007A1499"/>
    <w:rsid w:val="007A5E04"/>
    <w:rsid w:val="007C1B15"/>
    <w:rsid w:val="007E1663"/>
    <w:rsid w:val="008018C5"/>
    <w:rsid w:val="00802EAF"/>
    <w:rsid w:val="00806C5A"/>
    <w:rsid w:val="00813F1E"/>
    <w:rsid w:val="0081403B"/>
    <w:rsid w:val="00835892"/>
    <w:rsid w:val="00837C4B"/>
    <w:rsid w:val="0084052F"/>
    <w:rsid w:val="008425BE"/>
    <w:rsid w:val="00842737"/>
    <w:rsid w:val="00843006"/>
    <w:rsid w:val="008440D9"/>
    <w:rsid w:val="00845340"/>
    <w:rsid w:val="00860E6B"/>
    <w:rsid w:val="00863707"/>
    <w:rsid w:val="00867AAC"/>
    <w:rsid w:val="008769FC"/>
    <w:rsid w:val="0087756F"/>
    <w:rsid w:val="00880F28"/>
    <w:rsid w:val="00882ECA"/>
    <w:rsid w:val="00883368"/>
    <w:rsid w:val="00891490"/>
    <w:rsid w:val="00892478"/>
    <w:rsid w:val="008B06DD"/>
    <w:rsid w:val="008B2AE8"/>
    <w:rsid w:val="008B7708"/>
    <w:rsid w:val="008C2EBA"/>
    <w:rsid w:val="008C3968"/>
    <w:rsid w:val="008C7456"/>
    <w:rsid w:val="008D4556"/>
    <w:rsid w:val="008D791F"/>
    <w:rsid w:val="008E664E"/>
    <w:rsid w:val="008F0A97"/>
    <w:rsid w:val="008F5F73"/>
    <w:rsid w:val="00901EE4"/>
    <w:rsid w:val="00911297"/>
    <w:rsid w:val="00913DA6"/>
    <w:rsid w:val="00920DBC"/>
    <w:rsid w:val="009353D7"/>
    <w:rsid w:val="00942B3B"/>
    <w:rsid w:val="00943B70"/>
    <w:rsid w:val="00967F59"/>
    <w:rsid w:val="009711F9"/>
    <w:rsid w:val="0097197E"/>
    <w:rsid w:val="00975566"/>
    <w:rsid w:val="009813F1"/>
    <w:rsid w:val="00990CED"/>
    <w:rsid w:val="009B03A0"/>
    <w:rsid w:val="009B0E47"/>
    <w:rsid w:val="009B76A1"/>
    <w:rsid w:val="009C23CD"/>
    <w:rsid w:val="009C3E77"/>
    <w:rsid w:val="009C7BA8"/>
    <w:rsid w:val="009E7526"/>
    <w:rsid w:val="009F21FD"/>
    <w:rsid w:val="00A0001A"/>
    <w:rsid w:val="00A046D3"/>
    <w:rsid w:val="00A06BBE"/>
    <w:rsid w:val="00A15ADF"/>
    <w:rsid w:val="00A1786A"/>
    <w:rsid w:val="00A210CD"/>
    <w:rsid w:val="00A26AD9"/>
    <w:rsid w:val="00A30EBB"/>
    <w:rsid w:val="00A31539"/>
    <w:rsid w:val="00A37A50"/>
    <w:rsid w:val="00A40130"/>
    <w:rsid w:val="00A41B5A"/>
    <w:rsid w:val="00A447AF"/>
    <w:rsid w:val="00A44F24"/>
    <w:rsid w:val="00A45528"/>
    <w:rsid w:val="00A45893"/>
    <w:rsid w:val="00A53E21"/>
    <w:rsid w:val="00A57912"/>
    <w:rsid w:val="00A63B14"/>
    <w:rsid w:val="00A74149"/>
    <w:rsid w:val="00A8418D"/>
    <w:rsid w:val="00A85E34"/>
    <w:rsid w:val="00A95B56"/>
    <w:rsid w:val="00A95D0B"/>
    <w:rsid w:val="00AA684A"/>
    <w:rsid w:val="00AC7477"/>
    <w:rsid w:val="00AD2166"/>
    <w:rsid w:val="00B00E5C"/>
    <w:rsid w:val="00B053BE"/>
    <w:rsid w:val="00B2050D"/>
    <w:rsid w:val="00B2431D"/>
    <w:rsid w:val="00B25B8C"/>
    <w:rsid w:val="00B32ADA"/>
    <w:rsid w:val="00B3381A"/>
    <w:rsid w:val="00B50E12"/>
    <w:rsid w:val="00B64ACA"/>
    <w:rsid w:val="00B65B29"/>
    <w:rsid w:val="00B71CC0"/>
    <w:rsid w:val="00B91215"/>
    <w:rsid w:val="00BB58F6"/>
    <w:rsid w:val="00BC38E0"/>
    <w:rsid w:val="00BC6690"/>
    <w:rsid w:val="00BD0173"/>
    <w:rsid w:val="00BE2925"/>
    <w:rsid w:val="00BE4B50"/>
    <w:rsid w:val="00BF23A1"/>
    <w:rsid w:val="00C04783"/>
    <w:rsid w:val="00C05008"/>
    <w:rsid w:val="00C13737"/>
    <w:rsid w:val="00C33773"/>
    <w:rsid w:val="00C43E81"/>
    <w:rsid w:val="00C450D4"/>
    <w:rsid w:val="00C5457D"/>
    <w:rsid w:val="00C66DE1"/>
    <w:rsid w:val="00C83182"/>
    <w:rsid w:val="00C8680D"/>
    <w:rsid w:val="00C90A1C"/>
    <w:rsid w:val="00C97E31"/>
    <w:rsid w:val="00CB647D"/>
    <w:rsid w:val="00CD66B2"/>
    <w:rsid w:val="00CE7F11"/>
    <w:rsid w:val="00CF26FC"/>
    <w:rsid w:val="00D0030A"/>
    <w:rsid w:val="00D1469C"/>
    <w:rsid w:val="00D15FE8"/>
    <w:rsid w:val="00D1775E"/>
    <w:rsid w:val="00D27C8C"/>
    <w:rsid w:val="00D30BE3"/>
    <w:rsid w:val="00D55B6C"/>
    <w:rsid w:val="00D80A4F"/>
    <w:rsid w:val="00D879D4"/>
    <w:rsid w:val="00D9192E"/>
    <w:rsid w:val="00D9662F"/>
    <w:rsid w:val="00DC4D86"/>
    <w:rsid w:val="00DC7354"/>
    <w:rsid w:val="00DD4368"/>
    <w:rsid w:val="00DD6439"/>
    <w:rsid w:val="00DE7B50"/>
    <w:rsid w:val="00DF0357"/>
    <w:rsid w:val="00E05F1A"/>
    <w:rsid w:val="00E06A4E"/>
    <w:rsid w:val="00E1547F"/>
    <w:rsid w:val="00E278CA"/>
    <w:rsid w:val="00E32ACA"/>
    <w:rsid w:val="00E37E7A"/>
    <w:rsid w:val="00E50523"/>
    <w:rsid w:val="00E74058"/>
    <w:rsid w:val="00E770DC"/>
    <w:rsid w:val="00E87529"/>
    <w:rsid w:val="00EA76E3"/>
    <w:rsid w:val="00EA7740"/>
    <w:rsid w:val="00EB5215"/>
    <w:rsid w:val="00EC4E64"/>
    <w:rsid w:val="00EC7BBC"/>
    <w:rsid w:val="00EE0972"/>
    <w:rsid w:val="00EE1D60"/>
    <w:rsid w:val="00EE3F74"/>
    <w:rsid w:val="00F01BDE"/>
    <w:rsid w:val="00F01FDE"/>
    <w:rsid w:val="00F03EB8"/>
    <w:rsid w:val="00F1587E"/>
    <w:rsid w:val="00F16195"/>
    <w:rsid w:val="00F16E67"/>
    <w:rsid w:val="00F22323"/>
    <w:rsid w:val="00F31949"/>
    <w:rsid w:val="00F37FA7"/>
    <w:rsid w:val="00F476CA"/>
    <w:rsid w:val="00F51106"/>
    <w:rsid w:val="00F826EC"/>
    <w:rsid w:val="00F846AB"/>
    <w:rsid w:val="00F84FD4"/>
    <w:rsid w:val="00F92B5D"/>
    <w:rsid w:val="00FB2C4C"/>
    <w:rsid w:val="00FB3DB2"/>
    <w:rsid w:val="00FB778F"/>
    <w:rsid w:val="00FC165E"/>
    <w:rsid w:val="00FC49E0"/>
    <w:rsid w:val="00FC5FF7"/>
    <w:rsid w:val="00FE3711"/>
    <w:rsid w:val="00FF15F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E90A0CF4-AF5D-4E11-91E1-DA96F0CD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single space,Footnote Text Char Char Char,Footnote Text Char Char Char1,Footnote Text Char Char Char2 Char,Footnote Text Char Char Char1 Char,Footnote Text Char Char"/>
    <w:basedOn w:val="Normal"/>
    <w:link w:val="FootnoteTextChar"/>
    <w:uiPriority w:val="99"/>
    <w:rsid w:val="001F3524"/>
    <w:rPr>
      <w:sz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paragraph" w:styleId="BalloonText">
    <w:name w:val="Balloon Text"/>
    <w:basedOn w:val="Normal"/>
    <w:link w:val="BalloonTextChar"/>
    <w:semiHidden/>
    <w:unhideWhenUsed/>
    <w:rsid w:val="00CD66B2"/>
    <w:rPr>
      <w:rFonts w:ascii="Segoe UI" w:hAnsi="Segoe UI" w:cs="Segoe UI"/>
      <w:sz w:val="18"/>
      <w:szCs w:val="18"/>
    </w:rPr>
  </w:style>
  <w:style w:type="character" w:customStyle="1" w:styleId="BalloonTextChar">
    <w:name w:val="Balloon Text Char"/>
    <w:basedOn w:val="DefaultParagraphFont"/>
    <w:link w:val="BalloonText"/>
    <w:semiHidden/>
    <w:rsid w:val="00CD66B2"/>
    <w:rPr>
      <w:rFonts w:ascii="Segoe UI" w:hAnsi="Segoe UI" w:cs="Segoe UI"/>
      <w:sz w:val="18"/>
      <w:szCs w:val="18"/>
    </w:rPr>
  </w:style>
  <w:style w:type="paragraph" w:styleId="CommentText">
    <w:name w:val="annotation text"/>
    <w:basedOn w:val="Normal"/>
    <w:link w:val="CommentTextChar"/>
    <w:uiPriority w:val="99"/>
    <w:rsid w:val="004475E6"/>
    <w:pPr>
      <w:widowControl/>
    </w:pPr>
    <w:rPr>
      <w:rFonts w:eastAsia="MS Mincho"/>
      <w:sz w:val="20"/>
    </w:rPr>
  </w:style>
  <w:style w:type="character" w:customStyle="1" w:styleId="CommentTextChar">
    <w:name w:val="Comment Text Char"/>
    <w:basedOn w:val="DefaultParagraphFont"/>
    <w:link w:val="CommentText"/>
    <w:uiPriority w:val="99"/>
    <w:rsid w:val="004475E6"/>
    <w:rPr>
      <w:rFonts w:eastAsia="MS Mincho"/>
    </w:rPr>
  </w:style>
  <w:style w:type="paragraph" w:styleId="ListParagraph">
    <w:name w:val="List Paragraph"/>
    <w:basedOn w:val="Normal"/>
    <w:link w:val="ListParagraphChar"/>
    <w:uiPriority w:val="34"/>
    <w:qFormat/>
    <w:rsid w:val="00F01BDE"/>
    <w:pPr>
      <w:ind w:left="720"/>
      <w:contextualSpacing/>
    </w:pPr>
  </w:style>
  <w:style w:type="paragraph" w:customStyle="1" w:styleId="NormanlNumber">
    <w:name w:val="Normanl Number"/>
    <w:basedOn w:val="ListParagraph"/>
    <w:link w:val="NormanlNumberChar"/>
    <w:qFormat/>
    <w:rsid w:val="001D3A31"/>
    <w:pPr>
      <w:widowControl/>
      <w:numPr>
        <w:numId w:val="40"/>
      </w:numPr>
      <w:spacing w:before="120" w:after="120" w:line="276" w:lineRule="auto"/>
      <w:jc w:val="both"/>
    </w:pPr>
    <w:rPr>
      <w:rFonts w:asciiTheme="minorHAnsi" w:eastAsiaTheme="minorHAnsi" w:hAnsiTheme="minorHAnsi" w:cstheme="minorBidi"/>
      <w:sz w:val="22"/>
      <w:szCs w:val="22"/>
      <w:lang w:val="en-AU"/>
    </w:rPr>
  </w:style>
  <w:style w:type="character" w:customStyle="1" w:styleId="NormanlNumberChar">
    <w:name w:val="Normanl Number Char"/>
    <w:basedOn w:val="DefaultParagraphFont"/>
    <w:link w:val="NormanlNumber"/>
    <w:rsid w:val="001D3A31"/>
    <w:rPr>
      <w:rFonts w:asciiTheme="minorHAnsi" w:eastAsiaTheme="minorHAnsi" w:hAnsiTheme="minorHAnsi" w:cstheme="minorBidi"/>
      <w:sz w:val="22"/>
      <w:szCs w:val="22"/>
      <w:lang w:val="en-AU"/>
    </w:rPr>
  </w:style>
  <w:style w:type="character" w:customStyle="1" w:styleId="ListParagraphChar">
    <w:name w:val="List Paragraph Char"/>
    <w:basedOn w:val="DefaultParagraphFont"/>
    <w:link w:val="ListParagraph"/>
    <w:uiPriority w:val="34"/>
    <w:rsid w:val="00C337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9819">
      <w:bodyDiv w:val="1"/>
      <w:marLeft w:val="0"/>
      <w:marRight w:val="0"/>
      <w:marTop w:val="0"/>
      <w:marBottom w:val="0"/>
      <w:divBdr>
        <w:top w:val="none" w:sz="0" w:space="0" w:color="auto"/>
        <w:left w:val="none" w:sz="0" w:space="0" w:color="auto"/>
        <w:bottom w:val="none" w:sz="0" w:space="0" w:color="auto"/>
        <w:right w:val="none" w:sz="0" w:space="0" w:color="auto"/>
      </w:divBdr>
    </w:div>
    <w:div w:id="20652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7EFEC9F2-4C70-47E3-905A-D891B245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10212</Words>
  <Characters>58214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68290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2015-04-06T07:06:00Z</cp:lastPrinted>
  <dcterms:created xsi:type="dcterms:W3CDTF">2015-06-09T20:37:00Z</dcterms:created>
  <dcterms:modified xsi:type="dcterms:W3CDTF">2015-06-09T20:37:00Z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