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B123B" w14:textId="1135CD0C" w:rsidR="00A14D6F" w:rsidRPr="004E2626" w:rsidRDefault="00144596" w:rsidP="00A14D6F">
      <w:pPr>
        <w:rPr>
          <w:rFonts w:ascii="Times New Roman" w:hAnsi="Times New Roman"/>
          <w:b/>
          <w:sz w:val="32"/>
          <w:szCs w:val="32"/>
        </w:rPr>
      </w:pPr>
      <w:bookmarkStart w:id="0" w:name="_GoBack"/>
      <w:bookmarkEnd w:id="0"/>
      <w:r w:rsidRPr="004E2626">
        <w:rPr>
          <w:rFonts w:ascii="Times New Roman" w:hAnsi="Times New Roman"/>
          <w:b/>
          <w:sz w:val="32"/>
          <w:szCs w:val="32"/>
        </w:rPr>
        <w:t>ANNEX</w:t>
      </w:r>
      <w:r w:rsidR="002B4196">
        <w:rPr>
          <w:rFonts w:ascii="Times New Roman" w:hAnsi="Times New Roman"/>
          <w:b/>
          <w:sz w:val="32"/>
          <w:szCs w:val="32"/>
        </w:rPr>
        <w:t xml:space="preserve"> </w:t>
      </w:r>
      <w:r w:rsidR="00085927">
        <w:rPr>
          <w:rFonts w:ascii="Times New Roman" w:hAnsi="Times New Roman"/>
          <w:b/>
          <w:sz w:val="32"/>
          <w:szCs w:val="32"/>
        </w:rPr>
        <w:t>4</w:t>
      </w:r>
      <w:r w:rsidRPr="004E2626">
        <w:rPr>
          <w:rFonts w:ascii="Times New Roman" w:hAnsi="Times New Roman"/>
          <w:b/>
          <w:sz w:val="32"/>
          <w:szCs w:val="32"/>
        </w:rPr>
        <w:t xml:space="preserve">: </w:t>
      </w:r>
      <w:r w:rsidR="005F633B" w:rsidRPr="004E2626">
        <w:rPr>
          <w:rFonts w:ascii="Times New Roman" w:hAnsi="Times New Roman"/>
          <w:b/>
          <w:sz w:val="32"/>
          <w:szCs w:val="32"/>
        </w:rPr>
        <w:t>2012-2016 QCPR</w:t>
      </w:r>
      <w:r w:rsidR="00FE478F" w:rsidRPr="004E2626">
        <w:rPr>
          <w:rFonts w:ascii="Times New Roman" w:hAnsi="Times New Roman"/>
          <w:b/>
          <w:sz w:val="32"/>
          <w:szCs w:val="32"/>
        </w:rPr>
        <w:t xml:space="preserve"> implementation</w:t>
      </w:r>
    </w:p>
    <w:p w14:paraId="04F733B5" w14:textId="18B185E6" w:rsidR="00A14D6F" w:rsidRDefault="00A14D6F" w:rsidP="00880567">
      <w:pPr>
        <w:spacing w:after="0" w:line="240" w:lineRule="auto"/>
        <w:jc w:val="both"/>
        <w:rPr>
          <w:rFonts w:ascii="Times New Roman" w:eastAsiaTheme="minorHAnsi" w:hAnsi="Times New Roman"/>
          <w:sz w:val="20"/>
          <w:szCs w:val="20"/>
          <w:shd w:val="clear" w:color="auto" w:fill="FFFFFF" w:themeFill="background1"/>
        </w:rPr>
      </w:pPr>
      <w:r w:rsidRPr="00530CB6">
        <w:rPr>
          <w:rFonts w:ascii="Times New Roman" w:eastAsiaTheme="minorHAnsi" w:hAnsi="Times New Roman"/>
          <w:sz w:val="20"/>
          <w:szCs w:val="20"/>
        </w:rPr>
        <w:t xml:space="preserve">Following the adoption of the </w:t>
      </w:r>
      <w:r w:rsidR="0052728F" w:rsidRPr="00530CB6">
        <w:rPr>
          <w:rFonts w:ascii="Times New Roman" w:eastAsiaTheme="minorHAnsi" w:hAnsi="Times New Roman"/>
          <w:sz w:val="20"/>
          <w:szCs w:val="20"/>
        </w:rPr>
        <w:t xml:space="preserve">2012 </w:t>
      </w:r>
      <w:r w:rsidR="00857EDC" w:rsidRPr="00530CB6">
        <w:rPr>
          <w:rFonts w:ascii="Times New Roman" w:eastAsiaTheme="minorHAnsi" w:hAnsi="Times New Roman"/>
          <w:sz w:val="20"/>
          <w:szCs w:val="20"/>
        </w:rPr>
        <w:t>Q</w:t>
      </w:r>
      <w:r w:rsidR="00857EDC">
        <w:rPr>
          <w:rFonts w:ascii="Times New Roman" w:eastAsiaTheme="minorHAnsi" w:hAnsi="Times New Roman"/>
          <w:sz w:val="20"/>
          <w:szCs w:val="20"/>
        </w:rPr>
        <w:t xml:space="preserve">uadrennial </w:t>
      </w:r>
      <w:r w:rsidRPr="00530CB6">
        <w:rPr>
          <w:rFonts w:ascii="Times New Roman" w:eastAsiaTheme="minorHAnsi" w:hAnsi="Times New Roman"/>
          <w:sz w:val="20"/>
          <w:szCs w:val="20"/>
        </w:rPr>
        <w:t>C</w:t>
      </w:r>
      <w:r w:rsidR="00857EDC">
        <w:rPr>
          <w:rFonts w:ascii="Times New Roman" w:eastAsiaTheme="minorHAnsi" w:hAnsi="Times New Roman"/>
          <w:sz w:val="20"/>
          <w:szCs w:val="20"/>
        </w:rPr>
        <w:t xml:space="preserve">omprehensive </w:t>
      </w:r>
      <w:r w:rsidRPr="00530CB6">
        <w:rPr>
          <w:rFonts w:ascii="Times New Roman" w:eastAsiaTheme="minorHAnsi" w:hAnsi="Times New Roman"/>
          <w:sz w:val="20"/>
          <w:szCs w:val="20"/>
        </w:rPr>
        <w:t>P</w:t>
      </w:r>
      <w:r w:rsidR="00857EDC">
        <w:rPr>
          <w:rFonts w:ascii="Times New Roman" w:eastAsiaTheme="minorHAnsi" w:hAnsi="Times New Roman"/>
          <w:sz w:val="20"/>
          <w:szCs w:val="20"/>
        </w:rPr>
        <w:t xml:space="preserve">olicy </w:t>
      </w:r>
      <w:r w:rsidRPr="00530CB6">
        <w:rPr>
          <w:rFonts w:ascii="Times New Roman" w:eastAsiaTheme="minorHAnsi" w:hAnsi="Times New Roman"/>
          <w:sz w:val="20"/>
          <w:szCs w:val="20"/>
        </w:rPr>
        <w:t>R</w:t>
      </w:r>
      <w:r w:rsidR="00937998">
        <w:rPr>
          <w:rFonts w:ascii="Times New Roman" w:eastAsiaTheme="minorHAnsi" w:hAnsi="Times New Roman"/>
          <w:sz w:val="20"/>
          <w:szCs w:val="20"/>
        </w:rPr>
        <w:t>eview (QC</w:t>
      </w:r>
      <w:r w:rsidR="00857EDC">
        <w:rPr>
          <w:rFonts w:ascii="Times New Roman" w:eastAsiaTheme="minorHAnsi" w:hAnsi="Times New Roman"/>
          <w:sz w:val="20"/>
          <w:szCs w:val="20"/>
        </w:rPr>
        <w:t>PR)</w:t>
      </w:r>
      <w:r w:rsidRPr="00530CB6">
        <w:rPr>
          <w:rFonts w:ascii="Times New Roman" w:eastAsiaTheme="minorHAnsi" w:hAnsi="Times New Roman"/>
          <w:sz w:val="20"/>
          <w:szCs w:val="20"/>
        </w:rPr>
        <w:t xml:space="preserve">, UNDP developed an internal implementation plan </w:t>
      </w:r>
      <w:r w:rsidR="0052728F" w:rsidRPr="00530CB6">
        <w:rPr>
          <w:rFonts w:ascii="Times New Roman" w:eastAsiaTheme="minorHAnsi" w:hAnsi="Times New Roman"/>
          <w:sz w:val="20"/>
          <w:szCs w:val="20"/>
        </w:rPr>
        <w:t xml:space="preserve">to translate </w:t>
      </w:r>
      <w:r w:rsidRPr="00530CB6">
        <w:rPr>
          <w:rFonts w:ascii="Times New Roman" w:eastAsiaTheme="minorHAnsi" w:hAnsi="Times New Roman"/>
          <w:sz w:val="20"/>
          <w:szCs w:val="20"/>
        </w:rPr>
        <w:t>resolution mandates into actionable items</w:t>
      </w:r>
      <w:r w:rsidR="0052728F" w:rsidRPr="00530CB6">
        <w:rPr>
          <w:rFonts w:ascii="Times New Roman" w:eastAsiaTheme="minorHAnsi" w:hAnsi="Times New Roman"/>
          <w:sz w:val="20"/>
          <w:szCs w:val="20"/>
        </w:rPr>
        <w:t>. Progress against priorities wa</w:t>
      </w:r>
      <w:r w:rsidRPr="00530CB6">
        <w:rPr>
          <w:rFonts w:ascii="Times New Roman" w:eastAsiaTheme="minorHAnsi" w:hAnsi="Times New Roman"/>
          <w:sz w:val="20"/>
          <w:szCs w:val="20"/>
        </w:rPr>
        <w:t xml:space="preserve">s </w:t>
      </w:r>
      <w:r w:rsidR="005863FE">
        <w:rPr>
          <w:rFonts w:ascii="Times New Roman" w:eastAsiaTheme="minorHAnsi" w:hAnsi="Times New Roman"/>
          <w:sz w:val="20"/>
          <w:szCs w:val="20"/>
        </w:rPr>
        <w:t xml:space="preserve">tracked </w:t>
      </w:r>
      <w:r w:rsidRPr="00530CB6">
        <w:rPr>
          <w:rFonts w:ascii="Times New Roman" w:eastAsiaTheme="minorHAnsi" w:hAnsi="Times New Roman"/>
          <w:sz w:val="20"/>
          <w:szCs w:val="20"/>
        </w:rPr>
        <w:t xml:space="preserve">through </w:t>
      </w:r>
      <w:r w:rsidR="003D0B71">
        <w:rPr>
          <w:rFonts w:ascii="Times New Roman" w:eastAsiaTheme="minorHAnsi" w:hAnsi="Times New Roman"/>
          <w:sz w:val="20"/>
          <w:szCs w:val="20"/>
        </w:rPr>
        <w:t xml:space="preserve">an internal QCPR implementation plan reviewed regularly by </w:t>
      </w:r>
      <w:r w:rsidRPr="00530CB6">
        <w:rPr>
          <w:rFonts w:ascii="Times New Roman" w:eastAsiaTheme="minorHAnsi" w:hAnsi="Times New Roman"/>
          <w:sz w:val="20"/>
          <w:szCs w:val="20"/>
        </w:rPr>
        <w:t>UNDP internal governance bodies</w:t>
      </w:r>
      <w:r w:rsidR="003D0B71">
        <w:rPr>
          <w:rFonts w:ascii="Times New Roman" w:eastAsiaTheme="minorHAnsi" w:hAnsi="Times New Roman"/>
          <w:sz w:val="20"/>
          <w:szCs w:val="20"/>
        </w:rPr>
        <w:t xml:space="preserve">, </w:t>
      </w:r>
      <w:r w:rsidR="00581333">
        <w:rPr>
          <w:rFonts w:ascii="Times New Roman" w:eastAsiaTheme="minorHAnsi" w:hAnsi="Times New Roman"/>
          <w:sz w:val="20"/>
          <w:szCs w:val="20"/>
        </w:rPr>
        <w:t>encompassing the</w:t>
      </w:r>
      <w:r w:rsidRPr="00530CB6">
        <w:rPr>
          <w:rFonts w:ascii="Times New Roman" w:eastAsiaTheme="minorHAnsi" w:hAnsi="Times New Roman"/>
          <w:sz w:val="20"/>
          <w:szCs w:val="20"/>
        </w:rPr>
        <w:t xml:space="preserve"> </w:t>
      </w:r>
      <w:r w:rsidR="005863FE">
        <w:rPr>
          <w:rFonts w:ascii="Times New Roman" w:eastAsiaTheme="minorHAnsi" w:hAnsi="Times New Roman"/>
          <w:sz w:val="20"/>
          <w:szCs w:val="20"/>
        </w:rPr>
        <w:t xml:space="preserve">following </w:t>
      </w:r>
      <w:r w:rsidRPr="00530CB6">
        <w:rPr>
          <w:rFonts w:ascii="Times New Roman" w:eastAsiaTheme="minorHAnsi" w:hAnsi="Times New Roman"/>
          <w:sz w:val="20"/>
          <w:szCs w:val="20"/>
        </w:rPr>
        <w:t>12 QCPR areas: funding</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poverty eradication</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capacity development</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w:t>
      </w:r>
      <w:r w:rsidR="00CC24C1">
        <w:rPr>
          <w:rFonts w:ascii="Times New Roman" w:eastAsiaTheme="minorHAnsi" w:hAnsi="Times New Roman"/>
          <w:sz w:val="20"/>
          <w:szCs w:val="20"/>
        </w:rPr>
        <w:t>S</w:t>
      </w:r>
      <w:r w:rsidRPr="00530CB6">
        <w:rPr>
          <w:rFonts w:ascii="Times New Roman" w:eastAsiaTheme="minorHAnsi" w:hAnsi="Times New Roman"/>
          <w:sz w:val="20"/>
          <w:szCs w:val="20"/>
        </w:rPr>
        <w:t>outh-</w:t>
      </w:r>
      <w:r w:rsidR="00CC24C1">
        <w:rPr>
          <w:rFonts w:ascii="Times New Roman" w:eastAsiaTheme="minorHAnsi" w:hAnsi="Times New Roman"/>
          <w:sz w:val="20"/>
          <w:szCs w:val="20"/>
        </w:rPr>
        <w:t>S</w:t>
      </w:r>
      <w:r w:rsidRPr="00530CB6">
        <w:rPr>
          <w:rFonts w:ascii="Times New Roman" w:eastAsiaTheme="minorHAnsi" w:hAnsi="Times New Roman"/>
          <w:sz w:val="20"/>
          <w:szCs w:val="20"/>
        </w:rPr>
        <w:t>outh cooperation</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gender equality and women empowerment</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transition from relief to development</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joint programming</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R</w:t>
      </w:r>
      <w:r w:rsidR="00CC24C1">
        <w:rPr>
          <w:rFonts w:ascii="Times New Roman" w:eastAsiaTheme="minorHAnsi" w:hAnsi="Times New Roman"/>
          <w:sz w:val="20"/>
          <w:szCs w:val="20"/>
        </w:rPr>
        <w:t xml:space="preserve">esident </w:t>
      </w:r>
      <w:r w:rsidRPr="00530CB6">
        <w:rPr>
          <w:rFonts w:ascii="Times New Roman" w:eastAsiaTheme="minorHAnsi" w:hAnsi="Times New Roman"/>
          <w:sz w:val="20"/>
          <w:szCs w:val="20"/>
        </w:rPr>
        <w:t>C</w:t>
      </w:r>
      <w:r w:rsidR="00CC24C1">
        <w:rPr>
          <w:rFonts w:ascii="Times New Roman" w:eastAsiaTheme="minorHAnsi" w:hAnsi="Times New Roman"/>
          <w:sz w:val="20"/>
          <w:szCs w:val="20"/>
        </w:rPr>
        <w:t>oordinator</w:t>
      </w:r>
      <w:r w:rsidRPr="00530CB6">
        <w:rPr>
          <w:rFonts w:ascii="Times New Roman" w:eastAsiaTheme="minorHAnsi" w:hAnsi="Times New Roman"/>
          <w:sz w:val="20"/>
          <w:szCs w:val="20"/>
        </w:rPr>
        <w:t xml:space="preserve"> system</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Delivering as One</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regional coordination</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simplification and harmonization of business practices</w:t>
      </w:r>
      <w:r w:rsidR="00CC24C1">
        <w:rPr>
          <w:rFonts w:ascii="Times New Roman" w:eastAsiaTheme="minorHAnsi" w:hAnsi="Times New Roman"/>
          <w:sz w:val="20"/>
          <w:szCs w:val="20"/>
        </w:rPr>
        <w:t>,</w:t>
      </w:r>
      <w:r w:rsidRPr="00530CB6">
        <w:rPr>
          <w:rFonts w:ascii="Times New Roman" w:eastAsiaTheme="minorHAnsi" w:hAnsi="Times New Roman"/>
          <w:sz w:val="20"/>
          <w:szCs w:val="20"/>
        </w:rPr>
        <w:t xml:space="preserve"> and </w:t>
      </w:r>
      <w:r w:rsidRPr="00530CB6">
        <w:rPr>
          <w:rFonts w:ascii="Times New Roman" w:eastAsiaTheme="minorHAnsi" w:hAnsi="Times New Roman"/>
          <w:sz w:val="20"/>
          <w:szCs w:val="20"/>
          <w:shd w:val="clear" w:color="auto" w:fill="FFFFFF" w:themeFill="background1"/>
        </w:rPr>
        <w:t xml:space="preserve">results-based management. The </w:t>
      </w:r>
      <w:r w:rsidR="00CC24C1">
        <w:rPr>
          <w:rFonts w:ascii="Times New Roman" w:eastAsiaTheme="minorHAnsi" w:hAnsi="Times New Roman"/>
          <w:sz w:val="20"/>
          <w:szCs w:val="20"/>
          <w:shd w:val="clear" w:color="auto" w:fill="FFFFFF" w:themeFill="background1"/>
        </w:rPr>
        <w:t xml:space="preserve">table </w:t>
      </w:r>
      <w:r w:rsidRPr="00530CB6">
        <w:rPr>
          <w:rFonts w:ascii="Times New Roman" w:eastAsiaTheme="minorHAnsi" w:hAnsi="Times New Roman"/>
          <w:sz w:val="20"/>
          <w:szCs w:val="20"/>
          <w:shd w:val="clear" w:color="auto" w:fill="FFFFFF" w:themeFill="background1"/>
        </w:rPr>
        <w:t xml:space="preserve">below </w:t>
      </w:r>
      <w:r w:rsidR="005863FE">
        <w:rPr>
          <w:rFonts w:ascii="Times New Roman" w:eastAsiaTheme="minorHAnsi" w:hAnsi="Times New Roman"/>
          <w:sz w:val="20"/>
          <w:szCs w:val="20"/>
          <w:shd w:val="clear" w:color="auto" w:fill="FFFFFF" w:themeFill="background1"/>
        </w:rPr>
        <w:t>provides</w:t>
      </w:r>
      <w:r w:rsidR="00CC24C1">
        <w:rPr>
          <w:rFonts w:ascii="Times New Roman" w:eastAsiaTheme="minorHAnsi" w:hAnsi="Times New Roman"/>
          <w:sz w:val="20"/>
          <w:szCs w:val="20"/>
          <w:shd w:val="clear" w:color="auto" w:fill="FFFFFF" w:themeFill="background1"/>
        </w:rPr>
        <w:t xml:space="preserve"> a</w:t>
      </w:r>
      <w:r w:rsidRPr="00530CB6">
        <w:rPr>
          <w:rFonts w:ascii="Times New Roman" w:eastAsiaTheme="minorHAnsi" w:hAnsi="Times New Roman"/>
          <w:sz w:val="20"/>
          <w:szCs w:val="20"/>
          <w:shd w:val="clear" w:color="auto" w:fill="FFFFFF" w:themeFill="background1"/>
        </w:rPr>
        <w:t xml:space="preserve"> </w:t>
      </w:r>
      <w:r w:rsidR="005A72D8" w:rsidRPr="00530CB6">
        <w:rPr>
          <w:rFonts w:ascii="Times New Roman" w:eastAsiaTheme="minorHAnsi" w:hAnsi="Times New Roman"/>
          <w:sz w:val="20"/>
          <w:szCs w:val="20"/>
          <w:shd w:val="clear" w:color="auto" w:fill="FFFFFF" w:themeFill="background1"/>
        </w:rPr>
        <w:t>snapshot</w:t>
      </w:r>
      <w:r w:rsidRPr="00530CB6">
        <w:rPr>
          <w:rFonts w:ascii="Times New Roman" w:eastAsiaTheme="minorHAnsi" w:hAnsi="Times New Roman"/>
          <w:sz w:val="20"/>
          <w:szCs w:val="20"/>
          <w:shd w:val="clear" w:color="auto" w:fill="FFFFFF" w:themeFill="background1"/>
        </w:rPr>
        <w:t xml:space="preserve"> of progress against key mandates.</w:t>
      </w:r>
    </w:p>
    <w:p w14:paraId="6D6A86AB" w14:textId="2CAF2F3B" w:rsidR="00880567" w:rsidRDefault="00880567" w:rsidP="00880567">
      <w:pPr>
        <w:spacing w:after="0" w:line="240" w:lineRule="auto"/>
        <w:jc w:val="both"/>
        <w:rPr>
          <w:rFonts w:ascii="Times New Roman" w:eastAsiaTheme="minorHAnsi" w:hAnsi="Times New Roman"/>
          <w:sz w:val="20"/>
          <w:szCs w:val="20"/>
          <w:shd w:val="clear" w:color="auto" w:fill="FFFFFF" w:themeFill="background1"/>
        </w:rPr>
      </w:pPr>
    </w:p>
    <w:p w14:paraId="57B3BD4E" w14:textId="77777777" w:rsidR="00880567" w:rsidRPr="00530CB6" w:rsidRDefault="00880567" w:rsidP="00880567">
      <w:pPr>
        <w:spacing w:after="0" w:line="240" w:lineRule="auto"/>
        <w:jc w:val="both"/>
        <w:rPr>
          <w:rFonts w:ascii="Times New Roman" w:hAnsi="Times New Roman"/>
          <w:sz w:val="20"/>
          <w:szCs w:val="20"/>
        </w:rPr>
      </w:pPr>
    </w:p>
    <w:tbl>
      <w:tblPr>
        <w:tblStyle w:val="TableGrid"/>
        <w:tblW w:w="12960" w:type="dxa"/>
        <w:tblInd w:w="85" w:type="dxa"/>
        <w:tblLook w:val="04A0" w:firstRow="1" w:lastRow="0" w:firstColumn="1" w:lastColumn="0" w:noHBand="0" w:noVBand="1"/>
      </w:tblPr>
      <w:tblGrid>
        <w:gridCol w:w="4410"/>
        <w:gridCol w:w="2700"/>
        <w:gridCol w:w="5850"/>
      </w:tblGrid>
      <w:tr w:rsidR="004D7883" w:rsidRPr="00530CB6" w14:paraId="5826FDE0" w14:textId="77777777" w:rsidTr="00880567">
        <w:tc>
          <w:tcPr>
            <w:tcW w:w="12960" w:type="dxa"/>
            <w:gridSpan w:val="3"/>
            <w:shd w:val="clear" w:color="auto" w:fill="E6E6E6"/>
          </w:tcPr>
          <w:p w14:paraId="1A876B2B" w14:textId="77777777" w:rsidR="004D7883" w:rsidRPr="00530CB6" w:rsidRDefault="004D7883" w:rsidP="009E14C3">
            <w:pPr>
              <w:pStyle w:val="ListParagraph"/>
              <w:numPr>
                <w:ilvl w:val="0"/>
                <w:numId w:val="12"/>
              </w:numPr>
              <w:rPr>
                <w:rFonts w:ascii="Times New Roman" w:hAnsi="Times New Roman"/>
                <w:b/>
                <w:sz w:val="20"/>
                <w:szCs w:val="20"/>
              </w:rPr>
            </w:pPr>
            <w:r w:rsidRPr="00530CB6">
              <w:rPr>
                <w:rFonts w:ascii="Times New Roman" w:hAnsi="Times New Roman"/>
                <w:b/>
                <w:sz w:val="20"/>
                <w:szCs w:val="20"/>
              </w:rPr>
              <w:t xml:space="preserve">Funding </w:t>
            </w:r>
          </w:p>
        </w:tc>
      </w:tr>
      <w:tr w:rsidR="004D7883" w:rsidRPr="008B3686" w14:paraId="0C54A23A" w14:textId="77777777" w:rsidTr="00880567">
        <w:tc>
          <w:tcPr>
            <w:tcW w:w="4410" w:type="dxa"/>
          </w:tcPr>
          <w:p w14:paraId="6AE66F7C" w14:textId="77777777" w:rsidR="004D7883" w:rsidRPr="008B3686" w:rsidRDefault="004D7883" w:rsidP="004E2626">
            <w:pPr>
              <w:jc w:val="center"/>
              <w:rPr>
                <w:rFonts w:ascii="Times New Roman" w:hAnsi="Times New Roman"/>
                <w:b/>
                <w:sz w:val="20"/>
                <w:szCs w:val="20"/>
              </w:rPr>
            </w:pPr>
            <w:r w:rsidRPr="008B3686">
              <w:rPr>
                <w:rFonts w:ascii="Times New Roman" w:hAnsi="Times New Roman"/>
                <w:b/>
                <w:sz w:val="20"/>
                <w:szCs w:val="20"/>
              </w:rPr>
              <w:t>QCPR mandates 2012-2016 (OP 24-56)</w:t>
            </w:r>
          </w:p>
        </w:tc>
        <w:tc>
          <w:tcPr>
            <w:tcW w:w="2700" w:type="dxa"/>
          </w:tcPr>
          <w:p w14:paraId="254FE494" w14:textId="77777777" w:rsidR="004D7883" w:rsidRPr="008B3686" w:rsidRDefault="004D7883" w:rsidP="004E2626">
            <w:pPr>
              <w:jc w:val="cente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0500D76A" w14:textId="77777777" w:rsidR="004D7883" w:rsidRPr="008B3686" w:rsidRDefault="004D7883" w:rsidP="004E2626">
            <w:pPr>
              <w:jc w:val="center"/>
              <w:rPr>
                <w:rFonts w:ascii="Times New Roman" w:hAnsi="Times New Roman"/>
                <w:b/>
                <w:sz w:val="20"/>
                <w:szCs w:val="20"/>
              </w:rPr>
            </w:pPr>
            <w:r w:rsidRPr="008B3686">
              <w:rPr>
                <w:rFonts w:ascii="Times New Roman" w:hAnsi="Times New Roman"/>
                <w:b/>
                <w:sz w:val="20"/>
                <w:szCs w:val="20"/>
              </w:rPr>
              <w:t>Progress</w:t>
            </w:r>
          </w:p>
        </w:tc>
      </w:tr>
      <w:tr w:rsidR="00163603" w:rsidRPr="00530CB6" w14:paraId="00E3BC16" w14:textId="77777777" w:rsidTr="00880567">
        <w:trPr>
          <w:trHeight w:val="62"/>
        </w:trPr>
        <w:tc>
          <w:tcPr>
            <w:tcW w:w="4410" w:type="dxa"/>
            <w:tcBorders>
              <w:bottom w:val="single" w:sz="4" w:space="0" w:color="auto"/>
            </w:tcBorders>
          </w:tcPr>
          <w:p w14:paraId="25E03EB3" w14:textId="77777777" w:rsidR="00163603" w:rsidRPr="00530CB6" w:rsidRDefault="00163603" w:rsidP="00F43FD9">
            <w:pPr>
              <w:rPr>
                <w:rFonts w:ascii="Times New Roman" w:hAnsi="Times New Roman"/>
                <w:b/>
                <w:sz w:val="20"/>
                <w:szCs w:val="20"/>
              </w:rPr>
            </w:pPr>
            <w:r w:rsidRPr="00530CB6">
              <w:rPr>
                <w:rFonts w:ascii="Times New Roman" w:hAnsi="Times New Roman"/>
                <w:sz w:val="20"/>
                <w:szCs w:val="20"/>
              </w:rPr>
              <w:t xml:space="preserve">Enhance UNDS funding, in particular core resources, by: </w:t>
            </w:r>
          </w:p>
          <w:p w14:paraId="26D21246" w14:textId="77777777" w:rsidR="00163603" w:rsidRPr="00530CB6" w:rsidRDefault="00163603" w:rsidP="004E2626">
            <w:pPr>
              <w:numPr>
                <w:ilvl w:val="0"/>
                <w:numId w:val="1"/>
              </w:numPr>
              <w:shd w:val="clear" w:color="auto" w:fill="FFFFFF" w:themeFill="background1"/>
              <w:contextualSpacing/>
              <w:rPr>
                <w:rFonts w:ascii="Times New Roman" w:hAnsi="Times New Roman"/>
                <w:sz w:val="20"/>
                <w:szCs w:val="20"/>
              </w:rPr>
            </w:pPr>
            <w:r w:rsidRPr="00530CB6">
              <w:rPr>
                <w:rFonts w:ascii="Times New Roman" w:hAnsi="Times New Roman"/>
                <w:i/>
                <w:sz w:val="20"/>
                <w:szCs w:val="20"/>
              </w:rPr>
              <w:t xml:space="preserve">Adopting concrete measures to broaden the donor base </w:t>
            </w:r>
            <w:r w:rsidRPr="00530CB6">
              <w:rPr>
                <w:rFonts w:ascii="Times New Roman" w:hAnsi="Times New Roman"/>
                <w:sz w:val="20"/>
                <w:szCs w:val="20"/>
              </w:rPr>
              <w:t>and increase the number of countries and partners making financing contributions to the UNDS</w:t>
            </w:r>
            <w:r w:rsidR="006204E3" w:rsidRPr="00530CB6">
              <w:rPr>
                <w:rFonts w:ascii="Times New Roman" w:hAnsi="Times New Roman"/>
                <w:sz w:val="20"/>
                <w:szCs w:val="20"/>
              </w:rPr>
              <w:t xml:space="preserve"> (OP 35)</w:t>
            </w:r>
            <w:r w:rsidRPr="00530CB6">
              <w:rPr>
                <w:rFonts w:ascii="Times New Roman" w:hAnsi="Times New Roman"/>
                <w:sz w:val="20"/>
                <w:szCs w:val="20"/>
              </w:rPr>
              <w:t xml:space="preserve">. </w:t>
            </w:r>
          </w:p>
          <w:p w14:paraId="6413D893" w14:textId="19EAAB76" w:rsidR="005C5A04" w:rsidRPr="00530CB6" w:rsidRDefault="005C5A04" w:rsidP="004E2626">
            <w:pPr>
              <w:numPr>
                <w:ilvl w:val="0"/>
                <w:numId w:val="1"/>
              </w:numPr>
              <w:shd w:val="clear" w:color="auto" w:fill="FFFFFF" w:themeFill="background1"/>
              <w:contextualSpacing/>
              <w:rPr>
                <w:rFonts w:ascii="Times New Roman" w:hAnsi="Times New Roman"/>
                <w:sz w:val="20"/>
                <w:szCs w:val="20"/>
              </w:rPr>
            </w:pPr>
            <w:r w:rsidRPr="00530CB6">
              <w:rPr>
                <w:rFonts w:ascii="Times New Roman" w:eastAsia="Times New Roman" w:hAnsi="Times New Roman" w:cs="Times New Roman"/>
                <w:i/>
                <w:sz w:val="20"/>
                <w:szCs w:val="20"/>
              </w:rPr>
              <w:t>Improving communication and reporting to partners</w:t>
            </w:r>
            <w:r w:rsidRPr="00530CB6">
              <w:rPr>
                <w:rFonts w:ascii="Times New Roman" w:eastAsia="Times New Roman" w:hAnsi="Times New Roman" w:cs="Times New Roman"/>
                <w:sz w:val="20"/>
                <w:szCs w:val="20"/>
              </w:rPr>
              <w:t xml:space="preserve"> and the </w:t>
            </w:r>
            <w:r w:rsidR="004B7978" w:rsidRPr="00530CB6">
              <w:rPr>
                <w:rFonts w:ascii="Times New Roman" w:eastAsia="Times New Roman" w:hAnsi="Times New Roman" w:cs="Times New Roman"/>
                <w:sz w:val="20"/>
                <w:szCs w:val="20"/>
              </w:rPr>
              <w:t>public</w:t>
            </w:r>
            <w:r w:rsidRPr="00530CB6">
              <w:rPr>
                <w:rFonts w:ascii="Times New Roman" w:eastAsia="Times New Roman" w:hAnsi="Times New Roman" w:cs="Times New Roman"/>
                <w:sz w:val="20"/>
                <w:szCs w:val="20"/>
              </w:rPr>
              <w:t xml:space="preserve"> on mandates and development results, in relation to funding and accountability (OP36)</w:t>
            </w:r>
            <w:r w:rsidR="001773B9">
              <w:rPr>
                <w:rFonts w:ascii="Times New Roman" w:eastAsia="Times New Roman" w:hAnsi="Times New Roman" w:cs="Times New Roman"/>
                <w:sz w:val="20"/>
                <w:szCs w:val="20"/>
              </w:rPr>
              <w:t>.</w:t>
            </w:r>
          </w:p>
          <w:p w14:paraId="686874BD" w14:textId="77777777" w:rsidR="00163603" w:rsidRPr="00530CB6" w:rsidRDefault="00163603" w:rsidP="004E2626">
            <w:pPr>
              <w:numPr>
                <w:ilvl w:val="0"/>
                <w:numId w:val="1"/>
              </w:numPr>
              <w:shd w:val="clear" w:color="auto" w:fill="FFFFFF" w:themeFill="background1"/>
              <w:contextualSpacing/>
              <w:rPr>
                <w:rFonts w:ascii="Times New Roman" w:hAnsi="Times New Roman"/>
                <w:sz w:val="20"/>
                <w:szCs w:val="20"/>
              </w:rPr>
            </w:pPr>
            <w:r w:rsidRPr="00530CB6">
              <w:rPr>
                <w:rFonts w:ascii="Times New Roman" w:hAnsi="Times New Roman"/>
                <w:sz w:val="20"/>
                <w:szCs w:val="20"/>
              </w:rPr>
              <w:t>Defining c</w:t>
            </w:r>
            <w:r w:rsidRPr="00530CB6">
              <w:rPr>
                <w:rFonts w:ascii="Times New Roman" w:hAnsi="Times New Roman"/>
                <w:i/>
                <w:sz w:val="20"/>
                <w:szCs w:val="20"/>
              </w:rPr>
              <w:t xml:space="preserve">ommon principles for the concepts of critical mass of core resources </w:t>
            </w:r>
            <w:r w:rsidRPr="00530CB6">
              <w:rPr>
                <w:rFonts w:ascii="Times New Roman" w:hAnsi="Times New Roman"/>
                <w:sz w:val="20"/>
                <w:szCs w:val="20"/>
              </w:rPr>
              <w:t>… and present specific proposals to respective governing bodies for decision</w:t>
            </w:r>
            <w:r w:rsidR="006204E3" w:rsidRPr="00530CB6">
              <w:rPr>
                <w:rFonts w:ascii="Times New Roman" w:hAnsi="Times New Roman"/>
                <w:sz w:val="20"/>
                <w:szCs w:val="20"/>
              </w:rPr>
              <w:t xml:space="preserve"> (OP39)</w:t>
            </w:r>
            <w:r w:rsidRPr="00530CB6">
              <w:rPr>
                <w:rFonts w:ascii="Times New Roman" w:hAnsi="Times New Roman"/>
                <w:sz w:val="20"/>
                <w:szCs w:val="20"/>
              </w:rPr>
              <w:t xml:space="preserve">. </w:t>
            </w:r>
          </w:p>
          <w:p w14:paraId="0A5361BC" w14:textId="77777777" w:rsidR="00F43FD9" w:rsidRPr="00530CB6" w:rsidRDefault="00F43FD9" w:rsidP="004E2626">
            <w:pPr>
              <w:shd w:val="clear" w:color="auto" w:fill="FFFFFF" w:themeFill="background1"/>
              <w:ind w:left="720"/>
              <w:contextualSpacing/>
              <w:rPr>
                <w:rFonts w:ascii="Times New Roman" w:hAnsi="Times New Roman"/>
                <w:sz w:val="20"/>
                <w:szCs w:val="20"/>
              </w:rPr>
            </w:pPr>
          </w:p>
          <w:p w14:paraId="3BD9326D" w14:textId="77777777" w:rsidR="00163603" w:rsidRPr="00530CB6" w:rsidRDefault="00163603" w:rsidP="004E2626">
            <w:pPr>
              <w:shd w:val="clear" w:color="auto" w:fill="FFFFFF" w:themeFill="background1"/>
              <w:contextualSpacing/>
              <w:rPr>
                <w:rFonts w:ascii="Times New Roman" w:hAnsi="Times New Roman"/>
                <w:sz w:val="20"/>
                <w:szCs w:val="20"/>
              </w:rPr>
            </w:pPr>
            <w:r w:rsidRPr="00530CB6">
              <w:rPr>
                <w:rFonts w:ascii="Times New Roman" w:hAnsi="Times New Roman"/>
                <w:sz w:val="20"/>
                <w:szCs w:val="20"/>
              </w:rPr>
              <w:t>Improve the predictability and quality of resources</w:t>
            </w:r>
            <w:r w:rsidR="00F43FD9" w:rsidRPr="00530CB6">
              <w:rPr>
                <w:rFonts w:ascii="Times New Roman" w:hAnsi="Times New Roman"/>
                <w:sz w:val="20"/>
                <w:szCs w:val="20"/>
              </w:rPr>
              <w:t>,</w:t>
            </w:r>
            <w:r w:rsidR="008B5828" w:rsidRPr="00530CB6">
              <w:rPr>
                <w:rFonts w:ascii="Times New Roman" w:hAnsi="Times New Roman"/>
                <w:sz w:val="20"/>
                <w:szCs w:val="20"/>
              </w:rPr>
              <w:t xml:space="preserve"> by:</w:t>
            </w:r>
            <w:r w:rsidRPr="00530CB6">
              <w:rPr>
                <w:rFonts w:ascii="Times New Roman" w:hAnsi="Times New Roman"/>
                <w:sz w:val="20"/>
                <w:szCs w:val="20"/>
              </w:rPr>
              <w:t xml:space="preserve"> </w:t>
            </w:r>
          </w:p>
          <w:p w14:paraId="1670643B" w14:textId="77777777" w:rsidR="00B75503" w:rsidRPr="00530CB6" w:rsidRDefault="008B5828" w:rsidP="004E2626">
            <w:pPr>
              <w:pStyle w:val="ListParagraph"/>
              <w:numPr>
                <w:ilvl w:val="0"/>
                <w:numId w:val="2"/>
              </w:numPr>
              <w:shd w:val="clear" w:color="auto" w:fill="FFFFFF" w:themeFill="background1"/>
              <w:rPr>
                <w:rFonts w:ascii="Times New Roman" w:hAnsi="Times New Roman"/>
                <w:sz w:val="20"/>
                <w:szCs w:val="20"/>
              </w:rPr>
            </w:pPr>
            <w:r w:rsidRPr="00530CB6">
              <w:rPr>
                <w:rFonts w:ascii="Times New Roman" w:hAnsi="Times New Roman"/>
                <w:sz w:val="20"/>
                <w:szCs w:val="20"/>
              </w:rPr>
              <w:t xml:space="preserve">Ensuring </w:t>
            </w:r>
            <w:r w:rsidR="00B75503" w:rsidRPr="00530CB6">
              <w:rPr>
                <w:rFonts w:ascii="Times New Roman" w:hAnsi="Times New Roman"/>
                <w:sz w:val="20"/>
                <w:szCs w:val="20"/>
              </w:rPr>
              <w:t xml:space="preserve">that all available and projected core </w:t>
            </w:r>
            <w:r w:rsidR="002E7734" w:rsidRPr="00530CB6">
              <w:rPr>
                <w:rFonts w:ascii="Times New Roman" w:hAnsi="Times New Roman"/>
                <w:sz w:val="20"/>
                <w:szCs w:val="20"/>
              </w:rPr>
              <w:t xml:space="preserve">and non-core resources are </w:t>
            </w:r>
            <w:r w:rsidR="002E7734" w:rsidRPr="00530CB6">
              <w:rPr>
                <w:rFonts w:ascii="Times New Roman" w:hAnsi="Times New Roman"/>
                <w:i/>
                <w:sz w:val="20"/>
                <w:szCs w:val="20"/>
              </w:rPr>
              <w:t>consolidated within an integrated framework</w:t>
            </w:r>
            <w:r w:rsidR="004D0748" w:rsidRPr="00530CB6">
              <w:rPr>
                <w:rFonts w:ascii="Times New Roman" w:hAnsi="Times New Roman"/>
                <w:i/>
                <w:sz w:val="20"/>
                <w:szCs w:val="20"/>
              </w:rPr>
              <w:t xml:space="preserve"> (OP42)</w:t>
            </w:r>
            <w:r w:rsidR="001773B9">
              <w:rPr>
                <w:rFonts w:ascii="Times New Roman" w:hAnsi="Times New Roman"/>
                <w:i/>
                <w:sz w:val="20"/>
                <w:szCs w:val="20"/>
              </w:rPr>
              <w:t>.</w:t>
            </w:r>
          </w:p>
          <w:p w14:paraId="70C1DCBC" w14:textId="77777777" w:rsidR="002E7734" w:rsidRPr="00530CB6" w:rsidRDefault="008B5828" w:rsidP="004E2626">
            <w:pPr>
              <w:pStyle w:val="ListParagraph"/>
              <w:numPr>
                <w:ilvl w:val="0"/>
                <w:numId w:val="2"/>
              </w:numPr>
              <w:shd w:val="clear" w:color="auto" w:fill="FFFFFF" w:themeFill="background1"/>
              <w:rPr>
                <w:rFonts w:ascii="Times New Roman" w:hAnsi="Times New Roman"/>
                <w:i/>
                <w:sz w:val="20"/>
                <w:szCs w:val="20"/>
              </w:rPr>
            </w:pPr>
            <w:r w:rsidRPr="00530CB6">
              <w:rPr>
                <w:rFonts w:ascii="Times New Roman" w:hAnsi="Times New Roman"/>
                <w:sz w:val="20"/>
                <w:szCs w:val="20"/>
              </w:rPr>
              <w:t xml:space="preserve">Avoiding the use of core to </w:t>
            </w:r>
            <w:r w:rsidRPr="00530CB6">
              <w:rPr>
                <w:rFonts w:ascii="Times New Roman" w:hAnsi="Times New Roman"/>
                <w:i/>
                <w:sz w:val="20"/>
                <w:szCs w:val="20"/>
              </w:rPr>
              <w:t>subsidize non-core financial activities</w:t>
            </w:r>
            <w:r w:rsidR="006204E3" w:rsidRPr="00530CB6">
              <w:rPr>
                <w:rFonts w:ascii="Times New Roman" w:hAnsi="Times New Roman"/>
                <w:i/>
                <w:sz w:val="20"/>
                <w:szCs w:val="20"/>
              </w:rPr>
              <w:t xml:space="preserve"> (OP43</w:t>
            </w:r>
            <w:r w:rsidR="006204E3" w:rsidRPr="00530CB6">
              <w:rPr>
                <w:rFonts w:ascii="Times New Roman" w:hAnsi="Times New Roman"/>
                <w:sz w:val="20"/>
                <w:szCs w:val="20"/>
              </w:rPr>
              <w:t>).</w:t>
            </w:r>
          </w:p>
          <w:p w14:paraId="583E0611" w14:textId="77777777" w:rsidR="00F43FD9" w:rsidRPr="00530CB6" w:rsidRDefault="00F43FD9" w:rsidP="004E2626">
            <w:pPr>
              <w:pStyle w:val="ListParagraph"/>
              <w:shd w:val="clear" w:color="auto" w:fill="FFFFFF" w:themeFill="background1"/>
              <w:rPr>
                <w:rFonts w:ascii="Times New Roman" w:hAnsi="Times New Roman"/>
                <w:i/>
                <w:sz w:val="20"/>
                <w:szCs w:val="20"/>
              </w:rPr>
            </w:pPr>
          </w:p>
          <w:p w14:paraId="5E7B980F" w14:textId="77777777" w:rsidR="00A14D6F" w:rsidRPr="00530CB6" w:rsidRDefault="00A14D6F" w:rsidP="00F43FD9">
            <w:pPr>
              <w:rPr>
                <w:rFonts w:ascii="Times New Roman" w:hAnsi="Times New Roman"/>
                <w:i/>
                <w:sz w:val="20"/>
                <w:szCs w:val="20"/>
              </w:rPr>
            </w:pPr>
          </w:p>
          <w:p w14:paraId="46856824" w14:textId="77777777" w:rsidR="003B7A1B" w:rsidRPr="00530CB6" w:rsidRDefault="003B7A1B" w:rsidP="00F43FD9">
            <w:pPr>
              <w:rPr>
                <w:rFonts w:ascii="Times New Roman" w:hAnsi="Times New Roman"/>
                <w:i/>
                <w:sz w:val="20"/>
                <w:szCs w:val="20"/>
              </w:rPr>
            </w:pPr>
            <w:r w:rsidRPr="00530CB6">
              <w:rPr>
                <w:rFonts w:ascii="Times New Roman" w:hAnsi="Times New Roman"/>
                <w:i/>
                <w:sz w:val="20"/>
                <w:szCs w:val="20"/>
              </w:rPr>
              <w:t>Ensure a full cost recovery</w:t>
            </w:r>
            <w:r w:rsidR="00F43FD9" w:rsidRPr="00530CB6">
              <w:rPr>
                <w:rFonts w:ascii="Times New Roman" w:hAnsi="Times New Roman"/>
                <w:i/>
                <w:sz w:val="20"/>
                <w:szCs w:val="20"/>
              </w:rPr>
              <w:t>,</w:t>
            </w:r>
            <w:r w:rsidRPr="00530CB6">
              <w:rPr>
                <w:rFonts w:ascii="Times New Roman" w:hAnsi="Times New Roman"/>
                <w:i/>
                <w:sz w:val="20"/>
                <w:szCs w:val="20"/>
              </w:rPr>
              <w:t xml:space="preserve"> by</w:t>
            </w:r>
          </w:p>
          <w:p w14:paraId="06F90E1D" w14:textId="77777777" w:rsidR="008B5828" w:rsidRPr="00530CB6" w:rsidRDefault="00CC702A" w:rsidP="00F43FD9">
            <w:pPr>
              <w:pStyle w:val="ListParagraph"/>
              <w:numPr>
                <w:ilvl w:val="0"/>
                <w:numId w:val="2"/>
              </w:numPr>
              <w:rPr>
                <w:rFonts w:ascii="Times New Roman" w:hAnsi="Times New Roman"/>
                <w:sz w:val="20"/>
                <w:szCs w:val="20"/>
              </w:rPr>
            </w:pPr>
            <w:r w:rsidRPr="00530CB6">
              <w:rPr>
                <w:rFonts w:ascii="Times New Roman" w:hAnsi="Times New Roman"/>
                <w:sz w:val="20"/>
                <w:szCs w:val="20"/>
              </w:rPr>
              <w:t>A</w:t>
            </w:r>
            <w:r w:rsidR="008B5828" w:rsidRPr="00530CB6">
              <w:rPr>
                <w:rFonts w:ascii="Times New Roman" w:hAnsi="Times New Roman"/>
                <w:sz w:val="20"/>
                <w:szCs w:val="20"/>
              </w:rPr>
              <w:t xml:space="preserve">dopting </w:t>
            </w:r>
            <w:r w:rsidR="008B5828" w:rsidRPr="00530CB6">
              <w:rPr>
                <w:rFonts w:ascii="Times New Roman" w:hAnsi="Times New Roman"/>
                <w:i/>
                <w:sz w:val="20"/>
                <w:szCs w:val="20"/>
              </w:rPr>
              <w:t xml:space="preserve">a cost-recovery </w:t>
            </w:r>
            <w:r w:rsidRPr="00530CB6">
              <w:rPr>
                <w:rFonts w:ascii="Times New Roman" w:hAnsi="Times New Roman"/>
                <w:i/>
                <w:sz w:val="20"/>
                <w:szCs w:val="20"/>
              </w:rPr>
              <w:t>framework</w:t>
            </w:r>
            <w:r w:rsidR="008B5828" w:rsidRPr="00530CB6">
              <w:rPr>
                <w:rFonts w:ascii="Times New Roman" w:hAnsi="Times New Roman"/>
                <w:sz w:val="20"/>
                <w:szCs w:val="20"/>
              </w:rPr>
              <w:t xml:space="preserve"> by 2013 with a view to full implementation in 2014 </w:t>
            </w:r>
            <w:r w:rsidR="006204E3" w:rsidRPr="00530CB6">
              <w:rPr>
                <w:rFonts w:ascii="Times New Roman" w:hAnsi="Times New Roman"/>
                <w:sz w:val="20"/>
                <w:szCs w:val="20"/>
              </w:rPr>
              <w:t>(OP53)</w:t>
            </w:r>
            <w:r w:rsidR="001773B9">
              <w:rPr>
                <w:rFonts w:ascii="Times New Roman" w:hAnsi="Times New Roman"/>
                <w:sz w:val="20"/>
                <w:szCs w:val="20"/>
              </w:rPr>
              <w:t>.</w:t>
            </w:r>
          </w:p>
          <w:p w14:paraId="1B9F2AA1" w14:textId="77777777" w:rsidR="00CC702A" w:rsidRPr="00530CB6" w:rsidRDefault="00CC702A" w:rsidP="00F43FD9">
            <w:pPr>
              <w:pStyle w:val="ListParagraph"/>
              <w:numPr>
                <w:ilvl w:val="0"/>
                <w:numId w:val="2"/>
              </w:numPr>
              <w:rPr>
                <w:rFonts w:ascii="Times New Roman" w:hAnsi="Times New Roman"/>
                <w:sz w:val="20"/>
                <w:szCs w:val="20"/>
              </w:rPr>
            </w:pPr>
            <w:r w:rsidRPr="00530CB6">
              <w:rPr>
                <w:rFonts w:ascii="Times New Roman" w:hAnsi="Times New Roman"/>
                <w:sz w:val="20"/>
                <w:szCs w:val="20"/>
              </w:rPr>
              <w:lastRenderedPageBreak/>
              <w:t>Estimating counts to be recovered in their budgets to report on actual cost recovery</w:t>
            </w:r>
            <w:r w:rsidR="003B7A1B" w:rsidRPr="00530CB6">
              <w:rPr>
                <w:rFonts w:ascii="Times New Roman" w:hAnsi="Times New Roman"/>
                <w:i/>
                <w:sz w:val="20"/>
                <w:szCs w:val="20"/>
              </w:rPr>
              <w:t xml:space="preserve"> amounts</w:t>
            </w:r>
            <w:r w:rsidR="003B7A1B" w:rsidRPr="00530CB6">
              <w:rPr>
                <w:rFonts w:ascii="Times New Roman" w:hAnsi="Times New Roman"/>
                <w:sz w:val="20"/>
                <w:szCs w:val="20"/>
              </w:rPr>
              <w:t xml:space="preserve"> as part of their regular financial reporting</w:t>
            </w:r>
            <w:r w:rsidR="006204E3" w:rsidRPr="00530CB6">
              <w:rPr>
                <w:rFonts w:ascii="Times New Roman" w:hAnsi="Times New Roman"/>
                <w:sz w:val="20"/>
                <w:szCs w:val="20"/>
              </w:rPr>
              <w:t xml:space="preserve"> (OP54)</w:t>
            </w:r>
            <w:r w:rsidR="001773B9">
              <w:rPr>
                <w:rFonts w:ascii="Times New Roman" w:hAnsi="Times New Roman"/>
                <w:sz w:val="20"/>
                <w:szCs w:val="20"/>
              </w:rPr>
              <w:t>.</w:t>
            </w:r>
          </w:p>
          <w:p w14:paraId="44332FE4" w14:textId="77777777" w:rsidR="003B7A1B" w:rsidRPr="00530CB6" w:rsidRDefault="0027721D" w:rsidP="006204E3">
            <w:pPr>
              <w:pStyle w:val="ListParagraph"/>
              <w:numPr>
                <w:ilvl w:val="0"/>
                <w:numId w:val="2"/>
              </w:numPr>
              <w:rPr>
                <w:rFonts w:ascii="Times New Roman" w:hAnsi="Times New Roman"/>
                <w:sz w:val="20"/>
                <w:szCs w:val="20"/>
              </w:rPr>
            </w:pPr>
            <w:r w:rsidRPr="00530CB6">
              <w:rPr>
                <w:rFonts w:ascii="Times New Roman" w:hAnsi="Times New Roman"/>
                <w:i/>
                <w:sz w:val="20"/>
                <w:szCs w:val="20"/>
              </w:rPr>
              <w:t>Reducing</w:t>
            </w:r>
            <w:r w:rsidR="003B7A1B" w:rsidRPr="00530CB6">
              <w:rPr>
                <w:rFonts w:ascii="Times New Roman" w:hAnsi="Times New Roman"/>
                <w:i/>
                <w:sz w:val="20"/>
                <w:szCs w:val="20"/>
              </w:rPr>
              <w:t xml:space="preserve"> management costs in the effort to minimize the necessary cost recovery rate </w:t>
            </w:r>
            <w:r w:rsidR="003B7A1B" w:rsidRPr="00530CB6">
              <w:rPr>
                <w:rFonts w:ascii="Times New Roman" w:hAnsi="Times New Roman"/>
                <w:sz w:val="20"/>
                <w:szCs w:val="20"/>
              </w:rPr>
              <w:t>within the existing budget frameworks</w:t>
            </w:r>
            <w:r w:rsidR="006204E3" w:rsidRPr="00530CB6">
              <w:rPr>
                <w:rFonts w:ascii="Times New Roman" w:hAnsi="Times New Roman"/>
                <w:sz w:val="20"/>
                <w:szCs w:val="20"/>
              </w:rPr>
              <w:t xml:space="preserve"> (OP56)</w:t>
            </w:r>
            <w:r w:rsidR="001773B9">
              <w:rPr>
                <w:rFonts w:ascii="Times New Roman" w:hAnsi="Times New Roman"/>
                <w:sz w:val="20"/>
                <w:szCs w:val="20"/>
              </w:rPr>
              <w:t>.</w:t>
            </w:r>
          </w:p>
        </w:tc>
        <w:tc>
          <w:tcPr>
            <w:tcW w:w="2700" w:type="dxa"/>
            <w:tcBorders>
              <w:bottom w:val="single" w:sz="4" w:space="0" w:color="auto"/>
            </w:tcBorders>
          </w:tcPr>
          <w:p w14:paraId="7AC109A7" w14:textId="77777777" w:rsidR="00F04C74" w:rsidRPr="00530CB6" w:rsidRDefault="00F04C74" w:rsidP="00F04C74">
            <w:pPr>
              <w:spacing w:before="60" w:line="200" w:lineRule="exact"/>
              <w:ind w:left="-29"/>
              <w:rPr>
                <w:rFonts w:ascii="Times New Roman" w:eastAsia="Times New Roman" w:hAnsi="Times New Roman" w:cs="Times New Roman"/>
                <w:b/>
                <w:sz w:val="20"/>
                <w:szCs w:val="20"/>
              </w:rPr>
            </w:pPr>
            <w:r w:rsidRPr="00530CB6">
              <w:rPr>
                <w:rFonts w:ascii="Times New Roman" w:eastAsia="MS ??" w:hAnsi="Times New Roman"/>
                <w:sz w:val="20"/>
                <w:szCs w:val="20"/>
              </w:rPr>
              <w:lastRenderedPageBreak/>
              <w:t># of UN entities reporting to their governing bodies in 2014 on concrete measures to broaden the donor base</w:t>
            </w:r>
          </w:p>
          <w:p w14:paraId="5A9C44FA" w14:textId="77777777" w:rsidR="00F04C74" w:rsidRPr="00530CB6" w:rsidRDefault="00F04C74" w:rsidP="00F04C74">
            <w:pPr>
              <w:rPr>
                <w:rFonts w:ascii="Times New Roman" w:hAnsi="Times New Roman"/>
                <w:sz w:val="20"/>
                <w:szCs w:val="20"/>
              </w:rPr>
            </w:pPr>
          </w:p>
          <w:p w14:paraId="380F07A8" w14:textId="77777777" w:rsidR="00F04C74" w:rsidRPr="00530CB6" w:rsidRDefault="00F04C74" w:rsidP="00F04C74">
            <w:pPr>
              <w:spacing w:before="60" w:line="200" w:lineRule="exact"/>
              <w:ind w:left="-14"/>
              <w:rPr>
                <w:rFonts w:ascii="Times New Roman" w:eastAsia="MS ??" w:hAnsi="Times New Roman"/>
                <w:sz w:val="20"/>
                <w:szCs w:val="20"/>
              </w:rPr>
            </w:pPr>
            <w:r w:rsidRPr="00530CB6">
              <w:rPr>
                <w:rFonts w:ascii="Times New Roman" w:eastAsia="MS ??" w:hAnsi="Times New Roman"/>
                <w:sz w:val="20"/>
                <w:szCs w:val="20"/>
              </w:rPr>
              <w:t># of UN Fs/Ps that defined common principles for the concept of critical mass of core resources by 2014</w:t>
            </w:r>
          </w:p>
          <w:p w14:paraId="33A593E5" w14:textId="77777777" w:rsidR="00C7201A" w:rsidRPr="00530CB6" w:rsidRDefault="00C7201A">
            <w:pPr>
              <w:rPr>
                <w:rFonts w:ascii="Times New Roman" w:hAnsi="Times New Roman"/>
                <w:sz w:val="20"/>
                <w:szCs w:val="20"/>
              </w:rPr>
            </w:pPr>
          </w:p>
          <w:p w14:paraId="72278630" w14:textId="77777777" w:rsidR="00BF594F" w:rsidRPr="00530CB6" w:rsidRDefault="00BF594F">
            <w:pPr>
              <w:rPr>
                <w:rFonts w:ascii="Times New Roman" w:hAnsi="Times New Roman"/>
                <w:sz w:val="20"/>
                <w:szCs w:val="20"/>
              </w:rPr>
            </w:pPr>
          </w:p>
          <w:p w14:paraId="7153E302" w14:textId="77777777" w:rsidR="00BF594F" w:rsidRPr="00530CB6" w:rsidRDefault="00BF594F" w:rsidP="00BF594F">
            <w:pPr>
              <w:rPr>
                <w:rFonts w:ascii="Times New Roman" w:eastAsia="MS ??" w:hAnsi="Times New Roman"/>
                <w:sz w:val="20"/>
                <w:szCs w:val="20"/>
              </w:rPr>
            </w:pPr>
            <w:r w:rsidRPr="00530CB6">
              <w:rPr>
                <w:rFonts w:ascii="Times New Roman" w:eastAsia="MS ??" w:hAnsi="Times New Roman"/>
                <w:sz w:val="20"/>
                <w:szCs w:val="20"/>
              </w:rPr>
              <w:t># of UN entities consolidating all projected core and non-core resources within an integrated budgetary framework</w:t>
            </w:r>
          </w:p>
          <w:p w14:paraId="3A38C26E" w14:textId="77777777" w:rsidR="00BF594F" w:rsidRPr="00530CB6" w:rsidRDefault="00BF594F" w:rsidP="00BF594F">
            <w:pPr>
              <w:rPr>
                <w:rFonts w:ascii="Times New Roman" w:eastAsia="MS ??" w:hAnsi="Times New Roman"/>
                <w:sz w:val="20"/>
                <w:szCs w:val="20"/>
              </w:rPr>
            </w:pPr>
          </w:p>
          <w:p w14:paraId="2E87D5CC" w14:textId="77777777" w:rsidR="00BF594F" w:rsidRPr="00530CB6" w:rsidRDefault="00BF594F" w:rsidP="00BF594F">
            <w:pPr>
              <w:autoSpaceDE w:val="0"/>
              <w:autoSpaceDN w:val="0"/>
              <w:adjustRightInd w:val="0"/>
              <w:rPr>
                <w:rFonts w:ascii="Times New Roman" w:hAnsi="Times New Roman" w:cs="Calibri"/>
                <w:color w:val="000000"/>
                <w:sz w:val="20"/>
                <w:szCs w:val="20"/>
              </w:rPr>
            </w:pPr>
            <w:r w:rsidRPr="00530CB6">
              <w:rPr>
                <w:rFonts w:ascii="Times New Roman" w:hAnsi="Times New Roman" w:cs="Calibri"/>
                <w:color w:val="000000"/>
                <w:sz w:val="20"/>
                <w:szCs w:val="20"/>
              </w:rPr>
              <w:t>% of total core expenditure on development-related activities directed to programme</w:t>
            </w:r>
          </w:p>
          <w:p w14:paraId="2C21B2CD" w14:textId="77777777" w:rsidR="00C7201A" w:rsidRPr="00530CB6" w:rsidRDefault="00C7201A" w:rsidP="00BF594F">
            <w:pPr>
              <w:autoSpaceDE w:val="0"/>
              <w:autoSpaceDN w:val="0"/>
              <w:adjustRightInd w:val="0"/>
              <w:rPr>
                <w:rFonts w:ascii="Times New Roman" w:hAnsi="Times New Roman" w:cs="Calibri"/>
                <w:color w:val="000000"/>
                <w:sz w:val="20"/>
                <w:szCs w:val="20"/>
              </w:rPr>
            </w:pPr>
          </w:p>
          <w:p w14:paraId="23D52516" w14:textId="77777777" w:rsidR="00BF594F" w:rsidRPr="00530CB6" w:rsidRDefault="00BF594F">
            <w:pPr>
              <w:rPr>
                <w:rFonts w:ascii="Times New Roman" w:hAnsi="Times New Roman"/>
                <w:sz w:val="20"/>
                <w:szCs w:val="20"/>
              </w:rPr>
            </w:pPr>
          </w:p>
          <w:p w14:paraId="42FC82D3" w14:textId="77777777" w:rsidR="00D74570" w:rsidRPr="00530CB6" w:rsidRDefault="00D74570" w:rsidP="00D74570">
            <w:pPr>
              <w:rPr>
                <w:rFonts w:ascii="Times New Roman" w:eastAsia="MS ??" w:hAnsi="Times New Roman"/>
                <w:sz w:val="20"/>
                <w:szCs w:val="20"/>
              </w:rPr>
            </w:pPr>
            <w:r w:rsidRPr="00530CB6">
              <w:rPr>
                <w:rFonts w:ascii="Times New Roman" w:hAnsi="Times New Roman" w:cs="Calibri"/>
                <w:color w:val="000000"/>
                <w:sz w:val="20"/>
                <w:szCs w:val="20"/>
              </w:rPr>
              <w:t xml:space="preserve"># of UN entities that have adopted harmonized cost recovery frameworks by end of 2013 </w:t>
            </w:r>
          </w:p>
          <w:p w14:paraId="6C33BD94" w14:textId="77777777" w:rsidR="00D74570" w:rsidRPr="00530CB6" w:rsidRDefault="00D74570" w:rsidP="00D74570">
            <w:pPr>
              <w:rPr>
                <w:rFonts w:ascii="Times New Roman" w:eastAsia="MS ??" w:hAnsi="Times New Roman"/>
                <w:sz w:val="20"/>
                <w:szCs w:val="20"/>
              </w:rPr>
            </w:pPr>
          </w:p>
          <w:p w14:paraId="17FCCA4F" w14:textId="77777777" w:rsidR="003C60D6" w:rsidRPr="00530CB6" w:rsidRDefault="00D74570" w:rsidP="00D74570">
            <w:pPr>
              <w:rPr>
                <w:rFonts w:ascii="Times New Roman" w:hAnsi="Times New Roman"/>
                <w:sz w:val="20"/>
                <w:szCs w:val="20"/>
              </w:rPr>
            </w:pPr>
            <w:r w:rsidRPr="00530CB6">
              <w:rPr>
                <w:rFonts w:ascii="Times New Roman" w:hAnsi="Times New Roman"/>
                <w:sz w:val="20"/>
                <w:szCs w:val="20"/>
              </w:rPr>
              <w:t xml:space="preserve"># of UN entities reporting on cost recovery amounts within </w:t>
            </w:r>
            <w:r w:rsidRPr="00530CB6">
              <w:rPr>
                <w:rFonts w:ascii="Times New Roman" w:hAnsi="Times New Roman"/>
                <w:sz w:val="20"/>
                <w:szCs w:val="20"/>
              </w:rPr>
              <w:lastRenderedPageBreak/>
              <w:t>their regular financial reporting</w:t>
            </w:r>
          </w:p>
          <w:p w14:paraId="57E9EFC5" w14:textId="77777777" w:rsidR="003C60D6" w:rsidRPr="00530CB6" w:rsidRDefault="003C60D6">
            <w:pPr>
              <w:rPr>
                <w:rFonts w:ascii="Times New Roman" w:hAnsi="Times New Roman"/>
                <w:sz w:val="20"/>
                <w:szCs w:val="20"/>
              </w:rPr>
            </w:pPr>
          </w:p>
          <w:p w14:paraId="44A045D0" w14:textId="77777777" w:rsidR="003C60D6" w:rsidRPr="00530CB6" w:rsidRDefault="003C60D6">
            <w:pPr>
              <w:rPr>
                <w:rFonts w:ascii="Times New Roman" w:hAnsi="Times New Roman"/>
                <w:sz w:val="20"/>
                <w:szCs w:val="20"/>
              </w:rPr>
            </w:pPr>
          </w:p>
        </w:tc>
        <w:tc>
          <w:tcPr>
            <w:tcW w:w="5850" w:type="dxa"/>
            <w:tcBorders>
              <w:bottom w:val="single" w:sz="4" w:space="0" w:color="auto"/>
            </w:tcBorders>
          </w:tcPr>
          <w:p w14:paraId="53A30FF5" w14:textId="77777777" w:rsidR="00A14D6F" w:rsidRPr="00530CB6" w:rsidRDefault="00F43FD9" w:rsidP="004E2626">
            <w:pPr>
              <w:pStyle w:val="ListParagraph"/>
              <w:numPr>
                <w:ilvl w:val="0"/>
                <w:numId w:val="3"/>
              </w:numPr>
              <w:shd w:val="clear" w:color="auto" w:fill="FFFFFF" w:themeFill="background1"/>
              <w:rPr>
                <w:rFonts w:ascii="Times New Roman" w:hAnsi="Times New Roman"/>
                <w:sz w:val="20"/>
                <w:szCs w:val="20"/>
              </w:rPr>
            </w:pPr>
            <w:r w:rsidRPr="00C85886">
              <w:rPr>
                <w:rFonts w:ascii="Times New Roman" w:hAnsi="Times New Roman"/>
                <w:sz w:val="20"/>
                <w:szCs w:val="20"/>
              </w:rPr>
              <w:lastRenderedPageBreak/>
              <w:t xml:space="preserve">UNDP </w:t>
            </w:r>
            <w:r w:rsidR="00DA6E0F" w:rsidRPr="00C85886">
              <w:rPr>
                <w:rFonts w:ascii="Times New Roman" w:hAnsi="Times New Roman"/>
                <w:color w:val="000000" w:themeColor="text1"/>
                <w:sz w:val="20"/>
                <w:szCs w:val="20"/>
              </w:rPr>
              <w:t>adopted</w:t>
            </w:r>
            <w:r w:rsidRPr="00C85886">
              <w:rPr>
                <w:rFonts w:ascii="Times New Roman" w:hAnsi="Times New Roman"/>
                <w:color w:val="000000" w:themeColor="text1"/>
                <w:sz w:val="20"/>
                <w:szCs w:val="20"/>
              </w:rPr>
              <w:t xml:space="preserve"> a resource mobilization action plan</w:t>
            </w:r>
            <w:r w:rsidR="000C14A6" w:rsidRPr="00C85886">
              <w:rPr>
                <w:rFonts w:ascii="Times New Roman" w:hAnsi="Times New Roman"/>
                <w:color w:val="000000" w:themeColor="text1"/>
                <w:sz w:val="20"/>
                <w:szCs w:val="20"/>
              </w:rPr>
              <w:t xml:space="preserve"> and launched </w:t>
            </w:r>
            <w:r w:rsidR="00034116" w:rsidRPr="00C85886">
              <w:rPr>
                <w:rFonts w:ascii="Times New Roman" w:hAnsi="Times New Roman"/>
                <w:color w:val="000000" w:themeColor="text1"/>
                <w:sz w:val="20"/>
                <w:szCs w:val="20"/>
              </w:rPr>
              <w:t>a</w:t>
            </w:r>
            <w:r w:rsidR="000C14A6" w:rsidRPr="00C85886">
              <w:rPr>
                <w:rFonts w:ascii="Times New Roman" w:hAnsi="Times New Roman"/>
                <w:color w:val="000000" w:themeColor="text1"/>
                <w:sz w:val="20"/>
                <w:szCs w:val="20"/>
              </w:rPr>
              <w:t xml:space="preserve"> campaign to increase </w:t>
            </w:r>
            <w:r w:rsidR="00034116" w:rsidRPr="00C85886">
              <w:rPr>
                <w:rFonts w:ascii="Times New Roman" w:hAnsi="Times New Roman"/>
                <w:color w:val="000000" w:themeColor="text1"/>
                <w:sz w:val="20"/>
                <w:szCs w:val="20"/>
              </w:rPr>
              <w:t>the number of core contributors</w:t>
            </w:r>
            <w:r w:rsidR="000C14A6" w:rsidRPr="00C85886">
              <w:rPr>
                <w:rFonts w:ascii="Times New Roman" w:hAnsi="Times New Roman"/>
                <w:color w:val="000000" w:themeColor="text1"/>
                <w:sz w:val="20"/>
                <w:szCs w:val="20"/>
              </w:rPr>
              <w:t xml:space="preserve">. </w:t>
            </w:r>
            <w:r w:rsidR="000B0180" w:rsidRPr="00C85886">
              <w:rPr>
                <w:rFonts w:ascii="Times New Roman" w:hAnsi="Times New Roman"/>
                <w:color w:val="000000" w:themeColor="text1"/>
                <w:sz w:val="20"/>
                <w:szCs w:val="20"/>
              </w:rPr>
              <w:t xml:space="preserve">Additionally, the </w:t>
            </w:r>
            <w:r w:rsidR="00DD4F0A" w:rsidRPr="00C85886">
              <w:rPr>
                <w:rFonts w:ascii="Times New Roman" w:hAnsi="Times New Roman"/>
                <w:color w:val="000000" w:themeColor="text1"/>
                <w:sz w:val="20"/>
                <w:szCs w:val="20"/>
              </w:rPr>
              <w:t xml:space="preserve">organization launched the </w:t>
            </w:r>
            <w:r w:rsidR="000B0180" w:rsidRPr="00C85886">
              <w:rPr>
                <w:rFonts w:ascii="Times New Roman" w:hAnsi="Times New Roman"/>
                <w:color w:val="000000" w:themeColor="text1"/>
                <w:sz w:val="20"/>
                <w:szCs w:val="20"/>
              </w:rPr>
              <w:t>‘</w:t>
            </w:r>
            <w:r w:rsidR="00DD4F0A" w:rsidRPr="00C85886">
              <w:rPr>
                <w:rFonts w:ascii="Times New Roman" w:hAnsi="Times New Roman"/>
                <w:color w:val="000000" w:themeColor="text1"/>
                <w:sz w:val="20"/>
                <w:szCs w:val="20"/>
              </w:rPr>
              <w:t>Digital Good</w:t>
            </w:r>
            <w:r w:rsidR="000B0180" w:rsidRPr="00C85886">
              <w:rPr>
                <w:rFonts w:ascii="Times New Roman" w:hAnsi="Times New Roman"/>
                <w:color w:val="000000" w:themeColor="text1"/>
                <w:sz w:val="20"/>
                <w:szCs w:val="20"/>
              </w:rPr>
              <w:t>’</w:t>
            </w:r>
            <w:r w:rsidR="00DD4F0A" w:rsidRPr="00530CB6">
              <w:rPr>
                <w:rFonts w:ascii="Times New Roman" w:hAnsi="Times New Roman"/>
                <w:b/>
                <w:color w:val="000000" w:themeColor="text1"/>
                <w:sz w:val="20"/>
                <w:szCs w:val="20"/>
              </w:rPr>
              <w:t xml:space="preserve"> </w:t>
            </w:r>
            <w:r w:rsidR="00DD4F0A" w:rsidRPr="004E2626">
              <w:rPr>
                <w:rFonts w:ascii="Times New Roman" w:hAnsi="Times New Roman"/>
                <w:color w:val="000000" w:themeColor="text1"/>
                <w:sz w:val="20"/>
                <w:szCs w:val="20"/>
              </w:rPr>
              <w:t>programme</w:t>
            </w:r>
            <w:r w:rsidR="000B0180">
              <w:rPr>
                <w:rFonts w:ascii="Times New Roman" w:hAnsi="Times New Roman"/>
                <w:color w:val="000000" w:themeColor="text1"/>
                <w:sz w:val="20"/>
                <w:szCs w:val="20"/>
              </w:rPr>
              <w:t>:</w:t>
            </w:r>
            <w:r w:rsidR="00DD4F0A" w:rsidRPr="00530CB6">
              <w:rPr>
                <w:rFonts w:ascii="Times New Roman" w:hAnsi="Times New Roman"/>
                <w:color w:val="000000" w:themeColor="text1"/>
                <w:sz w:val="20"/>
                <w:szCs w:val="20"/>
              </w:rPr>
              <w:t xml:space="preserve"> an online digital fundraising platform </w:t>
            </w:r>
            <w:r w:rsidR="000B0180">
              <w:rPr>
                <w:rFonts w:ascii="Times New Roman" w:hAnsi="Times New Roman"/>
                <w:color w:val="000000" w:themeColor="text1"/>
                <w:sz w:val="20"/>
                <w:szCs w:val="20"/>
              </w:rPr>
              <w:t xml:space="preserve">that </w:t>
            </w:r>
            <w:r w:rsidR="00DD4F0A" w:rsidRPr="00530CB6">
              <w:rPr>
                <w:rFonts w:ascii="Times New Roman" w:hAnsi="Times New Roman"/>
                <w:color w:val="000000" w:themeColor="text1"/>
                <w:sz w:val="20"/>
                <w:szCs w:val="20"/>
              </w:rPr>
              <w:t>help</w:t>
            </w:r>
            <w:r w:rsidR="000B0180">
              <w:rPr>
                <w:rFonts w:ascii="Times New Roman" w:hAnsi="Times New Roman"/>
                <w:color w:val="000000" w:themeColor="text1"/>
                <w:sz w:val="20"/>
                <w:szCs w:val="20"/>
              </w:rPr>
              <w:t>s raise</w:t>
            </w:r>
            <w:r w:rsidR="00DD4F0A" w:rsidRPr="00530CB6">
              <w:rPr>
                <w:rFonts w:ascii="Times New Roman" w:hAnsi="Times New Roman"/>
                <w:color w:val="000000" w:themeColor="text1"/>
                <w:sz w:val="20"/>
                <w:szCs w:val="20"/>
              </w:rPr>
              <w:t xml:space="preserve"> direct contributions from individuals for sustainable development</w:t>
            </w:r>
            <w:r w:rsidR="000B0180">
              <w:rPr>
                <w:rFonts w:ascii="Times New Roman" w:hAnsi="Times New Roman"/>
                <w:color w:val="000000" w:themeColor="text1"/>
                <w:sz w:val="20"/>
                <w:szCs w:val="20"/>
              </w:rPr>
              <w:t xml:space="preserve"> action</w:t>
            </w:r>
            <w:r w:rsidR="00DD4F0A" w:rsidRPr="00530CB6">
              <w:rPr>
                <w:rFonts w:ascii="Times New Roman" w:hAnsi="Times New Roman"/>
                <w:color w:val="000000" w:themeColor="text1"/>
                <w:sz w:val="20"/>
                <w:szCs w:val="20"/>
              </w:rPr>
              <w:t>.</w:t>
            </w:r>
          </w:p>
          <w:p w14:paraId="31A80A37" w14:textId="29B484A4" w:rsidR="00CB3C28" w:rsidRPr="00530CB6" w:rsidRDefault="00DE7B54" w:rsidP="004E2626">
            <w:pPr>
              <w:pStyle w:val="ListParagraph"/>
              <w:numPr>
                <w:ilvl w:val="0"/>
                <w:numId w:val="3"/>
              </w:numPr>
              <w:shd w:val="clear" w:color="auto" w:fill="FFFFFF" w:themeFill="background1"/>
              <w:rPr>
                <w:rFonts w:ascii="Times New Roman" w:hAnsi="Times New Roman"/>
                <w:sz w:val="20"/>
                <w:szCs w:val="20"/>
              </w:rPr>
            </w:pPr>
            <w:r w:rsidRPr="00530CB6">
              <w:rPr>
                <w:rFonts w:ascii="Times New Roman" w:hAnsi="Times New Roman"/>
                <w:sz w:val="20"/>
                <w:szCs w:val="20"/>
              </w:rPr>
              <w:t xml:space="preserve">The 2016 Aid Transparency recognized UNDP as the leading aid organization </w:t>
            </w:r>
            <w:r w:rsidR="000B0180">
              <w:rPr>
                <w:rFonts w:ascii="Times New Roman" w:hAnsi="Times New Roman"/>
                <w:sz w:val="20"/>
                <w:szCs w:val="20"/>
              </w:rPr>
              <w:t>out of</w:t>
            </w:r>
            <w:r w:rsidR="000B0180" w:rsidRPr="00530CB6">
              <w:rPr>
                <w:rFonts w:ascii="Times New Roman" w:hAnsi="Times New Roman"/>
                <w:sz w:val="20"/>
                <w:szCs w:val="20"/>
              </w:rPr>
              <w:t xml:space="preserve"> </w:t>
            </w:r>
            <w:r w:rsidRPr="00530CB6">
              <w:rPr>
                <w:rFonts w:ascii="Times New Roman" w:hAnsi="Times New Roman"/>
                <w:sz w:val="20"/>
                <w:szCs w:val="20"/>
              </w:rPr>
              <w:t xml:space="preserve">46 </w:t>
            </w:r>
            <w:r w:rsidR="00BA3E5E" w:rsidRPr="00530CB6">
              <w:rPr>
                <w:rFonts w:ascii="Times New Roman" w:hAnsi="Times New Roman"/>
                <w:sz w:val="20"/>
                <w:szCs w:val="20"/>
              </w:rPr>
              <w:t>international</w:t>
            </w:r>
            <w:r w:rsidRPr="00530CB6">
              <w:rPr>
                <w:rFonts w:ascii="Times New Roman" w:hAnsi="Times New Roman"/>
                <w:sz w:val="20"/>
                <w:szCs w:val="20"/>
              </w:rPr>
              <w:t xml:space="preserve"> agencies, representing 98% of Official Development Flows. </w:t>
            </w:r>
            <w:r w:rsidR="000B0180">
              <w:rPr>
                <w:rFonts w:ascii="Times New Roman" w:hAnsi="Times New Roman"/>
                <w:sz w:val="20"/>
                <w:szCs w:val="20"/>
              </w:rPr>
              <w:t>E</w:t>
            </w:r>
            <w:r w:rsidR="005C5A04" w:rsidRPr="00530CB6">
              <w:rPr>
                <w:rFonts w:ascii="Times New Roman" w:hAnsi="Times New Roman"/>
                <w:sz w:val="20"/>
                <w:szCs w:val="20"/>
              </w:rPr>
              <w:t xml:space="preserve">fforts to remain a leader in transparency </w:t>
            </w:r>
            <w:r w:rsidR="001E04C8">
              <w:rPr>
                <w:rFonts w:ascii="Times New Roman" w:hAnsi="Times New Roman"/>
                <w:sz w:val="20"/>
                <w:szCs w:val="20"/>
              </w:rPr>
              <w:t>are</w:t>
            </w:r>
            <w:r w:rsidR="005C5A04" w:rsidRPr="00530CB6">
              <w:rPr>
                <w:rFonts w:ascii="Times New Roman" w:hAnsi="Times New Roman"/>
                <w:sz w:val="20"/>
                <w:szCs w:val="20"/>
              </w:rPr>
              <w:t xml:space="preserve"> ongoing </w:t>
            </w:r>
            <w:r w:rsidR="000B0180">
              <w:rPr>
                <w:rFonts w:ascii="Times New Roman" w:hAnsi="Times New Roman"/>
                <w:sz w:val="20"/>
                <w:szCs w:val="20"/>
              </w:rPr>
              <w:t xml:space="preserve">and </w:t>
            </w:r>
            <w:r w:rsidR="001E04C8">
              <w:rPr>
                <w:rFonts w:ascii="Times New Roman" w:hAnsi="Times New Roman"/>
                <w:sz w:val="20"/>
                <w:szCs w:val="20"/>
              </w:rPr>
              <w:t>will be</w:t>
            </w:r>
            <w:r w:rsidR="000B0180">
              <w:rPr>
                <w:rFonts w:ascii="Times New Roman" w:hAnsi="Times New Roman"/>
                <w:sz w:val="20"/>
                <w:szCs w:val="20"/>
              </w:rPr>
              <w:t xml:space="preserve"> achieved by</w:t>
            </w:r>
            <w:r w:rsidR="000B0180" w:rsidRPr="00530CB6">
              <w:rPr>
                <w:rFonts w:ascii="Times New Roman" w:hAnsi="Times New Roman"/>
                <w:sz w:val="20"/>
                <w:szCs w:val="20"/>
              </w:rPr>
              <w:t xml:space="preserve"> </w:t>
            </w:r>
            <w:r w:rsidR="005C5A04" w:rsidRPr="00530CB6">
              <w:rPr>
                <w:rFonts w:ascii="Times New Roman" w:hAnsi="Times New Roman"/>
                <w:sz w:val="20"/>
                <w:szCs w:val="20"/>
              </w:rPr>
              <w:t xml:space="preserve">increasing the quantity and quality of project information at all </w:t>
            </w:r>
            <w:r w:rsidR="000B0180">
              <w:rPr>
                <w:rFonts w:ascii="Times New Roman" w:hAnsi="Times New Roman"/>
                <w:sz w:val="20"/>
                <w:szCs w:val="20"/>
              </w:rPr>
              <w:t>levels</w:t>
            </w:r>
            <w:r w:rsidR="000B0180" w:rsidRPr="00530CB6">
              <w:rPr>
                <w:rFonts w:ascii="Times New Roman" w:hAnsi="Times New Roman"/>
                <w:sz w:val="20"/>
                <w:szCs w:val="20"/>
              </w:rPr>
              <w:t xml:space="preserve"> </w:t>
            </w:r>
            <w:r w:rsidR="005C5A04" w:rsidRPr="00530CB6">
              <w:rPr>
                <w:rFonts w:ascii="Times New Roman" w:hAnsi="Times New Roman"/>
                <w:sz w:val="20"/>
                <w:szCs w:val="20"/>
              </w:rPr>
              <w:t>of the organization.</w:t>
            </w:r>
          </w:p>
          <w:p w14:paraId="169C9C27" w14:textId="04A5D4A6" w:rsidR="00CB3C28" w:rsidRPr="00530CB6" w:rsidRDefault="00CB3C28" w:rsidP="004E2626">
            <w:pPr>
              <w:pStyle w:val="ListParagraph"/>
              <w:numPr>
                <w:ilvl w:val="0"/>
                <w:numId w:val="3"/>
              </w:numPr>
              <w:shd w:val="clear" w:color="auto" w:fill="FFFFFF" w:themeFill="background1"/>
              <w:rPr>
                <w:rFonts w:ascii="Times New Roman" w:hAnsi="Times New Roman"/>
                <w:sz w:val="20"/>
                <w:szCs w:val="20"/>
              </w:rPr>
            </w:pPr>
            <w:r w:rsidRPr="00530CB6">
              <w:rPr>
                <w:rFonts w:ascii="Times New Roman" w:hAnsi="Times New Roman" w:cs="Arial"/>
                <w:sz w:val="20"/>
                <w:szCs w:val="20"/>
              </w:rPr>
              <w:t>UNDP held structured dialogues on funding with the E</w:t>
            </w:r>
            <w:r w:rsidR="000B0180">
              <w:rPr>
                <w:rFonts w:ascii="Times New Roman" w:hAnsi="Times New Roman" w:cs="Arial"/>
                <w:sz w:val="20"/>
                <w:szCs w:val="20"/>
              </w:rPr>
              <w:t xml:space="preserve">xecutive </w:t>
            </w:r>
            <w:r w:rsidRPr="00530CB6">
              <w:rPr>
                <w:rFonts w:ascii="Times New Roman" w:hAnsi="Times New Roman" w:cs="Arial"/>
                <w:sz w:val="20"/>
                <w:szCs w:val="20"/>
              </w:rPr>
              <w:t>B</w:t>
            </w:r>
            <w:r w:rsidR="000B0180">
              <w:rPr>
                <w:rFonts w:ascii="Times New Roman" w:hAnsi="Times New Roman" w:cs="Arial"/>
                <w:sz w:val="20"/>
                <w:szCs w:val="20"/>
              </w:rPr>
              <w:t>oard</w:t>
            </w:r>
            <w:r w:rsidRPr="00530CB6">
              <w:rPr>
                <w:rFonts w:ascii="Times New Roman" w:hAnsi="Times New Roman" w:cs="Arial"/>
                <w:sz w:val="20"/>
                <w:szCs w:val="20"/>
              </w:rPr>
              <w:t xml:space="preserve"> in January and September 2016. The B</w:t>
            </w:r>
            <w:r w:rsidR="000B0180">
              <w:rPr>
                <w:rFonts w:ascii="Times New Roman" w:hAnsi="Times New Roman" w:cs="Arial"/>
                <w:sz w:val="20"/>
                <w:szCs w:val="20"/>
              </w:rPr>
              <w:t>oard</w:t>
            </w:r>
            <w:r w:rsidRPr="00530CB6">
              <w:rPr>
                <w:rFonts w:ascii="Times New Roman" w:hAnsi="Times New Roman" w:cs="Arial"/>
                <w:sz w:val="20"/>
                <w:szCs w:val="20"/>
              </w:rPr>
              <w:t xml:space="preserve"> took note of UNDP efforts to further </w:t>
            </w:r>
            <w:r w:rsidR="009940D0" w:rsidRPr="00530CB6">
              <w:rPr>
                <w:rFonts w:ascii="Times New Roman" w:hAnsi="Times New Roman" w:cs="Arial"/>
                <w:sz w:val="20"/>
                <w:szCs w:val="20"/>
              </w:rPr>
              <w:t>diversi</w:t>
            </w:r>
            <w:r w:rsidR="009940D0">
              <w:rPr>
                <w:rFonts w:ascii="Times New Roman" w:hAnsi="Times New Roman" w:cs="Arial"/>
                <w:sz w:val="20"/>
                <w:szCs w:val="20"/>
              </w:rPr>
              <w:t>f</w:t>
            </w:r>
            <w:r w:rsidR="009940D0" w:rsidRPr="00530CB6">
              <w:rPr>
                <w:rFonts w:ascii="Times New Roman" w:hAnsi="Times New Roman" w:cs="Arial"/>
                <w:sz w:val="20"/>
                <w:szCs w:val="20"/>
              </w:rPr>
              <w:t xml:space="preserve">y </w:t>
            </w:r>
            <w:r w:rsidRPr="00530CB6">
              <w:rPr>
                <w:rFonts w:ascii="Times New Roman" w:hAnsi="Times New Roman" w:cs="Arial"/>
                <w:sz w:val="20"/>
                <w:szCs w:val="20"/>
              </w:rPr>
              <w:t>its funding base, including resource mobilization</w:t>
            </w:r>
            <w:r w:rsidR="000B0180">
              <w:rPr>
                <w:rFonts w:ascii="Times New Roman" w:hAnsi="Times New Roman" w:cs="Arial"/>
                <w:sz w:val="20"/>
                <w:szCs w:val="20"/>
              </w:rPr>
              <w:t xml:space="preserve"> approaches</w:t>
            </w:r>
            <w:r w:rsidRPr="00530CB6">
              <w:rPr>
                <w:rFonts w:ascii="Times New Roman" w:hAnsi="Times New Roman" w:cs="Arial"/>
                <w:sz w:val="20"/>
                <w:szCs w:val="20"/>
              </w:rPr>
              <w:t>.</w:t>
            </w:r>
          </w:p>
          <w:p w14:paraId="74D4B00D" w14:textId="6557970C" w:rsidR="00BF594F" w:rsidRPr="00530CB6" w:rsidRDefault="00BF594F" w:rsidP="004E2626">
            <w:pPr>
              <w:pStyle w:val="ListParagraph"/>
              <w:numPr>
                <w:ilvl w:val="0"/>
                <w:numId w:val="3"/>
              </w:numPr>
              <w:shd w:val="clear" w:color="auto" w:fill="FFFFFF" w:themeFill="background1"/>
              <w:rPr>
                <w:rFonts w:ascii="Times New Roman" w:hAnsi="Times New Roman"/>
                <w:sz w:val="20"/>
                <w:szCs w:val="20"/>
              </w:rPr>
            </w:pPr>
            <w:r w:rsidRPr="00530CB6">
              <w:rPr>
                <w:rFonts w:ascii="Times New Roman" w:hAnsi="Times New Roman"/>
                <w:color w:val="000000" w:themeColor="text1"/>
                <w:sz w:val="20"/>
                <w:szCs w:val="20"/>
              </w:rPr>
              <w:t xml:space="preserve">In 2016, the organization spent 81% of </w:t>
            </w:r>
            <w:r w:rsidR="000B0180">
              <w:rPr>
                <w:rFonts w:ascii="Times New Roman" w:hAnsi="Times New Roman"/>
                <w:color w:val="000000" w:themeColor="text1"/>
                <w:sz w:val="20"/>
                <w:szCs w:val="20"/>
              </w:rPr>
              <w:t xml:space="preserve">its </w:t>
            </w:r>
            <w:r w:rsidRPr="00530CB6">
              <w:rPr>
                <w:rFonts w:ascii="Times New Roman" w:hAnsi="Times New Roman"/>
                <w:color w:val="000000" w:themeColor="text1"/>
                <w:sz w:val="20"/>
                <w:szCs w:val="20"/>
              </w:rPr>
              <w:t>core expenditure on development rel</w:t>
            </w:r>
            <w:r w:rsidR="005A3DEB">
              <w:rPr>
                <w:rFonts w:ascii="Times New Roman" w:hAnsi="Times New Roman"/>
                <w:color w:val="000000" w:themeColor="text1"/>
                <w:sz w:val="20"/>
                <w:szCs w:val="20"/>
              </w:rPr>
              <w:t>ated activities directed to pro</w:t>
            </w:r>
            <w:r w:rsidRPr="00530CB6">
              <w:rPr>
                <w:rFonts w:ascii="Times New Roman" w:hAnsi="Times New Roman"/>
                <w:color w:val="000000" w:themeColor="text1"/>
                <w:sz w:val="20"/>
                <w:szCs w:val="20"/>
              </w:rPr>
              <w:t>gamme activities and 94% of non-core expenditure on development-related activities directed to programme activities.</w:t>
            </w:r>
          </w:p>
          <w:p w14:paraId="1E72DC69" w14:textId="77777777" w:rsidR="00345D74" w:rsidRPr="00530CB6" w:rsidRDefault="003C60D6" w:rsidP="005C5A04">
            <w:pPr>
              <w:pStyle w:val="ListParagraph"/>
              <w:numPr>
                <w:ilvl w:val="0"/>
                <w:numId w:val="3"/>
              </w:numPr>
              <w:rPr>
                <w:rFonts w:ascii="Times New Roman" w:hAnsi="Times New Roman"/>
                <w:sz w:val="20"/>
                <w:szCs w:val="20"/>
              </w:rPr>
            </w:pPr>
            <w:r w:rsidRPr="00530CB6">
              <w:rPr>
                <w:rFonts w:ascii="Times New Roman" w:hAnsi="Times New Roman"/>
                <w:color w:val="000000" w:themeColor="text1"/>
                <w:sz w:val="20"/>
                <w:szCs w:val="20"/>
              </w:rPr>
              <w:t>UNDP</w:t>
            </w:r>
            <w:r w:rsidR="000B0180">
              <w:rPr>
                <w:rFonts w:ascii="Times New Roman" w:hAnsi="Times New Roman"/>
                <w:color w:val="000000" w:themeColor="text1"/>
                <w:sz w:val="20"/>
                <w:szCs w:val="20"/>
              </w:rPr>
              <w:t>,</w:t>
            </w:r>
            <w:r w:rsidRPr="00530CB6">
              <w:rPr>
                <w:rFonts w:ascii="Times New Roman" w:hAnsi="Times New Roman"/>
                <w:color w:val="000000" w:themeColor="text1"/>
                <w:sz w:val="20"/>
                <w:szCs w:val="20"/>
              </w:rPr>
              <w:t xml:space="preserve"> </w:t>
            </w:r>
            <w:r w:rsidR="00101A76">
              <w:rPr>
                <w:rFonts w:ascii="Times New Roman" w:hAnsi="Times New Roman"/>
                <w:color w:val="000000" w:themeColor="text1"/>
                <w:sz w:val="20"/>
                <w:szCs w:val="20"/>
              </w:rPr>
              <w:t>along</w:t>
            </w:r>
            <w:r w:rsidR="00101A76" w:rsidRPr="00530CB6">
              <w:rPr>
                <w:rFonts w:ascii="Times New Roman" w:hAnsi="Times New Roman"/>
                <w:color w:val="000000" w:themeColor="text1"/>
                <w:sz w:val="20"/>
                <w:szCs w:val="20"/>
              </w:rPr>
              <w:t xml:space="preserve"> </w:t>
            </w:r>
            <w:r w:rsidRPr="00530CB6">
              <w:rPr>
                <w:rFonts w:ascii="Times New Roman" w:hAnsi="Times New Roman"/>
                <w:color w:val="000000" w:themeColor="text1"/>
                <w:sz w:val="20"/>
                <w:szCs w:val="20"/>
              </w:rPr>
              <w:t>with UNICEF, UNFPA and UN</w:t>
            </w:r>
            <w:r w:rsidR="000B0180">
              <w:rPr>
                <w:rFonts w:ascii="Times New Roman" w:hAnsi="Times New Roman"/>
                <w:color w:val="000000" w:themeColor="text1"/>
                <w:sz w:val="20"/>
                <w:szCs w:val="20"/>
              </w:rPr>
              <w:t xml:space="preserve"> </w:t>
            </w:r>
            <w:r w:rsidR="000B0180" w:rsidRPr="00530CB6">
              <w:rPr>
                <w:rFonts w:ascii="Times New Roman" w:hAnsi="Times New Roman"/>
                <w:color w:val="000000" w:themeColor="text1"/>
                <w:sz w:val="20"/>
                <w:szCs w:val="20"/>
              </w:rPr>
              <w:t>W</w:t>
            </w:r>
            <w:r w:rsidR="000B0180">
              <w:rPr>
                <w:rFonts w:ascii="Times New Roman" w:hAnsi="Times New Roman"/>
                <w:color w:val="000000" w:themeColor="text1"/>
                <w:sz w:val="20"/>
                <w:szCs w:val="20"/>
              </w:rPr>
              <w:t>omen</w:t>
            </w:r>
            <w:r w:rsidR="001D6E87">
              <w:rPr>
                <w:rFonts w:ascii="Times New Roman" w:hAnsi="Times New Roman"/>
                <w:color w:val="000000" w:themeColor="text1"/>
                <w:sz w:val="20"/>
                <w:szCs w:val="20"/>
              </w:rPr>
              <w:t>,</w:t>
            </w:r>
            <w:r w:rsidR="000B0180" w:rsidRPr="00530CB6">
              <w:rPr>
                <w:rFonts w:ascii="Times New Roman" w:hAnsi="Times New Roman"/>
                <w:color w:val="000000" w:themeColor="text1"/>
                <w:sz w:val="20"/>
                <w:szCs w:val="20"/>
              </w:rPr>
              <w:t xml:space="preserve"> </w:t>
            </w:r>
            <w:r w:rsidR="001D6E87">
              <w:rPr>
                <w:rFonts w:ascii="Times New Roman" w:hAnsi="Times New Roman"/>
                <w:color w:val="000000" w:themeColor="text1"/>
                <w:sz w:val="20"/>
                <w:szCs w:val="20"/>
              </w:rPr>
              <w:t>has</w:t>
            </w:r>
            <w:r w:rsidR="001D6E87" w:rsidRPr="00530CB6">
              <w:rPr>
                <w:rFonts w:ascii="Times New Roman" w:hAnsi="Times New Roman"/>
                <w:color w:val="000000" w:themeColor="text1"/>
                <w:sz w:val="20"/>
                <w:szCs w:val="20"/>
              </w:rPr>
              <w:t xml:space="preserve"> </w:t>
            </w:r>
            <w:r w:rsidRPr="00530CB6">
              <w:rPr>
                <w:rFonts w:ascii="Times New Roman" w:hAnsi="Times New Roman"/>
                <w:color w:val="000000" w:themeColor="text1"/>
                <w:sz w:val="20"/>
                <w:szCs w:val="20"/>
              </w:rPr>
              <w:t xml:space="preserve">harmonized cost recovery practices and methodology to achieve </w:t>
            </w:r>
            <w:r w:rsidR="001D6E87">
              <w:rPr>
                <w:rFonts w:ascii="Times New Roman" w:hAnsi="Times New Roman"/>
                <w:color w:val="000000" w:themeColor="text1"/>
                <w:sz w:val="20"/>
                <w:szCs w:val="20"/>
              </w:rPr>
              <w:t>“</w:t>
            </w:r>
            <w:r w:rsidRPr="00530CB6">
              <w:rPr>
                <w:rFonts w:ascii="Times New Roman" w:hAnsi="Times New Roman"/>
                <w:color w:val="000000" w:themeColor="text1"/>
                <w:sz w:val="20"/>
                <w:szCs w:val="20"/>
              </w:rPr>
              <w:t>full cost recovery</w:t>
            </w:r>
            <w:r w:rsidR="001D6E87">
              <w:rPr>
                <w:rFonts w:ascii="Times New Roman" w:hAnsi="Times New Roman"/>
                <w:color w:val="000000" w:themeColor="text1"/>
                <w:sz w:val="20"/>
                <w:szCs w:val="20"/>
              </w:rPr>
              <w:t>”</w:t>
            </w:r>
            <w:r w:rsidRPr="00530CB6">
              <w:rPr>
                <w:rFonts w:ascii="Times New Roman" w:hAnsi="Times New Roman"/>
                <w:color w:val="000000" w:themeColor="text1"/>
                <w:sz w:val="20"/>
                <w:szCs w:val="20"/>
              </w:rPr>
              <w:t xml:space="preserve"> as mandated</w:t>
            </w:r>
            <w:r w:rsidR="001D6E87">
              <w:rPr>
                <w:rFonts w:ascii="Times New Roman" w:hAnsi="Times New Roman"/>
                <w:color w:val="000000" w:themeColor="text1"/>
                <w:sz w:val="20"/>
                <w:szCs w:val="20"/>
              </w:rPr>
              <w:t>.</w:t>
            </w:r>
          </w:p>
          <w:p w14:paraId="377E5B06" w14:textId="77777777" w:rsidR="00C7201A" w:rsidRPr="00530CB6" w:rsidRDefault="00C7201A" w:rsidP="005C5A04">
            <w:pPr>
              <w:pStyle w:val="ListParagraph"/>
              <w:numPr>
                <w:ilvl w:val="0"/>
                <w:numId w:val="3"/>
              </w:numPr>
              <w:rPr>
                <w:rFonts w:ascii="Times New Roman" w:hAnsi="Times New Roman"/>
                <w:sz w:val="20"/>
                <w:szCs w:val="20"/>
              </w:rPr>
            </w:pPr>
            <w:r w:rsidRPr="00530CB6">
              <w:rPr>
                <w:rFonts w:ascii="Times New Roman" w:hAnsi="Times New Roman" w:cs="Calibri"/>
                <w:color w:val="000000" w:themeColor="text1"/>
                <w:sz w:val="20"/>
                <w:szCs w:val="20"/>
              </w:rPr>
              <w:t xml:space="preserve">The </w:t>
            </w:r>
            <w:r w:rsidR="00101A76" w:rsidRPr="00530CB6">
              <w:rPr>
                <w:rFonts w:ascii="Times New Roman" w:hAnsi="Times New Roman"/>
                <w:sz w:val="20"/>
                <w:szCs w:val="20"/>
              </w:rPr>
              <w:t xml:space="preserve">Integrated Results </w:t>
            </w:r>
            <w:r w:rsidR="00101A76">
              <w:rPr>
                <w:rFonts w:ascii="Times New Roman" w:hAnsi="Times New Roman"/>
                <w:sz w:val="20"/>
                <w:szCs w:val="20"/>
              </w:rPr>
              <w:t>and</w:t>
            </w:r>
            <w:r w:rsidR="00101A76" w:rsidRPr="00530CB6">
              <w:rPr>
                <w:rFonts w:ascii="Times New Roman" w:hAnsi="Times New Roman"/>
                <w:sz w:val="20"/>
                <w:szCs w:val="20"/>
              </w:rPr>
              <w:t xml:space="preserve"> Resources Framework</w:t>
            </w:r>
            <w:r w:rsidR="00101A76" w:rsidRPr="00530CB6">
              <w:rPr>
                <w:rFonts w:ascii="Times New Roman" w:hAnsi="Times New Roman" w:cs="Calibri"/>
                <w:color w:val="000000" w:themeColor="text1"/>
                <w:sz w:val="20"/>
                <w:szCs w:val="20"/>
              </w:rPr>
              <w:t xml:space="preserve"> </w:t>
            </w:r>
            <w:r w:rsidR="00101A76">
              <w:rPr>
                <w:rFonts w:ascii="Times New Roman" w:hAnsi="Times New Roman" w:cs="Calibri"/>
                <w:color w:val="000000" w:themeColor="text1"/>
                <w:sz w:val="20"/>
                <w:szCs w:val="20"/>
              </w:rPr>
              <w:t>(</w:t>
            </w:r>
            <w:r w:rsidR="00345D74" w:rsidRPr="00530CB6">
              <w:rPr>
                <w:rFonts w:ascii="Times New Roman" w:hAnsi="Times New Roman" w:cs="Calibri"/>
                <w:color w:val="000000" w:themeColor="text1"/>
                <w:sz w:val="20"/>
                <w:szCs w:val="20"/>
              </w:rPr>
              <w:t>IRRF</w:t>
            </w:r>
            <w:r w:rsidR="00101A76">
              <w:rPr>
                <w:rFonts w:ascii="Times New Roman" w:hAnsi="Times New Roman" w:cs="Calibri"/>
                <w:color w:val="000000" w:themeColor="text1"/>
                <w:sz w:val="20"/>
                <w:szCs w:val="20"/>
              </w:rPr>
              <w:t>)</w:t>
            </w:r>
            <w:r w:rsidR="002F5F3C" w:rsidRPr="00530CB6">
              <w:rPr>
                <w:rFonts w:ascii="Times New Roman" w:hAnsi="Times New Roman" w:cs="Calibri"/>
                <w:color w:val="000000" w:themeColor="text1"/>
                <w:sz w:val="20"/>
                <w:szCs w:val="20"/>
              </w:rPr>
              <w:t xml:space="preserve"> included reporting on cost-recovery</w:t>
            </w:r>
            <w:r w:rsidR="00A723C3" w:rsidRPr="00530CB6">
              <w:rPr>
                <w:rFonts w:ascii="Times New Roman" w:hAnsi="Times New Roman" w:cs="Calibri"/>
                <w:color w:val="000000" w:themeColor="text1"/>
                <w:sz w:val="20"/>
                <w:szCs w:val="20"/>
              </w:rPr>
              <w:t>, in compliance with the new framework, and reported</w:t>
            </w:r>
            <w:r w:rsidR="002F5F3C" w:rsidRPr="00530CB6">
              <w:rPr>
                <w:rFonts w:ascii="Times New Roman" w:hAnsi="Times New Roman" w:cs="Calibri"/>
                <w:color w:val="000000" w:themeColor="text1"/>
                <w:sz w:val="20"/>
                <w:szCs w:val="20"/>
              </w:rPr>
              <w:t xml:space="preserve"> </w:t>
            </w:r>
            <w:r w:rsidR="00345D74" w:rsidRPr="00530CB6">
              <w:rPr>
                <w:rFonts w:ascii="Times New Roman" w:hAnsi="Times New Roman" w:cs="Calibri"/>
                <w:color w:val="000000" w:themeColor="text1"/>
                <w:sz w:val="20"/>
                <w:szCs w:val="20"/>
              </w:rPr>
              <w:t>to the E</w:t>
            </w:r>
            <w:r w:rsidR="001D6E87">
              <w:rPr>
                <w:rFonts w:ascii="Times New Roman" w:hAnsi="Times New Roman" w:cs="Calibri"/>
                <w:color w:val="000000" w:themeColor="text1"/>
                <w:sz w:val="20"/>
                <w:szCs w:val="20"/>
              </w:rPr>
              <w:t xml:space="preserve">xecutive </w:t>
            </w:r>
            <w:r w:rsidR="00345D74" w:rsidRPr="00530CB6">
              <w:rPr>
                <w:rFonts w:ascii="Times New Roman" w:hAnsi="Times New Roman" w:cs="Calibri"/>
                <w:color w:val="000000" w:themeColor="text1"/>
                <w:sz w:val="20"/>
                <w:szCs w:val="20"/>
              </w:rPr>
              <w:t>B</w:t>
            </w:r>
            <w:r w:rsidR="001D6E87">
              <w:rPr>
                <w:rFonts w:ascii="Times New Roman" w:hAnsi="Times New Roman" w:cs="Calibri"/>
                <w:color w:val="000000" w:themeColor="text1"/>
                <w:sz w:val="20"/>
                <w:szCs w:val="20"/>
              </w:rPr>
              <w:t>oard</w:t>
            </w:r>
            <w:r w:rsidR="00345D74" w:rsidRPr="00530CB6">
              <w:rPr>
                <w:rFonts w:ascii="Times New Roman" w:hAnsi="Times New Roman" w:cs="Calibri"/>
                <w:color w:val="000000" w:themeColor="text1"/>
                <w:sz w:val="20"/>
                <w:szCs w:val="20"/>
              </w:rPr>
              <w:t xml:space="preserve"> in the UNDP annual financial report.</w:t>
            </w:r>
          </w:p>
          <w:p w14:paraId="0576B579" w14:textId="77777777" w:rsidR="00161984" w:rsidRPr="004E2626" w:rsidRDefault="00C7201A" w:rsidP="00161984">
            <w:pPr>
              <w:pStyle w:val="ListParagraph"/>
              <w:numPr>
                <w:ilvl w:val="0"/>
                <w:numId w:val="3"/>
              </w:numPr>
              <w:rPr>
                <w:rFonts w:ascii="Times New Roman" w:hAnsi="Times New Roman"/>
                <w:sz w:val="20"/>
                <w:szCs w:val="20"/>
              </w:rPr>
            </w:pPr>
            <w:r w:rsidRPr="00530CB6">
              <w:rPr>
                <w:rFonts w:ascii="Times New Roman" w:hAnsi="Times New Roman" w:cs="Calibri"/>
                <w:color w:val="000000" w:themeColor="text1"/>
                <w:sz w:val="20"/>
                <w:szCs w:val="20"/>
              </w:rPr>
              <w:lastRenderedPageBreak/>
              <w:t>The Management Efficiency Ratio was 7.</w:t>
            </w:r>
            <w:r w:rsidR="002E7E6D" w:rsidRPr="00530CB6">
              <w:rPr>
                <w:rFonts w:ascii="Times New Roman" w:hAnsi="Times New Roman" w:cs="Calibri"/>
                <w:color w:val="000000" w:themeColor="text1"/>
                <w:sz w:val="20"/>
                <w:szCs w:val="20"/>
              </w:rPr>
              <w:t>9</w:t>
            </w:r>
            <w:r w:rsidR="003958AA" w:rsidRPr="00530CB6">
              <w:rPr>
                <w:rFonts w:ascii="Times New Roman" w:hAnsi="Times New Roman" w:cs="Calibri"/>
                <w:color w:val="000000" w:themeColor="text1"/>
                <w:sz w:val="20"/>
                <w:szCs w:val="20"/>
              </w:rPr>
              <w:t>% in 2016</w:t>
            </w:r>
            <w:r w:rsidRPr="00530CB6">
              <w:rPr>
                <w:rFonts w:ascii="Times New Roman" w:hAnsi="Times New Roman" w:cs="Calibri"/>
                <w:color w:val="000000" w:themeColor="text1"/>
                <w:sz w:val="20"/>
                <w:szCs w:val="20"/>
              </w:rPr>
              <w:t xml:space="preserve">, </w:t>
            </w:r>
            <w:r w:rsidR="003958AA" w:rsidRPr="00530CB6">
              <w:rPr>
                <w:rFonts w:ascii="Times New Roman" w:hAnsi="Times New Roman" w:cs="Calibri"/>
                <w:color w:val="000000" w:themeColor="text1"/>
                <w:sz w:val="20"/>
                <w:szCs w:val="20"/>
              </w:rPr>
              <w:t>which is below the management efficiency ratio of 8.1% outlined in strategic plan estimates</w:t>
            </w:r>
            <w:r w:rsidR="00CF0AAD" w:rsidRPr="00530CB6">
              <w:rPr>
                <w:rFonts w:ascii="Times New Roman" w:hAnsi="Times New Roman" w:cs="Calibri"/>
                <w:color w:val="000000" w:themeColor="text1"/>
                <w:sz w:val="20"/>
                <w:szCs w:val="20"/>
              </w:rPr>
              <w:t xml:space="preserve">. In April 2016, UNDP rolled </w:t>
            </w:r>
            <w:r w:rsidR="00D21A77" w:rsidRPr="00530CB6">
              <w:rPr>
                <w:rFonts w:ascii="Times New Roman" w:hAnsi="Times New Roman" w:cs="Calibri"/>
                <w:color w:val="000000" w:themeColor="text1"/>
                <w:sz w:val="20"/>
                <w:szCs w:val="20"/>
              </w:rPr>
              <w:t>out</w:t>
            </w:r>
            <w:r w:rsidR="00CF0AAD" w:rsidRPr="00530CB6">
              <w:rPr>
                <w:rFonts w:ascii="Times New Roman" w:hAnsi="Times New Roman" w:cs="Calibri"/>
                <w:color w:val="000000" w:themeColor="text1"/>
                <w:sz w:val="20"/>
                <w:szCs w:val="20"/>
              </w:rPr>
              <w:t xml:space="preserve"> the ATLAS-integrated eRecuit and eHire globally</w:t>
            </w:r>
            <w:r w:rsidR="00760DDB" w:rsidRPr="00530CB6">
              <w:rPr>
                <w:rFonts w:ascii="Times New Roman" w:hAnsi="Times New Roman" w:cs="Calibri"/>
                <w:color w:val="000000" w:themeColor="text1"/>
                <w:sz w:val="20"/>
                <w:szCs w:val="20"/>
              </w:rPr>
              <w:t>, simplifying processes</w:t>
            </w:r>
            <w:r w:rsidR="00101A76">
              <w:rPr>
                <w:rFonts w:ascii="Times New Roman" w:hAnsi="Times New Roman" w:cs="Calibri"/>
                <w:color w:val="000000" w:themeColor="text1"/>
                <w:sz w:val="20"/>
                <w:szCs w:val="20"/>
              </w:rPr>
              <w:t xml:space="preserve">, </w:t>
            </w:r>
            <w:r w:rsidR="00760DDB" w:rsidRPr="00530CB6">
              <w:rPr>
                <w:rFonts w:ascii="Times New Roman" w:hAnsi="Times New Roman" w:cs="Calibri"/>
                <w:color w:val="000000" w:themeColor="text1"/>
                <w:sz w:val="20"/>
                <w:szCs w:val="20"/>
              </w:rPr>
              <w:t>enabling better workflow analytics, reporting, and reducing administrative burdens.</w:t>
            </w:r>
            <w:r w:rsidR="00161984">
              <w:rPr>
                <w:rFonts w:ascii="Times New Roman" w:hAnsi="Times New Roman" w:cs="Calibri"/>
                <w:color w:val="000000" w:themeColor="text1"/>
                <w:sz w:val="20"/>
                <w:szCs w:val="20"/>
              </w:rPr>
              <w:t xml:space="preserve"> In addition, UNDP negotiated airline agreements</w:t>
            </w:r>
            <w:r w:rsidR="00F661B6">
              <w:rPr>
                <w:rFonts w:ascii="Times New Roman" w:hAnsi="Times New Roman" w:cs="Calibri"/>
                <w:color w:val="000000" w:themeColor="text1"/>
                <w:sz w:val="20"/>
                <w:szCs w:val="20"/>
              </w:rPr>
              <w:t xml:space="preserve"> that saved the organization an</w:t>
            </w:r>
            <w:r w:rsidR="00161984">
              <w:rPr>
                <w:rFonts w:ascii="Times New Roman" w:hAnsi="Times New Roman" w:cs="Calibri"/>
                <w:color w:val="000000" w:themeColor="text1"/>
                <w:sz w:val="20"/>
                <w:szCs w:val="20"/>
              </w:rPr>
              <w:t xml:space="preserve"> estimated $4.4 million US dollars in 2016.</w:t>
            </w:r>
          </w:p>
          <w:p w14:paraId="361C9097" w14:textId="77777777" w:rsidR="00C7201A" w:rsidRPr="00530CB6" w:rsidRDefault="00161984" w:rsidP="004E2626">
            <w:pPr>
              <w:pStyle w:val="ListParagraph"/>
              <w:ind w:left="360"/>
              <w:rPr>
                <w:rFonts w:ascii="Times New Roman" w:hAnsi="Times New Roman"/>
                <w:sz w:val="20"/>
                <w:szCs w:val="20"/>
              </w:rPr>
            </w:pPr>
            <w:r>
              <w:rPr>
                <w:rFonts w:ascii="Times New Roman" w:hAnsi="Times New Roman" w:cs="Calibri"/>
                <w:color w:val="000000" w:themeColor="text1"/>
                <w:sz w:val="20"/>
                <w:szCs w:val="20"/>
              </w:rPr>
              <w:t xml:space="preserve"> </w:t>
            </w:r>
          </w:p>
        </w:tc>
      </w:tr>
      <w:tr w:rsidR="004D7883" w:rsidRPr="00530CB6" w14:paraId="36903501" w14:textId="77777777" w:rsidTr="00880567">
        <w:trPr>
          <w:trHeight w:val="296"/>
        </w:trPr>
        <w:tc>
          <w:tcPr>
            <w:tcW w:w="12960" w:type="dxa"/>
            <w:gridSpan w:val="3"/>
            <w:shd w:val="clear" w:color="auto" w:fill="E6E6E6"/>
          </w:tcPr>
          <w:p w14:paraId="3BB3598E" w14:textId="77777777" w:rsidR="004D7883" w:rsidRPr="00530CB6" w:rsidRDefault="004D7883" w:rsidP="009E14C3">
            <w:pPr>
              <w:pStyle w:val="ListParagraph"/>
              <w:numPr>
                <w:ilvl w:val="0"/>
                <w:numId w:val="12"/>
              </w:numPr>
              <w:rPr>
                <w:rFonts w:ascii="Times New Roman" w:hAnsi="Times New Roman"/>
                <w:b/>
                <w:sz w:val="20"/>
                <w:szCs w:val="20"/>
              </w:rPr>
            </w:pPr>
            <w:r w:rsidRPr="00530CB6">
              <w:rPr>
                <w:rFonts w:ascii="Times New Roman" w:hAnsi="Times New Roman"/>
                <w:b/>
                <w:sz w:val="20"/>
                <w:szCs w:val="20"/>
              </w:rPr>
              <w:lastRenderedPageBreak/>
              <w:t>Contribution of the UN operational activities to national capacity development and dev</w:t>
            </w:r>
            <w:r w:rsidR="001D6E87">
              <w:rPr>
                <w:rFonts w:ascii="Times New Roman" w:hAnsi="Times New Roman"/>
                <w:b/>
                <w:sz w:val="20"/>
                <w:szCs w:val="20"/>
              </w:rPr>
              <w:t>elopment</w:t>
            </w:r>
            <w:r w:rsidRPr="00530CB6">
              <w:rPr>
                <w:rFonts w:ascii="Times New Roman" w:hAnsi="Times New Roman"/>
                <w:b/>
                <w:sz w:val="20"/>
                <w:szCs w:val="20"/>
              </w:rPr>
              <w:t xml:space="preserve"> effectiveness </w:t>
            </w:r>
          </w:p>
          <w:p w14:paraId="6A7F73F4" w14:textId="77777777" w:rsidR="004D7883" w:rsidRPr="00530CB6" w:rsidRDefault="004D7883" w:rsidP="00734E35">
            <w:pPr>
              <w:rPr>
                <w:rFonts w:ascii="Times New Roman" w:hAnsi="Times New Roman"/>
                <w:sz w:val="20"/>
                <w:szCs w:val="20"/>
              </w:rPr>
            </w:pPr>
          </w:p>
        </w:tc>
      </w:tr>
      <w:tr w:rsidR="00DF668B" w:rsidRPr="008B3686" w14:paraId="5C5CBB75" w14:textId="77777777" w:rsidTr="00880567">
        <w:trPr>
          <w:trHeight w:val="350"/>
        </w:trPr>
        <w:tc>
          <w:tcPr>
            <w:tcW w:w="4410" w:type="dxa"/>
          </w:tcPr>
          <w:p w14:paraId="554E2747" w14:textId="77777777" w:rsidR="00DF668B" w:rsidRPr="008B3686" w:rsidRDefault="00EB6301" w:rsidP="00EB6301">
            <w:pPr>
              <w:pStyle w:val="ListParagraph"/>
              <w:numPr>
                <w:ilvl w:val="0"/>
                <w:numId w:val="4"/>
              </w:numPr>
              <w:rPr>
                <w:rFonts w:ascii="Times New Roman" w:hAnsi="Times New Roman"/>
                <w:b/>
                <w:sz w:val="20"/>
                <w:szCs w:val="20"/>
              </w:rPr>
            </w:pPr>
            <w:r w:rsidRPr="008B3686">
              <w:rPr>
                <w:rFonts w:ascii="Times New Roman" w:hAnsi="Times New Roman"/>
                <w:b/>
                <w:sz w:val="20"/>
                <w:szCs w:val="20"/>
              </w:rPr>
              <w:t>Capacity building (OP57-68)</w:t>
            </w:r>
          </w:p>
        </w:tc>
        <w:tc>
          <w:tcPr>
            <w:tcW w:w="2700" w:type="dxa"/>
          </w:tcPr>
          <w:p w14:paraId="3245A64F" w14:textId="77777777" w:rsidR="00DF668B" w:rsidRPr="008B3686" w:rsidRDefault="000C1C03">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350A0489" w14:textId="77777777" w:rsidR="00DF668B" w:rsidRPr="008B3686" w:rsidRDefault="000C1C03">
            <w:pPr>
              <w:rPr>
                <w:rFonts w:ascii="Times New Roman" w:hAnsi="Times New Roman"/>
                <w:b/>
                <w:sz w:val="20"/>
                <w:szCs w:val="20"/>
              </w:rPr>
            </w:pPr>
            <w:r w:rsidRPr="008B3686">
              <w:rPr>
                <w:rFonts w:ascii="Times New Roman" w:hAnsi="Times New Roman"/>
                <w:b/>
                <w:sz w:val="20"/>
                <w:szCs w:val="20"/>
              </w:rPr>
              <w:t>Progress</w:t>
            </w:r>
          </w:p>
        </w:tc>
      </w:tr>
      <w:tr w:rsidR="00DF668B" w:rsidRPr="00530CB6" w14:paraId="55D88D22" w14:textId="77777777" w:rsidTr="00880567">
        <w:tc>
          <w:tcPr>
            <w:tcW w:w="4410" w:type="dxa"/>
          </w:tcPr>
          <w:p w14:paraId="6C90607A" w14:textId="77777777" w:rsidR="0042460B" w:rsidRPr="00530CB6" w:rsidRDefault="00B85FFB" w:rsidP="0042460B">
            <w:pPr>
              <w:rPr>
                <w:rFonts w:ascii="Times New Roman" w:hAnsi="Times New Roman"/>
                <w:sz w:val="20"/>
                <w:szCs w:val="20"/>
              </w:rPr>
            </w:pPr>
            <w:r w:rsidRPr="00530CB6">
              <w:rPr>
                <w:rFonts w:ascii="Times New Roman" w:hAnsi="Times New Roman"/>
                <w:sz w:val="20"/>
                <w:szCs w:val="20"/>
              </w:rPr>
              <w:t>Promote sustainable development outcomes through</w:t>
            </w:r>
            <w:r w:rsidR="00021A21" w:rsidRPr="00530CB6">
              <w:rPr>
                <w:rFonts w:ascii="Times New Roman" w:hAnsi="Times New Roman"/>
                <w:sz w:val="20"/>
                <w:szCs w:val="20"/>
              </w:rPr>
              <w:t>:</w:t>
            </w:r>
          </w:p>
          <w:p w14:paraId="79D21483" w14:textId="77777777" w:rsidR="00390196" w:rsidRPr="00530CB6" w:rsidRDefault="0042460B" w:rsidP="00C96538">
            <w:pPr>
              <w:pStyle w:val="ListParagraph"/>
              <w:numPr>
                <w:ilvl w:val="0"/>
                <w:numId w:val="8"/>
              </w:numPr>
              <w:rPr>
                <w:rFonts w:ascii="Times New Roman" w:hAnsi="Times New Roman"/>
                <w:sz w:val="20"/>
                <w:szCs w:val="20"/>
              </w:rPr>
            </w:pPr>
            <w:r w:rsidRPr="00530CB6">
              <w:rPr>
                <w:rFonts w:ascii="Times New Roman" w:hAnsi="Times New Roman"/>
                <w:i/>
                <w:sz w:val="20"/>
                <w:szCs w:val="20"/>
              </w:rPr>
              <w:t>Strengthen</w:t>
            </w:r>
            <w:r w:rsidR="00E44D36" w:rsidRPr="00530CB6">
              <w:rPr>
                <w:rFonts w:ascii="Times New Roman" w:hAnsi="Times New Roman"/>
                <w:i/>
                <w:sz w:val="20"/>
                <w:szCs w:val="20"/>
              </w:rPr>
              <w:t>ing</w:t>
            </w:r>
            <w:r w:rsidR="00B85FFB" w:rsidRPr="00530CB6">
              <w:rPr>
                <w:rFonts w:ascii="Times New Roman" w:hAnsi="Times New Roman"/>
                <w:i/>
                <w:sz w:val="20"/>
                <w:szCs w:val="20"/>
              </w:rPr>
              <w:t xml:space="preserve"> normative and operational linkages</w:t>
            </w:r>
            <w:r w:rsidR="00021A21" w:rsidRPr="00530CB6">
              <w:rPr>
                <w:rFonts w:ascii="Times New Roman" w:hAnsi="Times New Roman"/>
                <w:i/>
                <w:sz w:val="20"/>
                <w:szCs w:val="20"/>
              </w:rPr>
              <w:t xml:space="preserve"> </w:t>
            </w:r>
            <w:r w:rsidR="00021A21" w:rsidRPr="00530CB6">
              <w:rPr>
                <w:rFonts w:ascii="Times New Roman" w:hAnsi="Times New Roman"/>
                <w:sz w:val="20"/>
                <w:szCs w:val="20"/>
              </w:rPr>
              <w:t xml:space="preserve">and </w:t>
            </w:r>
            <w:r w:rsidRPr="00530CB6">
              <w:rPr>
                <w:rFonts w:ascii="Times New Roman" w:hAnsi="Times New Roman"/>
                <w:i/>
                <w:sz w:val="20"/>
                <w:szCs w:val="20"/>
              </w:rPr>
              <w:t xml:space="preserve">support </w:t>
            </w:r>
            <w:r w:rsidRPr="00530CB6">
              <w:rPr>
                <w:rFonts w:ascii="Times New Roman" w:hAnsi="Times New Roman"/>
                <w:sz w:val="20"/>
                <w:szCs w:val="20"/>
              </w:rPr>
              <w:t>programme countries in building national capacity</w:t>
            </w:r>
            <w:r w:rsidR="00C3715C" w:rsidRPr="00530CB6">
              <w:rPr>
                <w:rFonts w:ascii="Times New Roman" w:hAnsi="Times New Roman"/>
                <w:i/>
                <w:sz w:val="20"/>
                <w:szCs w:val="20"/>
              </w:rPr>
              <w:t xml:space="preserve"> </w:t>
            </w:r>
            <w:r w:rsidR="00C3715C" w:rsidRPr="00530CB6">
              <w:rPr>
                <w:rFonts w:ascii="Times New Roman" w:hAnsi="Times New Roman"/>
                <w:sz w:val="20"/>
                <w:szCs w:val="20"/>
              </w:rPr>
              <w:t>(OP58)</w:t>
            </w:r>
            <w:r w:rsidRPr="00530CB6">
              <w:rPr>
                <w:rFonts w:ascii="Times New Roman" w:hAnsi="Times New Roman"/>
                <w:sz w:val="20"/>
                <w:szCs w:val="20"/>
              </w:rPr>
              <w:t>.</w:t>
            </w:r>
          </w:p>
          <w:p w14:paraId="0B69F0E3" w14:textId="77777777" w:rsidR="0042460B" w:rsidRPr="00530CB6" w:rsidRDefault="00CB2CF8" w:rsidP="00C3715C">
            <w:pPr>
              <w:pStyle w:val="ListParagraph"/>
              <w:numPr>
                <w:ilvl w:val="0"/>
                <w:numId w:val="8"/>
              </w:numPr>
              <w:rPr>
                <w:rFonts w:ascii="Times New Roman" w:hAnsi="Times New Roman"/>
                <w:sz w:val="20"/>
                <w:szCs w:val="20"/>
              </w:rPr>
            </w:pPr>
            <w:r w:rsidRPr="00530CB6">
              <w:rPr>
                <w:rFonts w:ascii="Times New Roman" w:hAnsi="Times New Roman"/>
                <w:i/>
                <w:sz w:val="20"/>
                <w:szCs w:val="20"/>
              </w:rPr>
              <w:t>Develop</w:t>
            </w:r>
            <w:r w:rsidR="00E44D36" w:rsidRPr="00530CB6">
              <w:rPr>
                <w:rFonts w:ascii="Times New Roman" w:hAnsi="Times New Roman"/>
                <w:i/>
                <w:sz w:val="20"/>
                <w:szCs w:val="20"/>
              </w:rPr>
              <w:t>ing</w:t>
            </w:r>
            <w:r w:rsidRPr="00530CB6">
              <w:rPr>
                <w:rFonts w:ascii="Times New Roman" w:hAnsi="Times New Roman"/>
                <w:i/>
                <w:sz w:val="20"/>
                <w:szCs w:val="20"/>
              </w:rPr>
              <w:t xml:space="preserve"> a common approach for measuring progress in capacity development</w:t>
            </w:r>
            <w:r w:rsidRPr="00530CB6">
              <w:rPr>
                <w:rFonts w:ascii="Times New Roman" w:hAnsi="Times New Roman"/>
                <w:sz w:val="20"/>
                <w:szCs w:val="20"/>
              </w:rPr>
              <w:t xml:space="preserve"> as well as develop specific frameworks to enable programme countries design</w:t>
            </w:r>
            <w:r w:rsidR="00567274" w:rsidRPr="00530CB6">
              <w:rPr>
                <w:rFonts w:ascii="Times New Roman" w:hAnsi="Times New Roman"/>
                <w:sz w:val="20"/>
                <w:szCs w:val="20"/>
              </w:rPr>
              <w:t xml:space="preserve"> monitor and evaluate results</w:t>
            </w:r>
            <w:r w:rsidR="00C3715C" w:rsidRPr="00530CB6">
              <w:rPr>
                <w:rFonts w:ascii="Times New Roman" w:hAnsi="Times New Roman"/>
                <w:sz w:val="20"/>
                <w:szCs w:val="20"/>
              </w:rPr>
              <w:t xml:space="preserve"> (OP63)</w:t>
            </w:r>
            <w:r w:rsidR="00567274" w:rsidRPr="00530CB6">
              <w:rPr>
                <w:rFonts w:ascii="Times New Roman" w:hAnsi="Times New Roman"/>
                <w:sz w:val="20"/>
                <w:szCs w:val="20"/>
              </w:rPr>
              <w:t xml:space="preserve">. </w:t>
            </w:r>
          </w:p>
        </w:tc>
        <w:tc>
          <w:tcPr>
            <w:tcW w:w="2700" w:type="dxa"/>
          </w:tcPr>
          <w:p w14:paraId="7A4ADB59" w14:textId="77777777" w:rsidR="00390196" w:rsidRDefault="00390196" w:rsidP="00390196">
            <w:pPr>
              <w:spacing w:before="60" w:line="200" w:lineRule="exact"/>
              <w:rPr>
                <w:rFonts w:ascii="Times New Roman" w:eastAsia="MS ??" w:hAnsi="Times New Roman"/>
                <w:sz w:val="20"/>
                <w:szCs w:val="20"/>
              </w:rPr>
            </w:pPr>
            <w:r w:rsidRPr="00530CB6">
              <w:rPr>
                <w:rFonts w:ascii="Times New Roman" w:eastAsia="MS ??" w:hAnsi="Times New Roman"/>
                <w:sz w:val="20"/>
                <w:szCs w:val="20"/>
              </w:rPr>
              <w:t>% of programme country Govts that 'strongly agree' that UN system has been effective in developing national capacities</w:t>
            </w:r>
          </w:p>
          <w:p w14:paraId="24CDEFF4" w14:textId="77777777" w:rsidR="00E337ED" w:rsidRPr="00530CB6" w:rsidRDefault="00E337ED" w:rsidP="00390196">
            <w:pPr>
              <w:spacing w:before="60" w:line="200" w:lineRule="exact"/>
              <w:rPr>
                <w:rFonts w:ascii="Times New Roman" w:eastAsia="MS ??" w:hAnsi="Times New Roman"/>
                <w:sz w:val="20"/>
                <w:szCs w:val="20"/>
              </w:rPr>
            </w:pPr>
          </w:p>
          <w:p w14:paraId="0B7B189E" w14:textId="77777777" w:rsidR="00390196" w:rsidRPr="00530CB6" w:rsidRDefault="00390196" w:rsidP="00390196">
            <w:pPr>
              <w:spacing w:before="60" w:line="200" w:lineRule="exact"/>
              <w:rPr>
                <w:rFonts w:ascii="Times New Roman" w:eastAsia="MS ??" w:hAnsi="Times New Roman"/>
                <w:sz w:val="20"/>
                <w:szCs w:val="20"/>
              </w:rPr>
            </w:pPr>
            <w:r w:rsidRPr="00530CB6">
              <w:rPr>
                <w:rFonts w:ascii="Times New Roman" w:eastAsia="MS ??" w:hAnsi="Times New Roman"/>
                <w:sz w:val="20"/>
                <w:szCs w:val="20"/>
              </w:rPr>
              <w:t>% prog</w:t>
            </w:r>
            <w:r w:rsidR="004E2626">
              <w:rPr>
                <w:rFonts w:ascii="Times New Roman" w:eastAsia="MS ??" w:hAnsi="Times New Roman"/>
                <w:sz w:val="20"/>
                <w:szCs w:val="20"/>
              </w:rPr>
              <w:t xml:space="preserve">roamme </w:t>
            </w:r>
            <w:r w:rsidRPr="00530CB6">
              <w:rPr>
                <w:rFonts w:ascii="Times New Roman" w:eastAsia="MS ??" w:hAnsi="Times New Roman"/>
                <w:sz w:val="20"/>
                <w:szCs w:val="20"/>
              </w:rPr>
              <w:t>co</w:t>
            </w:r>
            <w:r w:rsidR="004E2626">
              <w:rPr>
                <w:rFonts w:ascii="Times New Roman" w:eastAsia="MS ??" w:hAnsi="Times New Roman"/>
                <w:sz w:val="20"/>
                <w:szCs w:val="20"/>
              </w:rPr>
              <w:t>untries</w:t>
            </w:r>
            <w:r w:rsidRPr="00530CB6">
              <w:rPr>
                <w:rFonts w:ascii="Times New Roman" w:eastAsia="MS ??" w:hAnsi="Times New Roman"/>
                <w:sz w:val="20"/>
                <w:szCs w:val="20"/>
              </w:rPr>
              <w:t xml:space="preserve"> govt that 'strongly agree’ that UN system uses national m</w:t>
            </w:r>
            <w:r w:rsidR="003A1769" w:rsidRPr="00530CB6">
              <w:rPr>
                <w:rFonts w:ascii="Times New Roman" w:eastAsia="MS ??" w:hAnsi="Times New Roman"/>
                <w:sz w:val="20"/>
                <w:szCs w:val="20"/>
              </w:rPr>
              <w:t>onitoring and reporting systems</w:t>
            </w:r>
          </w:p>
          <w:p w14:paraId="0C6C28FD" w14:textId="77777777" w:rsidR="003A1769" w:rsidRPr="00530CB6" w:rsidRDefault="003A1769" w:rsidP="00390196">
            <w:pPr>
              <w:spacing w:before="60" w:line="200" w:lineRule="exact"/>
              <w:rPr>
                <w:rFonts w:ascii="Times New Roman" w:eastAsia="MS ??" w:hAnsi="Times New Roman"/>
                <w:sz w:val="20"/>
                <w:szCs w:val="20"/>
              </w:rPr>
            </w:pPr>
          </w:p>
          <w:p w14:paraId="2C6D1F3E" w14:textId="77777777" w:rsidR="00DF668B" w:rsidRPr="00530CB6" w:rsidRDefault="003A1769" w:rsidP="00367A28">
            <w:pPr>
              <w:pStyle w:val="Default"/>
              <w:rPr>
                <w:rFonts w:ascii="Times New Roman" w:hAnsi="Times New Roman"/>
                <w:sz w:val="20"/>
                <w:szCs w:val="20"/>
              </w:rPr>
            </w:pPr>
            <w:r w:rsidRPr="00530CB6">
              <w:rPr>
                <w:rFonts w:ascii="Times New Roman" w:hAnsi="Times New Roman"/>
                <w:sz w:val="20"/>
                <w:szCs w:val="20"/>
              </w:rPr>
              <w:t>Common approach and framework to measure progress in capacity</w:t>
            </w:r>
          </w:p>
          <w:p w14:paraId="7154633D" w14:textId="77777777" w:rsidR="00367A28" w:rsidRPr="00530CB6" w:rsidRDefault="00367A28" w:rsidP="00367A28">
            <w:pPr>
              <w:pStyle w:val="Default"/>
              <w:rPr>
                <w:rFonts w:ascii="Times New Roman" w:hAnsi="Times New Roman"/>
                <w:sz w:val="20"/>
                <w:szCs w:val="20"/>
              </w:rPr>
            </w:pPr>
          </w:p>
        </w:tc>
        <w:tc>
          <w:tcPr>
            <w:tcW w:w="5850" w:type="dxa"/>
          </w:tcPr>
          <w:p w14:paraId="5FAB9DFB" w14:textId="133777CD" w:rsidR="00EE2B26" w:rsidRPr="00530CB6" w:rsidRDefault="00EE2B26" w:rsidP="00DD4B27">
            <w:pPr>
              <w:pStyle w:val="Default"/>
              <w:numPr>
                <w:ilvl w:val="0"/>
                <w:numId w:val="8"/>
              </w:numPr>
              <w:rPr>
                <w:rFonts w:ascii="Times New Roman" w:hAnsi="Times New Roman"/>
                <w:sz w:val="20"/>
                <w:szCs w:val="20"/>
              </w:rPr>
            </w:pPr>
            <w:r w:rsidRPr="00EE2B26">
              <w:rPr>
                <w:rFonts w:ascii="Times New Roman" w:hAnsi="Times New Roman"/>
                <w:sz w:val="20"/>
                <w:szCs w:val="20"/>
              </w:rPr>
              <w:t xml:space="preserve">A United Nations Development Group (UNDG) task team </w:t>
            </w:r>
            <w:r w:rsidRPr="009066FF">
              <w:rPr>
                <w:rFonts w:ascii="Times New Roman" w:hAnsi="Times New Roman"/>
                <w:sz w:val="20"/>
                <w:szCs w:val="20"/>
              </w:rPr>
              <w:t xml:space="preserve">led by UNDP </w:t>
            </w:r>
            <w:r w:rsidRPr="00EE2B26">
              <w:rPr>
                <w:rFonts w:ascii="Times New Roman" w:hAnsi="Times New Roman"/>
                <w:sz w:val="20"/>
                <w:szCs w:val="20"/>
              </w:rPr>
              <w:t xml:space="preserve">was created under the Programme Working Group to define UNDS’s support to strengthening national capacities in the implementation of the 2030 Agenda. According to the new UNDAF Guidance, Capacity Development is a programme approach that includes assessment of national capacities in the UNDAF CCA, prioritization of capacity building in the UNDAF Theory of Change and in agency specific programmes and projects, both as a means of implementation and as results, as well as in the financing strategy and in the Vision 2030. In support of measuring capacity development, the Task Team prepared a companion paper to the new UNDAF Guidance to guide the UNCT in </w:t>
            </w:r>
            <w:r w:rsidR="00DD4B27">
              <w:rPr>
                <w:rFonts w:ascii="Times New Roman" w:hAnsi="Times New Roman"/>
                <w:sz w:val="20"/>
                <w:szCs w:val="20"/>
              </w:rPr>
              <w:t xml:space="preserve">progress </w:t>
            </w:r>
            <w:r w:rsidRPr="00EE2B26">
              <w:rPr>
                <w:rFonts w:ascii="Times New Roman" w:hAnsi="Times New Roman"/>
                <w:sz w:val="20"/>
                <w:szCs w:val="20"/>
              </w:rPr>
              <w:t xml:space="preserve">monitoring and reporting. The Capacity Development Companion Paper includes an inventory of measurement approaches and tools that currently exist in the United Nations Development System (UNDS), </w:t>
            </w:r>
            <w:r w:rsidR="00DD4B27">
              <w:rPr>
                <w:rFonts w:ascii="Times New Roman" w:hAnsi="Times New Roman"/>
                <w:sz w:val="20"/>
                <w:szCs w:val="20"/>
              </w:rPr>
              <w:t xml:space="preserve">guiding </w:t>
            </w:r>
            <w:r w:rsidRPr="00EE2B26">
              <w:rPr>
                <w:rFonts w:ascii="Times New Roman" w:hAnsi="Times New Roman"/>
                <w:sz w:val="20"/>
                <w:szCs w:val="20"/>
              </w:rPr>
              <w:t xml:space="preserve">principles, practices and indicators. Piloting the approach in several countries </w:t>
            </w:r>
            <w:r w:rsidR="00DD4B27">
              <w:rPr>
                <w:rFonts w:ascii="Times New Roman" w:hAnsi="Times New Roman"/>
                <w:sz w:val="20"/>
                <w:szCs w:val="20"/>
              </w:rPr>
              <w:t xml:space="preserve">that are </w:t>
            </w:r>
            <w:r w:rsidRPr="00EE2B26">
              <w:rPr>
                <w:rFonts w:ascii="Times New Roman" w:hAnsi="Times New Roman"/>
                <w:sz w:val="20"/>
                <w:szCs w:val="20"/>
              </w:rPr>
              <w:t>developing new UNDAFs is underway</w:t>
            </w:r>
          </w:p>
        </w:tc>
      </w:tr>
      <w:tr w:rsidR="000E4E1A" w:rsidRPr="008B3686" w14:paraId="6D4A772B" w14:textId="77777777" w:rsidTr="00880567">
        <w:trPr>
          <w:trHeight w:val="278"/>
        </w:trPr>
        <w:tc>
          <w:tcPr>
            <w:tcW w:w="4410" w:type="dxa"/>
          </w:tcPr>
          <w:p w14:paraId="6FAB4138" w14:textId="77777777" w:rsidR="000E4E1A" w:rsidRPr="008B3686" w:rsidRDefault="000E4E1A" w:rsidP="000E4E1A">
            <w:pPr>
              <w:pStyle w:val="ListParagraph"/>
              <w:numPr>
                <w:ilvl w:val="0"/>
                <w:numId w:val="4"/>
              </w:numPr>
              <w:rPr>
                <w:rFonts w:ascii="Times New Roman" w:hAnsi="Times New Roman"/>
                <w:b/>
                <w:sz w:val="20"/>
                <w:szCs w:val="20"/>
              </w:rPr>
            </w:pPr>
            <w:r w:rsidRPr="008B3686">
              <w:rPr>
                <w:rFonts w:ascii="Times New Roman" w:hAnsi="Times New Roman"/>
                <w:b/>
                <w:sz w:val="20"/>
                <w:szCs w:val="20"/>
              </w:rPr>
              <w:t>Poverty Eradication (OP69-73)</w:t>
            </w:r>
          </w:p>
        </w:tc>
        <w:tc>
          <w:tcPr>
            <w:tcW w:w="2700" w:type="dxa"/>
          </w:tcPr>
          <w:p w14:paraId="17F1E274" w14:textId="77777777" w:rsidR="000E4E1A" w:rsidRPr="008B3686" w:rsidRDefault="000C1C03" w:rsidP="00756D9B">
            <w:pPr>
              <w:rPr>
                <w:rFonts w:ascii="Times New Roman" w:hAnsi="Times New Roman"/>
                <w:b/>
                <w:sz w:val="20"/>
                <w:szCs w:val="20"/>
              </w:rPr>
            </w:pPr>
            <w:r w:rsidRPr="008B3686">
              <w:rPr>
                <w:rFonts w:ascii="Times New Roman" w:hAnsi="Times New Roman"/>
                <w:b/>
                <w:sz w:val="20"/>
                <w:szCs w:val="20"/>
              </w:rPr>
              <w:t xml:space="preserve">Relevant Indicators </w:t>
            </w:r>
          </w:p>
        </w:tc>
        <w:tc>
          <w:tcPr>
            <w:tcW w:w="5850" w:type="dxa"/>
          </w:tcPr>
          <w:p w14:paraId="35893F34" w14:textId="77777777" w:rsidR="000E4E1A" w:rsidRPr="008B3686" w:rsidRDefault="000C1C03">
            <w:pPr>
              <w:rPr>
                <w:rFonts w:ascii="Times New Roman" w:hAnsi="Times New Roman"/>
                <w:b/>
                <w:sz w:val="20"/>
                <w:szCs w:val="20"/>
              </w:rPr>
            </w:pPr>
            <w:r w:rsidRPr="008B3686">
              <w:rPr>
                <w:rFonts w:ascii="Times New Roman" w:hAnsi="Times New Roman"/>
                <w:b/>
                <w:sz w:val="20"/>
                <w:szCs w:val="20"/>
              </w:rPr>
              <w:t>Progress</w:t>
            </w:r>
          </w:p>
        </w:tc>
      </w:tr>
      <w:tr w:rsidR="000E4E1A" w:rsidRPr="00530CB6" w14:paraId="7245BCC6" w14:textId="77777777" w:rsidTr="00880567">
        <w:trPr>
          <w:trHeight w:val="2879"/>
        </w:trPr>
        <w:tc>
          <w:tcPr>
            <w:tcW w:w="4410" w:type="dxa"/>
          </w:tcPr>
          <w:p w14:paraId="5CCA9F2F" w14:textId="77777777" w:rsidR="000E4E1A" w:rsidRPr="00530CB6" w:rsidRDefault="00927F4C" w:rsidP="00927F4C">
            <w:pPr>
              <w:pStyle w:val="ListParagraph"/>
              <w:numPr>
                <w:ilvl w:val="0"/>
                <w:numId w:val="5"/>
              </w:numPr>
              <w:rPr>
                <w:rFonts w:ascii="Times New Roman" w:hAnsi="Times New Roman"/>
                <w:sz w:val="20"/>
                <w:szCs w:val="20"/>
              </w:rPr>
            </w:pPr>
            <w:r w:rsidRPr="00530CB6">
              <w:rPr>
                <w:rFonts w:ascii="Times New Roman" w:hAnsi="Times New Roman"/>
                <w:sz w:val="20"/>
                <w:szCs w:val="20"/>
              </w:rPr>
              <w:lastRenderedPageBreak/>
              <w:t>Assign</w:t>
            </w:r>
            <w:r w:rsidR="00FD7B58" w:rsidRPr="00530CB6">
              <w:rPr>
                <w:rFonts w:ascii="Times New Roman" w:hAnsi="Times New Roman"/>
                <w:sz w:val="20"/>
                <w:szCs w:val="20"/>
              </w:rPr>
              <w:t>ing</w:t>
            </w:r>
            <w:r w:rsidRPr="00530CB6">
              <w:rPr>
                <w:rFonts w:ascii="Times New Roman" w:hAnsi="Times New Roman"/>
                <w:sz w:val="20"/>
                <w:szCs w:val="20"/>
              </w:rPr>
              <w:t xml:space="preserve"> the highest priority to </w:t>
            </w:r>
            <w:r w:rsidRPr="00530CB6">
              <w:rPr>
                <w:rFonts w:ascii="Times New Roman" w:hAnsi="Times New Roman"/>
                <w:i/>
                <w:sz w:val="20"/>
                <w:szCs w:val="20"/>
              </w:rPr>
              <w:t>poverty eradication and hunger</w:t>
            </w:r>
            <w:r w:rsidR="00C3715C" w:rsidRPr="00530CB6">
              <w:rPr>
                <w:rFonts w:ascii="Times New Roman" w:hAnsi="Times New Roman"/>
                <w:i/>
                <w:sz w:val="20"/>
                <w:szCs w:val="20"/>
              </w:rPr>
              <w:t xml:space="preserve"> (OP71)</w:t>
            </w:r>
            <w:r w:rsidR="001773B9">
              <w:rPr>
                <w:rFonts w:ascii="Times New Roman" w:hAnsi="Times New Roman"/>
                <w:i/>
                <w:sz w:val="20"/>
                <w:szCs w:val="20"/>
              </w:rPr>
              <w:t>.</w:t>
            </w:r>
          </w:p>
          <w:p w14:paraId="6449C3EF" w14:textId="77777777" w:rsidR="00927F4C" w:rsidRPr="00530CB6" w:rsidRDefault="00FD7B58" w:rsidP="00927F4C">
            <w:pPr>
              <w:pStyle w:val="ListParagraph"/>
              <w:numPr>
                <w:ilvl w:val="0"/>
                <w:numId w:val="5"/>
              </w:numPr>
              <w:rPr>
                <w:rFonts w:ascii="Times New Roman" w:hAnsi="Times New Roman"/>
                <w:sz w:val="20"/>
                <w:szCs w:val="20"/>
              </w:rPr>
            </w:pPr>
            <w:r w:rsidRPr="00530CB6">
              <w:rPr>
                <w:rFonts w:ascii="Times New Roman" w:hAnsi="Times New Roman"/>
                <w:sz w:val="20"/>
                <w:szCs w:val="20"/>
              </w:rPr>
              <w:t>Scaling</w:t>
            </w:r>
            <w:r w:rsidR="00927F4C" w:rsidRPr="00530CB6">
              <w:rPr>
                <w:rFonts w:ascii="Times New Roman" w:hAnsi="Times New Roman"/>
                <w:sz w:val="20"/>
                <w:szCs w:val="20"/>
              </w:rPr>
              <w:t xml:space="preserve"> up efforts to address its complex </w:t>
            </w:r>
            <w:r w:rsidR="00927F4C" w:rsidRPr="00530CB6">
              <w:rPr>
                <w:rFonts w:ascii="Times New Roman" w:hAnsi="Times New Roman"/>
                <w:i/>
                <w:sz w:val="20"/>
                <w:szCs w:val="20"/>
              </w:rPr>
              <w:t>root causes</w:t>
            </w:r>
            <w:r w:rsidR="00B24716" w:rsidRPr="00530CB6">
              <w:rPr>
                <w:rFonts w:ascii="Times New Roman" w:hAnsi="Times New Roman"/>
                <w:i/>
                <w:sz w:val="20"/>
                <w:szCs w:val="20"/>
              </w:rPr>
              <w:t xml:space="preserve"> (OP71)</w:t>
            </w:r>
            <w:r w:rsidR="001773B9">
              <w:rPr>
                <w:rFonts w:ascii="Times New Roman" w:hAnsi="Times New Roman"/>
                <w:i/>
                <w:sz w:val="20"/>
                <w:szCs w:val="20"/>
              </w:rPr>
              <w:t>.</w:t>
            </w:r>
          </w:p>
          <w:p w14:paraId="7CEE9D4F" w14:textId="77777777" w:rsidR="00C63F1D" w:rsidRPr="00530CB6" w:rsidRDefault="00BA69A1" w:rsidP="00C63F1D">
            <w:pPr>
              <w:pStyle w:val="ListParagraph"/>
              <w:numPr>
                <w:ilvl w:val="0"/>
                <w:numId w:val="5"/>
              </w:numPr>
              <w:rPr>
                <w:rFonts w:ascii="Times New Roman" w:eastAsia="Times New Roman" w:hAnsi="Times New Roman" w:cs="Times New Roman"/>
                <w:sz w:val="20"/>
                <w:szCs w:val="20"/>
              </w:rPr>
            </w:pPr>
            <w:r w:rsidRPr="00530CB6">
              <w:rPr>
                <w:rFonts w:ascii="Times New Roman" w:eastAsia="Times New Roman" w:hAnsi="Times New Roman" w:cs="Times New Roman"/>
                <w:sz w:val="20"/>
                <w:szCs w:val="20"/>
              </w:rPr>
              <w:t>S</w:t>
            </w:r>
            <w:r w:rsidR="00C63F1D" w:rsidRPr="00530CB6">
              <w:rPr>
                <w:rFonts w:ascii="Times New Roman" w:eastAsia="Times New Roman" w:hAnsi="Times New Roman" w:cs="Times New Roman"/>
                <w:sz w:val="20"/>
                <w:szCs w:val="20"/>
              </w:rPr>
              <w:t>haring good practices, lessons learned, strategies, programmes and policies which aim at achieving poverty eradication and promoting the active participation of those living in poverty (OP73)</w:t>
            </w:r>
            <w:r w:rsidR="001773B9">
              <w:rPr>
                <w:rFonts w:ascii="Times New Roman" w:eastAsia="Times New Roman" w:hAnsi="Times New Roman" w:cs="Times New Roman"/>
                <w:sz w:val="20"/>
                <w:szCs w:val="20"/>
              </w:rPr>
              <w:t>.</w:t>
            </w:r>
          </w:p>
          <w:p w14:paraId="6915D8B5" w14:textId="77777777" w:rsidR="00927F4C" w:rsidRPr="00530CB6" w:rsidRDefault="00927F4C" w:rsidP="00C63F1D">
            <w:pPr>
              <w:pStyle w:val="ListParagraph"/>
              <w:ind w:left="360"/>
              <w:rPr>
                <w:rFonts w:ascii="Times New Roman" w:hAnsi="Times New Roman"/>
                <w:sz w:val="20"/>
                <w:szCs w:val="20"/>
              </w:rPr>
            </w:pPr>
          </w:p>
        </w:tc>
        <w:tc>
          <w:tcPr>
            <w:tcW w:w="2700" w:type="dxa"/>
          </w:tcPr>
          <w:p w14:paraId="06277F15" w14:textId="77777777" w:rsidR="004D7883" w:rsidRPr="00530CB6" w:rsidRDefault="004D7883" w:rsidP="00756D9B">
            <w:pPr>
              <w:spacing w:before="60" w:line="200" w:lineRule="exact"/>
              <w:rPr>
                <w:rFonts w:ascii="Times New Roman" w:eastAsia="MS ??" w:hAnsi="Times New Roman"/>
                <w:sz w:val="20"/>
                <w:szCs w:val="20"/>
              </w:rPr>
            </w:pPr>
            <w:r w:rsidRPr="00530CB6">
              <w:rPr>
                <w:rFonts w:ascii="Times New Roman" w:eastAsia="MS ??" w:hAnsi="Times New Roman"/>
                <w:sz w:val="20"/>
                <w:szCs w:val="20"/>
              </w:rPr>
              <w:t>% of new UNDAFs or equivalents that substantively address poverty eradication</w:t>
            </w:r>
          </w:p>
          <w:p w14:paraId="34430E9D" w14:textId="77777777" w:rsidR="004D7883" w:rsidRPr="00530CB6" w:rsidRDefault="004D7883" w:rsidP="00756D9B">
            <w:pPr>
              <w:spacing w:before="60" w:line="200" w:lineRule="exact"/>
              <w:rPr>
                <w:rFonts w:ascii="Times New Roman" w:hAnsi="Times New Roman"/>
                <w:sz w:val="20"/>
                <w:szCs w:val="20"/>
              </w:rPr>
            </w:pPr>
          </w:p>
          <w:p w14:paraId="0B94698A" w14:textId="77777777" w:rsidR="004D7883" w:rsidRPr="00530CB6" w:rsidRDefault="004D7883" w:rsidP="00756D9B">
            <w:pPr>
              <w:spacing w:before="60" w:line="200" w:lineRule="exact"/>
              <w:rPr>
                <w:rFonts w:ascii="Times New Roman" w:hAnsi="Times New Roman"/>
                <w:sz w:val="20"/>
                <w:szCs w:val="20"/>
              </w:rPr>
            </w:pPr>
            <w:r w:rsidRPr="00530CB6">
              <w:rPr>
                <w:rFonts w:ascii="Times New Roman" w:eastAsia="MS ??" w:hAnsi="Times New Roman"/>
                <w:sz w:val="20"/>
                <w:szCs w:val="20"/>
              </w:rPr>
              <w:t>% of programme country governments who “strongly agree” that UN contributions in the eradication of multi-dimensional poverty and achievement of I</w:t>
            </w:r>
            <w:r w:rsidR="004666EB">
              <w:rPr>
                <w:rFonts w:ascii="Times New Roman" w:eastAsia="MS ??" w:hAnsi="Times New Roman"/>
                <w:sz w:val="20"/>
                <w:szCs w:val="20"/>
              </w:rPr>
              <w:t xml:space="preserve">nternational Development Goals </w:t>
            </w:r>
            <w:r w:rsidRPr="00530CB6">
              <w:rPr>
                <w:rFonts w:ascii="Times New Roman" w:eastAsia="MS ??" w:hAnsi="Times New Roman"/>
                <w:sz w:val="20"/>
                <w:szCs w:val="20"/>
              </w:rPr>
              <w:t xml:space="preserve"> is “significant”</w:t>
            </w:r>
          </w:p>
          <w:p w14:paraId="57A19811" w14:textId="77777777" w:rsidR="000E4E1A" w:rsidRPr="00530CB6" w:rsidRDefault="000E4E1A" w:rsidP="00756D9B">
            <w:pPr>
              <w:rPr>
                <w:rFonts w:ascii="Times New Roman" w:hAnsi="Times New Roman"/>
                <w:sz w:val="20"/>
                <w:szCs w:val="20"/>
              </w:rPr>
            </w:pPr>
          </w:p>
        </w:tc>
        <w:tc>
          <w:tcPr>
            <w:tcW w:w="5850" w:type="dxa"/>
          </w:tcPr>
          <w:p w14:paraId="3C82C9E2" w14:textId="77777777" w:rsidR="000470C3" w:rsidRPr="00530CB6" w:rsidRDefault="00101A76" w:rsidP="000470C3">
            <w:pPr>
              <w:pStyle w:val="ListParagraph"/>
              <w:numPr>
                <w:ilvl w:val="0"/>
                <w:numId w:val="6"/>
              </w:numPr>
              <w:rPr>
                <w:rFonts w:ascii="Times New Roman" w:hAnsi="Times New Roman"/>
                <w:sz w:val="20"/>
                <w:szCs w:val="20"/>
              </w:rPr>
            </w:pPr>
            <w:r>
              <w:rPr>
                <w:rFonts w:ascii="Times New Roman" w:hAnsi="Times New Roman"/>
                <w:color w:val="000000" w:themeColor="text1"/>
                <w:sz w:val="20"/>
                <w:szCs w:val="20"/>
              </w:rPr>
              <w:t>P</w:t>
            </w:r>
            <w:r w:rsidR="006825C4" w:rsidRPr="00530CB6">
              <w:rPr>
                <w:rFonts w:ascii="Times New Roman" w:hAnsi="Times New Roman"/>
                <w:color w:val="000000" w:themeColor="text1"/>
                <w:sz w:val="20"/>
                <w:szCs w:val="20"/>
              </w:rPr>
              <w:t xml:space="preserve">rogramme alignment guidance and review of </w:t>
            </w:r>
            <w:r w:rsidR="000F4DBC" w:rsidRPr="00530CB6">
              <w:rPr>
                <w:rFonts w:ascii="Times New Roman" w:hAnsi="Times New Roman"/>
                <w:color w:val="000000" w:themeColor="text1"/>
                <w:sz w:val="20"/>
                <w:szCs w:val="20"/>
              </w:rPr>
              <w:t>new country programme document</w:t>
            </w:r>
            <w:r>
              <w:rPr>
                <w:rFonts w:ascii="Times New Roman" w:hAnsi="Times New Roman"/>
                <w:color w:val="000000" w:themeColor="text1"/>
                <w:sz w:val="20"/>
                <w:szCs w:val="20"/>
              </w:rPr>
              <w:t>s</w:t>
            </w:r>
            <w:r w:rsidR="000F4DBC" w:rsidRPr="00530CB6">
              <w:rPr>
                <w:rFonts w:ascii="Times New Roman" w:hAnsi="Times New Roman"/>
                <w:color w:val="000000" w:themeColor="text1"/>
                <w:sz w:val="20"/>
                <w:szCs w:val="20"/>
              </w:rPr>
              <w:t xml:space="preserve"> focuses on poverty eradication,</w:t>
            </w:r>
            <w:r w:rsidR="000470C3" w:rsidRPr="00530CB6">
              <w:rPr>
                <w:rFonts w:ascii="Times New Roman" w:hAnsi="Times New Roman"/>
                <w:color w:val="000000" w:themeColor="text1"/>
                <w:sz w:val="20"/>
                <w:szCs w:val="20"/>
              </w:rPr>
              <w:t xml:space="preserve"> </w:t>
            </w:r>
            <w:r>
              <w:rPr>
                <w:rFonts w:ascii="Times New Roman" w:hAnsi="Times New Roman"/>
                <w:color w:val="000000" w:themeColor="text1"/>
                <w:sz w:val="20"/>
                <w:szCs w:val="20"/>
              </w:rPr>
              <w:t>as well as</w:t>
            </w:r>
            <w:r w:rsidRPr="00530CB6">
              <w:rPr>
                <w:rFonts w:ascii="Times New Roman" w:hAnsi="Times New Roman"/>
                <w:color w:val="000000" w:themeColor="text1"/>
                <w:sz w:val="20"/>
                <w:szCs w:val="20"/>
              </w:rPr>
              <w:t xml:space="preserve"> </w:t>
            </w:r>
            <w:r w:rsidR="00CC74BA" w:rsidRPr="00530CB6">
              <w:rPr>
                <w:rFonts w:ascii="Times New Roman" w:hAnsi="Times New Roman"/>
                <w:color w:val="000000" w:themeColor="text1"/>
                <w:sz w:val="20"/>
                <w:szCs w:val="20"/>
              </w:rPr>
              <w:t>building</w:t>
            </w:r>
            <w:r w:rsidR="006825C4" w:rsidRPr="00530CB6">
              <w:rPr>
                <w:rFonts w:ascii="Times New Roman" w:hAnsi="Times New Roman"/>
                <w:color w:val="000000" w:themeColor="text1"/>
                <w:sz w:val="20"/>
                <w:szCs w:val="20"/>
              </w:rPr>
              <w:t xml:space="preserve"> capacities to address root causes of poverty through the </w:t>
            </w:r>
            <w:r>
              <w:rPr>
                <w:rFonts w:ascii="Times New Roman" w:hAnsi="Times New Roman"/>
                <w:color w:val="000000" w:themeColor="text1"/>
                <w:sz w:val="20"/>
                <w:szCs w:val="20"/>
              </w:rPr>
              <w:t>country programme document</w:t>
            </w:r>
            <w:r w:rsidRPr="00530CB6">
              <w:rPr>
                <w:rFonts w:ascii="Times New Roman" w:hAnsi="Times New Roman"/>
                <w:color w:val="000000" w:themeColor="text1"/>
                <w:sz w:val="20"/>
                <w:szCs w:val="20"/>
              </w:rPr>
              <w:t xml:space="preserve"> </w:t>
            </w:r>
            <w:r w:rsidR="006825C4" w:rsidRPr="00530CB6">
              <w:rPr>
                <w:rFonts w:ascii="Times New Roman" w:hAnsi="Times New Roman"/>
                <w:color w:val="000000" w:themeColor="text1"/>
                <w:sz w:val="20"/>
                <w:szCs w:val="20"/>
              </w:rPr>
              <w:t>theory of change</w:t>
            </w:r>
            <w:r w:rsidR="00145B7F" w:rsidRPr="00530CB6">
              <w:rPr>
                <w:rFonts w:ascii="Times New Roman" w:hAnsi="Times New Roman"/>
                <w:color w:val="000000" w:themeColor="text1"/>
                <w:sz w:val="20"/>
                <w:szCs w:val="20"/>
              </w:rPr>
              <w:t>.</w:t>
            </w:r>
            <w:r w:rsidR="000470C3" w:rsidRPr="00530CB6">
              <w:rPr>
                <w:rFonts w:ascii="Times New Roman" w:hAnsi="Times New Roman"/>
                <w:color w:val="000000" w:themeColor="text1"/>
                <w:sz w:val="20"/>
                <w:szCs w:val="20"/>
              </w:rPr>
              <w:t xml:space="preserve"> </w:t>
            </w:r>
            <w:r w:rsidR="002A558E">
              <w:rPr>
                <w:rFonts w:ascii="Times New Roman" w:hAnsi="Times New Roman"/>
                <w:sz w:val="20"/>
                <w:szCs w:val="20"/>
              </w:rPr>
              <w:t>UNDP contributed actively to the development of a</w:t>
            </w:r>
            <w:r w:rsidR="004B609A">
              <w:rPr>
                <w:rFonts w:ascii="Times New Roman" w:hAnsi="Times New Roman"/>
                <w:sz w:val="20"/>
                <w:szCs w:val="20"/>
              </w:rPr>
              <w:t xml:space="preserve"> n</w:t>
            </w:r>
            <w:r w:rsidR="00606F43" w:rsidRPr="00530CB6">
              <w:rPr>
                <w:rFonts w:ascii="Times New Roman" w:hAnsi="Times New Roman"/>
                <w:sz w:val="20"/>
                <w:szCs w:val="20"/>
              </w:rPr>
              <w:t>ew U</w:t>
            </w:r>
            <w:r w:rsidR="004B609A">
              <w:rPr>
                <w:rFonts w:ascii="Times New Roman" w:hAnsi="Times New Roman"/>
                <w:sz w:val="20"/>
                <w:szCs w:val="20"/>
              </w:rPr>
              <w:t xml:space="preserve">nited </w:t>
            </w:r>
            <w:r w:rsidR="00606F43" w:rsidRPr="00530CB6">
              <w:rPr>
                <w:rFonts w:ascii="Times New Roman" w:hAnsi="Times New Roman"/>
                <w:sz w:val="20"/>
                <w:szCs w:val="20"/>
              </w:rPr>
              <w:t>N</w:t>
            </w:r>
            <w:r w:rsidR="004B609A">
              <w:rPr>
                <w:rFonts w:ascii="Times New Roman" w:hAnsi="Times New Roman"/>
                <w:sz w:val="20"/>
                <w:szCs w:val="20"/>
              </w:rPr>
              <w:t xml:space="preserve">ations </w:t>
            </w:r>
            <w:r w:rsidR="00606F43" w:rsidRPr="00530CB6">
              <w:rPr>
                <w:rFonts w:ascii="Times New Roman" w:hAnsi="Times New Roman"/>
                <w:sz w:val="20"/>
                <w:szCs w:val="20"/>
              </w:rPr>
              <w:t>D</w:t>
            </w:r>
            <w:r w:rsidR="004B609A">
              <w:rPr>
                <w:rFonts w:ascii="Times New Roman" w:hAnsi="Times New Roman"/>
                <w:sz w:val="20"/>
                <w:szCs w:val="20"/>
              </w:rPr>
              <w:t xml:space="preserve">evelopment </w:t>
            </w:r>
            <w:r w:rsidR="00606F43" w:rsidRPr="00530CB6">
              <w:rPr>
                <w:rFonts w:ascii="Times New Roman" w:hAnsi="Times New Roman"/>
                <w:sz w:val="20"/>
                <w:szCs w:val="20"/>
              </w:rPr>
              <w:t>A</w:t>
            </w:r>
            <w:r w:rsidR="004B609A">
              <w:rPr>
                <w:rFonts w:ascii="Times New Roman" w:hAnsi="Times New Roman"/>
                <w:sz w:val="20"/>
                <w:szCs w:val="20"/>
              </w:rPr>
              <w:t xml:space="preserve">ssistance </w:t>
            </w:r>
            <w:r w:rsidR="00606F43" w:rsidRPr="00530CB6">
              <w:rPr>
                <w:rFonts w:ascii="Times New Roman" w:hAnsi="Times New Roman"/>
                <w:sz w:val="20"/>
                <w:szCs w:val="20"/>
              </w:rPr>
              <w:t>F</w:t>
            </w:r>
            <w:r w:rsidR="004B609A">
              <w:rPr>
                <w:rFonts w:ascii="Times New Roman" w:hAnsi="Times New Roman"/>
                <w:sz w:val="20"/>
                <w:szCs w:val="20"/>
              </w:rPr>
              <w:t>ramework (UNDAF)</w:t>
            </w:r>
            <w:r w:rsidR="00606F43" w:rsidRPr="00530CB6">
              <w:rPr>
                <w:rFonts w:ascii="Times New Roman" w:hAnsi="Times New Roman"/>
                <w:sz w:val="20"/>
                <w:szCs w:val="20"/>
              </w:rPr>
              <w:t xml:space="preserve"> guidance</w:t>
            </w:r>
            <w:r w:rsidR="004B609A">
              <w:rPr>
                <w:rFonts w:ascii="Times New Roman" w:hAnsi="Times New Roman"/>
                <w:sz w:val="20"/>
                <w:szCs w:val="20"/>
              </w:rPr>
              <w:t xml:space="preserve"> note</w:t>
            </w:r>
            <w:r w:rsidR="002A558E">
              <w:rPr>
                <w:rFonts w:ascii="Times New Roman" w:hAnsi="Times New Roman"/>
                <w:sz w:val="20"/>
                <w:szCs w:val="20"/>
              </w:rPr>
              <w:t xml:space="preserve">, which </w:t>
            </w:r>
            <w:r w:rsidR="00250C71">
              <w:rPr>
                <w:rFonts w:ascii="Times New Roman" w:hAnsi="Times New Roman"/>
                <w:sz w:val="20"/>
                <w:szCs w:val="20"/>
              </w:rPr>
              <w:t>was endorsed</w:t>
            </w:r>
            <w:r w:rsidR="002A558E">
              <w:rPr>
                <w:rFonts w:ascii="Times New Roman" w:hAnsi="Times New Roman"/>
                <w:sz w:val="20"/>
                <w:szCs w:val="20"/>
              </w:rPr>
              <w:t xml:space="preserve"> by the UNDG</w:t>
            </w:r>
            <w:r w:rsidR="00606F43" w:rsidRPr="00530CB6">
              <w:rPr>
                <w:rFonts w:ascii="Times New Roman" w:hAnsi="Times New Roman"/>
                <w:sz w:val="20"/>
                <w:szCs w:val="20"/>
              </w:rPr>
              <w:t xml:space="preserve"> in </w:t>
            </w:r>
            <w:r w:rsidR="00A45769" w:rsidRPr="00530CB6">
              <w:rPr>
                <w:rFonts w:ascii="Times New Roman" w:hAnsi="Times New Roman"/>
                <w:sz w:val="20"/>
                <w:szCs w:val="20"/>
              </w:rPr>
              <w:t>2017</w:t>
            </w:r>
            <w:r w:rsidR="004150DD" w:rsidRPr="00530CB6">
              <w:rPr>
                <w:rFonts w:ascii="Times New Roman" w:hAnsi="Times New Roman"/>
                <w:sz w:val="20"/>
                <w:szCs w:val="20"/>
              </w:rPr>
              <w:t xml:space="preserve">. </w:t>
            </w:r>
          </w:p>
          <w:p w14:paraId="0087BC0C" w14:textId="77777777" w:rsidR="00A707CB" w:rsidRPr="00530CB6" w:rsidRDefault="00A707CB" w:rsidP="00101A76">
            <w:pPr>
              <w:pStyle w:val="ListParagraph"/>
              <w:numPr>
                <w:ilvl w:val="0"/>
                <w:numId w:val="6"/>
              </w:numPr>
              <w:rPr>
                <w:rFonts w:ascii="Times New Roman" w:hAnsi="Times New Roman"/>
                <w:sz w:val="20"/>
                <w:szCs w:val="20"/>
              </w:rPr>
            </w:pPr>
            <w:r w:rsidRPr="00530CB6">
              <w:rPr>
                <w:rFonts w:ascii="Times New Roman" w:hAnsi="Times New Roman"/>
                <w:sz w:val="20"/>
                <w:szCs w:val="20"/>
              </w:rPr>
              <w:t xml:space="preserve">UNDP prepared </w:t>
            </w:r>
            <w:r w:rsidRPr="00530CB6">
              <w:rPr>
                <w:rFonts w:ascii="Times New Roman" w:hAnsi="Times New Roman" w:cs="Times New Roman"/>
                <w:color w:val="000000"/>
                <w:sz w:val="20"/>
                <w:szCs w:val="20"/>
              </w:rPr>
              <w:t xml:space="preserve">a forward-looking, evidenced-based global </w:t>
            </w:r>
            <w:hyperlink r:id="rId8" w:history="1">
              <w:r w:rsidRPr="00530CB6">
                <w:rPr>
                  <w:rStyle w:val="Hyperlink"/>
                  <w:rFonts w:ascii="Times New Roman" w:hAnsi="Times New Roman" w:cs="Times New Roman"/>
                  <w:sz w:val="20"/>
                  <w:szCs w:val="20"/>
                </w:rPr>
                <w:t>report</w:t>
              </w:r>
            </w:hyperlink>
            <w:r w:rsidRPr="00530CB6">
              <w:rPr>
                <w:rFonts w:ascii="Times New Roman" w:hAnsi="Times New Roman" w:cs="Times New Roman"/>
                <w:color w:val="000000"/>
                <w:sz w:val="20"/>
                <w:szCs w:val="20"/>
              </w:rPr>
              <w:t xml:space="preserve"> </w:t>
            </w:r>
            <w:r w:rsidR="00101A76">
              <w:rPr>
                <w:rFonts w:ascii="Times New Roman" w:hAnsi="Times New Roman"/>
                <w:color w:val="000000" w:themeColor="text1"/>
                <w:sz w:val="20"/>
                <w:szCs w:val="20"/>
              </w:rPr>
              <w:t>that</w:t>
            </w:r>
            <w:r w:rsidR="00101A76" w:rsidRPr="00530CB6">
              <w:rPr>
                <w:rFonts w:ascii="Times New Roman" w:hAnsi="Times New Roman"/>
                <w:color w:val="000000" w:themeColor="text1"/>
                <w:sz w:val="20"/>
                <w:szCs w:val="20"/>
              </w:rPr>
              <w:t xml:space="preserve"> </w:t>
            </w:r>
            <w:r w:rsidR="00B46B76" w:rsidRPr="00530CB6">
              <w:rPr>
                <w:rFonts w:ascii="Times New Roman" w:hAnsi="Times New Roman"/>
                <w:color w:val="000000" w:themeColor="text1"/>
                <w:sz w:val="20"/>
                <w:szCs w:val="20"/>
              </w:rPr>
              <w:t>captures lessons learned and</w:t>
            </w:r>
            <w:r w:rsidRPr="00530CB6">
              <w:rPr>
                <w:rFonts w:ascii="Times New Roman" w:hAnsi="Times New Roman"/>
                <w:color w:val="000000" w:themeColor="text1"/>
                <w:sz w:val="20"/>
                <w:szCs w:val="20"/>
              </w:rPr>
              <w:t xml:space="preserve"> good practices on capacity development</w:t>
            </w:r>
            <w:r w:rsidR="00B46B76" w:rsidRPr="00530CB6">
              <w:rPr>
                <w:rFonts w:ascii="Times New Roman" w:hAnsi="Times New Roman"/>
                <w:color w:val="000000" w:themeColor="text1"/>
                <w:sz w:val="20"/>
                <w:szCs w:val="20"/>
              </w:rPr>
              <w:t xml:space="preserve"> and </w:t>
            </w:r>
            <w:r w:rsidR="00B46B76" w:rsidRPr="00530CB6">
              <w:rPr>
                <w:rFonts w:ascii="Times New Roman" w:hAnsi="Times New Roman"/>
                <w:color w:val="323E4F" w:themeColor="text2" w:themeShade="BF"/>
                <w:sz w:val="20"/>
                <w:szCs w:val="20"/>
              </w:rPr>
              <w:t>poverty related initiatives</w:t>
            </w:r>
            <w:r w:rsidRPr="00530CB6">
              <w:rPr>
                <w:rFonts w:ascii="Times New Roman" w:hAnsi="Times New Roman"/>
                <w:color w:val="323E4F" w:themeColor="text2" w:themeShade="BF"/>
                <w:sz w:val="20"/>
                <w:szCs w:val="20"/>
              </w:rPr>
              <w:t xml:space="preserve">. </w:t>
            </w:r>
            <w:r w:rsidRPr="00530CB6">
              <w:rPr>
                <w:rFonts w:ascii="Times New Roman" w:hAnsi="Times New Roman" w:cs="Times New Roman"/>
                <w:color w:val="000000"/>
                <w:sz w:val="20"/>
                <w:szCs w:val="20"/>
              </w:rPr>
              <w:t xml:space="preserve">In addition, </w:t>
            </w:r>
            <w:r w:rsidRPr="00530CB6">
              <w:rPr>
                <w:rFonts w:ascii="Times New Roman" w:hAnsi="Times New Roman" w:cs="Arial"/>
                <w:sz w:val="20"/>
                <w:szCs w:val="20"/>
              </w:rPr>
              <w:t xml:space="preserve">UNDP and the World Bank prepared a global </w:t>
            </w:r>
            <w:hyperlink r:id="rId9" w:history="1">
              <w:r w:rsidRPr="00530CB6">
                <w:rPr>
                  <w:rStyle w:val="Hyperlink"/>
                  <w:rFonts w:ascii="Times New Roman" w:hAnsi="Times New Roman" w:cs="Arial"/>
                  <w:sz w:val="20"/>
                  <w:szCs w:val="20"/>
                </w:rPr>
                <w:t>UNDP-</w:t>
              </w:r>
              <w:r w:rsidRPr="00530CB6">
                <w:rPr>
                  <w:rStyle w:val="Hyperlink"/>
                  <w:rFonts w:ascii="Times New Roman" w:hAnsi="Times New Roman" w:cs="Times New Roman"/>
                  <w:sz w:val="20"/>
                  <w:szCs w:val="20"/>
                </w:rPr>
                <w:t>World Bank report</w:t>
              </w:r>
            </w:hyperlink>
            <w:r w:rsidRPr="00530CB6">
              <w:rPr>
                <w:rFonts w:ascii="Times New Roman" w:hAnsi="Times New Roman" w:cs="Times New Roman"/>
                <w:sz w:val="20"/>
                <w:szCs w:val="20"/>
              </w:rPr>
              <w:t xml:space="preserve">, </w:t>
            </w:r>
            <w:r w:rsidR="000305D1" w:rsidRPr="00530CB6">
              <w:rPr>
                <w:rFonts w:ascii="Times New Roman" w:hAnsi="Times New Roman" w:cs="Times New Roman"/>
                <w:sz w:val="20"/>
                <w:szCs w:val="20"/>
              </w:rPr>
              <w:t xml:space="preserve">consolidating </w:t>
            </w:r>
            <w:r w:rsidRPr="00530CB6">
              <w:rPr>
                <w:rFonts w:ascii="Times New Roman" w:hAnsi="Times New Roman" w:cs="Times New Roman"/>
                <w:sz w:val="20"/>
                <w:szCs w:val="20"/>
              </w:rPr>
              <w:t xml:space="preserve">lessons learned from the United Nations System Chief Executives Board </w:t>
            </w:r>
            <w:r w:rsidR="00DD2FD7" w:rsidRPr="00530CB6">
              <w:rPr>
                <w:rFonts w:ascii="Times New Roman" w:hAnsi="Times New Roman" w:cs="Times New Roman"/>
                <w:sz w:val="20"/>
                <w:szCs w:val="20"/>
              </w:rPr>
              <w:t>on</w:t>
            </w:r>
            <w:r w:rsidRPr="00530CB6">
              <w:rPr>
                <w:rFonts w:ascii="Times New Roman" w:hAnsi="Times New Roman" w:cs="Times New Roman"/>
                <w:sz w:val="20"/>
                <w:szCs w:val="20"/>
              </w:rPr>
              <w:t xml:space="preserve"> M</w:t>
            </w:r>
            <w:r w:rsidR="00101A76">
              <w:rPr>
                <w:rFonts w:ascii="Times New Roman" w:hAnsi="Times New Roman" w:cs="Times New Roman"/>
                <w:sz w:val="20"/>
                <w:szCs w:val="20"/>
              </w:rPr>
              <w:t xml:space="preserve">illennium </w:t>
            </w:r>
            <w:r w:rsidRPr="00530CB6">
              <w:rPr>
                <w:rFonts w:ascii="Times New Roman" w:hAnsi="Times New Roman" w:cs="Times New Roman"/>
                <w:sz w:val="20"/>
                <w:szCs w:val="20"/>
              </w:rPr>
              <w:t>D</w:t>
            </w:r>
            <w:r w:rsidR="00101A76">
              <w:rPr>
                <w:rFonts w:ascii="Times New Roman" w:hAnsi="Times New Roman" w:cs="Times New Roman"/>
                <w:sz w:val="20"/>
                <w:szCs w:val="20"/>
              </w:rPr>
              <w:t xml:space="preserve">evelopment </w:t>
            </w:r>
            <w:r w:rsidRPr="00530CB6">
              <w:rPr>
                <w:rFonts w:ascii="Times New Roman" w:hAnsi="Times New Roman" w:cs="Times New Roman"/>
                <w:sz w:val="20"/>
                <w:szCs w:val="20"/>
              </w:rPr>
              <w:t>G</w:t>
            </w:r>
            <w:r w:rsidR="00101A76">
              <w:rPr>
                <w:rFonts w:ascii="Times New Roman" w:hAnsi="Times New Roman" w:cs="Times New Roman"/>
                <w:sz w:val="20"/>
                <w:szCs w:val="20"/>
              </w:rPr>
              <w:t>oal</w:t>
            </w:r>
            <w:r w:rsidRPr="00530CB6">
              <w:rPr>
                <w:rFonts w:ascii="Times New Roman" w:hAnsi="Times New Roman" w:cs="Times New Roman"/>
                <w:sz w:val="20"/>
                <w:szCs w:val="20"/>
              </w:rPr>
              <w:t xml:space="preserve"> Reviews. </w:t>
            </w:r>
          </w:p>
        </w:tc>
      </w:tr>
      <w:tr w:rsidR="000232E6" w:rsidRPr="008B3686" w14:paraId="066EB62B" w14:textId="77777777" w:rsidTr="00880567">
        <w:trPr>
          <w:trHeight w:val="440"/>
        </w:trPr>
        <w:tc>
          <w:tcPr>
            <w:tcW w:w="4410" w:type="dxa"/>
          </w:tcPr>
          <w:p w14:paraId="7867DC68" w14:textId="77777777" w:rsidR="000232E6" w:rsidRPr="008B3686" w:rsidRDefault="000232E6" w:rsidP="000232E6">
            <w:pPr>
              <w:pStyle w:val="ListParagraph"/>
              <w:numPr>
                <w:ilvl w:val="0"/>
                <w:numId w:val="4"/>
              </w:numPr>
              <w:rPr>
                <w:rFonts w:ascii="Times New Roman" w:hAnsi="Times New Roman"/>
                <w:b/>
                <w:sz w:val="20"/>
                <w:szCs w:val="20"/>
              </w:rPr>
            </w:pPr>
            <w:r w:rsidRPr="008B3686">
              <w:rPr>
                <w:rFonts w:ascii="Times New Roman" w:hAnsi="Times New Roman"/>
                <w:b/>
                <w:sz w:val="20"/>
                <w:szCs w:val="20"/>
              </w:rPr>
              <w:t xml:space="preserve"> South-South cooperation and development of national capacities.</w:t>
            </w:r>
          </w:p>
        </w:tc>
        <w:tc>
          <w:tcPr>
            <w:tcW w:w="2700" w:type="dxa"/>
          </w:tcPr>
          <w:p w14:paraId="437F7D7D" w14:textId="77777777" w:rsidR="000232E6" w:rsidRPr="008B3686" w:rsidRDefault="00B47676">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0CFDFA0E" w14:textId="77777777" w:rsidR="000232E6" w:rsidRPr="008B3686" w:rsidRDefault="00B47676">
            <w:pPr>
              <w:rPr>
                <w:rFonts w:ascii="Times New Roman" w:hAnsi="Times New Roman"/>
                <w:b/>
                <w:sz w:val="20"/>
                <w:szCs w:val="20"/>
              </w:rPr>
            </w:pPr>
            <w:r w:rsidRPr="008B3686">
              <w:rPr>
                <w:rFonts w:ascii="Times New Roman" w:hAnsi="Times New Roman"/>
                <w:b/>
                <w:sz w:val="20"/>
                <w:szCs w:val="20"/>
              </w:rPr>
              <w:t>Progress</w:t>
            </w:r>
          </w:p>
        </w:tc>
      </w:tr>
      <w:tr w:rsidR="000232E6" w:rsidRPr="00530CB6" w14:paraId="6BEBDABE" w14:textId="77777777" w:rsidTr="00880567">
        <w:trPr>
          <w:trHeight w:val="476"/>
        </w:trPr>
        <w:tc>
          <w:tcPr>
            <w:tcW w:w="4410" w:type="dxa"/>
          </w:tcPr>
          <w:p w14:paraId="604F433F" w14:textId="77777777" w:rsidR="000232E6" w:rsidRPr="00530CB6" w:rsidRDefault="003A7BD1" w:rsidP="00CC5EC5">
            <w:pPr>
              <w:pStyle w:val="ListParagraph"/>
              <w:numPr>
                <w:ilvl w:val="0"/>
                <w:numId w:val="9"/>
              </w:numPr>
              <w:rPr>
                <w:rFonts w:ascii="Times New Roman" w:hAnsi="Times New Roman"/>
                <w:sz w:val="20"/>
                <w:szCs w:val="20"/>
              </w:rPr>
            </w:pPr>
            <w:r w:rsidRPr="00530CB6">
              <w:rPr>
                <w:rFonts w:ascii="Times New Roman" w:hAnsi="Times New Roman"/>
                <w:i/>
                <w:sz w:val="20"/>
                <w:szCs w:val="20"/>
              </w:rPr>
              <w:t>Mainstreaming support to South-South and triangular cooperation</w:t>
            </w:r>
            <w:r w:rsidRPr="00530CB6">
              <w:rPr>
                <w:rFonts w:ascii="Times New Roman" w:hAnsi="Times New Roman"/>
                <w:sz w:val="20"/>
                <w:szCs w:val="20"/>
              </w:rPr>
              <w:t xml:space="preserve"> into country-level programming of operational activities</w:t>
            </w:r>
            <w:r w:rsidR="00C3715C" w:rsidRPr="00530CB6">
              <w:rPr>
                <w:rFonts w:ascii="Times New Roman" w:hAnsi="Times New Roman"/>
                <w:sz w:val="20"/>
                <w:szCs w:val="20"/>
              </w:rPr>
              <w:t xml:space="preserve"> (OP74)</w:t>
            </w:r>
            <w:r w:rsidR="00C93C83" w:rsidRPr="00530CB6">
              <w:rPr>
                <w:rFonts w:ascii="Times New Roman" w:hAnsi="Times New Roman"/>
                <w:sz w:val="20"/>
                <w:szCs w:val="20"/>
              </w:rPr>
              <w:t>.</w:t>
            </w:r>
          </w:p>
          <w:p w14:paraId="5BD3A77E" w14:textId="77777777" w:rsidR="003A7BD1" w:rsidRPr="00530CB6" w:rsidRDefault="003A7BD1" w:rsidP="00C3715C">
            <w:pPr>
              <w:pStyle w:val="ListParagraph"/>
              <w:numPr>
                <w:ilvl w:val="0"/>
                <w:numId w:val="9"/>
              </w:numPr>
              <w:rPr>
                <w:rFonts w:ascii="Times New Roman" w:hAnsi="Times New Roman"/>
                <w:sz w:val="20"/>
                <w:szCs w:val="20"/>
              </w:rPr>
            </w:pPr>
            <w:r w:rsidRPr="00530CB6">
              <w:rPr>
                <w:rFonts w:ascii="Times New Roman" w:hAnsi="Times New Roman"/>
                <w:i/>
                <w:sz w:val="20"/>
                <w:szCs w:val="20"/>
              </w:rPr>
              <w:t>Intensifying information-sharing, reporting and evaluation</w:t>
            </w:r>
            <w:r w:rsidRPr="00530CB6">
              <w:rPr>
                <w:rFonts w:ascii="Times New Roman" w:hAnsi="Times New Roman"/>
                <w:sz w:val="20"/>
                <w:szCs w:val="20"/>
              </w:rPr>
              <w:t xml:space="preserve"> on support to and results </w:t>
            </w:r>
            <w:r w:rsidR="00C93C83" w:rsidRPr="00530CB6">
              <w:rPr>
                <w:rFonts w:ascii="Times New Roman" w:hAnsi="Times New Roman"/>
                <w:sz w:val="20"/>
                <w:szCs w:val="20"/>
              </w:rPr>
              <w:t>archived</w:t>
            </w:r>
            <w:r w:rsidRPr="00530CB6">
              <w:rPr>
                <w:rFonts w:ascii="Times New Roman" w:hAnsi="Times New Roman"/>
                <w:sz w:val="20"/>
                <w:szCs w:val="20"/>
              </w:rPr>
              <w:t xml:space="preserve"> th</w:t>
            </w:r>
            <w:r w:rsidR="00C93C83" w:rsidRPr="00530CB6">
              <w:rPr>
                <w:rFonts w:ascii="Times New Roman" w:hAnsi="Times New Roman"/>
                <w:sz w:val="20"/>
                <w:szCs w:val="20"/>
              </w:rPr>
              <w:t>rough South-South cooperation, including triangular cooperation</w:t>
            </w:r>
            <w:r w:rsidR="00C3715C" w:rsidRPr="00530CB6">
              <w:rPr>
                <w:rFonts w:ascii="Times New Roman" w:hAnsi="Times New Roman"/>
                <w:sz w:val="20"/>
                <w:szCs w:val="20"/>
              </w:rPr>
              <w:t xml:space="preserve"> (OP75)</w:t>
            </w:r>
            <w:r w:rsidR="00C93C83" w:rsidRPr="00530CB6">
              <w:rPr>
                <w:rFonts w:ascii="Times New Roman" w:hAnsi="Times New Roman"/>
                <w:sz w:val="20"/>
                <w:szCs w:val="20"/>
              </w:rPr>
              <w:t xml:space="preserve">. </w:t>
            </w:r>
          </w:p>
        </w:tc>
        <w:tc>
          <w:tcPr>
            <w:tcW w:w="2700" w:type="dxa"/>
          </w:tcPr>
          <w:p w14:paraId="61CD8448" w14:textId="77777777" w:rsidR="00E22D96" w:rsidRPr="00530CB6" w:rsidRDefault="00E22D96" w:rsidP="00E22D96">
            <w:pPr>
              <w:pStyle w:val="Default"/>
              <w:rPr>
                <w:rFonts w:ascii="Times New Roman" w:hAnsi="Times New Roman"/>
                <w:sz w:val="20"/>
                <w:szCs w:val="20"/>
              </w:rPr>
            </w:pPr>
            <w:r w:rsidRPr="00530CB6">
              <w:rPr>
                <w:rFonts w:ascii="Times New Roman" w:hAnsi="Times New Roman"/>
                <w:sz w:val="20"/>
                <w:szCs w:val="20"/>
              </w:rPr>
              <w:t xml:space="preserve"># of UN entities that integrate south-south cooperation into their strategic plan (32) </w:t>
            </w:r>
          </w:p>
          <w:p w14:paraId="2458B37F" w14:textId="77777777" w:rsidR="00E22D96" w:rsidRPr="00530CB6" w:rsidRDefault="00E22D96" w:rsidP="00E22D96">
            <w:pPr>
              <w:pStyle w:val="Default"/>
              <w:rPr>
                <w:rFonts w:ascii="Times New Roman" w:hAnsi="Times New Roman"/>
                <w:sz w:val="20"/>
                <w:szCs w:val="20"/>
              </w:rPr>
            </w:pPr>
          </w:p>
          <w:p w14:paraId="79EAD3D8" w14:textId="77777777" w:rsidR="000232E6" w:rsidRPr="00530CB6" w:rsidRDefault="00E22D96" w:rsidP="00E22D96">
            <w:pPr>
              <w:rPr>
                <w:rFonts w:ascii="Times New Roman" w:hAnsi="Times New Roman"/>
                <w:sz w:val="20"/>
                <w:szCs w:val="20"/>
              </w:rPr>
            </w:pPr>
            <w:r w:rsidRPr="00530CB6">
              <w:rPr>
                <w:rFonts w:ascii="Times New Roman" w:hAnsi="Times New Roman"/>
                <w:sz w:val="20"/>
                <w:szCs w:val="20"/>
              </w:rPr>
              <w:t xml:space="preserve"># of UN entities that actively report on south-south cooperation in their annual reports </w:t>
            </w:r>
          </w:p>
          <w:p w14:paraId="40CDF4F6" w14:textId="77777777" w:rsidR="0021048B" w:rsidRPr="00530CB6" w:rsidRDefault="0021048B" w:rsidP="00E22D96">
            <w:pPr>
              <w:rPr>
                <w:rFonts w:ascii="Times New Roman" w:hAnsi="Times New Roman"/>
                <w:sz w:val="20"/>
                <w:szCs w:val="20"/>
              </w:rPr>
            </w:pPr>
          </w:p>
        </w:tc>
        <w:tc>
          <w:tcPr>
            <w:tcW w:w="5850" w:type="dxa"/>
          </w:tcPr>
          <w:p w14:paraId="383B65FF" w14:textId="22DF76FE" w:rsidR="008E30BB" w:rsidRPr="00530CB6" w:rsidRDefault="00C1688B" w:rsidP="008E30BB">
            <w:pPr>
              <w:pStyle w:val="Default"/>
              <w:numPr>
                <w:ilvl w:val="0"/>
                <w:numId w:val="9"/>
              </w:numPr>
              <w:rPr>
                <w:rFonts w:ascii="Times New Roman" w:hAnsi="Times New Roman"/>
                <w:sz w:val="20"/>
                <w:szCs w:val="20"/>
              </w:rPr>
            </w:pPr>
            <w:r w:rsidRPr="00530CB6">
              <w:rPr>
                <w:rFonts w:ascii="Times New Roman" w:hAnsi="Times New Roman"/>
                <w:sz w:val="20"/>
                <w:szCs w:val="20"/>
              </w:rPr>
              <w:t xml:space="preserve">UNDP developed a new </w:t>
            </w:r>
            <w:r w:rsidR="00101A76">
              <w:rPr>
                <w:rFonts w:ascii="Times New Roman" w:hAnsi="Times New Roman"/>
                <w:sz w:val="20"/>
                <w:szCs w:val="20"/>
              </w:rPr>
              <w:t>South-South and triangular cooperation</w:t>
            </w:r>
            <w:r w:rsidRPr="00530CB6">
              <w:rPr>
                <w:rFonts w:ascii="Times New Roman" w:hAnsi="Times New Roman"/>
                <w:sz w:val="20"/>
                <w:szCs w:val="20"/>
              </w:rPr>
              <w:t xml:space="preserve"> Strategy in 2015 following extensive consultations with Member States. </w:t>
            </w:r>
            <w:r w:rsidR="008E30BB" w:rsidRPr="00530CB6">
              <w:rPr>
                <w:rFonts w:ascii="Times New Roman" w:hAnsi="Times New Roman"/>
                <w:sz w:val="20"/>
                <w:szCs w:val="20"/>
              </w:rPr>
              <w:t>The direction of the strategy was well received and inputs and feedback</w:t>
            </w:r>
            <w:r w:rsidR="00C53D2E" w:rsidRPr="00530CB6">
              <w:rPr>
                <w:rFonts w:ascii="Times New Roman" w:hAnsi="Times New Roman"/>
                <w:sz w:val="20"/>
                <w:szCs w:val="20"/>
              </w:rPr>
              <w:t xml:space="preserve"> fe</w:t>
            </w:r>
            <w:r w:rsidR="008E30BB" w:rsidRPr="00530CB6">
              <w:rPr>
                <w:rFonts w:ascii="Times New Roman" w:hAnsi="Times New Roman"/>
                <w:sz w:val="20"/>
                <w:szCs w:val="20"/>
              </w:rPr>
              <w:t>d into the finalization of the strategy in June 2016.</w:t>
            </w:r>
          </w:p>
          <w:p w14:paraId="59C4BF4D" w14:textId="77777777" w:rsidR="000232E6" w:rsidRPr="00530CB6" w:rsidRDefault="00C1688B" w:rsidP="00101A76">
            <w:pPr>
              <w:pStyle w:val="Default"/>
              <w:numPr>
                <w:ilvl w:val="0"/>
                <w:numId w:val="9"/>
              </w:numPr>
              <w:rPr>
                <w:rFonts w:ascii="Times New Roman" w:hAnsi="Times New Roman"/>
                <w:sz w:val="20"/>
                <w:szCs w:val="20"/>
              </w:rPr>
            </w:pPr>
            <w:r w:rsidRPr="00530CB6">
              <w:rPr>
                <w:rFonts w:ascii="Times New Roman" w:hAnsi="Times New Roman"/>
                <w:sz w:val="20"/>
                <w:szCs w:val="20"/>
              </w:rPr>
              <w:t xml:space="preserve">Since 2014, country offices and </w:t>
            </w:r>
            <w:r w:rsidR="00101A76">
              <w:rPr>
                <w:rFonts w:ascii="Times New Roman" w:hAnsi="Times New Roman"/>
                <w:sz w:val="20"/>
                <w:szCs w:val="20"/>
              </w:rPr>
              <w:t>headquarter</w:t>
            </w:r>
            <w:r w:rsidR="00101A76" w:rsidRPr="00530CB6">
              <w:rPr>
                <w:rFonts w:ascii="Times New Roman" w:hAnsi="Times New Roman"/>
                <w:sz w:val="20"/>
                <w:szCs w:val="20"/>
              </w:rPr>
              <w:t xml:space="preserve"> </w:t>
            </w:r>
            <w:r w:rsidRPr="00530CB6">
              <w:rPr>
                <w:rFonts w:ascii="Times New Roman" w:hAnsi="Times New Roman"/>
                <w:sz w:val="20"/>
                <w:szCs w:val="20"/>
              </w:rPr>
              <w:t xml:space="preserve">units report on the use of </w:t>
            </w:r>
            <w:r w:rsidR="00101A76">
              <w:rPr>
                <w:rFonts w:ascii="Times New Roman" w:hAnsi="Times New Roman"/>
                <w:sz w:val="20"/>
                <w:szCs w:val="20"/>
              </w:rPr>
              <w:t>South-South and triangular cooperation</w:t>
            </w:r>
            <w:r w:rsidRPr="00530CB6">
              <w:rPr>
                <w:rFonts w:ascii="Times New Roman" w:hAnsi="Times New Roman"/>
                <w:sz w:val="20"/>
                <w:szCs w:val="20"/>
              </w:rPr>
              <w:t xml:space="preserve"> through the Result Oriented Annual Reporting system</w:t>
            </w:r>
            <w:r w:rsidR="00101A76">
              <w:rPr>
                <w:rFonts w:ascii="Times New Roman" w:hAnsi="Times New Roman"/>
                <w:sz w:val="20"/>
                <w:szCs w:val="20"/>
              </w:rPr>
              <w:t xml:space="preserve"> </w:t>
            </w:r>
            <w:r w:rsidRPr="00530CB6">
              <w:rPr>
                <w:rFonts w:ascii="Times New Roman" w:hAnsi="Times New Roman"/>
                <w:sz w:val="20"/>
                <w:szCs w:val="20"/>
              </w:rPr>
              <w:t xml:space="preserve">and IRRF. </w:t>
            </w:r>
          </w:p>
        </w:tc>
      </w:tr>
      <w:tr w:rsidR="000232E6" w:rsidRPr="008B3686" w14:paraId="3DEF16AA" w14:textId="77777777" w:rsidTr="00880567">
        <w:tc>
          <w:tcPr>
            <w:tcW w:w="4410" w:type="dxa"/>
          </w:tcPr>
          <w:p w14:paraId="523388D5" w14:textId="77777777" w:rsidR="000232E6" w:rsidRPr="008B3686" w:rsidRDefault="00063A17" w:rsidP="00063A17">
            <w:pPr>
              <w:pStyle w:val="ListParagraph"/>
              <w:numPr>
                <w:ilvl w:val="0"/>
                <w:numId w:val="4"/>
              </w:numPr>
              <w:rPr>
                <w:rFonts w:ascii="Times New Roman" w:hAnsi="Times New Roman"/>
                <w:b/>
                <w:sz w:val="20"/>
                <w:szCs w:val="20"/>
              </w:rPr>
            </w:pPr>
            <w:r w:rsidRPr="008B3686">
              <w:rPr>
                <w:rFonts w:ascii="Times New Roman" w:hAnsi="Times New Roman"/>
                <w:b/>
                <w:sz w:val="20"/>
                <w:szCs w:val="20"/>
              </w:rPr>
              <w:t>Gender Equality and Women’s Empowerment</w:t>
            </w:r>
            <w:r w:rsidR="005E620D" w:rsidRPr="008B3686">
              <w:rPr>
                <w:rFonts w:ascii="Times New Roman" w:hAnsi="Times New Roman"/>
                <w:b/>
                <w:sz w:val="20"/>
                <w:szCs w:val="20"/>
              </w:rPr>
              <w:t xml:space="preserve"> (OP80-92)</w:t>
            </w:r>
          </w:p>
        </w:tc>
        <w:tc>
          <w:tcPr>
            <w:tcW w:w="2700" w:type="dxa"/>
          </w:tcPr>
          <w:p w14:paraId="1E153D1B" w14:textId="77777777" w:rsidR="000232E6" w:rsidRPr="008B3686" w:rsidRDefault="00002801">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2FD5F39A" w14:textId="77777777" w:rsidR="000232E6" w:rsidRPr="008B3686" w:rsidRDefault="00002801">
            <w:pPr>
              <w:rPr>
                <w:rFonts w:ascii="Times New Roman" w:hAnsi="Times New Roman"/>
                <w:b/>
                <w:sz w:val="20"/>
                <w:szCs w:val="20"/>
              </w:rPr>
            </w:pPr>
            <w:r w:rsidRPr="008B3686">
              <w:rPr>
                <w:rFonts w:ascii="Times New Roman" w:hAnsi="Times New Roman"/>
                <w:b/>
                <w:sz w:val="20"/>
                <w:szCs w:val="20"/>
              </w:rPr>
              <w:t>Progress</w:t>
            </w:r>
          </w:p>
        </w:tc>
      </w:tr>
      <w:tr w:rsidR="00063A17" w:rsidRPr="00530CB6" w14:paraId="78DABED5" w14:textId="77777777" w:rsidTr="00880567">
        <w:tc>
          <w:tcPr>
            <w:tcW w:w="4410" w:type="dxa"/>
          </w:tcPr>
          <w:p w14:paraId="184548AF" w14:textId="77777777" w:rsidR="00E21E7C" w:rsidRDefault="0021048B" w:rsidP="00E21E7C">
            <w:pPr>
              <w:pStyle w:val="Default"/>
              <w:numPr>
                <w:ilvl w:val="0"/>
                <w:numId w:val="14"/>
              </w:numPr>
              <w:rPr>
                <w:rFonts w:ascii="Times New Roman" w:hAnsi="Times New Roman"/>
                <w:sz w:val="20"/>
                <w:szCs w:val="20"/>
              </w:rPr>
            </w:pPr>
            <w:r w:rsidRPr="00530CB6">
              <w:rPr>
                <w:rFonts w:ascii="Times New Roman" w:hAnsi="Times New Roman"/>
                <w:bCs/>
                <w:i/>
                <w:sz w:val="20"/>
                <w:szCs w:val="20"/>
              </w:rPr>
              <w:t>S</w:t>
            </w:r>
            <w:r w:rsidR="00B332B5" w:rsidRPr="00530CB6">
              <w:rPr>
                <w:rFonts w:ascii="Times New Roman" w:hAnsi="Times New Roman"/>
                <w:bCs/>
                <w:i/>
                <w:sz w:val="20"/>
                <w:szCs w:val="20"/>
              </w:rPr>
              <w:t>ubstantially increasing</w:t>
            </w:r>
            <w:r w:rsidR="00E21E7C" w:rsidRPr="00530CB6">
              <w:rPr>
                <w:rFonts w:ascii="Times New Roman" w:hAnsi="Times New Roman"/>
                <w:bCs/>
                <w:i/>
                <w:sz w:val="20"/>
                <w:szCs w:val="20"/>
              </w:rPr>
              <w:t xml:space="preserve"> the investment in and focus on outcomes and outputs relating to </w:t>
            </w:r>
            <w:r w:rsidR="00E21E7C" w:rsidRPr="00530CB6">
              <w:rPr>
                <w:rFonts w:ascii="Times New Roman" w:hAnsi="Times New Roman"/>
                <w:bCs/>
                <w:sz w:val="20"/>
                <w:szCs w:val="20"/>
              </w:rPr>
              <w:t xml:space="preserve">gender equality and the empowerment of women </w:t>
            </w:r>
            <w:r w:rsidR="00E21E7C" w:rsidRPr="00530CB6">
              <w:rPr>
                <w:rFonts w:ascii="Times New Roman" w:hAnsi="Times New Roman"/>
                <w:sz w:val="20"/>
                <w:szCs w:val="20"/>
              </w:rPr>
              <w:t>in United Nations de</w:t>
            </w:r>
            <w:r w:rsidR="00B957AA" w:rsidRPr="00530CB6">
              <w:rPr>
                <w:rFonts w:ascii="Times New Roman" w:hAnsi="Times New Roman"/>
                <w:sz w:val="20"/>
                <w:szCs w:val="20"/>
              </w:rPr>
              <w:t>velopment framework programmes</w:t>
            </w:r>
            <w:r w:rsidR="009A66C5" w:rsidRPr="00530CB6">
              <w:rPr>
                <w:rFonts w:ascii="Times New Roman" w:hAnsi="Times New Roman"/>
                <w:sz w:val="20"/>
                <w:szCs w:val="20"/>
              </w:rPr>
              <w:t xml:space="preserve"> (OP81)</w:t>
            </w:r>
            <w:r w:rsidR="001773B9">
              <w:rPr>
                <w:rFonts w:ascii="Times New Roman" w:hAnsi="Times New Roman"/>
                <w:sz w:val="20"/>
                <w:szCs w:val="20"/>
              </w:rPr>
              <w:t>.</w:t>
            </w:r>
          </w:p>
          <w:p w14:paraId="35021BA5" w14:textId="77777777" w:rsidR="00EE201B" w:rsidRPr="00530CB6" w:rsidRDefault="00EE201B" w:rsidP="00E21E7C">
            <w:pPr>
              <w:pStyle w:val="Default"/>
              <w:numPr>
                <w:ilvl w:val="0"/>
                <w:numId w:val="14"/>
              </w:numPr>
              <w:rPr>
                <w:rFonts w:ascii="Times New Roman" w:hAnsi="Times New Roman"/>
                <w:sz w:val="20"/>
                <w:szCs w:val="20"/>
              </w:rPr>
            </w:pPr>
            <w:r w:rsidRPr="00F61DF7">
              <w:rPr>
                <w:rFonts w:ascii="Times New Roman" w:hAnsi="Times New Roman"/>
                <w:i/>
                <w:sz w:val="20"/>
                <w:szCs w:val="20"/>
              </w:rPr>
              <w:t>Acquiring</w:t>
            </w:r>
            <w:r>
              <w:rPr>
                <w:rFonts w:ascii="Times New Roman" w:hAnsi="Times New Roman"/>
                <w:sz w:val="20"/>
                <w:szCs w:val="20"/>
              </w:rPr>
              <w:t xml:space="preserve"> sufficient technical expertise for gender mainstreaming in programme planning and implementation (OP88) </w:t>
            </w:r>
          </w:p>
          <w:p w14:paraId="2CEB5A04" w14:textId="77777777" w:rsidR="009A66C5" w:rsidRPr="00530CB6" w:rsidRDefault="0021048B" w:rsidP="00295CFF">
            <w:pPr>
              <w:pStyle w:val="Default"/>
              <w:numPr>
                <w:ilvl w:val="0"/>
                <w:numId w:val="14"/>
              </w:numPr>
              <w:rPr>
                <w:rFonts w:ascii="Times New Roman" w:hAnsi="Times New Roman"/>
                <w:sz w:val="20"/>
                <w:szCs w:val="20"/>
              </w:rPr>
            </w:pPr>
            <w:r w:rsidRPr="00530CB6">
              <w:rPr>
                <w:rFonts w:ascii="Times New Roman" w:hAnsi="Times New Roman"/>
                <w:bCs/>
                <w:i/>
                <w:sz w:val="20"/>
                <w:szCs w:val="20"/>
              </w:rPr>
              <w:t>P</w:t>
            </w:r>
            <w:r w:rsidR="00295CFF" w:rsidRPr="00530CB6">
              <w:rPr>
                <w:rFonts w:ascii="Times New Roman" w:hAnsi="Times New Roman"/>
                <w:bCs/>
                <w:i/>
                <w:sz w:val="20"/>
                <w:szCs w:val="20"/>
              </w:rPr>
              <w:t>roviding</w:t>
            </w:r>
            <w:r w:rsidR="009A66C5" w:rsidRPr="00530CB6">
              <w:rPr>
                <w:rFonts w:ascii="Times New Roman" w:hAnsi="Times New Roman"/>
                <w:bCs/>
                <w:i/>
                <w:sz w:val="20"/>
                <w:szCs w:val="20"/>
              </w:rPr>
              <w:t xml:space="preserve"> for more coherent, accurate and effective monitoring, evaluation and reporting on gender equality results</w:t>
            </w:r>
            <w:r w:rsidR="009A66C5" w:rsidRPr="00530CB6">
              <w:rPr>
                <w:rFonts w:ascii="Times New Roman" w:hAnsi="Times New Roman"/>
                <w:bCs/>
                <w:sz w:val="20"/>
                <w:szCs w:val="20"/>
              </w:rPr>
              <w:t xml:space="preserve"> and on the tracking of gender-related resource allocation and expenditure</w:t>
            </w:r>
            <w:r w:rsidR="009A66C5" w:rsidRPr="00530CB6">
              <w:rPr>
                <w:rFonts w:ascii="Times New Roman" w:hAnsi="Times New Roman"/>
                <w:sz w:val="20"/>
                <w:szCs w:val="20"/>
              </w:rPr>
              <w:t xml:space="preserve">, including through the promotion </w:t>
            </w:r>
            <w:r w:rsidR="009A66C5" w:rsidRPr="00530CB6">
              <w:rPr>
                <w:rFonts w:ascii="Times New Roman" w:hAnsi="Times New Roman"/>
                <w:sz w:val="20"/>
                <w:szCs w:val="20"/>
              </w:rPr>
              <w:lastRenderedPageBreak/>
              <w:t>of the use, where appropriate, of gender markers (OP89)</w:t>
            </w:r>
            <w:r w:rsidR="001773B9">
              <w:rPr>
                <w:rFonts w:ascii="Times New Roman" w:hAnsi="Times New Roman"/>
                <w:sz w:val="20"/>
                <w:szCs w:val="20"/>
              </w:rPr>
              <w:t>.</w:t>
            </w:r>
            <w:r w:rsidR="009A66C5" w:rsidRPr="00530CB6">
              <w:rPr>
                <w:rFonts w:ascii="Times New Roman" w:hAnsi="Times New Roman"/>
                <w:sz w:val="20"/>
                <w:szCs w:val="20"/>
              </w:rPr>
              <w:t xml:space="preserve"> </w:t>
            </w:r>
          </w:p>
          <w:p w14:paraId="5BE91375" w14:textId="77777777" w:rsidR="00B957AA" w:rsidRPr="00F61DF7" w:rsidRDefault="00B957AA" w:rsidP="00B957AA">
            <w:pPr>
              <w:pStyle w:val="Default"/>
              <w:numPr>
                <w:ilvl w:val="0"/>
                <w:numId w:val="14"/>
              </w:numPr>
              <w:rPr>
                <w:rFonts w:ascii="Times New Roman" w:hAnsi="Times New Roman"/>
                <w:sz w:val="20"/>
                <w:szCs w:val="20"/>
              </w:rPr>
            </w:pPr>
            <w:r w:rsidRPr="00530CB6">
              <w:rPr>
                <w:rFonts w:ascii="Times New Roman" w:hAnsi="Times New Roman"/>
                <w:bCs/>
                <w:i/>
                <w:sz w:val="20"/>
                <w:szCs w:val="20"/>
              </w:rPr>
              <w:t>F</w:t>
            </w:r>
            <w:r w:rsidR="00B332B5" w:rsidRPr="00530CB6">
              <w:rPr>
                <w:rFonts w:ascii="Times New Roman" w:hAnsi="Times New Roman"/>
                <w:bCs/>
                <w:i/>
                <w:sz w:val="20"/>
                <w:szCs w:val="20"/>
              </w:rPr>
              <w:t>urther improving</w:t>
            </w:r>
            <w:r w:rsidRPr="00530CB6">
              <w:rPr>
                <w:rFonts w:ascii="Times New Roman" w:hAnsi="Times New Roman"/>
                <w:bCs/>
                <w:i/>
                <w:sz w:val="20"/>
                <w:szCs w:val="20"/>
              </w:rPr>
              <w:t xml:space="preserve"> institut</w:t>
            </w:r>
            <w:r w:rsidR="00295CFF" w:rsidRPr="00530CB6">
              <w:rPr>
                <w:rFonts w:ascii="Times New Roman" w:hAnsi="Times New Roman"/>
                <w:bCs/>
                <w:i/>
                <w:sz w:val="20"/>
                <w:szCs w:val="20"/>
              </w:rPr>
              <w:t>ional accountability mechanisms (OP91)</w:t>
            </w:r>
            <w:r w:rsidR="001773B9">
              <w:rPr>
                <w:rFonts w:ascii="Times New Roman" w:hAnsi="Times New Roman"/>
                <w:bCs/>
                <w:i/>
                <w:sz w:val="20"/>
                <w:szCs w:val="20"/>
              </w:rPr>
              <w:t>.</w:t>
            </w:r>
          </w:p>
          <w:p w14:paraId="179C5EB3" w14:textId="77777777" w:rsidR="007B6CAD" w:rsidRPr="007B6CAD" w:rsidRDefault="007B6CAD" w:rsidP="00B957AA">
            <w:pPr>
              <w:pStyle w:val="Default"/>
              <w:numPr>
                <w:ilvl w:val="0"/>
                <w:numId w:val="14"/>
              </w:numPr>
              <w:rPr>
                <w:rFonts w:ascii="Times New Roman" w:hAnsi="Times New Roman"/>
                <w:sz w:val="20"/>
                <w:szCs w:val="20"/>
              </w:rPr>
            </w:pPr>
            <w:r w:rsidRPr="007B6CAD">
              <w:rPr>
                <w:rFonts w:ascii="Times New Roman" w:hAnsi="Times New Roman"/>
                <w:bCs/>
                <w:i/>
                <w:sz w:val="20"/>
                <w:szCs w:val="20"/>
              </w:rPr>
              <w:t xml:space="preserve">Continuing efforts to </w:t>
            </w:r>
            <w:r w:rsidRPr="00C0548A">
              <w:rPr>
                <w:rFonts w:ascii="Times New Roman" w:hAnsi="Times New Roman"/>
                <w:bCs/>
                <w:i/>
                <w:sz w:val="20"/>
                <w:szCs w:val="20"/>
              </w:rPr>
              <w:t>achieve gender balance</w:t>
            </w:r>
            <w:r w:rsidRPr="00F61DF7">
              <w:rPr>
                <w:rFonts w:ascii="Times New Roman" w:hAnsi="Times New Roman"/>
                <w:bCs/>
                <w:sz w:val="20"/>
                <w:szCs w:val="20"/>
              </w:rPr>
              <w:t xml:space="preserve"> in appointments within the United Nations System at the central, regional and country level (OP92)</w:t>
            </w:r>
          </w:p>
          <w:p w14:paraId="64E9C1C8" w14:textId="77777777" w:rsidR="00063A17" w:rsidRPr="00530CB6" w:rsidRDefault="00063A17" w:rsidP="00E21E7C">
            <w:pPr>
              <w:pStyle w:val="ListParagraph"/>
              <w:ind w:left="360"/>
              <w:rPr>
                <w:rFonts w:ascii="Times New Roman" w:hAnsi="Times New Roman"/>
                <w:sz w:val="20"/>
                <w:szCs w:val="20"/>
              </w:rPr>
            </w:pPr>
          </w:p>
        </w:tc>
        <w:tc>
          <w:tcPr>
            <w:tcW w:w="2700" w:type="dxa"/>
          </w:tcPr>
          <w:p w14:paraId="76BBFDCE" w14:textId="77777777" w:rsidR="001C23C0" w:rsidRPr="00530CB6" w:rsidRDefault="001C23C0" w:rsidP="001C23C0">
            <w:pPr>
              <w:pStyle w:val="Default"/>
              <w:rPr>
                <w:rFonts w:ascii="Times New Roman" w:hAnsi="Times New Roman"/>
                <w:sz w:val="20"/>
                <w:szCs w:val="20"/>
              </w:rPr>
            </w:pPr>
            <w:r w:rsidRPr="00530CB6">
              <w:rPr>
                <w:rFonts w:ascii="Times New Roman" w:hAnsi="Times New Roman"/>
                <w:sz w:val="20"/>
                <w:szCs w:val="20"/>
              </w:rPr>
              <w:lastRenderedPageBreak/>
              <w:t xml:space="preserve"># of UN entities that track and report on allocations and expenditures using gender markers </w:t>
            </w:r>
          </w:p>
          <w:p w14:paraId="2504B41C" w14:textId="77777777" w:rsidR="00063A17" w:rsidRPr="00530CB6" w:rsidRDefault="00063A17">
            <w:pPr>
              <w:rPr>
                <w:rFonts w:ascii="Times New Roman" w:hAnsi="Times New Roman"/>
                <w:sz w:val="20"/>
                <w:szCs w:val="20"/>
              </w:rPr>
            </w:pPr>
          </w:p>
        </w:tc>
        <w:tc>
          <w:tcPr>
            <w:tcW w:w="5850" w:type="dxa"/>
          </w:tcPr>
          <w:p w14:paraId="4A93D7AE" w14:textId="0CE4407E" w:rsidR="00AC7993" w:rsidRPr="00530CB6" w:rsidRDefault="00AC7993" w:rsidP="00E21E7C">
            <w:pPr>
              <w:pStyle w:val="Default"/>
              <w:numPr>
                <w:ilvl w:val="0"/>
                <w:numId w:val="14"/>
              </w:numPr>
              <w:rPr>
                <w:rFonts w:ascii="Times New Roman" w:hAnsi="Times New Roman"/>
                <w:sz w:val="20"/>
                <w:szCs w:val="20"/>
              </w:rPr>
            </w:pPr>
            <w:r>
              <w:rPr>
                <w:rFonts w:ascii="Times New Roman" w:hAnsi="Times New Roman"/>
                <w:sz w:val="20"/>
                <w:szCs w:val="20"/>
              </w:rPr>
              <w:t>In 2016</w:t>
            </w:r>
            <w:r w:rsidR="00C80C5A">
              <w:rPr>
                <w:rFonts w:ascii="Times New Roman" w:hAnsi="Times New Roman"/>
                <w:sz w:val="20"/>
                <w:szCs w:val="20"/>
              </w:rPr>
              <w:t xml:space="preserve">, </w:t>
            </w:r>
            <w:r w:rsidR="00590EBA">
              <w:rPr>
                <w:rFonts w:ascii="Times New Roman" w:hAnsi="Times New Roman"/>
                <w:sz w:val="20"/>
                <w:szCs w:val="20"/>
              </w:rPr>
              <w:t xml:space="preserve">there </w:t>
            </w:r>
            <w:r w:rsidR="00C80C5A">
              <w:rPr>
                <w:rFonts w:ascii="Times New Roman" w:hAnsi="Times New Roman"/>
                <w:sz w:val="20"/>
                <w:szCs w:val="20"/>
              </w:rPr>
              <w:t>w</w:t>
            </w:r>
            <w:r w:rsidR="00590EBA">
              <w:rPr>
                <w:rFonts w:ascii="Times New Roman" w:hAnsi="Times New Roman"/>
                <w:sz w:val="20"/>
                <w:szCs w:val="20"/>
              </w:rPr>
              <w:t>ere 20 gender advisors at UNDP R</w:t>
            </w:r>
            <w:r w:rsidR="00C80C5A">
              <w:rPr>
                <w:rFonts w:ascii="Times New Roman" w:hAnsi="Times New Roman"/>
                <w:sz w:val="20"/>
                <w:szCs w:val="20"/>
              </w:rPr>
              <w:t>egional Hubs. T</w:t>
            </w:r>
            <w:r>
              <w:rPr>
                <w:rFonts w:ascii="Times New Roman" w:hAnsi="Times New Roman"/>
                <w:sz w:val="20"/>
                <w:szCs w:val="20"/>
              </w:rPr>
              <w:t xml:space="preserve">here were </w:t>
            </w:r>
            <w:r w:rsidR="00C80C5A">
              <w:rPr>
                <w:rFonts w:ascii="Times New Roman" w:hAnsi="Times New Roman"/>
                <w:sz w:val="20"/>
                <w:szCs w:val="20"/>
              </w:rPr>
              <w:t xml:space="preserve">also </w:t>
            </w:r>
            <w:r>
              <w:rPr>
                <w:rFonts w:ascii="Times New Roman" w:hAnsi="Times New Roman"/>
                <w:sz w:val="20"/>
                <w:szCs w:val="20"/>
              </w:rPr>
              <w:t>40 national and international gender advisors</w:t>
            </w:r>
            <w:r w:rsidR="00AF5E40">
              <w:rPr>
                <w:rFonts w:ascii="Times New Roman" w:hAnsi="Times New Roman"/>
                <w:sz w:val="20"/>
                <w:szCs w:val="20"/>
              </w:rPr>
              <w:t xml:space="preserve"> (P4 and abo</w:t>
            </w:r>
            <w:r w:rsidR="000F5461">
              <w:rPr>
                <w:rFonts w:ascii="Times New Roman" w:hAnsi="Times New Roman"/>
                <w:sz w:val="20"/>
                <w:szCs w:val="20"/>
              </w:rPr>
              <w:t xml:space="preserve">ve) in country offices. 66% </w:t>
            </w:r>
            <w:r w:rsidR="003944F6">
              <w:rPr>
                <w:rFonts w:ascii="Times New Roman" w:hAnsi="Times New Roman"/>
                <w:sz w:val="20"/>
                <w:szCs w:val="20"/>
              </w:rPr>
              <w:t>of country</w:t>
            </w:r>
            <w:r w:rsidR="000F5461">
              <w:rPr>
                <w:rFonts w:ascii="Times New Roman" w:hAnsi="Times New Roman"/>
                <w:sz w:val="20"/>
                <w:szCs w:val="20"/>
              </w:rPr>
              <w:t xml:space="preserve"> offices </w:t>
            </w:r>
            <w:r w:rsidR="00DF1540">
              <w:rPr>
                <w:rFonts w:ascii="Times New Roman" w:hAnsi="Times New Roman"/>
                <w:sz w:val="20"/>
                <w:szCs w:val="20"/>
              </w:rPr>
              <w:t>(88 UNDP C</w:t>
            </w:r>
            <w:r w:rsidR="003944F6">
              <w:rPr>
                <w:rFonts w:ascii="Times New Roman" w:hAnsi="Times New Roman"/>
                <w:sz w:val="20"/>
                <w:szCs w:val="20"/>
              </w:rPr>
              <w:t>O</w:t>
            </w:r>
            <w:r w:rsidR="00DF1540">
              <w:rPr>
                <w:rFonts w:ascii="Times New Roman" w:hAnsi="Times New Roman"/>
                <w:sz w:val="20"/>
                <w:szCs w:val="20"/>
              </w:rPr>
              <w:t xml:space="preserve">s) had multidisciplinary gender focal teams led by senior management. </w:t>
            </w:r>
          </w:p>
          <w:p w14:paraId="24C607C1" w14:textId="77777777" w:rsidR="00295CFF" w:rsidRPr="00530CB6" w:rsidRDefault="00295CFF" w:rsidP="001C23C0">
            <w:pPr>
              <w:pStyle w:val="Default"/>
              <w:numPr>
                <w:ilvl w:val="0"/>
                <w:numId w:val="14"/>
              </w:numPr>
              <w:rPr>
                <w:rFonts w:ascii="Times New Roman" w:hAnsi="Times New Roman"/>
                <w:sz w:val="20"/>
                <w:szCs w:val="20"/>
              </w:rPr>
            </w:pPr>
            <w:r w:rsidRPr="00530CB6">
              <w:rPr>
                <w:rFonts w:ascii="Times New Roman" w:hAnsi="Times New Roman"/>
                <w:sz w:val="20"/>
                <w:szCs w:val="20"/>
              </w:rPr>
              <w:t xml:space="preserve">UNDP has used a gender marker since 2009. </w:t>
            </w:r>
            <w:r w:rsidR="001C23C0" w:rsidRPr="00530CB6">
              <w:rPr>
                <w:rFonts w:ascii="Times New Roman" w:hAnsi="Times New Roman"/>
                <w:sz w:val="20"/>
                <w:szCs w:val="20"/>
              </w:rPr>
              <w:t xml:space="preserve">Gender equality indicators are part of the Integrated Results </w:t>
            </w:r>
            <w:r w:rsidR="00101A76">
              <w:rPr>
                <w:rFonts w:ascii="Times New Roman" w:hAnsi="Times New Roman"/>
                <w:sz w:val="20"/>
                <w:szCs w:val="20"/>
              </w:rPr>
              <w:t>and</w:t>
            </w:r>
            <w:r w:rsidR="00101A76" w:rsidRPr="00530CB6">
              <w:rPr>
                <w:rFonts w:ascii="Times New Roman" w:hAnsi="Times New Roman"/>
                <w:sz w:val="20"/>
                <w:szCs w:val="20"/>
              </w:rPr>
              <w:t xml:space="preserve"> </w:t>
            </w:r>
            <w:r w:rsidR="001C23C0" w:rsidRPr="00530CB6">
              <w:rPr>
                <w:rFonts w:ascii="Times New Roman" w:hAnsi="Times New Roman"/>
                <w:sz w:val="20"/>
                <w:szCs w:val="20"/>
              </w:rPr>
              <w:t xml:space="preserve">Resources Framework. </w:t>
            </w:r>
          </w:p>
          <w:p w14:paraId="5C242CE9" w14:textId="77777777" w:rsidR="00313419" w:rsidRDefault="00313419" w:rsidP="00313419">
            <w:pPr>
              <w:pStyle w:val="Default"/>
              <w:numPr>
                <w:ilvl w:val="0"/>
                <w:numId w:val="14"/>
              </w:numPr>
              <w:rPr>
                <w:rFonts w:ascii="Times New Roman" w:hAnsi="Times New Roman"/>
                <w:sz w:val="20"/>
                <w:szCs w:val="20"/>
              </w:rPr>
            </w:pPr>
            <w:r w:rsidRPr="00530CB6">
              <w:rPr>
                <w:rFonts w:ascii="Times New Roman" w:hAnsi="Times New Roman"/>
                <w:sz w:val="20"/>
                <w:szCs w:val="20"/>
              </w:rPr>
              <w:t xml:space="preserve">The Gender Steering and Implementation Committee (GSIC), chaired by the Associate Administrator, is the principal corporate accountability mechanism </w:t>
            </w:r>
            <w:r w:rsidR="00067D83">
              <w:rPr>
                <w:rFonts w:ascii="Times New Roman" w:hAnsi="Times New Roman"/>
                <w:sz w:val="20"/>
                <w:szCs w:val="20"/>
              </w:rPr>
              <w:t>for</w:t>
            </w:r>
            <w:r w:rsidR="00067D83" w:rsidRPr="00530CB6">
              <w:rPr>
                <w:rFonts w:ascii="Times New Roman" w:hAnsi="Times New Roman"/>
                <w:sz w:val="20"/>
                <w:szCs w:val="20"/>
              </w:rPr>
              <w:t xml:space="preserve"> </w:t>
            </w:r>
            <w:r w:rsidRPr="00530CB6">
              <w:rPr>
                <w:rFonts w:ascii="Times New Roman" w:hAnsi="Times New Roman"/>
                <w:sz w:val="20"/>
                <w:szCs w:val="20"/>
              </w:rPr>
              <w:t xml:space="preserve">ensuring that UNDP advances gender equality and women’s empowerment </w:t>
            </w:r>
            <w:r w:rsidR="00067D83">
              <w:rPr>
                <w:rFonts w:ascii="Times New Roman" w:hAnsi="Times New Roman"/>
                <w:sz w:val="20"/>
                <w:szCs w:val="20"/>
              </w:rPr>
              <w:t>across</w:t>
            </w:r>
            <w:r w:rsidR="00067D83" w:rsidRPr="00530CB6">
              <w:rPr>
                <w:rFonts w:ascii="Times New Roman" w:hAnsi="Times New Roman"/>
                <w:sz w:val="20"/>
                <w:szCs w:val="20"/>
              </w:rPr>
              <w:t xml:space="preserve"> </w:t>
            </w:r>
            <w:r w:rsidRPr="00530CB6">
              <w:rPr>
                <w:rFonts w:ascii="Times New Roman" w:hAnsi="Times New Roman"/>
                <w:sz w:val="20"/>
                <w:szCs w:val="20"/>
              </w:rPr>
              <w:t>all its work. Reporting t</w:t>
            </w:r>
            <w:r w:rsidR="00A83C3B" w:rsidRPr="00530CB6">
              <w:rPr>
                <w:rFonts w:ascii="Times New Roman" w:hAnsi="Times New Roman"/>
                <w:sz w:val="20"/>
                <w:szCs w:val="20"/>
              </w:rPr>
              <w:t xml:space="preserve">o the GSIC is mandatory. </w:t>
            </w:r>
          </w:p>
          <w:p w14:paraId="72DBD084" w14:textId="37FD8CD1" w:rsidR="007B6CAD" w:rsidRPr="00530CB6" w:rsidRDefault="005C36FF" w:rsidP="00313419">
            <w:pPr>
              <w:pStyle w:val="Default"/>
              <w:numPr>
                <w:ilvl w:val="0"/>
                <w:numId w:val="14"/>
              </w:numPr>
              <w:rPr>
                <w:rFonts w:ascii="Times New Roman" w:hAnsi="Times New Roman"/>
                <w:sz w:val="20"/>
                <w:szCs w:val="20"/>
              </w:rPr>
            </w:pPr>
            <w:r>
              <w:rPr>
                <w:rFonts w:ascii="Times New Roman" w:hAnsi="Times New Roman"/>
                <w:sz w:val="20"/>
                <w:szCs w:val="20"/>
              </w:rPr>
              <w:lastRenderedPageBreak/>
              <w:t>UNDP continues to have a gender-balanced workforce. S</w:t>
            </w:r>
            <w:r w:rsidR="00C22824">
              <w:rPr>
                <w:rFonts w:ascii="Times New Roman" w:hAnsi="Times New Roman"/>
                <w:sz w:val="20"/>
                <w:szCs w:val="20"/>
              </w:rPr>
              <w:t>ome challenges persist at the P5</w:t>
            </w:r>
            <w:r>
              <w:rPr>
                <w:rFonts w:ascii="Times New Roman" w:hAnsi="Times New Roman"/>
                <w:sz w:val="20"/>
                <w:szCs w:val="20"/>
              </w:rPr>
              <w:t xml:space="preserve"> level and higher levels to get women into senior management. </w:t>
            </w:r>
            <w:r w:rsidR="006C6207">
              <w:rPr>
                <w:rFonts w:ascii="Times New Roman" w:hAnsi="Times New Roman"/>
                <w:sz w:val="20"/>
                <w:szCs w:val="20"/>
              </w:rPr>
              <w:t xml:space="preserve">To further advance on this, </w:t>
            </w:r>
            <w:r w:rsidR="00BF63EB">
              <w:rPr>
                <w:rFonts w:ascii="Times New Roman" w:hAnsi="Times New Roman"/>
                <w:sz w:val="20"/>
                <w:szCs w:val="20"/>
              </w:rPr>
              <w:t>UNDP continues</w:t>
            </w:r>
            <w:r w:rsidR="00F76B4C">
              <w:rPr>
                <w:rFonts w:ascii="Times New Roman" w:hAnsi="Times New Roman"/>
                <w:sz w:val="20"/>
                <w:szCs w:val="20"/>
              </w:rPr>
              <w:t xml:space="preserve"> to implement its </w:t>
            </w:r>
            <w:r w:rsidR="00C0548A">
              <w:rPr>
                <w:rFonts w:ascii="Times New Roman" w:hAnsi="Times New Roman"/>
                <w:sz w:val="20"/>
                <w:szCs w:val="20"/>
              </w:rPr>
              <w:t>gender parity strategy</w:t>
            </w:r>
            <w:r w:rsidR="00F76B4C">
              <w:rPr>
                <w:rFonts w:ascii="Times New Roman" w:hAnsi="Times New Roman"/>
                <w:sz w:val="20"/>
                <w:szCs w:val="20"/>
              </w:rPr>
              <w:t xml:space="preserve">. </w:t>
            </w:r>
            <w:r w:rsidR="00C0548A">
              <w:rPr>
                <w:rFonts w:ascii="Times New Roman" w:hAnsi="Times New Roman"/>
                <w:sz w:val="20"/>
                <w:szCs w:val="20"/>
              </w:rPr>
              <w:t xml:space="preserve">Considerable efforts were made to attract qualified </w:t>
            </w:r>
            <w:r w:rsidR="00D52ABA">
              <w:rPr>
                <w:rFonts w:ascii="Times New Roman" w:hAnsi="Times New Roman"/>
                <w:sz w:val="20"/>
                <w:szCs w:val="20"/>
              </w:rPr>
              <w:t>women into the Resident Coordinator, Country Director and Deputy Resident Representative</w:t>
            </w:r>
            <w:r>
              <w:rPr>
                <w:rFonts w:ascii="Times New Roman" w:hAnsi="Times New Roman"/>
                <w:sz w:val="20"/>
                <w:szCs w:val="20"/>
              </w:rPr>
              <w:t xml:space="preserve"> </w:t>
            </w:r>
            <w:r w:rsidR="00DD1C2E">
              <w:rPr>
                <w:rFonts w:ascii="Times New Roman" w:hAnsi="Times New Roman"/>
                <w:sz w:val="20"/>
                <w:szCs w:val="20"/>
              </w:rPr>
              <w:t>candidacy</w:t>
            </w:r>
            <w:r w:rsidR="00D52ABA">
              <w:rPr>
                <w:rFonts w:ascii="Times New Roman" w:hAnsi="Times New Roman"/>
                <w:sz w:val="20"/>
                <w:szCs w:val="20"/>
              </w:rPr>
              <w:t xml:space="preserve"> </w:t>
            </w:r>
            <w:r>
              <w:rPr>
                <w:rFonts w:ascii="Times New Roman" w:hAnsi="Times New Roman"/>
                <w:sz w:val="20"/>
                <w:szCs w:val="20"/>
              </w:rPr>
              <w:t>p</w:t>
            </w:r>
            <w:r w:rsidR="00D52ABA">
              <w:rPr>
                <w:rFonts w:ascii="Times New Roman" w:hAnsi="Times New Roman"/>
                <w:sz w:val="20"/>
                <w:szCs w:val="20"/>
              </w:rPr>
              <w:t xml:space="preserve">ools. </w:t>
            </w:r>
            <w:r w:rsidR="00F76B4C" w:rsidRPr="00FD7971">
              <w:rPr>
                <w:rFonts w:ascii="Times New Roman" w:hAnsi="Times New Roman"/>
                <w:sz w:val="20"/>
                <w:szCs w:val="20"/>
              </w:rPr>
              <w:t>By October 2016, 43% of Resident Coordinators were women</w:t>
            </w:r>
            <w:r w:rsidR="00F76B4C">
              <w:rPr>
                <w:rFonts w:ascii="Times New Roman" w:hAnsi="Times New Roman"/>
                <w:sz w:val="20"/>
                <w:szCs w:val="20"/>
              </w:rPr>
              <w:t xml:space="preserve"> </w:t>
            </w:r>
          </w:p>
          <w:p w14:paraId="75DB4B0A" w14:textId="77777777" w:rsidR="00063A17" w:rsidRPr="00530CB6" w:rsidRDefault="00063A17" w:rsidP="00B957AA">
            <w:pPr>
              <w:pStyle w:val="ListParagraph"/>
              <w:ind w:left="360"/>
              <w:rPr>
                <w:rFonts w:ascii="Times New Roman" w:hAnsi="Times New Roman"/>
                <w:sz w:val="20"/>
                <w:szCs w:val="20"/>
              </w:rPr>
            </w:pPr>
          </w:p>
        </w:tc>
      </w:tr>
      <w:tr w:rsidR="00063A17" w:rsidRPr="008B3686" w14:paraId="1507CF60" w14:textId="77777777" w:rsidTr="00880567">
        <w:tc>
          <w:tcPr>
            <w:tcW w:w="4410" w:type="dxa"/>
          </w:tcPr>
          <w:p w14:paraId="7AD7E97C" w14:textId="77777777" w:rsidR="00063A17" w:rsidRPr="008B3686" w:rsidRDefault="00063A17" w:rsidP="00063A17">
            <w:pPr>
              <w:pStyle w:val="ListParagraph"/>
              <w:numPr>
                <w:ilvl w:val="0"/>
                <w:numId w:val="4"/>
              </w:numPr>
              <w:rPr>
                <w:rFonts w:ascii="Times New Roman" w:hAnsi="Times New Roman"/>
                <w:b/>
                <w:sz w:val="20"/>
                <w:szCs w:val="20"/>
              </w:rPr>
            </w:pPr>
            <w:r w:rsidRPr="008B3686">
              <w:rPr>
                <w:rFonts w:ascii="Times New Roman" w:hAnsi="Times New Roman"/>
                <w:b/>
                <w:sz w:val="20"/>
                <w:szCs w:val="20"/>
              </w:rPr>
              <w:lastRenderedPageBreak/>
              <w:t>Transition from Relief to Development</w:t>
            </w:r>
            <w:r w:rsidR="005E620D" w:rsidRPr="008B3686">
              <w:rPr>
                <w:rFonts w:ascii="Times New Roman" w:hAnsi="Times New Roman"/>
                <w:b/>
                <w:sz w:val="20"/>
                <w:szCs w:val="20"/>
              </w:rPr>
              <w:t xml:space="preserve"> (OP93-</w:t>
            </w:r>
            <w:r w:rsidR="00695CE1" w:rsidRPr="008B3686">
              <w:rPr>
                <w:rFonts w:ascii="Times New Roman" w:hAnsi="Times New Roman"/>
                <w:b/>
                <w:sz w:val="20"/>
                <w:szCs w:val="20"/>
              </w:rPr>
              <w:t>112)</w:t>
            </w:r>
          </w:p>
        </w:tc>
        <w:tc>
          <w:tcPr>
            <w:tcW w:w="2700" w:type="dxa"/>
          </w:tcPr>
          <w:p w14:paraId="482540D8" w14:textId="77777777" w:rsidR="00063A17" w:rsidRPr="008B3686" w:rsidRDefault="00002801">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58356F9D" w14:textId="77777777" w:rsidR="00063A17" w:rsidRPr="008B3686" w:rsidRDefault="00002801">
            <w:pPr>
              <w:rPr>
                <w:rFonts w:ascii="Times New Roman" w:hAnsi="Times New Roman"/>
                <w:b/>
                <w:sz w:val="20"/>
                <w:szCs w:val="20"/>
              </w:rPr>
            </w:pPr>
            <w:r w:rsidRPr="008B3686">
              <w:rPr>
                <w:rFonts w:ascii="Times New Roman" w:hAnsi="Times New Roman"/>
                <w:b/>
                <w:sz w:val="20"/>
                <w:szCs w:val="20"/>
              </w:rPr>
              <w:t>Progress</w:t>
            </w:r>
          </w:p>
        </w:tc>
      </w:tr>
      <w:tr w:rsidR="00063A17" w:rsidRPr="00530CB6" w14:paraId="1416C62B" w14:textId="77777777" w:rsidTr="00DC4E65">
        <w:trPr>
          <w:trHeight w:val="620"/>
        </w:trPr>
        <w:tc>
          <w:tcPr>
            <w:tcW w:w="4410" w:type="dxa"/>
            <w:tcBorders>
              <w:bottom w:val="single" w:sz="4" w:space="0" w:color="auto"/>
            </w:tcBorders>
          </w:tcPr>
          <w:p w14:paraId="67AB5A95" w14:textId="77777777" w:rsidR="00063A17" w:rsidRPr="00530CB6" w:rsidRDefault="009375FD" w:rsidP="009375FD">
            <w:pPr>
              <w:pStyle w:val="ListParagraph"/>
              <w:numPr>
                <w:ilvl w:val="0"/>
                <w:numId w:val="10"/>
              </w:numPr>
              <w:rPr>
                <w:rFonts w:ascii="Times New Roman" w:hAnsi="Times New Roman"/>
                <w:sz w:val="20"/>
                <w:szCs w:val="20"/>
              </w:rPr>
            </w:pPr>
            <w:r w:rsidRPr="00530CB6">
              <w:rPr>
                <w:rFonts w:ascii="Times New Roman" w:hAnsi="Times New Roman"/>
                <w:i/>
                <w:sz w:val="20"/>
                <w:szCs w:val="20"/>
              </w:rPr>
              <w:t>Respond</w:t>
            </w:r>
            <w:r w:rsidR="005610AC" w:rsidRPr="00530CB6">
              <w:rPr>
                <w:rFonts w:ascii="Times New Roman" w:hAnsi="Times New Roman"/>
                <w:i/>
                <w:sz w:val="20"/>
                <w:szCs w:val="20"/>
              </w:rPr>
              <w:t>ing</w:t>
            </w:r>
            <w:r w:rsidRPr="00530CB6">
              <w:rPr>
                <w:rFonts w:ascii="Times New Roman" w:hAnsi="Times New Roman"/>
                <w:i/>
                <w:sz w:val="20"/>
                <w:szCs w:val="20"/>
              </w:rPr>
              <w:t xml:space="preserve"> to requests from countries affected by disasters or conflicts</w:t>
            </w:r>
            <w:r w:rsidRPr="00530CB6">
              <w:rPr>
                <w:rFonts w:ascii="Times New Roman" w:hAnsi="Times New Roman"/>
                <w:sz w:val="20"/>
                <w:szCs w:val="20"/>
              </w:rPr>
              <w:t xml:space="preserve"> that are in transition from </w:t>
            </w:r>
            <w:r w:rsidR="007206FD" w:rsidRPr="00530CB6">
              <w:rPr>
                <w:rFonts w:ascii="Times New Roman" w:hAnsi="Times New Roman"/>
                <w:sz w:val="20"/>
                <w:szCs w:val="20"/>
              </w:rPr>
              <w:t>relief</w:t>
            </w:r>
            <w:r w:rsidRPr="00530CB6">
              <w:rPr>
                <w:rFonts w:ascii="Times New Roman" w:hAnsi="Times New Roman"/>
                <w:sz w:val="20"/>
                <w:szCs w:val="20"/>
              </w:rPr>
              <w:t xml:space="preserve"> to development to support their national </w:t>
            </w:r>
            <w:r w:rsidR="007206FD" w:rsidRPr="00530CB6">
              <w:rPr>
                <w:rFonts w:ascii="Times New Roman" w:hAnsi="Times New Roman"/>
                <w:sz w:val="20"/>
                <w:szCs w:val="20"/>
              </w:rPr>
              <w:t>priories</w:t>
            </w:r>
            <w:r w:rsidRPr="00530CB6">
              <w:rPr>
                <w:rFonts w:ascii="Times New Roman" w:hAnsi="Times New Roman"/>
                <w:sz w:val="20"/>
                <w:szCs w:val="20"/>
              </w:rPr>
              <w:t>, while recognizing the differences in these situations</w:t>
            </w:r>
            <w:r w:rsidR="00484827" w:rsidRPr="00530CB6">
              <w:rPr>
                <w:rFonts w:ascii="Times New Roman" w:hAnsi="Times New Roman"/>
                <w:sz w:val="20"/>
                <w:szCs w:val="20"/>
              </w:rPr>
              <w:t xml:space="preserve"> (OP94)</w:t>
            </w:r>
            <w:r w:rsidRPr="00530CB6">
              <w:rPr>
                <w:rFonts w:ascii="Times New Roman" w:hAnsi="Times New Roman"/>
                <w:sz w:val="20"/>
                <w:szCs w:val="20"/>
              </w:rPr>
              <w:t>.</w:t>
            </w:r>
          </w:p>
          <w:p w14:paraId="33BEF5A0" w14:textId="77777777" w:rsidR="0088118F" w:rsidRPr="00530CB6" w:rsidRDefault="009F273E" w:rsidP="0088118F">
            <w:pPr>
              <w:pStyle w:val="Default"/>
              <w:numPr>
                <w:ilvl w:val="0"/>
                <w:numId w:val="10"/>
              </w:numPr>
              <w:rPr>
                <w:rFonts w:ascii="Times New Roman" w:hAnsi="Times New Roman"/>
                <w:sz w:val="20"/>
                <w:szCs w:val="20"/>
              </w:rPr>
            </w:pPr>
            <w:r>
              <w:rPr>
                <w:rFonts w:ascii="Times New Roman" w:hAnsi="Times New Roman"/>
                <w:bCs/>
                <w:i/>
                <w:sz w:val="20"/>
                <w:szCs w:val="20"/>
              </w:rPr>
              <w:t>I</w:t>
            </w:r>
            <w:r w:rsidR="005610AC" w:rsidRPr="00530CB6">
              <w:rPr>
                <w:rFonts w:ascii="Times New Roman" w:hAnsi="Times New Roman"/>
                <w:bCs/>
                <w:i/>
                <w:sz w:val="20"/>
                <w:szCs w:val="20"/>
              </w:rPr>
              <w:t>ntegrating</w:t>
            </w:r>
            <w:r w:rsidR="0088118F" w:rsidRPr="00530CB6">
              <w:rPr>
                <w:rFonts w:ascii="Times New Roman" w:hAnsi="Times New Roman"/>
                <w:bCs/>
                <w:i/>
                <w:sz w:val="20"/>
                <w:szCs w:val="20"/>
              </w:rPr>
              <w:t xml:space="preserve"> disaster risk reduction into their respective activities</w:t>
            </w:r>
            <w:r w:rsidR="0088118F" w:rsidRPr="00530CB6">
              <w:rPr>
                <w:rFonts w:ascii="Times New Roman" w:hAnsi="Times New Roman"/>
                <w:i/>
                <w:sz w:val="20"/>
                <w:szCs w:val="20"/>
              </w:rPr>
              <w:t>,</w:t>
            </w:r>
            <w:r w:rsidR="0088118F" w:rsidRPr="00530CB6">
              <w:rPr>
                <w:rFonts w:ascii="Times New Roman" w:hAnsi="Times New Roman"/>
                <w:sz w:val="20"/>
                <w:szCs w:val="20"/>
              </w:rPr>
              <w:t xml:space="preserve"> including measures aimed at restoring and improving services and infrastructure as part of the early recovery and transition phase</w:t>
            </w:r>
            <w:r w:rsidR="00D61162" w:rsidRPr="00530CB6">
              <w:rPr>
                <w:rFonts w:ascii="Times New Roman" w:hAnsi="Times New Roman"/>
                <w:sz w:val="20"/>
                <w:szCs w:val="20"/>
              </w:rPr>
              <w:t xml:space="preserve"> (OP108)</w:t>
            </w:r>
            <w:r w:rsidR="001773B9">
              <w:rPr>
                <w:rFonts w:ascii="Times New Roman" w:hAnsi="Times New Roman"/>
                <w:sz w:val="20"/>
                <w:szCs w:val="20"/>
              </w:rPr>
              <w:t>.</w:t>
            </w:r>
            <w:r w:rsidR="0088118F" w:rsidRPr="00530CB6">
              <w:rPr>
                <w:rFonts w:ascii="Times New Roman" w:hAnsi="Times New Roman"/>
                <w:sz w:val="20"/>
                <w:szCs w:val="20"/>
              </w:rPr>
              <w:t xml:space="preserve"> </w:t>
            </w:r>
          </w:p>
          <w:p w14:paraId="3FE1B964" w14:textId="77777777" w:rsidR="003B0CCC" w:rsidRPr="00530CB6" w:rsidRDefault="003B0CCC" w:rsidP="003B0CCC">
            <w:pPr>
              <w:pStyle w:val="Default"/>
              <w:numPr>
                <w:ilvl w:val="0"/>
                <w:numId w:val="10"/>
              </w:numPr>
              <w:rPr>
                <w:rFonts w:ascii="Times New Roman" w:hAnsi="Times New Roman"/>
                <w:sz w:val="20"/>
                <w:szCs w:val="20"/>
              </w:rPr>
            </w:pPr>
            <w:r w:rsidRPr="00530CB6">
              <w:rPr>
                <w:rFonts w:ascii="Times New Roman" w:hAnsi="Times New Roman"/>
                <w:bCs/>
                <w:sz w:val="20"/>
                <w:szCs w:val="20"/>
              </w:rPr>
              <w:t>E</w:t>
            </w:r>
            <w:r w:rsidR="005610AC" w:rsidRPr="00530CB6">
              <w:rPr>
                <w:rFonts w:ascii="Times New Roman" w:hAnsi="Times New Roman"/>
                <w:bCs/>
                <w:sz w:val="20"/>
                <w:szCs w:val="20"/>
              </w:rPr>
              <w:t>nsuring</w:t>
            </w:r>
            <w:r w:rsidRPr="00530CB6">
              <w:rPr>
                <w:rFonts w:ascii="Times New Roman" w:hAnsi="Times New Roman"/>
                <w:bCs/>
                <w:sz w:val="20"/>
                <w:szCs w:val="20"/>
              </w:rPr>
              <w:t xml:space="preserve"> that the profiles of the resident coordinators in countries in transition from relief to development also include the </w:t>
            </w:r>
            <w:r w:rsidRPr="00530CB6">
              <w:rPr>
                <w:rFonts w:ascii="Times New Roman" w:hAnsi="Times New Roman"/>
                <w:bCs/>
                <w:i/>
                <w:sz w:val="20"/>
                <w:szCs w:val="20"/>
              </w:rPr>
              <w:t xml:space="preserve">qualifications of a humanitarian coordinator and that appropriate training on coordination </w:t>
            </w:r>
            <w:r w:rsidRPr="00530CB6">
              <w:rPr>
                <w:rFonts w:ascii="Times New Roman" w:hAnsi="Times New Roman"/>
                <w:i/>
                <w:sz w:val="20"/>
                <w:szCs w:val="20"/>
              </w:rPr>
              <w:t>and provision of humanitarian assistance is provided</w:t>
            </w:r>
            <w:r w:rsidR="00D61162" w:rsidRPr="00530CB6">
              <w:rPr>
                <w:rFonts w:ascii="Times New Roman" w:hAnsi="Times New Roman"/>
                <w:i/>
                <w:sz w:val="20"/>
                <w:szCs w:val="20"/>
              </w:rPr>
              <w:t xml:space="preserve"> (OP112)</w:t>
            </w:r>
            <w:r w:rsidR="001773B9">
              <w:rPr>
                <w:rFonts w:ascii="Times New Roman" w:hAnsi="Times New Roman"/>
                <w:sz w:val="20"/>
                <w:szCs w:val="20"/>
              </w:rPr>
              <w:t>.</w:t>
            </w:r>
            <w:r w:rsidRPr="00530CB6">
              <w:rPr>
                <w:rFonts w:ascii="Times New Roman" w:hAnsi="Times New Roman"/>
                <w:sz w:val="20"/>
                <w:szCs w:val="20"/>
              </w:rPr>
              <w:t xml:space="preserve"> </w:t>
            </w:r>
          </w:p>
          <w:p w14:paraId="519208FE" w14:textId="77777777" w:rsidR="003B0CCC" w:rsidRPr="00530CB6" w:rsidRDefault="003B0CCC" w:rsidP="003B0CCC">
            <w:pPr>
              <w:pStyle w:val="Default"/>
              <w:ind w:left="360"/>
              <w:rPr>
                <w:rFonts w:ascii="Times New Roman" w:hAnsi="Times New Roman"/>
                <w:sz w:val="20"/>
                <w:szCs w:val="20"/>
              </w:rPr>
            </w:pPr>
          </w:p>
          <w:p w14:paraId="6A6FE60B" w14:textId="77777777" w:rsidR="009375FD" w:rsidRPr="00530CB6" w:rsidRDefault="009375FD" w:rsidP="0088118F">
            <w:pPr>
              <w:pStyle w:val="ListParagraph"/>
              <w:ind w:left="360"/>
              <w:rPr>
                <w:rFonts w:ascii="Times New Roman" w:hAnsi="Times New Roman"/>
                <w:sz w:val="20"/>
                <w:szCs w:val="20"/>
              </w:rPr>
            </w:pPr>
          </w:p>
        </w:tc>
        <w:tc>
          <w:tcPr>
            <w:tcW w:w="2700" w:type="dxa"/>
            <w:tcBorders>
              <w:bottom w:val="single" w:sz="4" w:space="0" w:color="auto"/>
            </w:tcBorders>
          </w:tcPr>
          <w:p w14:paraId="61D911CE" w14:textId="77777777" w:rsidR="00063A17" w:rsidRPr="00530CB6" w:rsidRDefault="00EC0C28">
            <w:pPr>
              <w:rPr>
                <w:rFonts w:ascii="Times New Roman" w:hAnsi="Times New Roman"/>
                <w:sz w:val="20"/>
                <w:szCs w:val="20"/>
              </w:rPr>
            </w:pPr>
            <w:r w:rsidRPr="00530CB6">
              <w:rPr>
                <w:rFonts w:ascii="Times New Roman" w:hAnsi="Times New Roman"/>
                <w:sz w:val="20"/>
                <w:szCs w:val="20"/>
              </w:rPr>
              <w:t>n/a</w:t>
            </w:r>
          </w:p>
        </w:tc>
        <w:tc>
          <w:tcPr>
            <w:tcW w:w="5850" w:type="dxa"/>
            <w:tcBorders>
              <w:bottom w:val="single" w:sz="4" w:space="0" w:color="auto"/>
            </w:tcBorders>
          </w:tcPr>
          <w:p w14:paraId="70684B86" w14:textId="77777777" w:rsidR="00063A17" w:rsidRPr="00530CB6" w:rsidRDefault="004209E6">
            <w:pPr>
              <w:pStyle w:val="Default"/>
              <w:numPr>
                <w:ilvl w:val="0"/>
                <w:numId w:val="10"/>
              </w:numPr>
              <w:rPr>
                <w:rFonts w:ascii="Times New Roman" w:hAnsi="Times New Roman"/>
                <w:sz w:val="20"/>
                <w:szCs w:val="20"/>
              </w:rPr>
            </w:pPr>
            <w:r w:rsidRPr="00530CB6">
              <w:rPr>
                <w:rFonts w:ascii="Times New Roman" w:hAnsi="Times New Roman" w:cs="Times New Roman"/>
                <w:sz w:val="20"/>
                <w:szCs w:val="20"/>
              </w:rPr>
              <w:t>In 2016, t</w:t>
            </w:r>
            <w:r w:rsidR="009D7F6C" w:rsidRPr="00530CB6">
              <w:rPr>
                <w:rFonts w:ascii="Times New Roman" w:hAnsi="Times New Roman" w:cs="Times New Roman"/>
                <w:sz w:val="20"/>
                <w:szCs w:val="20"/>
              </w:rPr>
              <w:t>he R</w:t>
            </w:r>
            <w:r w:rsidR="00257174">
              <w:rPr>
                <w:rFonts w:ascii="Times New Roman" w:hAnsi="Times New Roman" w:cs="Times New Roman"/>
                <w:sz w:val="20"/>
                <w:szCs w:val="20"/>
              </w:rPr>
              <w:t xml:space="preserve">esident </w:t>
            </w:r>
            <w:r w:rsidR="009D7F6C" w:rsidRPr="00530CB6">
              <w:rPr>
                <w:rFonts w:ascii="Times New Roman" w:hAnsi="Times New Roman" w:cs="Times New Roman"/>
                <w:sz w:val="20"/>
                <w:szCs w:val="20"/>
              </w:rPr>
              <w:t>C</w:t>
            </w:r>
            <w:r w:rsidR="00257174">
              <w:rPr>
                <w:rFonts w:ascii="Times New Roman" w:hAnsi="Times New Roman" w:cs="Times New Roman"/>
                <w:sz w:val="20"/>
                <w:szCs w:val="20"/>
              </w:rPr>
              <w:t>oordinator</w:t>
            </w:r>
            <w:r w:rsidR="009D7F6C" w:rsidRPr="00530CB6">
              <w:rPr>
                <w:rFonts w:ascii="Times New Roman" w:hAnsi="Times New Roman" w:cs="Times New Roman"/>
                <w:sz w:val="20"/>
                <w:szCs w:val="20"/>
              </w:rPr>
              <w:t xml:space="preserve"> Assessment Centre </w:t>
            </w:r>
            <w:r w:rsidR="0003777E">
              <w:rPr>
                <w:rFonts w:ascii="Times New Roman" w:hAnsi="Times New Roman" w:cs="Times New Roman"/>
                <w:sz w:val="20"/>
                <w:szCs w:val="20"/>
              </w:rPr>
              <w:t xml:space="preserve">was </w:t>
            </w:r>
            <w:r w:rsidR="009D7F6C" w:rsidRPr="00530CB6">
              <w:rPr>
                <w:rFonts w:ascii="Times New Roman" w:hAnsi="Times New Roman" w:cs="Times New Roman"/>
                <w:sz w:val="20"/>
                <w:szCs w:val="20"/>
              </w:rPr>
              <w:t xml:space="preserve">re-designed based on the demands of </w:t>
            </w:r>
            <w:r w:rsidR="0003777E">
              <w:rPr>
                <w:rFonts w:ascii="Times New Roman" w:hAnsi="Times New Roman" w:cs="Times New Roman"/>
                <w:sz w:val="20"/>
                <w:szCs w:val="20"/>
              </w:rPr>
              <w:t>the</w:t>
            </w:r>
            <w:r w:rsidR="0003777E" w:rsidRPr="00530CB6">
              <w:rPr>
                <w:rFonts w:ascii="Times New Roman" w:hAnsi="Times New Roman" w:cs="Times New Roman"/>
                <w:sz w:val="20"/>
                <w:szCs w:val="20"/>
              </w:rPr>
              <w:t xml:space="preserve"> </w:t>
            </w:r>
            <w:r w:rsidR="009D7F6C" w:rsidRPr="00530CB6">
              <w:rPr>
                <w:rFonts w:ascii="Times New Roman" w:hAnsi="Times New Roman" w:cs="Times New Roman"/>
                <w:sz w:val="20"/>
                <w:szCs w:val="20"/>
              </w:rPr>
              <w:t>complex role of the R</w:t>
            </w:r>
            <w:r w:rsidR="008B69DE">
              <w:rPr>
                <w:rFonts w:ascii="Times New Roman" w:hAnsi="Times New Roman" w:cs="Times New Roman"/>
                <w:sz w:val="20"/>
                <w:szCs w:val="20"/>
              </w:rPr>
              <w:t xml:space="preserve">esident </w:t>
            </w:r>
            <w:r w:rsidR="009D7F6C" w:rsidRPr="00530CB6">
              <w:rPr>
                <w:rFonts w:ascii="Times New Roman" w:hAnsi="Times New Roman" w:cs="Times New Roman"/>
                <w:sz w:val="20"/>
                <w:szCs w:val="20"/>
              </w:rPr>
              <w:t>C</w:t>
            </w:r>
            <w:r w:rsidR="008B69DE">
              <w:rPr>
                <w:rFonts w:ascii="Times New Roman" w:hAnsi="Times New Roman" w:cs="Times New Roman"/>
                <w:sz w:val="20"/>
                <w:szCs w:val="20"/>
              </w:rPr>
              <w:t>oordinator</w:t>
            </w:r>
            <w:r w:rsidR="009D7F6C" w:rsidRPr="00530CB6">
              <w:rPr>
                <w:rFonts w:ascii="Times New Roman" w:hAnsi="Times New Roman" w:cs="Times New Roman"/>
                <w:sz w:val="20"/>
                <w:szCs w:val="20"/>
              </w:rPr>
              <w:t xml:space="preserve"> in humanitarian, human rights, political and security</w:t>
            </w:r>
            <w:r w:rsidR="0003777E">
              <w:rPr>
                <w:rFonts w:ascii="Times New Roman" w:hAnsi="Times New Roman" w:cs="Times New Roman"/>
                <w:sz w:val="20"/>
                <w:szCs w:val="20"/>
              </w:rPr>
              <w:t xml:space="preserve"> settings</w:t>
            </w:r>
            <w:r w:rsidR="00EC0C28" w:rsidRPr="00530CB6">
              <w:rPr>
                <w:rFonts w:ascii="Times New Roman" w:hAnsi="Times New Roman"/>
                <w:sz w:val="20"/>
                <w:szCs w:val="20"/>
              </w:rPr>
              <w:t xml:space="preserve">. </w:t>
            </w:r>
            <w:r w:rsidR="00F1343B" w:rsidRPr="00530CB6">
              <w:rPr>
                <w:rFonts w:ascii="Times New Roman" w:hAnsi="Times New Roman"/>
                <w:sz w:val="20"/>
                <w:szCs w:val="20"/>
              </w:rPr>
              <w:t xml:space="preserve">The UNDG rolled out </w:t>
            </w:r>
            <w:r w:rsidRPr="00530CB6">
              <w:rPr>
                <w:rFonts w:ascii="Times New Roman" w:hAnsi="Times New Roman"/>
                <w:sz w:val="20"/>
                <w:szCs w:val="20"/>
              </w:rPr>
              <w:t>the Assessment of Results and Competencies (ARC)</w:t>
            </w:r>
            <w:r w:rsidR="00F1343B" w:rsidRPr="00530CB6">
              <w:rPr>
                <w:rFonts w:ascii="Times New Roman" w:hAnsi="Times New Roman"/>
                <w:sz w:val="20"/>
                <w:szCs w:val="20"/>
              </w:rPr>
              <w:t xml:space="preserve"> </w:t>
            </w:r>
            <w:r w:rsidR="008B69DE">
              <w:rPr>
                <w:rFonts w:ascii="Times New Roman" w:hAnsi="Times New Roman"/>
                <w:sz w:val="20"/>
                <w:szCs w:val="20"/>
              </w:rPr>
              <w:t>that</w:t>
            </w:r>
            <w:r w:rsidR="008B69DE" w:rsidRPr="00530CB6">
              <w:rPr>
                <w:rFonts w:ascii="Times New Roman" w:hAnsi="Times New Roman"/>
                <w:sz w:val="20"/>
                <w:szCs w:val="20"/>
              </w:rPr>
              <w:t xml:space="preserve"> </w:t>
            </w:r>
            <w:r w:rsidR="00F1343B" w:rsidRPr="00530CB6">
              <w:rPr>
                <w:rFonts w:ascii="Times New Roman" w:hAnsi="Times New Roman"/>
                <w:sz w:val="20"/>
                <w:szCs w:val="20"/>
              </w:rPr>
              <w:t>integrates</w:t>
            </w:r>
            <w:r w:rsidR="00C062A6" w:rsidRPr="00530CB6">
              <w:rPr>
                <w:rFonts w:ascii="Times New Roman" w:hAnsi="Times New Roman"/>
                <w:sz w:val="20"/>
                <w:szCs w:val="20"/>
              </w:rPr>
              <w:t xml:space="preserve"> the appraisals </w:t>
            </w:r>
            <w:r w:rsidR="00247978" w:rsidRPr="00530CB6">
              <w:rPr>
                <w:rFonts w:ascii="Times New Roman" w:hAnsi="Times New Roman"/>
                <w:sz w:val="20"/>
                <w:szCs w:val="20"/>
              </w:rPr>
              <w:t>of R</w:t>
            </w:r>
            <w:r w:rsidR="008B69DE">
              <w:rPr>
                <w:rFonts w:ascii="Times New Roman" w:hAnsi="Times New Roman"/>
                <w:sz w:val="20"/>
                <w:szCs w:val="20"/>
              </w:rPr>
              <w:t xml:space="preserve">esident </w:t>
            </w:r>
            <w:r w:rsidR="00247978" w:rsidRPr="00530CB6">
              <w:rPr>
                <w:rFonts w:ascii="Times New Roman" w:hAnsi="Times New Roman"/>
                <w:sz w:val="20"/>
                <w:szCs w:val="20"/>
              </w:rPr>
              <w:t>C</w:t>
            </w:r>
            <w:r w:rsidR="008B69DE">
              <w:rPr>
                <w:rFonts w:ascii="Times New Roman" w:hAnsi="Times New Roman"/>
                <w:sz w:val="20"/>
                <w:szCs w:val="20"/>
              </w:rPr>
              <w:t>oordinator</w:t>
            </w:r>
            <w:r w:rsidR="00247978" w:rsidRPr="00530CB6">
              <w:rPr>
                <w:rFonts w:ascii="Times New Roman" w:hAnsi="Times New Roman"/>
                <w:sz w:val="20"/>
                <w:szCs w:val="20"/>
              </w:rPr>
              <w:t>s who are also</w:t>
            </w:r>
            <w:r w:rsidR="008B69DE">
              <w:rPr>
                <w:rFonts w:ascii="Times New Roman" w:hAnsi="Times New Roman"/>
                <w:sz w:val="20"/>
                <w:szCs w:val="20"/>
              </w:rPr>
              <w:t>:</w:t>
            </w:r>
            <w:r w:rsidR="00247978" w:rsidRPr="00530CB6">
              <w:rPr>
                <w:rFonts w:ascii="Times New Roman" w:hAnsi="Times New Roman"/>
                <w:sz w:val="20"/>
                <w:szCs w:val="20"/>
              </w:rPr>
              <w:t xml:space="preserve"> (a) Humanitarian </w:t>
            </w:r>
            <w:r w:rsidR="00D1338A" w:rsidRPr="00530CB6">
              <w:rPr>
                <w:rFonts w:ascii="Times New Roman" w:hAnsi="Times New Roman"/>
                <w:sz w:val="20"/>
                <w:szCs w:val="20"/>
              </w:rPr>
              <w:t>Coordinators</w:t>
            </w:r>
            <w:r w:rsidR="008B69DE">
              <w:rPr>
                <w:rFonts w:ascii="Times New Roman" w:hAnsi="Times New Roman"/>
                <w:sz w:val="20"/>
                <w:szCs w:val="20"/>
              </w:rPr>
              <w:t>,</w:t>
            </w:r>
            <w:r w:rsidR="00525CCF" w:rsidRPr="00530CB6">
              <w:rPr>
                <w:rFonts w:ascii="Times New Roman" w:hAnsi="Times New Roman"/>
                <w:sz w:val="20"/>
                <w:szCs w:val="20"/>
              </w:rPr>
              <w:t xml:space="preserve"> (b) Designated Officials for Security</w:t>
            </w:r>
            <w:r w:rsidR="008B69DE">
              <w:rPr>
                <w:rFonts w:ascii="Times New Roman" w:hAnsi="Times New Roman"/>
                <w:sz w:val="20"/>
                <w:szCs w:val="20"/>
              </w:rPr>
              <w:t>,</w:t>
            </w:r>
            <w:r w:rsidR="00525CCF" w:rsidRPr="00530CB6">
              <w:rPr>
                <w:rFonts w:ascii="Times New Roman" w:hAnsi="Times New Roman"/>
                <w:sz w:val="20"/>
                <w:szCs w:val="20"/>
              </w:rPr>
              <w:t xml:space="preserve"> and (c) Deputy Special </w:t>
            </w:r>
            <w:r w:rsidR="00D1338A" w:rsidRPr="00530CB6">
              <w:rPr>
                <w:rFonts w:ascii="Times New Roman" w:hAnsi="Times New Roman"/>
                <w:sz w:val="20"/>
                <w:szCs w:val="20"/>
              </w:rPr>
              <w:t>Representatives</w:t>
            </w:r>
            <w:r w:rsidR="00525CCF" w:rsidRPr="00530CB6">
              <w:rPr>
                <w:rFonts w:ascii="Times New Roman" w:hAnsi="Times New Roman"/>
                <w:sz w:val="20"/>
                <w:szCs w:val="20"/>
              </w:rPr>
              <w:t xml:space="preserve"> of the </w:t>
            </w:r>
            <w:r w:rsidR="0098205A" w:rsidRPr="00530CB6">
              <w:rPr>
                <w:rFonts w:ascii="Times New Roman" w:hAnsi="Times New Roman"/>
                <w:sz w:val="20"/>
                <w:szCs w:val="20"/>
              </w:rPr>
              <w:t>S</w:t>
            </w:r>
            <w:r w:rsidR="008B69DE">
              <w:rPr>
                <w:rFonts w:ascii="Times New Roman" w:hAnsi="Times New Roman"/>
                <w:sz w:val="20"/>
                <w:szCs w:val="20"/>
              </w:rPr>
              <w:t xml:space="preserve">ecretary </w:t>
            </w:r>
            <w:r w:rsidR="0098205A" w:rsidRPr="00530CB6">
              <w:rPr>
                <w:rFonts w:ascii="Times New Roman" w:hAnsi="Times New Roman"/>
                <w:sz w:val="20"/>
                <w:szCs w:val="20"/>
              </w:rPr>
              <w:t>G</w:t>
            </w:r>
            <w:r w:rsidR="008B69DE">
              <w:rPr>
                <w:rFonts w:ascii="Times New Roman" w:hAnsi="Times New Roman"/>
                <w:sz w:val="20"/>
                <w:szCs w:val="20"/>
              </w:rPr>
              <w:t>eneral</w:t>
            </w:r>
            <w:r w:rsidR="00525CCF" w:rsidRPr="00530CB6">
              <w:rPr>
                <w:rFonts w:ascii="Times New Roman" w:hAnsi="Times New Roman"/>
                <w:sz w:val="20"/>
                <w:szCs w:val="20"/>
              </w:rPr>
              <w:t xml:space="preserve">. ARC reports will </w:t>
            </w:r>
            <w:r w:rsidR="00203B27" w:rsidRPr="00530CB6">
              <w:rPr>
                <w:rFonts w:ascii="Times New Roman" w:hAnsi="Times New Roman"/>
                <w:sz w:val="20"/>
                <w:szCs w:val="20"/>
              </w:rPr>
              <w:t>foster</w:t>
            </w:r>
            <w:r w:rsidR="00D1338A" w:rsidRPr="00530CB6">
              <w:rPr>
                <w:rFonts w:ascii="Times New Roman" w:hAnsi="Times New Roman"/>
                <w:sz w:val="20"/>
                <w:szCs w:val="20"/>
              </w:rPr>
              <w:t xml:space="preserve"> mutual accountability for jointl</w:t>
            </w:r>
            <w:r w:rsidR="00203B27" w:rsidRPr="00530CB6">
              <w:rPr>
                <w:rFonts w:ascii="Times New Roman" w:hAnsi="Times New Roman"/>
                <w:sz w:val="20"/>
                <w:szCs w:val="20"/>
              </w:rPr>
              <w:t xml:space="preserve">y </w:t>
            </w:r>
            <w:r w:rsidR="008B69DE">
              <w:rPr>
                <w:rFonts w:ascii="Times New Roman" w:hAnsi="Times New Roman"/>
                <w:sz w:val="20"/>
                <w:szCs w:val="20"/>
              </w:rPr>
              <w:t>agreed upon</w:t>
            </w:r>
            <w:r w:rsidR="00203B27" w:rsidRPr="00530CB6">
              <w:rPr>
                <w:rFonts w:ascii="Times New Roman" w:hAnsi="Times New Roman"/>
                <w:sz w:val="20"/>
                <w:szCs w:val="20"/>
              </w:rPr>
              <w:t xml:space="preserve"> U</w:t>
            </w:r>
            <w:r w:rsidR="008B69DE">
              <w:rPr>
                <w:rFonts w:ascii="Times New Roman" w:hAnsi="Times New Roman"/>
                <w:sz w:val="20"/>
                <w:szCs w:val="20"/>
              </w:rPr>
              <w:t xml:space="preserve">nited </w:t>
            </w:r>
            <w:r w:rsidR="00203B27" w:rsidRPr="00530CB6">
              <w:rPr>
                <w:rFonts w:ascii="Times New Roman" w:hAnsi="Times New Roman"/>
                <w:sz w:val="20"/>
                <w:szCs w:val="20"/>
              </w:rPr>
              <w:t>N</w:t>
            </w:r>
            <w:r w:rsidR="008B69DE">
              <w:rPr>
                <w:rFonts w:ascii="Times New Roman" w:hAnsi="Times New Roman"/>
                <w:sz w:val="20"/>
                <w:szCs w:val="20"/>
              </w:rPr>
              <w:t xml:space="preserve">ations </w:t>
            </w:r>
            <w:r w:rsidR="00203B27" w:rsidRPr="00530CB6">
              <w:rPr>
                <w:rFonts w:ascii="Times New Roman" w:hAnsi="Times New Roman"/>
                <w:sz w:val="20"/>
                <w:szCs w:val="20"/>
              </w:rPr>
              <w:t>C</w:t>
            </w:r>
            <w:r w:rsidR="008B69DE">
              <w:rPr>
                <w:rFonts w:ascii="Times New Roman" w:hAnsi="Times New Roman"/>
                <w:sz w:val="20"/>
                <w:szCs w:val="20"/>
              </w:rPr>
              <w:t xml:space="preserve">ountry </w:t>
            </w:r>
            <w:r w:rsidR="00203B27" w:rsidRPr="00530CB6">
              <w:rPr>
                <w:rFonts w:ascii="Times New Roman" w:hAnsi="Times New Roman"/>
                <w:sz w:val="20"/>
                <w:szCs w:val="20"/>
              </w:rPr>
              <w:t>T</w:t>
            </w:r>
            <w:r w:rsidR="008B69DE">
              <w:rPr>
                <w:rFonts w:ascii="Times New Roman" w:hAnsi="Times New Roman"/>
                <w:sz w:val="20"/>
                <w:szCs w:val="20"/>
              </w:rPr>
              <w:t>eam (UNCT)</w:t>
            </w:r>
            <w:r w:rsidR="00203B27" w:rsidRPr="00530CB6">
              <w:rPr>
                <w:rFonts w:ascii="Times New Roman" w:hAnsi="Times New Roman"/>
                <w:sz w:val="20"/>
                <w:szCs w:val="20"/>
              </w:rPr>
              <w:t xml:space="preserve"> goals</w:t>
            </w:r>
            <w:r w:rsidR="000702E6">
              <w:rPr>
                <w:rFonts w:ascii="Times New Roman" w:hAnsi="Times New Roman"/>
                <w:sz w:val="20"/>
                <w:szCs w:val="20"/>
              </w:rPr>
              <w:t xml:space="preserve"> with a minimum requirement to include</w:t>
            </w:r>
            <w:r w:rsidR="008B69DE">
              <w:rPr>
                <w:rFonts w:ascii="Times New Roman" w:hAnsi="Times New Roman"/>
                <w:sz w:val="20"/>
                <w:szCs w:val="20"/>
              </w:rPr>
              <w:t xml:space="preserve"> </w:t>
            </w:r>
            <w:r w:rsidR="0098205A" w:rsidRPr="00530CB6">
              <w:rPr>
                <w:rFonts w:ascii="Times New Roman" w:hAnsi="Times New Roman"/>
                <w:sz w:val="20"/>
                <w:szCs w:val="20"/>
              </w:rPr>
              <w:t xml:space="preserve">one goal </w:t>
            </w:r>
            <w:r w:rsidR="00F03F8D">
              <w:rPr>
                <w:rFonts w:ascii="Times New Roman" w:hAnsi="Times New Roman"/>
                <w:sz w:val="20"/>
                <w:szCs w:val="20"/>
              </w:rPr>
              <w:t xml:space="preserve">in </w:t>
            </w:r>
            <w:r w:rsidR="00203B27" w:rsidRPr="00530CB6">
              <w:rPr>
                <w:rFonts w:ascii="Times New Roman" w:hAnsi="Times New Roman"/>
                <w:sz w:val="20"/>
                <w:szCs w:val="20"/>
              </w:rPr>
              <w:t xml:space="preserve">humanitarian, human rights, political and security. </w:t>
            </w:r>
          </w:p>
          <w:p w14:paraId="6C264AF7" w14:textId="77777777" w:rsidR="0098205A" w:rsidRPr="00530CB6" w:rsidRDefault="0098205A" w:rsidP="0048764C">
            <w:pPr>
              <w:pStyle w:val="Default"/>
              <w:ind w:left="360"/>
              <w:rPr>
                <w:rFonts w:ascii="Times New Roman" w:hAnsi="Times New Roman"/>
                <w:sz w:val="20"/>
                <w:szCs w:val="20"/>
              </w:rPr>
            </w:pPr>
          </w:p>
        </w:tc>
      </w:tr>
      <w:tr w:rsidR="00002801" w:rsidRPr="00530CB6" w14:paraId="174506C2" w14:textId="77777777" w:rsidTr="00880567">
        <w:tc>
          <w:tcPr>
            <w:tcW w:w="12960" w:type="dxa"/>
            <w:gridSpan w:val="3"/>
            <w:shd w:val="clear" w:color="auto" w:fill="E6E6E6"/>
          </w:tcPr>
          <w:p w14:paraId="48BD0A68" w14:textId="77777777" w:rsidR="00002801" w:rsidRPr="00530CB6" w:rsidRDefault="00002801" w:rsidP="009E14C3">
            <w:pPr>
              <w:pStyle w:val="ListParagraph"/>
              <w:numPr>
                <w:ilvl w:val="0"/>
                <w:numId w:val="12"/>
              </w:numPr>
              <w:rPr>
                <w:rFonts w:ascii="Times New Roman" w:hAnsi="Times New Roman"/>
                <w:b/>
                <w:sz w:val="20"/>
                <w:szCs w:val="20"/>
              </w:rPr>
            </w:pPr>
            <w:r w:rsidRPr="00530CB6">
              <w:rPr>
                <w:rFonts w:ascii="Times New Roman" w:hAnsi="Times New Roman"/>
                <w:b/>
                <w:sz w:val="20"/>
                <w:szCs w:val="20"/>
              </w:rPr>
              <w:t>Improving functioning of the United Nations development system</w:t>
            </w:r>
          </w:p>
        </w:tc>
      </w:tr>
      <w:tr w:rsidR="00002801" w:rsidRPr="00530CB6" w14:paraId="1414AE01" w14:textId="77777777" w:rsidTr="00880567">
        <w:tc>
          <w:tcPr>
            <w:tcW w:w="4410" w:type="dxa"/>
          </w:tcPr>
          <w:p w14:paraId="4E21052F" w14:textId="77777777" w:rsidR="00002801" w:rsidRPr="00530CB6" w:rsidRDefault="00BD3B9C" w:rsidP="00BD3B9C">
            <w:pPr>
              <w:pStyle w:val="ListParagraph"/>
              <w:numPr>
                <w:ilvl w:val="0"/>
                <w:numId w:val="11"/>
              </w:numPr>
              <w:rPr>
                <w:rFonts w:ascii="Times New Roman" w:hAnsi="Times New Roman"/>
                <w:sz w:val="20"/>
                <w:szCs w:val="20"/>
              </w:rPr>
            </w:pPr>
            <w:r w:rsidRPr="00530CB6">
              <w:rPr>
                <w:rFonts w:ascii="Times New Roman" w:hAnsi="Times New Roman"/>
                <w:sz w:val="20"/>
                <w:szCs w:val="20"/>
              </w:rPr>
              <w:t>UNDAF</w:t>
            </w:r>
            <w:r w:rsidR="00695CE1" w:rsidRPr="00530CB6">
              <w:rPr>
                <w:rFonts w:ascii="Times New Roman" w:hAnsi="Times New Roman"/>
                <w:sz w:val="20"/>
                <w:szCs w:val="20"/>
              </w:rPr>
              <w:t xml:space="preserve"> (OP113-121)</w:t>
            </w:r>
          </w:p>
        </w:tc>
        <w:tc>
          <w:tcPr>
            <w:tcW w:w="2700" w:type="dxa"/>
          </w:tcPr>
          <w:p w14:paraId="63D0CB91" w14:textId="77777777" w:rsidR="00002801" w:rsidRPr="00530CB6" w:rsidRDefault="00BD3B9C">
            <w:pPr>
              <w:rPr>
                <w:rFonts w:ascii="Times New Roman" w:hAnsi="Times New Roman"/>
                <w:sz w:val="20"/>
                <w:szCs w:val="20"/>
              </w:rPr>
            </w:pPr>
            <w:r w:rsidRPr="00530CB6">
              <w:rPr>
                <w:rFonts w:ascii="Times New Roman" w:hAnsi="Times New Roman"/>
                <w:sz w:val="20"/>
                <w:szCs w:val="20"/>
              </w:rPr>
              <w:t>Relevant Indicators</w:t>
            </w:r>
          </w:p>
        </w:tc>
        <w:tc>
          <w:tcPr>
            <w:tcW w:w="5850" w:type="dxa"/>
          </w:tcPr>
          <w:p w14:paraId="5C1E5E4E" w14:textId="77777777" w:rsidR="00002801" w:rsidRPr="00530CB6" w:rsidRDefault="00BD3B9C">
            <w:pPr>
              <w:rPr>
                <w:rFonts w:ascii="Times New Roman" w:hAnsi="Times New Roman"/>
                <w:sz w:val="20"/>
                <w:szCs w:val="20"/>
              </w:rPr>
            </w:pPr>
            <w:r w:rsidRPr="00530CB6">
              <w:rPr>
                <w:rFonts w:ascii="Times New Roman" w:hAnsi="Times New Roman"/>
                <w:sz w:val="20"/>
                <w:szCs w:val="20"/>
              </w:rPr>
              <w:t>Progress</w:t>
            </w:r>
          </w:p>
        </w:tc>
      </w:tr>
      <w:tr w:rsidR="00002801" w:rsidRPr="00530CB6" w14:paraId="17E2067D" w14:textId="77777777" w:rsidTr="00880567">
        <w:tc>
          <w:tcPr>
            <w:tcW w:w="4410" w:type="dxa"/>
          </w:tcPr>
          <w:p w14:paraId="786423C4" w14:textId="77777777" w:rsidR="00A004E6" w:rsidRPr="00530CB6" w:rsidRDefault="00A004E6" w:rsidP="00A004E6">
            <w:pPr>
              <w:pStyle w:val="Default"/>
              <w:numPr>
                <w:ilvl w:val="0"/>
                <w:numId w:val="15"/>
              </w:numPr>
              <w:rPr>
                <w:rFonts w:ascii="Times New Roman" w:hAnsi="Times New Roman"/>
                <w:sz w:val="20"/>
                <w:szCs w:val="20"/>
              </w:rPr>
            </w:pPr>
            <w:r w:rsidRPr="00530CB6">
              <w:rPr>
                <w:rFonts w:ascii="Times New Roman" w:hAnsi="Times New Roman"/>
                <w:bCs/>
                <w:i/>
                <w:sz w:val="20"/>
                <w:szCs w:val="20"/>
              </w:rPr>
              <w:t>Further simplify</w:t>
            </w:r>
            <w:r w:rsidR="005610AC" w:rsidRPr="00530CB6">
              <w:rPr>
                <w:rFonts w:ascii="Times New Roman" w:hAnsi="Times New Roman"/>
                <w:bCs/>
                <w:i/>
                <w:sz w:val="20"/>
                <w:szCs w:val="20"/>
              </w:rPr>
              <w:t>ing and harmonizing</w:t>
            </w:r>
            <w:r w:rsidRPr="00530CB6">
              <w:rPr>
                <w:rFonts w:ascii="Times New Roman" w:hAnsi="Times New Roman"/>
                <w:bCs/>
                <w:i/>
                <w:sz w:val="20"/>
                <w:szCs w:val="20"/>
              </w:rPr>
              <w:t xml:space="preserve"> agency-specific programming instruments and processes</w:t>
            </w:r>
            <w:r w:rsidRPr="00530CB6">
              <w:rPr>
                <w:rFonts w:ascii="Times New Roman" w:hAnsi="Times New Roman"/>
                <w:bCs/>
                <w:sz w:val="20"/>
                <w:szCs w:val="20"/>
              </w:rPr>
              <w:t xml:space="preserve"> in alignment with the United Nations Development Assistance Framework </w:t>
            </w:r>
            <w:r w:rsidR="00484827" w:rsidRPr="00530CB6">
              <w:rPr>
                <w:rFonts w:ascii="Times New Roman" w:hAnsi="Times New Roman"/>
                <w:sz w:val="20"/>
                <w:szCs w:val="20"/>
              </w:rPr>
              <w:t>(OP119)</w:t>
            </w:r>
            <w:r w:rsidR="001773B9">
              <w:rPr>
                <w:rFonts w:ascii="Times New Roman" w:hAnsi="Times New Roman"/>
                <w:sz w:val="20"/>
                <w:szCs w:val="20"/>
              </w:rPr>
              <w:t>.</w:t>
            </w:r>
          </w:p>
          <w:p w14:paraId="34BD1A61" w14:textId="77777777" w:rsidR="00484827" w:rsidRPr="00530CB6" w:rsidRDefault="00484827" w:rsidP="00484827">
            <w:pPr>
              <w:pStyle w:val="Default"/>
              <w:numPr>
                <w:ilvl w:val="0"/>
                <w:numId w:val="15"/>
              </w:numPr>
              <w:rPr>
                <w:rFonts w:ascii="Times New Roman" w:hAnsi="Times New Roman"/>
                <w:sz w:val="20"/>
                <w:szCs w:val="20"/>
              </w:rPr>
            </w:pPr>
            <w:r w:rsidRPr="00530CB6">
              <w:rPr>
                <w:rFonts w:ascii="Times New Roman" w:hAnsi="Times New Roman"/>
                <w:bCs/>
                <w:sz w:val="20"/>
                <w:szCs w:val="20"/>
              </w:rPr>
              <w:t>Carry</w:t>
            </w:r>
            <w:r w:rsidR="005610AC" w:rsidRPr="00530CB6">
              <w:rPr>
                <w:rFonts w:ascii="Times New Roman" w:hAnsi="Times New Roman"/>
                <w:bCs/>
                <w:sz w:val="20"/>
                <w:szCs w:val="20"/>
              </w:rPr>
              <w:t>ing</w:t>
            </w:r>
            <w:r w:rsidRPr="00530CB6">
              <w:rPr>
                <w:rFonts w:ascii="Times New Roman" w:hAnsi="Times New Roman"/>
                <w:bCs/>
                <w:sz w:val="20"/>
                <w:szCs w:val="20"/>
              </w:rPr>
              <w:t xml:space="preserve"> out any </w:t>
            </w:r>
            <w:r w:rsidRPr="00530CB6">
              <w:rPr>
                <w:rFonts w:ascii="Times New Roman" w:hAnsi="Times New Roman"/>
                <w:bCs/>
                <w:i/>
                <w:sz w:val="20"/>
                <w:szCs w:val="20"/>
              </w:rPr>
              <w:t xml:space="preserve">changes required to align their planning and budgeting cycles </w:t>
            </w:r>
            <w:r w:rsidRPr="00530CB6">
              <w:rPr>
                <w:rFonts w:ascii="Times New Roman" w:hAnsi="Times New Roman"/>
                <w:bCs/>
                <w:sz w:val="20"/>
                <w:szCs w:val="20"/>
              </w:rPr>
              <w:t>with the quadrennial comprehensive policy review</w:t>
            </w:r>
            <w:r w:rsidRPr="00530CB6">
              <w:rPr>
                <w:rFonts w:ascii="Times New Roman" w:hAnsi="Times New Roman"/>
                <w:sz w:val="20"/>
                <w:szCs w:val="20"/>
              </w:rPr>
              <w:t xml:space="preserve">, </w:t>
            </w:r>
            <w:r w:rsidRPr="00530CB6">
              <w:rPr>
                <w:rFonts w:ascii="Times New Roman" w:hAnsi="Times New Roman"/>
                <w:sz w:val="20"/>
                <w:szCs w:val="20"/>
              </w:rPr>
              <w:lastRenderedPageBreak/>
              <w:t>including the implementation o</w:t>
            </w:r>
            <w:r w:rsidR="00947DEB" w:rsidRPr="00530CB6">
              <w:rPr>
                <w:rFonts w:ascii="Times New Roman" w:hAnsi="Times New Roman"/>
                <w:sz w:val="20"/>
                <w:szCs w:val="20"/>
              </w:rPr>
              <w:t>f midterm reviews, as necessary</w:t>
            </w:r>
            <w:r w:rsidR="001773B9">
              <w:rPr>
                <w:rFonts w:ascii="Times New Roman" w:hAnsi="Times New Roman"/>
                <w:sz w:val="20"/>
                <w:szCs w:val="20"/>
              </w:rPr>
              <w:t xml:space="preserve"> </w:t>
            </w:r>
            <w:r w:rsidR="00947DEB" w:rsidRPr="00530CB6">
              <w:rPr>
                <w:rFonts w:ascii="Times New Roman" w:hAnsi="Times New Roman"/>
                <w:sz w:val="20"/>
                <w:szCs w:val="20"/>
              </w:rPr>
              <w:t>(OP121)</w:t>
            </w:r>
            <w:r w:rsidR="001773B9">
              <w:rPr>
                <w:rFonts w:ascii="Times New Roman" w:hAnsi="Times New Roman"/>
                <w:sz w:val="20"/>
                <w:szCs w:val="20"/>
              </w:rPr>
              <w:t>.</w:t>
            </w:r>
          </w:p>
          <w:p w14:paraId="55A9BE99" w14:textId="77777777" w:rsidR="00484827" w:rsidRPr="00530CB6" w:rsidRDefault="00484827" w:rsidP="00484827">
            <w:pPr>
              <w:pStyle w:val="Default"/>
              <w:ind w:left="360"/>
              <w:rPr>
                <w:rFonts w:ascii="Times New Roman" w:hAnsi="Times New Roman"/>
                <w:sz w:val="20"/>
                <w:szCs w:val="20"/>
              </w:rPr>
            </w:pPr>
          </w:p>
          <w:p w14:paraId="6C01D8BC" w14:textId="77777777" w:rsidR="00002801" w:rsidRPr="00530CB6" w:rsidRDefault="00002801" w:rsidP="00063A17">
            <w:pPr>
              <w:pStyle w:val="ListParagraph"/>
              <w:rPr>
                <w:rFonts w:ascii="Times New Roman" w:hAnsi="Times New Roman"/>
                <w:sz w:val="20"/>
                <w:szCs w:val="20"/>
              </w:rPr>
            </w:pPr>
          </w:p>
        </w:tc>
        <w:tc>
          <w:tcPr>
            <w:tcW w:w="2700" w:type="dxa"/>
          </w:tcPr>
          <w:p w14:paraId="1DE48661" w14:textId="77777777" w:rsidR="00A004E6" w:rsidRPr="00530CB6" w:rsidRDefault="00A004E6" w:rsidP="00A004E6">
            <w:pPr>
              <w:pStyle w:val="Default"/>
              <w:rPr>
                <w:rFonts w:ascii="Times New Roman" w:hAnsi="Times New Roman"/>
                <w:sz w:val="20"/>
                <w:szCs w:val="20"/>
              </w:rPr>
            </w:pPr>
            <w:r w:rsidRPr="00530CB6">
              <w:rPr>
                <w:rFonts w:ascii="Times New Roman" w:hAnsi="Times New Roman"/>
                <w:sz w:val="20"/>
                <w:szCs w:val="20"/>
              </w:rPr>
              <w:lastRenderedPageBreak/>
              <w:t xml:space="preserve"># of UN entities </w:t>
            </w:r>
            <w:r w:rsidR="004666EB">
              <w:rPr>
                <w:rFonts w:ascii="Times New Roman" w:hAnsi="Times New Roman"/>
                <w:sz w:val="20"/>
                <w:szCs w:val="20"/>
              </w:rPr>
              <w:t>that</w:t>
            </w:r>
            <w:r w:rsidRPr="00530CB6">
              <w:rPr>
                <w:rFonts w:ascii="Times New Roman" w:hAnsi="Times New Roman"/>
                <w:sz w:val="20"/>
                <w:szCs w:val="20"/>
              </w:rPr>
              <w:t xml:space="preserve"> have developed simplified and harmonized agency-specific programming instruments </w:t>
            </w:r>
          </w:p>
          <w:p w14:paraId="6304083C" w14:textId="77777777" w:rsidR="00002801" w:rsidRPr="00530CB6" w:rsidRDefault="00002801">
            <w:pPr>
              <w:rPr>
                <w:rFonts w:ascii="Times New Roman" w:hAnsi="Times New Roman"/>
                <w:sz w:val="20"/>
                <w:szCs w:val="20"/>
              </w:rPr>
            </w:pPr>
          </w:p>
        </w:tc>
        <w:tc>
          <w:tcPr>
            <w:tcW w:w="5850" w:type="dxa"/>
          </w:tcPr>
          <w:p w14:paraId="2CBCCD33" w14:textId="39364BAE" w:rsidR="00A004E6" w:rsidRPr="00530CB6" w:rsidRDefault="000F7F65" w:rsidP="00A004E6">
            <w:pPr>
              <w:pStyle w:val="Default"/>
              <w:numPr>
                <w:ilvl w:val="0"/>
                <w:numId w:val="15"/>
              </w:numPr>
              <w:rPr>
                <w:rFonts w:ascii="Times New Roman" w:hAnsi="Times New Roman"/>
                <w:sz w:val="20"/>
                <w:szCs w:val="20"/>
              </w:rPr>
            </w:pPr>
            <w:r w:rsidRPr="00530CB6">
              <w:rPr>
                <w:rFonts w:ascii="Times New Roman" w:hAnsi="Times New Roman"/>
                <w:sz w:val="20"/>
                <w:szCs w:val="20"/>
              </w:rPr>
              <w:t xml:space="preserve">The new UNDAF guidance </w:t>
            </w:r>
            <w:r w:rsidR="005D7142">
              <w:rPr>
                <w:rFonts w:ascii="Times New Roman" w:hAnsi="Times New Roman"/>
                <w:sz w:val="20"/>
                <w:szCs w:val="20"/>
              </w:rPr>
              <w:t xml:space="preserve">note, </w:t>
            </w:r>
            <w:r w:rsidRPr="00530CB6">
              <w:rPr>
                <w:rFonts w:ascii="Times New Roman" w:hAnsi="Times New Roman"/>
                <w:sz w:val="20"/>
                <w:szCs w:val="20"/>
              </w:rPr>
              <w:t>adopted in 2017 for common country programming</w:t>
            </w:r>
            <w:r w:rsidR="005D7142">
              <w:rPr>
                <w:rFonts w:ascii="Times New Roman" w:hAnsi="Times New Roman"/>
                <w:sz w:val="20"/>
                <w:szCs w:val="20"/>
              </w:rPr>
              <w:t>,</w:t>
            </w:r>
            <w:r w:rsidRPr="00530CB6">
              <w:rPr>
                <w:rFonts w:ascii="Times New Roman" w:hAnsi="Times New Roman"/>
                <w:sz w:val="20"/>
                <w:szCs w:val="20"/>
              </w:rPr>
              <w:t xml:space="preserve"> respond</w:t>
            </w:r>
            <w:r w:rsidR="005D7142">
              <w:rPr>
                <w:rFonts w:ascii="Times New Roman" w:hAnsi="Times New Roman"/>
                <w:sz w:val="20"/>
                <w:szCs w:val="20"/>
              </w:rPr>
              <w:t>s</w:t>
            </w:r>
            <w:r w:rsidRPr="00530CB6">
              <w:rPr>
                <w:rFonts w:ascii="Times New Roman" w:hAnsi="Times New Roman"/>
                <w:sz w:val="20"/>
                <w:szCs w:val="20"/>
              </w:rPr>
              <w:t xml:space="preserve"> more fully and effectively to the rapidly</w:t>
            </w:r>
            <w:r w:rsidR="003F10CD" w:rsidRPr="00530CB6">
              <w:rPr>
                <w:rFonts w:ascii="Times New Roman" w:hAnsi="Times New Roman"/>
                <w:sz w:val="20"/>
                <w:szCs w:val="20"/>
              </w:rPr>
              <w:t xml:space="preserve"> evolving development landscape</w:t>
            </w:r>
            <w:r w:rsidRPr="00530CB6">
              <w:rPr>
                <w:rFonts w:ascii="Times New Roman" w:hAnsi="Times New Roman"/>
                <w:sz w:val="20"/>
                <w:szCs w:val="20"/>
              </w:rPr>
              <w:t xml:space="preserve">. </w:t>
            </w:r>
          </w:p>
          <w:p w14:paraId="6218EA7A" w14:textId="0C9B492A" w:rsidR="00646B25" w:rsidRPr="00530CB6" w:rsidRDefault="00FC33D2" w:rsidP="00646B25">
            <w:pPr>
              <w:pStyle w:val="Default"/>
              <w:numPr>
                <w:ilvl w:val="0"/>
                <w:numId w:val="15"/>
              </w:numPr>
              <w:rPr>
                <w:rFonts w:ascii="Times New Roman" w:hAnsi="Times New Roman"/>
                <w:sz w:val="20"/>
                <w:szCs w:val="20"/>
              </w:rPr>
            </w:pPr>
            <w:r w:rsidRPr="00530CB6">
              <w:rPr>
                <w:rFonts w:ascii="Times New Roman" w:hAnsi="Times New Roman"/>
                <w:sz w:val="20"/>
                <w:szCs w:val="20"/>
              </w:rPr>
              <w:t>Since</w:t>
            </w:r>
            <w:r w:rsidR="00646B25" w:rsidRPr="00530CB6">
              <w:rPr>
                <w:rFonts w:ascii="Times New Roman" w:hAnsi="Times New Roman"/>
                <w:sz w:val="20"/>
                <w:szCs w:val="20"/>
              </w:rPr>
              <w:t xml:space="preserve"> 2015, UNDP consolidated its annual reporting on the implementation of the QCPR with the Administrator annual reporting</w:t>
            </w:r>
            <w:r w:rsidR="008E3F3B">
              <w:rPr>
                <w:rFonts w:ascii="Times New Roman" w:hAnsi="Times New Roman"/>
                <w:sz w:val="20"/>
                <w:szCs w:val="20"/>
              </w:rPr>
              <w:t>—</w:t>
            </w:r>
            <w:r w:rsidR="00646B25" w:rsidRPr="00530CB6">
              <w:rPr>
                <w:rFonts w:ascii="Times New Roman" w:hAnsi="Times New Roman"/>
                <w:sz w:val="20"/>
                <w:szCs w:val="20"/>
              </w:rPr>
              <w:t xml:space="preserve">in line with Economic and Social Council resolution 2013/5. </w:t>
            </w:r>
          </w:p>
          <w:p w14:paraId="70E83910" w14:textId="77777777" w:rsidR="00002801" w:rsidRPr="00530CB6" w:rsidRDefault="00002801">
            <w:pPr>
              <w:rPr>
                <w:rFonts w:ascii="Times New Roman" w:hAnsi="Times New Roman"/>
                <w:sz w:val="20"/>
                <w:szCs w:val="20"/>
              </w:rPr>
            </w:pPr>
          </w:p>
        </w:tc>
      </w:tr>
      <w:tr w:rsidR="00BD3B9C" w:rsidRPr="008B3686" w14:paraId="4670C610" w14:textId="77777777" w:rsidTr="00880567">
        <w:tc>
          <w:tcPr>
            <w:tcW w:w="4410" w:type="dxa"/>
          </w:tcPr>
          <w:p w14:paraId="551F9DA2" w14:textId="77777777" w:rsidR="00BD3B9C" w:rsidRPr="008B3686" w:rsidRDefault="00BD3B9C" w:rsidP="00BD3B9C">
            <w:pPr>
              <w:pStyle w:val="ListParagraph"/>
              <w:numPr>
                <w:ilvl w:val="0"/>
                <w:numId w:val="11"/>
              </w:numPr>
              <w:rPr>
                <w:rFonts w:ascii="Times New Roman" w:hAnsi="Times New Roman"/>
                <w:b/>
                <w:sz w:val="20"/>
                <w:szCs w:val="20"/>
              </w:rPr>
            </w:pPr>
            <w:r w:rsidRPr="008B3686">
              <w:rPr>
                <w:rFonts w:ascii="Times New Roman" w:hAnsi="Times New Roman"/>
                <w:b/>
                <w:sz w:val="20"/>
                <w:szCs w:val="20"/>
              </w:rPr>
              <w:lastRenderedPageBreak/>
              <w:t>RC System</w:t>
            </w:r>
            <w:r w:rsidR="00695CE1" w:rsidRPr="008B3686">
              <w:rPr>
                <w:rFonts w:ascii="Times New Roman" w:hAnsi="Times New Roman"/>
                <w:b/>
                <w:sz w:val="20"/>
                <w:szCs w:val="20"/>
              </w:rPr>
              <w:t xml:space="preserve"> (OP122-131)</w:t>
            </w:r>
          </w:p>
        </w:tc>
        <w:tc>
          <w:tcPr>
            <w:tcW w:w="2700" w:type="dxa"/>
          </w:tcPr>
          <w:p w14:paraId="38EF40D8" w14:textId="77777777" w:rsidR="00BD3B9C" w:rsidRPr="008B3686" w:rsidRDefault="00BD3B9C">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4D977503" w14:textId="77777777" w:rsidR="00BD3B9C" w:rsidRPr="008B3686" w:rsidRDefault="00BD3B9C">
            <w:pPr>
              <w:rPr>
                <w:rFonts w:ascii="Times New Roman" w:hAnsi="Times New Roman"/>
                <w:b/>
                <w:sz w:val="20"/>
                <w:szCs w:val="20"/>
              </w:rPr>
            </w:pPr>
            <w:r w:rsidRPr="008B3686">
              <w:rPr>
                <w:rFonts w:ascii="Times New Roman" w:hAnsi="Times New Roman"/>
                <w:b/>
                <w:sz w:val="20"/>
                <w:szCs w:val="20"/>
              </w:rPr>
              <w:t>Progress</w:t>
            </w:r>
          </w:p>
        </w:tc>
      </w:tr>
      <w:tr w:rsidR="00BD3B9C" w:rsidRPr="00530CB6" w14:paraId="459F66F7" w14:textId="77777777" w:rsidTr="00880567">
        <w:tc>
          <w:tcPr>
            <w:tcW w:w="4410" w:type="dxa"/>
          </w:tcPr>
          <w:p w14:paraId="6F6B22B6" w14:textId="77777777" w:rsidR="00BD3B9C" w:rsidRPr="00530CB6" w:rsidRDefault="00D72CDB" w:rsidP="00D72CDB">
            <w:pPr>
              <w:rPr>
                <w:rFonts w:ascii="Times New Roman" w:hAnsi="Times New Roman"/>
                <w:sz w:val="20"/>
                <w:szCs w:val="20"/>
              </w:rPr>
            </w:pPr>
            <w:r w:rsidRPr="00530CB6">
              <w:rPr>
                <w:rFonts w:ascii="Times New Roman" w:hAnsi="Times New Roman"/>
                <w:sz w:val="20"/>
                <w:szCs w:val="20"/>
              </w:rPr>
              <w:t>Improve the effectiveness of the resident coordinator system by:</w:t>
            </w:r>
          </w:p>
          <w:p w14:paraId="7C1F8438" w14:textId="77777777" w:rsidR="00D72CDB" w:rsidRPr="00530CB6" w:rsidRDefault="00D72CDB" w:rsidP="00D72CDB">
            <w:pPr>
              <w:pStyle w:val="ListParagraph"/>
              <w:numPr>
                <w:ilvl w:val="0"/>
                <w:numId w:val="16"/>
              </w:numPr>
              <w:rPr>
                <w:rFonts w:ascii="Times New Roman" w:hAnsi="Times New Roman"/>
                <w:sz w:val="20"/>
                <w:szCs w:val="20"/>
              </w:rPr>
            </w:pPr>
            <w:r w:rsidRPr="00530CB6">
              <w:rPr>
                <w:rFonts w:ascii="Times New Roman" w:hAnsi="Times New Roman"/>
                <w:sz w:val="20"/>
                <w:szCs w:val="20"/>
              </w:rPr>
              <w:t>Improving the way in which individuals are attracted, selected, trained, appraised and retained in the RC system</w:t>
            </w:r>
            <w:r w:rsidR="00567DD2" w:rsidRPr="00530CB6">
              <w:rPr>
                <w:rFonts w:ascii="Times New Roman" w:hAnsi="Times New Roman"/>
                <w:sz w:val="20"/>
                <w:szCs w:val="20"/>
              </w:rPr>
              <w:t xml:space="preserve"> (OP124 </w:t>
            </w:r>
            <w:r w:rsidR="00BC163F" w:rsidRPr="00530CB6">
              <w:rPr>
                <w:rFonts w:ascii="Times New Roman" w:hAnsi="Times New Roman"/>
                <w:sz w:val="20"/>
                <w:szCs w:val="20"/>
              </w:rPr>
              <w:t>a)</w:t>
            </w:r>
            <w:r w:rsidR="009F273E">
              <w:rPr>
                <w:rFonts w:ascii="Times New Roman" w:hAnsi="Times New Roman"/>
                <w:sz w:val="20"/>
                <w:szCs w:val="20"/>
              </w:rPr>
              <w:t>.</w:t>
            </w:r>
          </w:p>
          <w:p w14:paraId="60204BF5" w14:textId="77777777" w:rsidR="00BC163F" w:rsidRPr="00530CB6" w:rsidRDefault="00BC163F" w:rsidP="00D72CDB">
            <w:pPr>
              <w:pStyle w:val="ListParagraph"/>
              <w:numPr>
                <w:ilvl w:val="0"/>
                <w:numId w:val="16"/>
              </w:numPr>
              <w:rPr>
                <w:rFonts w:ascii="Times New Roman" w:hAnsi="Times New Roman"/>
                <w:sz w:val="20"/>
                <w:szCs w:val="20"/>
              </w:rPr>
            </w:pPr>
            <w:r w:rsidRPr="00530CB6">
              <w:rPr>
                <w:rFonts w:ascii="Times New Roman" w:hAnsi="Times New Roman"/>
                <w:sz w:val="20"/>
                <w:szCs w:val="20"/>
              </w:rPr>
              <w:t>Achieving diversification in the composition of resident coordinator system in terms of geographical distribution and gender (OP 124b)</w:t>
            </w:r>
            <w:r w:rsidR="009F273E">
              <w:rPr>
                <w:rFonts w:ascii="Times New Roman" w:hAnsi="Times New Roman"/>
                <w:sz w:val="20"/>
                <w:szCs w:val="20"/>
              </w:rPr>
              <w:t>.</w:t>
            </w:r>
          </w:p>
          <w:p w14:paraId="520EDA55" w14:textId="77777777" w:rsidR="00BC163F" w:rsidRPr="00530CB6" w:rsidRDefault="00BC163F" w:rsidP="00D72CDB">
            <w:pPr>
              <w:pStyle w:val="ListParagraph"/>
              <w:numPr>
                <w:ilvl w:val="0"/>
                <w:numId w:val="16"/>
              </w:numPr>
              <w:rPr>
                <w:rFonts w:ascii="Times New Roman" w:hAnsi="Times New Roman"/>
                <w:sz w:val="20"/>
                <w:szCs w:val="20"/>
              </w:rPr>
            </w:pPr>
            <w:r w:rsidRPr="00530CB6">
              <w:rPr>
                <w:rFonts w:ascii="Times New Roman" w:hAnsi="Times New Roman"/>
                <w:sz w:val="20"/>
                <w:szCs w:val="20"/>
              </w:rPr>
              <w:t xml:space="preserve">Ensuring </w:t>
            </w:r>
            <w:r w:rsidR="00CD2641" w:rsidRPr="00530CB6">
              <w:rPr>
                <w:rFonts w:ascii="Times New Roman" w:hAnsi="Times New Roman"/>
                <w:sz w:val="20"/>
                <w:szCs w:val="20"/>
              </w:rPr>
              <w:t>the participation of all UN agencies, funds and programmes on equal footing</w:t>
            </w:r>
            <w:r w:rsidR="00567DD2" w:rsidRPr="00530CB6">
              <w:rPr>
                <w:rFonts w:ascii="Times New Roman" w:hAnsi="Times New Roman"/>
                <w:sz w:val="20"/>
                <w:szCs w:val="20"/>
              </w:rPr>
              <w:t xml:space="preserve"> (OP124d)</w:t>
            </w:r>
            <w:r w:rsidR="009F273E">
              <w:rPr>
                <w:rFonts w:ascii="Times New Roman" w:hAnsi="Times New Roman"/>
                <w:sz w:val="20"/>
                <w:szCs w:val="20"/>
              </w:rPr>
              <w:t>.</w:t>
            </w:r>
          </w:p>
          <w:p w14:paraId="1EDAD10A" w14:textId="77777777" w:rsidR="00CD2641" w:rsidRPr="00530CB6" w:rsidRDefault="00AF445D" w:rsidP="00D72CDB">
            <w:pPr>
              <w:pStyle w:val="ListParagraph"/>
              <w:numPr>
                <w:ilvl w:val="0"/>
                <w:numId w:val="16"/>
              </w:numPr>
              <w:rPr>
                <w:rFonts w:ascii="Times New Roman" w:hAnsi="Times New Roman"/>
                <w:sz w:val="20"/>
                <w:szCs w:val="20"/>
              </w:rPr>
            </w:pPr>
            <w:r w:rsidRPr="00530CB6">
              <w:rPr>
                <w:rFonts w:ascii="Times New Roman" w:hAnsi="Times New Roman"/>
                <w:sz w:val="20"/>
                <w:szCs w:val="20"/>
              </w:rPr>
              <w:t>Appointing country directors, where cost effective</w:t>
            </w:r>
            <w:r w:rsidR="00DB2F27" w:rsidRPr="00530CB6">
              <w:rPr>
                <w:rFonts w:ascii="Times New Roman" w:hAnsi="Times New Roman"/>
                <w:sz w:val="20"/>
                <w:szCs w:val="20"/>
              </w:rPr>
              <w:t xml:space="preserve">, to run core programme activities, including </w:t>
            </w:r>
            <w:r w:rsidR="0069048C" w:rsidRPr="00530CB6">
              <w:rPr>
                <w:rFonts w:ascii="Times New Roman" w:hAnsi="Times New Roman"/>
                <w:sz w:val="20"/>
                <w:szCs w:val="20"/>
              </w:rPr>
              <w:t>fundraising</w:t>
            </w:r>
            <w:r w:rsidR="00DB2F27" w:rsidRPr="00530CB6">
              <w:rPr>
                <w:rFonts w:ascii="Times New Roman" w:hAnsi="Times New Roman"/>
                <w:sz w:val="20"/>
                <w:szCs w:val="20"/>
              </w:rPr>
              <w:t xml:space="preserve"> </w:t>
            </w:r>
            <w:r w:rsidR="00567DD2" w:rsidRPr="00530CB6">
              <w:rPr>
                <w:rFonts w:ascii="Times New Roman" w:hAnsi="Times New Roman"/>
                <w:sz w:val="20"/>
                <w:szCs w:val="20"/>
              </w:rPr>
              <w:t xml:space="preserve"> (OP</w:t>
            </w:r>
            <w:r w:rsidR="00DB2F27" w:rsidRPr="00530CB6">
              <w:rPr>
                <w:rFonts w:ascii="Times New Roman" w:hAnsi="Times New Roman"/>
                <w:sz w:val="20"/>
                <w:szCs w:val="20"/>
              </w:rPr>
              <w:t>124h</w:t>
            </w:r>
            <w:r w:rsidR="00567DD2" w:rsidRPr="00530CB6">
              <w:rPr>
                <w:rFonts w:ascii="Times New Roman" w:hAnsi="Times New Roman"/>
                <w:sz w:val="20"/>
                <w:szCs w:val="20"/>
              </w:rPr>
              <w:t>)</w:t>
            </w:r>
            <w:r w:rsidR="009F273E">
              <w:rPr>
                <w:rFonts w:ascii="Times New Roman" w:hAnsi="Times New Roman"/>
                <w:sz w:val="20"/>
                <w:szCs w:val="20"/>
              </w:rPr>
              <w:t>.</w:t>
            </w:r>
          </w:p>
        </w:tc>
        <w:tc>
          <w:tcPr>
            <w:tcW w:w="2700" w:type="dxa"/>
          </w:tcPr>
          <w:p w14:paraId="4B921E29" w14:textId="57D1D842" w:rsidR="00DF5899" w:rsidRPr="00530CB6" w:rsidRDefault="00DF5899" w:rsidP="00DF5899">
            <w:pPr>
              <w:pStyle w:val="Default"/>
              <w:rPr>
                <w:rFonts w:ascii="Times New Roman" w:hAnsi="Times New Roman"/>
                <w:sz w:val="20"/>
                <w:szCs w:val="20"/>
              </w:rPr>
            </w:pPr>
            <w:r w:rsidRPr="00530CB6">
              <w:rPr>
                <w:rFonts w:ascii="Times New Roman" w:hAnsi="Times New Roman"/>
                <w:sz w:val="20"/>
                <w:szCs w:val="20"/>
              </w:rPr>
              <w:t xml:space="preserve">% of </w:t>
            </w:r>
            <w:r w:rsidR="008B3686" w:rsidRPr="00530CB6">
              <w:rPr>
                <w:rFonts w:ascii="Times New Roman" w:hAnsi="Times New Roman"/>
                <w:sz w:val="20"/>
                <w:szCs w:val="20"/>
              </w:rPr>
              <w:t xml:space="preserve">RCs </w:t>
            </w:r>
            <w:r w:rsidR="008B3686">
              <w:rPr>
                <w:rFonts w:ascii="Times New Roman" w:hAnsi="Times New Roman"/>
                <w:sz w:val="20"/>
                <w:szCs w:val="20"/>
              </w:rPr>
              <w:t xml:space="preserve">who </w:t>
            </w:r>
            <w:r w:rsidR="008B3686" w:rsidRPr="00530CB6">
              <w:rPr>
                <w:rFonts w:ascii="Times New Roman" w:hAnsi="Times New Roman"/>
                <w:sz w:val="20"/>
                <w:szCs w:val="20"/>
              </w:rPr>
              <w:t>are</w:t>
            </w:r>
            <w:r w:rsidRPr="00530CB6">
              <w:rPr>
                <w:rFonts w:ascii="Times New Roman" w:hAnsi="Times New Roman"/>
                <w:sz w:val="20"/>
                <w:szCs w:val="20"/>
              </w:rPr>
              <w:t xml:space="preserve"> female </w:t>
            </w:r>
          </w:p>
          <w:p w14:paraId="3F9BE735" w14:textId="4A7AC60F" w:rsidR="00BD3B9C" w:rsidRPr="00530CB6" w:rsidRDefault="00DF5899" w:rsidP="00DF5899">
            <w:pPr>
              <w:rPr>
                <w:rFonts w:ascii="Times New Roman" w:hAnsi="Times New Roman"/>
                <w:sz w:val="20"/>
                <w:szCs w:val="20"/>
              </w:rPr>
            </w:pPr>
            <w:r w:rsidRPr="00530CB6">
              <w:rPr>
                <w:rFonts w:ascii="Times New Roman" w:hAnsi="Times New Roman"/>
                <w:sz w:val="20"/>
                <w:szCs w:val="20"/>
              </w:rPr>
              <w:t xml:space="preserve">% of RCs </w:t>
            </w:r>
            <w:r w:rsidR="008B3686">
              <w:rPr>
                <w:rFonts w:ascii="Times New Roman" w:hAnsi="Times New Roman"/>
                <w:sz w:val="20"/>
                <w:szCs w:val="20"/>
              </w:rPr>
              <w:t xml:space="preserve">who </w:t>
            </w:r>
            <w:r w:rsidR="008B3686" w:rsidRPr="00530CB6">
              <w:rPr>
                <w:rFonts w:ascii="Times New Roman" w:hAnsi="Times New Roman"/>
                <w:sz w:val="20"/>
                <w:szCs w:val="20"/>
              </w:rPr>
              <w:t>are</w:t>
            </w:r>
            <w:r w:rsidRPr="00530CB6">
              <w:rPr>
                <w:rFonts w:ascii="Times New Roman" w:hAnsi="Times New Roman"/>
                <w:sz w:val="20"/>
                <w:szCs w:val="20"/>
              </w:rPr>
              <w:t xml:space="preserve"> from “programme countries” </w:t>
            </w:r>
          </w:p>
        </w:tc>
        <w:tc>
          <w:tcPr>
            <w:tcW w:w="5850" w:type="dxa"/>
          </w:tcPr>
          <w:p w14:paraId="5B01ADB3" w14:textId="1F36BA2B" w:rsidR="00BA7B33" w:rsidRPr="00530CB6" w:rsidRDefault="004F20B7" w:rsidP="005C041D">
            <w:pPr>
              <w:pStyle w:val="ListParagraph"/>
              <w:numPr>
                <w:ilvl w:val="0"/>
                <w:numId w:val="18"/>
              </w:numPr>
              <w:rPr>
                <w:rFonts w:ascii="Times New Roman" w:hAnsi="Times New Roman" w:cs="Times New Roman"/>
                <w:sz w:val="20"/>
                <w:szCs w:val="20"/>
              </w:rPr>
            </w:pPr>
            <w:r w:rsidRPr="00530CB6">
              <w:rPr>
                <w:rFonts w:ascii="Times New Roman" w:hAnsi="Times New Roman" w:cs="Times New Roman"/>
                <w:sz w:val="20"/>
                <w:szCs w:val="20"/>
              </w:rPr>
              <w:t>The R</w:t>
            </w:r>
            <w:r w:rsidR="008E3F3B">
              <w:rPr>
                <w:rFonts w:ascii="Times New Roman" w:hAnsi="Times New Roman" w:cs="Times New Roman"/>
                <w:sz w:val="20"/>
                <w:szCs w:val="20"/>
              </w:rPr>
              <w:t xml:space="preserve">esident </w:t>
            </w:r>
            <w:r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Pr="00530CB6">
              <w:rPr>
                <w:rFonts w:ascii="Times New Roman" w:hAnsi="Times New Roman" w:cs="Times New Roman"/>
                <w:sz w:val="20"/>
                <w:szCs w:val="20"/>
              </w:rPr>
              <w:t xml:space="preserve"> job description has been revised to reflect the complex leadership position of the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Pr="00530CB6">
              <w:rPr>
                <w:rFonts w:ascii="Times New Roman" w:hAnsi="Times New Roman" w:cs="Times New Roman"/>
                <w:sz w:val="20"/>
                <w:szCs w:val="20"/>
              </w:rPr>
              <w:t xml:space="preserve">. </w:t>
            </w:r>
            <w:r w:rsidR="00DD4A0E" w:rsidRPr="00530CB6">
              <w:rPr>
                <w:rFonts w:ascii="Times New Roman" w:hAnsi="Times New Roman" w:cs="Times New Roman"/>
                <w:sz w:val="20"/>
                <w:szCs w:val="20"/>
              </w:rPr>
              <w:t xml:space="preserve">An updated and strengthened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008E3F3B">
              <w:rPr>
                <w:rFonts w:ascii="Times New Roman" w:hAnsi="Times New Roman" w:cs="Times New Roman"/>
                <w:sz w:val="20"/>
                <w:szCs w:val="20"/>
              </w:rPr>
              <w:t>i</w:t>
            </w:r>
            <w:r w:rsidR="00DD4A0E" w:rsidRPr="00530CB6">
              <w:rPr>
                <w:rFonts w:ascii="Times New Roman" w:hAnsi="Times New Roman" w:cs="Times New Roman"/>
                <w:sz w:val="20"/>
                <w:szCs w:val="20"/>
              </w:rPr>
              <w:t>nduction programme was designed to respond to the demands of the role and functions</w:t>
            </w:r>
            <w:r w:rsidR="000C0CA4" w:rsidRPr="00530CB6">
              <w:rPr>
                <w:rFonts w:ascii="Times New Roman" w:hAnsi="Times New Roman" w:cs="Times New Roman"/>
                <w:sz w:val="20"/>
                <w:szCs w:val="20"/>
              </w:rPr>
              <w:t xml:space="preserve">. The performance appraisals for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008E3F3B">
              <w:rPr>
                <w:rFonts w:ascii="Times New Roman" w:hAnsi="Times New Roman" w:cs="Times New Roman"/>
                <w:sz w:val="20"/>
                <w:szCs w:val="20"/>
              </w:rPr>
              <w:t xml:space="preserve">s </w:t>
            </w:r>
            <w:r w:rsidR="000C0CA4" w:rsidRPr="00530CB6">
              <w:rPr>
                <w:rFonts w:ascii="Times New Roman" w:hAnsi="Times New Roman" w:cs="Times New Roman"/>
                <w:sz w:val="20"/>
                <w:szCs w:val="20"/>
              </w:rPr>
              <w:t xml:space="preserve">and UNCTs have been significantly improved. </w:t>
            </w:r>
            <w:r w:rsidR="008E3F3B">
              <w:rPr>
                <w:rFonts w:ascii="Times New Roman" w:hAnsi="Times New Roman" w:cs="Times New Roman"/>
                <w:sz w:val="20"/>
                <w:szCs w:val="20"/>
              </w:rPr>
              <w:t>In 2016, t</w:t>
            </w:r>
            <w:r w:rsidR="000C0CA4" w:rsidRPr="00530CB6">
              <w:rPr>
                <w:rFonts w:ascii="Times New Roman" w:hAnsi="Times New Roman" w:cs="Times New Roman"/>
                <w:sz w:val="20"/>
                <w:szCs w:val="20"/>
              </w:rPr>
              <w:t xml:space="preserve">he UNDG </w:t>
            </w:r>
            <w:r w:rsidR="000100B0" w:rsidRPr="00530CB6">
              <w:rPr>
                <w:rFonts w:ascii="Times New Roman" w:hAnsi="Times New Roman" w:cs="Times New Roman"/>
                <w:sz w:val="20"/>
                <w:szCs w:val="20"/>
              </w:rPr>
              <w:t xml:space="preserve">rolled out </w:t>
            </w:r>
            <w:r w:rsidR="000C0CA4" w:rsidRPr="00530CB6">
              <w:rPr>
                <w:rFonts w:ascii="Times New Roman" w:hAnsi="Times New Roman" w:cs="Times New Roman"/>
                <w:sz w:val="20"/>
                <w:szCs w:val="20"/>
              </w:rPr>
              <w:t xml:space="preserve">the </w:t>
            </w:r>
            <w:r w:rsidR="009F2F94">
              <w:rPr>
                <w:rFonts w:ascii="Times New Roman" w:hAnsi="Times New Roman" w:cs="Times New Roman"/>
                <w:sz w:val="20"/>
                <w:szCs w:val="20"/>
              </w:rPr>
              <w:t>new</w:t>
            </w:r>
            <w:r w:rsidR="009F2F94" w:rsidRPr="00530CB6">
              <w:rPr>
                <w:rFonts w:ascii="Times New Roman" w:hAnsi="Times New Roman" w:cs="Times New Roman"/>
                <w:sz w:val="20"/>
                <w:szCs w:val="20"/>
              </w:rPr>
              <w:t xml:space="preserve"> </w:t>
            </w:r>
            <w:r w:rsidR="000C0CA4" w:rsidRPr="00530CB6">
              <w:rPr>
                <w:rFonts w:ascii="Times New Roman" w:hAnsi="Times New Roman" w:cs="Times New Roman"/>
                <w:sz w:val="20"/>
                <w:szCs w:val="20"/>
              </w:rPr>
              <w:t>A</w:t>
            </w:r>
            <w:r w:rsidR="009F2F94">
              <w:rPr>
                <w:rFonts w:ascii="Times New Roman" w:hAnsi="Times New Roman" w:cs="Times New Roman"/>
                <w:sz w:val="20"/>
                <w:szCs w:val="20"/>
              </w:rPr>
              <w:t>ssessment of Results and Competencies for Resident Coordinators (ARC)</w:t>
            </w:r>
            <w:r w:rsidR="008E3F3B">
              <w:rPr>
                <w:rFonts w:ascii="Times New Roman" w:hAnsi="Times New Roman" w:cs="Times New Roman"/>
                <w:sz w:val="20"/>
                <w:szCs w:val="20"/>
              </w:rPr>
              <w:t xml:space="preserve">, </w:t>
            </w:r>
            <w:r w:rsidR="000C0CA4" w:rsidRPr="00530CB6">
              <w:rPr>
                <w:rFonts w:ascii="Times New Roman" w:hAnsi="Times New Roman" w:cs="Times New Roman"/>
                <w:sz w:val="20"/>
                <w:szCs w:val="20"/>
              </w:rPr>
              <w:t xml:space="preserve">which is based on </w:t>
            </w:r>
            <w:r w:rsidR="008E3F3B">
              <w:rPr>
                <w:rFonts w:ascii="Times New Roman" w:hAnsi="Times New Roman" w:cs="Times New Roman"/>
                <w:sz w:val="20"/>
                <w:szCs w:val="20"/>
              </w:rPr>
              <w:t>a system of</w:t>
            </w:r>
            <w:r w:rsidR="008E3F3B" w:rsidRPr="00530CB6">
              <w:rPr>
                <w:rFonts w:ascii="Times New Roman" w:hAnsi="Times New Roman" w:cs="Times New Roman"/>
                <w:sz w:val="20"/>
                <w:szCs w:val="20"/>
              </w:rPr>
              <w:t xml:space="preserve"> </w:t>
            </w:r>
            <w:r w:rsidR="000C0CA4" w:rsidRPr="00530CB6">
              <w:rPr>
                <w:rFonts w:ascii="Times New Roman" w:hAnsi="Times New Roman" w:cs="Times New Roman"/>
                <w:sz w:val="20"/>
                <w:szCs w:val="20"/>
              </w:rPr>
              <w:t xml:space="preserve">mutual accountability and shared goals of what </w:t>
            </w:r>
            <w:r w:rsidR="008E3F3B">
              <w:rPr>
                <w:rFonts w:ascii="Times New Roman" w:hAnsi="Times New Roman" w:cs="Times New Roman"/>
                <w:sz w:val="20"/>
                <w:szCs w:val="20"/>
              </w:rPr>
              <w:t>the</w:t>
            </w:r>
            <w:r w:rsidR="008E3F3B" w:rsidRPr="00530CB6">
              <w:rPr>
                <w:rFonts w:ascii="Times New Roman" w:hAnsi="Times New Roman" w:cs="Times New Roman"/>
                <w:sz w:val="20"/>
                <w:szCs w:val="20"/>
              </w:rPr>
              <w:t xml:space="preserve"> </w:t>
            </w:r>
            <w:r w:rsidR="000C0CA4" w:rsidRPr="00530CB6">
              <w:rPr>
                <w:rFonts w:ascii="Times New Roman" w:hAnsi="Times New Roman" w:cs="Times New Roman"/>
                <w:sz w:val="20"/>
                <w:szCs w:val="20"/>
              </w:rPr>
              <w:t>U</w:t>
            </w:r>
            <w:r w:rsidR="008E3F3B">
              <w:rPr>
                <w:rFonts w:ascii="Times New Roman" w:hAnsi="Times New Roman" w:cs="Times New Roman"/>
                <w:sz w:val="20"/>
                <w:szCs w:val="20"/>
              </w:rPr>
              <w:t xml:space="preserve">nited </w:t>
            </w:r>
            <w:r w:rsidR="000C0CA4" w:rsidRPr="00530CB6">
              <w:rPr>
                <w:rFonts w:ascii="Times New Roman" w:hAnsi="Times New Roman" w:cs="Times New Roman"/>
                <w:sz w:val="20"/>
                <w:szCs w:val="20"/>
              </w:rPr>
              <w:t>N</w:t>
            </w:r>
            <w:r w:rsidR="008E3F3B">
              <w:rPr>
                <w:rFonts w:ascii="Times New Roman" w:hAnsi="Times New Roman" w:cs="Times New Roman"/>
                <w:sz w:val="20"/>
                <w:szCs w:val="20"/>
              </w:rPr>
              <w:t>ations</w:t>
            </w:r>
            <w:r w:rsidR="000C0CA4" w:rsidRPr="00530CB6">
              <w:rPr>
                <w:rFonts w:ascii="Times New Roman" w:hAnsi="Times New Roman" w:cs="Times New Roman"/>
                <w:sz w:val="20"/>
                <w:szCs w:val="20"/>
              </w:rPr>
              <w:t xml:space="preserve"> must deliver in country. </w:t>
            </w:r>
            <w:r w:rsidR="000F1918">
              <w:rPr>
                <w:rFonts w:ascii="Times New Roman" w:hAnsi="Times New Roman" w:cs="Times New Roman"/>
                <w:sz w:val="20"/>
                <w:szCs w:val="20"/>
              </w:rPr>
              <w:t>The ARC ensures a 360-degrees assessment between the</w:t>
            </w:r>
            <w:r w:rsidR="000C0CA4" w:rsidRPr="00530CB6">
              <w:rPr>
                <w:rFonts w:ascii="Times New Roman" w:hAnsi="Times New Roman" w:cs="Times New Roman"/>
                <w:sz w:val="20"/>
                <w:szCs w:val="20"/>
              </w:rPr>
              <w:t xml:space="preserve">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000C0CA4" w:rsidRPr="00530CB6">
              <w:rPr>
                <w:rFonts w:ascii="Times New Roman" w:hAnsi="Times New Roman" w:cs="Times New Roman"/>
                <w:sz w:val="20"/>
                <w:szCs w:val="20"/>
              </w:rPr>
              <w:t>and Heads of Agency</w:t>
            </w:r>
            <w:r w:rsidR="000F1918">
              <w:rPr>
                <w:rFonts w:ascii="Times New Roman" w:hAnsi="Times New Roman" w:cs="Times New Roman"/>
                <w:sz w:val="20"/>
                <w:szCs w:val="20"/>
              </w:rPr>
              <w:t xml:space="preserve"> at country level.</w:t>
            </w:r>
          </w:p>
          <w:p w14:paraId="6A7196DF" w14:textId="77777777" w:rsidR="00736AD6" w:rsidRPr="00530CB6" w:rsidRDefault="00B65F32" w:rsidP="005C041D">
            <w:pPr>
              <w:pStyle w:val="Default"/>
              <w:numPr>
                <w:ilvl w:val="0"/>
                <w:numId w:val="18"/>
              </w:numPr>
              <w:shd w:val="clear" w:color="auto" w:fill="FFFFFF" w:themeFill="background1"/>
              <w:rPr>
                <w:rFonts w:ascii="Times New Roman" w:hAnsi="Times New Roman"/>
                <w:sz w:val="20"/>
                <w:szCs w:val="20"/>
              </w:rPr>
            </w:pPr>
            <w:r w:rsidRPr="00530CB6">
              <w:rPr>
                <w:rFonts w:ascii="Times New Roman" w:hAnsi="Times New Roman"/>
                <w:sz w:val="20"/>
                <w:szCs w:val="20"/>
              </w:rPr>
              <w:t>By October 2016</w:t>
            </w:r>
            <w:r w:rsidR="009675EC" w:rsidRPr="00530CB6">
              <w:rPr>
                <w:rFonts w:ascii="Times New Roman" w:hAnsi="Times New Roman"/>
                <w:sz w:val="20"/>
                <w:szCs w:val="20"/>
              </w:rPr>
              <w:t xml:space="preserve">, </w:t>
            </w:r>
            <w:r w:rsidRPr="00530CB6">
              <w:rPr>
                <w:rFonts w:ascii="Times New Roman" w:hAnsi="Times New Roman"/>
                <w:sz w:val="20"/>
                <w:szCs w:val="20"/>
              </w:rPr>
              <w:t>4</w:t>
            </w:r>
            <w:r w:rsidR="00DD4A0E" w:rsidRPr="00530CB6">
              <w:rPr>
                <w:rFonts w:ascii="Times New Roman" w:hAnsi="Times New Roman"/>
                <w:sz w:val="20"/>
                <w:szCs w:val="20"/>
              </w:rPr>
              <w:t>3</w:t>
            </w:r>
            <w:r w:rsidRPr="00530CB6">
              <w:rPr>
                <w:rFonts w:ascii="Times New Roman" w:hAnsi="Times New Roman"/>
                <w:sz w:val="20"/>
                <w:szCs w:val="20"/>
              </w:rPr>
              <w:t xml:space="preserve">% of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oordinators</w:t>
            </w:r>
            <w:r w:rsidR="008E3F3B" w:rsidRPr="00530CB6">
              <w:rPr>
                <w:rFonts w:ascii="Times New Roman" w:hAnsi="Times New Roman" w:cs="Times New Roman"/>
                <w:sz w:val="20"/>
                <w:szCs w:val="20"/>
              </w:rPr>
              <w:t xml:space="preserve"> </w:t>
            </w:r>
            <w:r w:rsidRPr="00530CB6">
              <w:rPr>
                <w:rFonts w:ascii="Times New Roman" w:hAnsi="Times New Roman"/>
                <w:sz w:val="20"/>
                <w:szCs w:val="20"/>
              </w:rPr>
              <w:t>were women, 42% were from the global South, and 41% were from U</w:t>
            </w:r>
            <w:r w:rsidR="008E3F3B">
              <w:rPr>
                <w:rFonts w:ascii="Times New Roman" w:hAnsi="Times New Roman"/>
                <w:sz w:val="20"/>
                <w:szCs w:val="20"/>
              </w:rPr>
              <w:t xml:space="preserve">nited </w:t>
            </w:r>
            <w:r w:rsidRPr="00530CB6">
              <w:rPr>
                <w:rFonts w:ascii="Times New Roman" w:hAnsi="Times New Roman"/>
                <w:sz w:val="20"/>
                <w:szCs w:val="20"/>
              </w:rPr>
              <w:t>N</w:t>
            </w:r>
            <w:r w:rsidR="008E3F3B">
              <w:rPr>
                <w:rFonts w:ascii="Times New Roman" w:hAnsi="Times New Roman"/>
                <w:sz w:val="20"/>
                <w:szCs w:val="20"/>
              </w:rPr>
              <w:t>ations</w:t>
            </w:r>
            <w:r w:rsidRPr="00530CB6">
              <w:rPr>
                <w:rFonts w:ascii="Times New Roman" w:hAnsi="Times New Roman"/>
                <w:sz w:val="20"/>
                <w:szCs w:val="20"/>
              </w:rPr>
              <w:t xml:space="preserve"> </w:t>
            </w:r>
            <w:r w:rsidR="008E3F3B">
              <w:rPr>
                <w:rFonts w:ascii="Times New Roman" w:hAnsi="Times New Roman"/>
                <w:sz w:val="20"/>
                <w:szCs w:val="20"/>
              </w:rPr>
              <w:t>organizations</w:t>
            </w:r>
            <w:r w:rsidR="008E3F3B" w:rsidRPr="00530CB6">
              <w:rPr>
                <w:rFonts w:ascii="Times New Roman" w:hAnsi="Times New Roman"/>
                <w:sz w:val="20"/>
                <w:szCs w:val="20"/>
              </w:rPr>
              <w:t xml:space="preserve"> </w:t>
            </w:r>
            <w:r w:rsidRPr="00530CB6">
              <w:rPr>
                <w:rFonts w:ascii="Times New Roman" w:hAnsi="Times New Roman"/>
                <w:sz w:val="20"/>
                <w:szCs w:val="20"/>
              </w:rPr>
              <w:t>other than UNDP</w:t>
            </w:r>
            <w:r w:rsidR="00317644" w:rsidRPr="00530CB6">
              <w:rPr>
                <w:rFonts w:ascii="Times New Roman" w:hAnsi="Times New Roman"/>
                <w:sz w:val="20"/>
                <w:szCs w:val="20"/>
              </w:rPr>
              <w:t>.</w:t>
            </w:r>
          </w:p>
          <w:p w14:paraId="22B5E9F7" w14:textId="77777777" w:rsidR="004C0B56" w:rsidRPr="00530CB6" w:rsidRDefault="004C0B56" w:rsidP="004E2626">
            <w:pPr>
              <w:pStyle w:val="Default"/>
              <w:numPr>
                <w:ilvl w:val="0"/>
                <w:numId w:val="18"/>
              </w:numPr>
              <w:shd w:val="clear" w:color="auto" w:fill="FFFFFF" w:themeFill="background1"/>
              <w:rPr>
                <w:rFonts w:ascii="Times New Roman" w:hAnsi="Times New Roman"/>
                <w:color w:val="000000" w:themeColor="text1"/>
                <w:sz w:val="20"/>
                <w:szCs w:val="20"/>
              </w:rPr>
            </w:pPr>
            <w:r w:rsidRPr="00530CB6">
              <w:rPr>
                <w:rFonts w:ascii="Times New Roman" w:hAnsi="Times New Roman"/>
                <w:color w:val="000000" w:themeColor="text1"/>
                <w:sz w:val="20"/>
                <w:szCs w:val="20"/>
              </w:rPr>
              <w:t>All U</w:t>
            </w:r>
            <w:r w:rsidR="008E3F3B">
              <w:rPr>
                <w:rFonts w:ascii="Times New Roman" w:hAnsi="Times New Roman"/>
                <w:color w:val="000000" w:themeColor="text1"/>
                <w:sz w:val="20"/>
                <w:szCs w:val="20"/>
              </w:rPr>
              <w:t xml:space="preserve">nited </w:t>
            </w:r>
            <w:r w:rsidRPr="00530CB6">
              <w:rPr>
                <w:rFonts w:ascii="Times New Roman" w:hAnsi="Times New Roman"/>
                <w:color w:val="000000" w:themeColor="text1"/>
                <w:sz w:val="20"/>
                <w:szCs w:val="20"/>
              </w:rPr>
              <w:t>N</w:t>
            </w:r>
            <w:r w:rsidR="008E3F3B">
              <w:rPr>
                <w:rFonts w:ascii="Times New Roman" w:hAnsi="Times New Roman"/>
                <w:color w:val="000000" w:themeColor="text1"/>
                <w:sz w:val="20"/>
                <w:szCs w:val="20"/>
              </w:rPr>
              <w:t>ations</w:t>
            </w:r>
            <w:r w:rsidRPr="00530CB6">
              <w:rPr>
                <w:rFonts w:ascii="Times New Roman" w:hAnsi="Times New Roman"/>
                <w:color w:val="000000" w:themeColor="text1"/>
                <w:sz w:val="20"/>
                <w:szCs w:val="20"/>
              </w:rPr>
              <w:t xml:space="preserve"> agencies, funds and programmes may nominate successfully assessed candidates for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Pr="00530CB6">
              <w:rPr>
                <w:rFonts w:ascii="Times New Roman" w:hAnsi="Times New Roman"/>
                <w:color w:val="000000" w:themeColor="text1"/>
                <w:sz w:val="20"/>
                <w:szCs w:val="20"/>
              </w:rPr>
              <w:t xml:space="preserve">vacancies. </w:t>
            </w:r>
            <w:r w:rsidR="00BD03BA" w:rsidRPr="00530CB6">
              <w:rPr>
                <w:rFonts w:ascii="Times New Roman" w:hAnsi="Times New Roman"/>
                <w:color w:val="000000" w:themeColor="text1"/>
                <w:sz w:val="20"/>
                <w:szCs w:val="20"/>
              </w:rPr>
              <w:t xml:space="preserve">In </w:t>
            </w:r>
            <w:r w:rsidR="00A52A41" w:rsidRPr="00530CB6">
              <w:rPr>
                <w:rFonts w:ascii="Times New Roman" w:hAnsi="Times New Roman"/>
                <w:color w:val="000000" w:themeColor="text1"/>
                <w:sz w:val="20"/>
                <w:szCs w:val="20"/>
              </w:rPr>
              <w:t xml:space="preserve">2016, 86 </w:t>
            </w:r>
            <w:r w:rsidR="009B5F52" w:rsidRPr="00530CB6">
              <w:rPr>
                <w:rFonts w:ascii="Times New Roman" w:hAnsi="Times New Roman"/>
                <w:color w:val="000000" w:themeColor="text1"/>
                <w:sz w:val="20"/>
                <w:szCs w:val="20"/>
              </w:rPr>
              <w:t xml:space="preserve">candidates were nominated for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009B5F52" w:rsidRPr="00530CB6">
              <w:rPr>
                <w:rFonts w:ascii="Times New Roman" w:hAnsi="Times New Roman"/>
                <w:color w:val="000000" w:themeColor="text1"/>
                <w:sz w:val="20"/>
                <w:szCs w:val="20"/>
              </w:rPr>
              <w:t>vacancies, of which 44 came of the broader U</w:t>
            </w:r>
            <w:r w:rsidR="008E3F3B">
              <w:rPr>
                <w:rFonts w:ascii="Times New Roman" w:hAnsi="Times New Roman"/>
                <w:color w:val="000000" w:themeColor="text1"/>
                <w:sz w:val="20"/>
                <w:szCs w:val="20"/>
              </w:rPr>
              <w:t xml:space="preserve">nited </w:t>
            </w:r>
            <w:r w:rsidR="009B5F52" w:rsidRPr="00530CB6">
              <w:rPr>
                <w:rFonts w:ascii="Times New Roman" w:hAnsi="Times New Roman"/>
                <w:color w:val="000000" w:themeColor="text1"/>
                <w:sz w:val="20"/>
                <w:szCs w:val="20"/>
              </w:rPr>
              <w:t>N</w:t>
            </w:r>
            <w:r w:rsidR="008E3F3B">
              <w:rPr>
                <w:rFonts w:ascii="Times New Roman" w:hAnsi="Times New Roman"/>
                <w:color w:val="000000" w:themeColor="text1"/>
                <w:sz w:val="20"/>
                <w:szCs w:val="20"/>
              </w:rPr>
              <w:t>ations</w:t>
            </w:r>
            <w:r w:rsidR="009B5F52" w:rsidRPr="00530CB6">
              <w:rPr>
                <w:rFonts w:ascii="Times New Roman" w:hAnsi="Times New Roman"/>
                <w:color w:val="000000" w:themeColor="text1"/>
                <w:sz w:val="20"/>
                <w:szCs w:val="20"/>
              </w:rPr>
              <w:t xml:space="preserve"> system, and 42 from UNDP.</w:t>
            </w:r>
            <w:r w:rsidR="00A75113" w:rsidRPr="00530CB6">
              <w:rPr>
                <w:rFonts w:ascii="Times New Roman" w:hAnsi="Times New Roman"/>
                <w:color w:val="000000" w:themeColor="text1"/>
                <w:sz w:val="20"/>
                <w:szCs w:val="20"/>
              </w:rPr>
              <w:t xml:space="preserve"> </w:t>
            </w:r>
            <w:r w:rsidR="008E3F3B">
              <w:rPr>
                <w:rFonts w:ascii="Times New Roman" w:hAnsi="Times New Roman"/>
                <w:color w:val="000000" w:themeColor="text1"/>
                <w:sz w:val="20"/>
                <w:szCs w:val="20"/>
              </w:rPr>
              <w:t>Eighteen</w:t>
            </w:r>
            <w:r w:rsidR="008E3F3B" w:rsidRPr="00530CB6">
              <w:rPr>
                <w:rFonts w:ascii="Times New Roman" w:hAnsi="Times New Roman"/>
                <w:color w:val="000000" w:themeColor="text1"/>
                <w:sz w:val="20"/>
                <w:szCs w:val="20"/>
              </w:rPr>
              <w:t xml:space="preserve"> </w:t>
            </w:r>
            <w:r w:rsidR="00A75113" w:rsidRPr="00530CB6">
              <w:rPr>
                <w:rFonts w:ascii="Times New Roman" w:hAnsi="Times New Roman"/>
                <w:color w:val="000000" w:themeColor="text1"/>
                <w:sz w:val="20"/>
                <w:szCs w:val="20"/>
              </w:rPr>
              <w:t>different U</w:t>
            </w:r>
            <w:r w:rsidR="008E3F3B">
              <w:rPr>
                <w:rFonts w:ascii="Times New Roman" w:hAnsi="Times New Roman"/>
                <w:color w:val="000000" w:themeColor="text1"/>
                <w:sz w:val="20"/>
                <w:szCs w:val="20"/>
              </w:rPr>
              <w:t xml:space="preserve">nited </w:t>
            </w:r>
            <w:r w:rsidR="00A75113" w:rsidRPr="00530CB6">
              <w:rPr>
                <w:rFonts w:ascii="Times New Roman" w:hAnsi="Times New Roman"/>
                <w:color w:val="000000" w:themeColor="text1"/>
                <w:sz w:val="20"/>
                <w:szCs w:val="20"/>
              </w:rPr>
              <w:t>N</w:t>
            </w:r>
            <w:r w:rsidR="008E3F3B">
              <w:rPr>
                <w:rFonts w:ascii="Times New Roman" w:hAnsi="Times New Roman"/>
                <w:color w:val="000000" w:themeColor="text1"/>
                <w:sz w:val="20"/>
                <w:szCs w:val="20"/>
              </w:rPr>
              <w:t>ations</w:t>
            </w:r>
            <w:r w:rsidR="00A75113" w:rsidRPr="00530CB6">
              <w:rPr>
                <w:rFonts w:ascii="Times New Roman" w:hAnsi="Times New Roman"/>
                <w:color w:val="000000" w:themeColor="text1"/>
                <w:sz w:val="20"/>
                <w:szCs w:val="20"/>
              </w:rPr>
              <w:t xml:space="preserve"> </w:t>
            </w:r>
            <w:r w:rsidR="00534960" w:rsidRPr="00530CB6">
              <w:rPr>
                <w:rFonts w:ascii="Times New Roman" w:hAnsi="Times New Roman"/>
                <w:color w:val="000000" w:themeColor="text1"/>
                <w:sz w:val="20"/>
                <w:szCs w:val="20"/>
              </w:rPr>
              <w:t xml:space="preserve">entities put forward candidates for the </w:t>
            </w:r>
            <w:r w:rsidR="008E3F3B" w:rsidRPr="00530CB6">
              <w:rPr>
                <w:rFonts w:ascii="Times New Roman" w:hAnsi="Times New Roman" w:cs="Times New Roman"/>
                <w:sz w:val="20"/>
                <w:szCs w:val="20"/>
              </w:rPr>
              <w:t>R</w:t>
            </w:r>
            <w:r w:rsidR="008E3F3B">
              <w:rPr>
                <w:rFonts w:ascii="Times New Roman" w:hAnsi="Times New Roman" w:cs="Times New Roman"/>
                <w:sz w:val="20"/>
                <w:szCs w:val="20"/>
              </w:rPr>
              <w:t xml:space="preserve">esident </w:t>
            </w:r>
            <w:r w:rsidR="008E3F3B" w:rsidRPr="00530CB6">
              <w:rPr>
                <w:rFonts w:ascii="Times New Roman" w:hAnsi="Times New Roman" w:cs="Times New Roman"/>
                <w:sz w:val="20"/>
                <w:szCs w:val="20"/>
              </w:rPr>
              <w:t>C</w:t>
            </w:r>
            <w:r w:rsidR="008E3F3B">
              <w:rPr>
                <w:rFonts w:ascii="Times New Roman" w:hAnsi="Times New Roman" w:cs="Times New Roman"/>
                <w:sz w:val="20"/>
                <w:szCs w:val="20"/>
              </w:rPr>
              <w:t>oordinator</w:t>
            </w:r>
            <w:r w:rsidR="008E3F3B" w:rsidRPr="00530CB6">
              <w:rPr>
                <w:rFonts w:ascii="Times New Roman" w:hAnsi="Times New Roman" w:cs="Times New Roman"/>
                <w:sz w:val="20"/>
                <w:szCs w:val="20"/>
              </w:rPr>
              <w:t xml:space="preserve"> </w:t>
            </w:r>
            <w:r w:rsidR="00534960" w:rsidRPr="00530CB6">
              <w:rPr>
                <w:rFonts w:ascii="Times New Roman" w:hAnsi="Times New Roman"/>
                <w:color w:val="000000" w:themeColor="text1"/>
                <w:sz w:val="20"/>
                <w:szCs w:val="20"/>
              </w:rPr>
              <w:t xml:space="preserve">Assessment Centre. </w:t>
            </w:r>
          </w:p>
          <w:p w14:paraId="37DD735C" w14:textId="77777777" w:rsidR="00190CFD" w:rsidRPr="00530CB6" w:rsidRDefault="00C47479" w:rsidP="00696F54">
            <w:pPr>
              <w:pStyle w:val="Default"/>
              <w:numPr>
                <w:ilvl w:val="0"/>
                <w:numId w:val="18"/>
              </w:numPr>
              <w:rPr>
                <w:rFonts w:ascii="Times New Roman" w:hAnsi="Times New Roman"/>
                <w:sz w:val="20"/>
                <w:szCs w:val="20"/>
              </w:rPr>
            </w:pPr>
            <w:r w:rsidRPr="00530CB6">
              <w:rPr>
                <w:rFonts w:ascii="Times New Roman" w:hAnsi="Times New Roman"/>
                <w:sz w:val="20"/>
                <w:szCs w:val="20"/>
              </w:rPr>
              <w:t xml:space="preserve">UNDP improved the functionality of the firewall by ensuring that </w:t>
            </w:r>
            <w:r w:rsidR="00696F54">
              <w:rPr>
                <w:rFonts w:ascii="Times New Roman" w:hAnsi="Times New Roman"/>
                <w:sz w:val="20"/>
                <w:szCs w:val="20"/>
              </w:rPr>
              <w:t>Resident Coordinators/</w:t>
            </w:r>
            <w:r w:rsidRPr="00530CB6">
              <w:rPr>
                <w:rFonts w:ascii="Times New Roman" w:hAnsi="Times New Roman"/>
                <w:sz w:val="20"/>
                <w:szCs w:val="20"/>
              </w:rPr>
              <w:t xml:space="preserve">Resident </w:t>
            </w:r>
            <w:r w:rsidR="00696F54">
              <w:rPr>
                <w:rFonts w:ascii="Times New Roman" w:hAnsi="Times New Roman"/>
                <w:sz w:val="20"/>
                <w:szCs w:val="20"/>
              </w:rPr>
              <w:t>Representatives (RC/RR)</w:t>
            </w:r>
            <w:r w:rsidR="00696F54" w:rsidRPr="00530CB6">
              <w:rPr>
                <w:rFonts w:ascii="Times New Roman" w:hAnsi="Times New Roman"/>
                <w:sz w:val="20"/>
                <w:szCs w:val="20"/>
              </w:rPr>
              <w:t xml:space="preserve"> </w:t>
            </w:r>
            <w:r w:rsidRPr="00530CB6">
              <w:rPr>
                <w:rFonts w:ascii="Times New Roman" w:hAnsi="Times New Roman"/>
                <w:sz w:val="20"/>
                <w:szCs w:val="20"/>
              </w:rPr>
              <w:t>sign letters of delegation of authority</w:t>
            </w:r>
            <w:r w:rsidR="00FB67F6" w:rsidRPr="00530CB6">
              <w:rPr>
                <w:rFonts w:ascii="Times New Roman" w:hAnsi="Times New Roman"/>
                <w:sz w:val="20"/>
                <w:szCs w:val="20"/>
              </w:rPr>
              <w:t xml:space="preserve"> </w:t>
            </w:r>
            <w:r w:rsidR="008E3F3B">
              <w:rPr>
                <w:rFonts w:ascii="Times New Roman" w:hAnsi="Times New Roman"/>
                <w:sz w:val="20"/>
                <w:szCs w:val="20"/>
              </w:rPr>
              <w:t>for</w:t>
            </w:r>
            <w:r w:rsidR="008E3F3B" w:rsidRPr="00530CB6">
              <w:rPr>
                <w:rFonts w:ascii="Times New Roman" w:hAnsi="Times New Roman"/>
                <w:sz w:val="20"/>
                <w:szCs w:val="20"/>
              </w:rPr>
              <w:t xml:space="preserve"> </w:t>
            </w:r>
            <w:r w:rsidR="00FB67F6" w:rsidRPr="00530CB6">
              <w:rPr>
                <w:rFonts w:ascii="Times New Roman" w:hAnsi="Times New Roman"/>
                <w:sz w:val="20"/>
                <w:szCs w:val="20"/>
              </w:rPr>
              <w:t>UNDP responsibilities</w:t>
            </w:r>
            <w:r w:rsidR="00AA1601" w:rsidRPr="00530CB6">
              <w:rPr>
                <w:rFonts w:ascii="Times New Roman" w:hAnsi="Times New Roman"/>
                <w:sz w:val="20"/>
                <w:szCs w:val="20"/>
              </w:rPr>
              <w:t xml:space="preserve">, </w:t>
            </w:r>
            <w:r w:rsidR="00AA1601" w:rsidRPr="00530CB6">
              <w:rPr>
                <w:rFonts w:ascii="Times New Roman" w:hAnsi="Times New Roman" w:cs="Times New Roman"/>
                <w:sz w:val="20"/>
                <w:szCs w:val="20"/>
              </w:rPr>
              <w:t>including for resource mobilization</w:t>
            </w:r>
            <w:r w:rsidR="00696F54">
              <w:rPr>
                <w:rFonts w:ascii="Times New Roman" w:hAnsi="Times New Roman" w:cs="Times New Roman"/>
                <w:sz w:val="20"/>
                <w:szCs w:val="20"/>
              </w:rPr>
              <w:t xml:space="preserve"> with</w:t>
            </w:r>
            <w:r w:rsidR="00AA1601" w:rsidRPr="00530CB6">
              <w:rPr>
                <w:rFonts w:ascii="Times New Roman" w:hAnsi="Times New Roman" w:cs="Times New Roman"/>
                <w:sz w:val="20"/>
                <w:szCs w:val="20"/>
              </w:rPr>
              <w:t xml:space="preserve"> the UNDP country director</w:t>
            </w:r>
            <w:r w:rsidR="004F20B7" w:rsidRPr="00530CB6">
              <w:rPr>
                <w:rFonts w:ascii="Times New Roman" w:hAnsi="Times New Roman" w:cs="Times New Roman"/>
                <w:sz w:val="20"/>
                <w:szCs w:val="20"/>
              </w:rPr>
              <w:t xml:space="preserve">. </w:t>
            </w:r>
            <w:r w:rsidR="000F3E63" w:rsidRPr="00530CB6">
              <w:rPr>
                <w:rFonts w:ascii="Times New Roman" w:hAnsi="Times New Roman" w:cs="Times New Roman"/>
                <w:sz w:val="20"/>
                <w:szCs w:val="20"/>
              </w:rPr>
              <w:t xml:space="preserve">According to </w:t>
            </w:r>
            <w:r w:rsidR="008E3F3B">
              <w:rPr>
                <w:rFonts w:ascii="Times New Roman" w:hAnsi="Times New Roman" w:cs="Times New Roman"/>
                <w:sz w:val="20"/>
                <w:szCs w:val="20"/>
              </w:rPr>
              <w:t>a</w:t>
            </w:r>
            <w:r w:rsidR="008E3F3B" w:rsidRPr="00530CB6">
              <w:rPr>
                <w:rFonts w:ascii="Times New Roman" w:hAnsi="Times New Roman" w:cs="Times New Roman"/>
                <w:sz w:val="20"/>
                <w:szCs w:val="20"/>
              </w:rPr>
              <w:t xml:space="preserve"> </w:t>
            </w:r>
            <w:r w:rsidR="000F3E63" w:rsidRPr="00530CB6">
              <w:rPr>
                <w:rFonts w:ascii="Times New Roman" w:hAnsi="Times New Roman" w:cs="Times New Roman"/>
                <w:sz w:val="20"/>
                <w:szCs w:val="20"/>
              </w:rPr>
              <w:t xml:space="preserve">survey of </w:t>
            </w:r>
            <w:r w:rsidR="008E3F3B">
              <w:rPr>
                <w:rFonts w:ascii="Times New Roman" w:hAnsi="Times New Roman" w:cs="Times New Roman"/>
                <w:sz w:val="20"/>
                <w:szCs w:val="20"/>
              </w:rPr>
              <w:t>R</w:t>
            </w:r>
            <w:r w:rsidR="000F3E63" w:rsidRPr="00530CB6">
              <w:rPr>
                <w:rFonts w:ascii="Times New Roman" w:hAnsi="Times New Roman" w:cs="Times New Roman"/>
                <w:sz w:val="20"/>
                <w:szCs w:val="20"/>
              </w:rPr>
              <w:t xml:space="preserve">esident </w:t>
            </w:r>
            <w:r w:rsidR="008E3F3B">
              <w:rPr>
                <w:rFonts w:ascii="Times New Roman" w:hAnsi="Times New Roman" w:cs="Times New Roman"/>
                <w:sz w:val="20"/>
                <w:szCs w:val="20"/>
              </w:rPr>
              <w:t>C</w:t>
            </w:r>
            <w:r w:rsidR="000F3E63" w:rsidRPr="00530CB6">
              <w:rPr>
                <w:rFonts w:ascii="Times New Roman" w:hAnsi="Times New Roman" w:cs="Times New Roman"/>
                <w:sz w:val="20"/>
                <w:szCs w:val="20"/>
              </w:rPr>
              <w:t>oordinators in 2016, delegation-of-authority letters have been put into effect</w:t>
            </w:r>
            <w:r w:rsidR="008E3F3B">
              <w:rPr>
                <w:rFonts w:ascii="Times New Roman" w:hAnsi="Times New Roman" w:cs="Times New Roman"/>
                <w:sz w:val="20"/>
                <w:szCs w:val="20"/>
              </w:rPr>
              <w:t xml:space="preserve"> in </w:t>
            </w:r>
            <w:r w:rsidR="00696F54">
              <w:rPr>
                <w:rFonts w:ascii="Times New Roman" w:hAnsi="Times New Roman" w:cs="Times New Roman"/>
                <w:sz w:val="20"/>
                <w:szCs w:val="20"/>
              </w:rPr>
              <w:t>91</w:t>
            </w:r>
            <w:r w:rsidR="00696F54" w:rsidRPr="00530CB6">
              <w:rPr>
                <w:rFonts w:ascii="Times New Roman" w:hAnsi="Times New Roman" w:cs="Times New Roman"/>
                <w:sz w:val="20"/>
                <w:szCs w:val="20"/>
              </w:rPr>
              <w:t xml:space="preserve"> </w:t>
            </w:r>
            <w:r w:rsidR="008E3F3B" w:rsidRPr="00530CB6">
              <w:rPr>
                <w:rFonts w:ascii="Times New Roman" w:hAnsi="Times New Roman" w:cs="Times New Roman"/>
                <w:sz w:val="20"/>
                <w:szCs w:val="20"/>
              </w:rPr>
              <w:t>per cent of countries where UNDP ha</w:t>
            </w:r>
            <w:r w:rsidR="00696F54">
              <w:rPr>
                <w:rFonts w:ascii="Times New Roman" w:hAnsi="Times New Roman" w:cs="Times New Roman"/>
                <w:sz w:val="20"/>
                <w:szCs w:val="20"/>
              </w:rPr>
              <w:t>d</w:t>
            </w:r>
            <w:r w:rsidR="008E3F3B" w:rsidRPr="00530CB6">
              <w:rPr>
                <w:rFonts w:ascii="Times New Roman" w:hAnsi="Times New Roman" w:cs="Times New Roman"/>
                <w:sz w:val="20"/>
                <w:szCs w:val="20"/>
              </w:rPr>
              <w:t xml:space="preserve"> a country director</w:t>
            </w:r>
            <w:r w:rsidR="00696F54">
              <w:rPr>
                <w:rFonts w:ascii="Times New Roman" w:hAnsi="Times New Roman" w:cs="Times New Roman"/>
                <w:sz w:val="20"/>
                <w:szCs w:val="20"/>
              </w:rPr>
              <w:t xml:space="preserve"> as well as in 95 per cent of countries where the second official was a Deputy Resident Representative</w:t>
            </w:r>
            <w:r w:rsidR="000F3E63" w:rsidRPr="00530CB6">
              <w:rPr>
                <w:rFonts w:ascii="Times New Roman" w:hAnsi="Times New Roman" w:cs="Times New Roman"/>
                <w:sz w:val="20"/>
                <w:szCs w:val="20"/>
              </w:rPr>
              <w:t xml:space="preserve">. </w:t>
            </w:r>
            <w:r w:rsidR="0063195B">
              <w:rPr>
                <w:rFonts w:ascii="Times New Roman" w:hAnsi="Times New Roman" w:cs="Times New Roman"/>
                <w:sz w:val="20"/>
                <w:szCs w:val="20"/>
              </w:rPr>
              <w:t xml:space="preserve"> </w:t>
            </w:r>
          </w:p>
        </w:tc>
      </w:tr>
      <w:tr w:rsidR="00BD3B9C" w:rsidRPr="008B3686" w14:paraId="2976002A" w14:textId="77777777" w:rsidTr="00880567">
        <w:tc>
          <w:tcPr>
            <w:tcW w:w="4410" w:type="dxa"/>
          </w:tcPr>
          <w:p w14:paraId="0F3DE3B5" w14:textId="77777777" w:rsidR="00BD3B9C" w:rsidRPr="008B3686" w:rsidRDefault="00BD3B9C" w:rsidP="00BD3B9C">
            <w:pPr>
              <w:pStyle w:val="ListParagraph"/>
              <w:numPr>
                <w:ilvl w:val="0"/>
                <w:numId w:val="11"/>
              </w:numPr>
              <w:rPr>
                <w:rFonts w:ascii="Times New Roman" w:hAnsi="Times New Roman"/>
                <w:b/>
                <w:sz w:val="20"/>
                <w:szCs w:val="20"/>
              </w:rPr>
            </w:pPr>
            <w:r w:rsidRPr="008B3686">
              <w:rPr>
                <w:rFonts w:ascii="Times New Roman" w:hAnsi="Times New Roman"/>
                <w:b/>
                <w:sz w:val="20"/>
                <w:szCs w:val="20"/>
              </w:rPr>
              <w:t>DaO</w:t>
            </w:r>
            <w:r w:rsidR="00695CE1" w:rsidRPr="008B3686">
              <w:rPr>
                <w:rFonts w:ascii="Times New Roman" w:hAnsi="Times New Roman"/>
                <w:b/>
                <w:sz w:val="20"/>
                <w:szCs w:val="20"/>
              </w:rPr>
              <w:t xml:space="preserve"> (OP132-143)</w:t>
            </w:r>
          </w:p>
        </w:tc>
        <w:tc>
          <w:tcPr>
            <w:tcW w:w="2700" w:type="dxa"/>
          </w:tcPr>
          <w:p w14:paraId="54553F4A" w14:textId="77777777" w:rsidR="00BD3B9C" w:rsidRPr="008B3686" w:rsidRDefault="005E620D">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6569DDFC" w14:textId="77777777" w:rsidR="00BD3B9C" w:rsidRPr="008B3686" w:rsidRDefault="005E620D">
            <w:pPr>
              <w:rPr>
                <w:rFonts w:ascii="Times New Roman" w:hAnsi="Times New Roman"/>
                <w:b/>
                <w:sz w:val="20"/>
                <w:szCs w:val="20"/>
              </w:rPr>
            </w:pPr>
            <w:r w:rsidRPr="008B3686">
              <w:rPr>
                <w:rFonts w:ascii="Times New Roman" w:hAnsi="Times New Roman"/>
                <w:b/>
                <w:sz w:val="20"/>
                <w:szCs w:val="20"/>
              </w:rPr>
              <w:t>Progress</w:t>
            </w:r>
          </w:p>
        </w:tc>
      </w:tr>
      <w:tr w:rsidR="00BD3B9C" w:rsidRPr="00530CB6" w14:paraId="0E51BFA0" w14:textId="77777777" w:rsidTr="00880567">
        <w:tc>
          <w:tcPr>
            <w:tcW w:w="4410" w:type="dxa"/>
          </w:tcPr>
          <w:p w14:paraId="2EF10926" w14:textId="77777777" w:rsidR="001A346E" w:rsidRPr="00530CB6" w:rsidRDefault="00EA52F3" w:rsidP="00EA52F3">
            <w:pPr>
              <w:pStyle w:val="Default"/>
              <w:numPr>
                <w:ilvl w:val="0"/>
                <w:numId w:val="20"/>
              </w:numPr>
              <w:rPr>
                <w:rFonts w:ascii="Times New Roman" w:hAnsi="Times New Roman"/>
                <w:sz w:val="20"/>
                <w:szCs w:val="20"/>
              </w:rPr>
            </w:pPr>
            <w:r w:rsidRPr="00530CB6">
              <w:rPr>
                <w:rFonts w:ascii="Times New Roman" w:hAnsi="Times New Roman"/>
                <w:bCs/>
                <w:sz w:val="20"/>
                <w:szCs w:val="20"/>
              </w:rPr>
              <w:t xml:space="preserve">Providing programme countries that are considering adoption of the “Delivering as one” approach with information </w:t>
            </w:r>
            <w:r w:rsidRPr="00530CB6">
              <w:rPr>
                <w:rFonts w:ascii="Times New Roman" w:hAnsi="Times New Roman"/>
                <w:sz w:val="20"/>
                <w:szCs w:val="20"/>
              </w:rPr>
              <w:t xml:space="preserve">on issues such as </w:t>
            </w:r>
            <w:r w:rsidRPr="00530CB6">
              <w:rPr>
                <w:rFonts w:ascii="Times New Roman" w:hAnsi="Times New Roman"/>
                <w:sz w:val="20"/>
                <w:szCs w:val="20"/>
              </w:rPr>
              <w:lastRenderedPageBreak/>
              <w:t>“Delivering as one”-</w:t>
            </w:r>
            <w:r w:rsidR="005610AC" w:rsidRPr="00530CB6">
              <w:rPr>
                <w:rFonts w:ascii="Times New Roman" w:hAnsi="Times New Roman"/>
                <w:sz w:val="20"/>
                <w:szCs w:val="20"/>
              </w:rPr>
              <w:t xml:space="preserve"> </w:t>
            </w:r>
            <w:r w:rsidRPr="00530CB6">
              <w:rPr>
                <w:rFonts w:ascii="Times New Roman" w:hAnsi="Times New Roman"/>
                <w:sz w:val="20"/>
                <w:szCs w:val="20"/>
              </w:rPr>
              <w:t>specific joint planning, programming, implementation, monitoring and evaluation, reporting and funding mechanisms</w:t>
            </w:r>
            <w:r w:rsidR="00144596" w:rsidRPr="00530CB6">
              <w:rPr>
                <w:rFonts w:ascii="Times New Roman" w:hAnsi="Times New Roman"/>
                <w:sz w:val="20"/>
                <w:szCs w:val="20"/>
              </w:rPr>
              <w:t xml:space="preserve"> (OP138)</w:t>
            </w:r>
            <w:r w:rsidR="009F273E">
              <w:rPr>
                <w:rFonts w:ascii="Times New Roman" w:hAnsi="Times New Roman"/>
                <w:sz w:val="20"/>
                <w:szCs w:val="20"/>
              </w:rPr>
              <w:t>.</w:t>
            </w:r>
          </w:p>
          <w:p w14:paraId="6FF8D1FD" w14:textId="77777777" w:rsidR="001A346E" w:rsidRPr="00530CB6" w:rsidRDefault="00EA52F3" w:rsidP="001A346E">
            <w:pPr>
              <w:pStyle w:val="Default"/>
              <w:numPr>
                <w:ilvl w:val="0"/>
                <w:numId w:val="20"/>
              </w:numPr>
              <w:rPr>
                <w:rFonts w:ascii="Times New Roman" w:hAnsi="Times New Roman"/>
                <w:sz w:val="20"/>
                <w:szCs w:val="20"/>
              </w:rPr>
            </w:pPr>
            <w:r w:rsidRPr="00530CB6">
              <w:rPr>
                <w:rFonts w:ascii="Times New Roman" w:hAnsi="Times New Roman"/>
                <w:sz w:val="20"/>
                <w:szCs w:val="20"/>
              </w:rPr>
              <w:t xml:space="preserve"> </w:t>
            </w:r>
            <w:r w:rsidR="001A346E" w:rsidRPr="00530CB6">
              <w:rPr>
                <w:rFonts w:ascii="Times New Roman" w:hAnsi="Times New Roman"/>
                <w:sz w:val="20"/>
                <w:szCs w:val="20"/>
              </w:rPr>
              <w:t>Build</w:t>
            </w:r>
            <w:r w:rsidR="005610AC" w:rsidRPr="00530CB6">
              <w:rPr>
                <w:rFonts w:ascii="Times New Roman" w:hAnsi="Times New Roman"/>
                <w:sz w:val="20"/>
                <w:szCs w:val="20"/>
              </w:rPr>
              <w:t>ing</w:t>
            </w:r>
            <w:r w:rsidR="001A346E" w:rsidRPr="00530CB6">
              <w:rPr>
                <w:rFonts w:ascii="Times New Roman" w:hAnsi="Times New Roman"/>
                <w:sz w:val="20"/>
                <w:szCs w:val="20"/>
              </w:rPr>
              <w:t xml:space="preserve"> on the best practices and lessons learned in implementing “Delivering as one” by a number of countries and to </w:t>
            </w:r>
            <w:r w:rsidR="00691EE2" w:rsidRPr="00530CB6">
              <w:rPr>
                <w:rFonts w:ascii="Times New Roman" w:hAnsi="Times New Roman"/>
                <w:bCs/>
                <w:sz w:val="20"/>
                <w:szCs w:val="20"/>
              </w:rPr>
              <w:t>further consolidating</w:t>
            </w:r>
            <w:r w:rsidR="001A346E" w:rsidRPr="00530CB6">
              <w:rPr>
                <w:rFonts w:ascii="Times New Roman" w:hAnsi="Times New Roman"/>
                <w:bCs/>
                <w:sz w:val="20"/>
                <w:szCs w:val="20"/>
              </w:rPr>
              <w:t xml:space="preserve"> the process by clearly outlining the core elements of each of the “ones”, </w:t>
            </w:r>
            <w:r w:rsidR="001A346E" w:rsidRPr="00530CB6">
              <w:rPr>
                <w:rFonts w:ascii="Times New Roman" w:hAnsi="Times New Roman"/>
                <w:sz w:val="20"/>
                <w:szCs w:val="20"/>
              </w:rPr>
              <w:t>based on lessons learned, including by formulating standard operational procedures as guidelines</w:t>
            </w:r>
            <w:r w:rsidR="00E6300F" w:rsidRPr="00530CB6">
              <w:rPr>
                <w:rFonts w:ascii="Times New Roman" w:hAnsi="Times New Roman"/>
                <w:sz w:val="20"/>
                <w:szCs w:val="20"/>
              </w:rPr>
              <w:t xml:space="preserve"> (OP140)</w:t>
            </w:r>
            <w:r w:rsidR="009F273E">
              <w:rPr>
                <w:rFonts w:ascii="Times New Roman" w:hAnsi="Times New Roman"/>
                <w:sz w:val="20"/>
                <w:szCs w:val="20"/>
              </w:rPr>
              <w:t>.</w:t>
            </w:r>
            <w:r w:rsidR="001A346E" w:rsidRPr="00530CB6">
              <w:rPr>
                <w:rFonts w:ascii="Times New Roman" w:hAnsi="Times New Roman"/>
                <w:sz w:val="20"/>
                <w:szCs w:val="20"/>
              </w:rPr>
              <w:t xml:space="preserve"> </w:t>
            </w:r>
          </w:p>
          <w:p w14:paraId="379CD949" w14:textId="77777777" w:rsidR="001A346E" w:rsidRPr="00530CB6" w:rsidRDefault="001A346E" w:rsidP="001A346E">
            <w:pPr>
              <w:pStyle w:val="Default"/>
              <w:numPr>
                <w:ilvl w:val="0"/>
                <w:numId w:val="20"/>
              </w:numPr>
              <w:rPr>
                <w:rFonts w:ascii="Times New Roman" w:hAnsi="Times New Roman"/>
                <w:sz w:val="20"/>
                <w:szCs w:val="20"/>
              </w:rPr>
            </w:pPr>
            <w:r w:rsidRPr="00530CB6">
              <w:rPr>
                <w:rFonts w:ascii="Times New Roman" w:hAnsi="Times New Roman"/>
                <w:bCs/>
                <w:sz w:val="20"/>
                <w:szCs w:val="20"/>
              </w:rPr>
              <w:t>Support</w:t>
            </w:r>
            <w:r w:rsidR="005E05E7" w:rsidRPr="00530CB6">
              <w:rPr>
                <w:rFonts w:ascii="Times New Roman" w:hAnsi="Times New Roman"/>
                <w:bCs/>
                <w:sz w:val="20"/>
                <w:szCs w:val="20"/>
              </w:rPr>
              <w:t>ing</w:t>
            </w:r>
            <w:r w:rsidRPr="00530CB6">
              <w:rPr>
                <w:rFonts w:ascii="Times New Roman" w:hAnsi="Times New Roman"/>
                <w:bCs/>
                <w:sz w:val="20"/>
                <w:szCs w:val="20"/>
              </w:rPr>
              <w:t xml:space="preserve"> programme countries that have adopted the “Delivering as one” approach with an integrated package of support</w:t>
            </w:r>
            <w:r w:rsidRPr="00530CB6">
              <w:rPr>
                <w:rFonts w:ascii="Times New Roman" w:hAnsi="Times New Roman"/>
                <w:sz w:val="20"/>
                <w:szCs w:val="20"/>
              </w:rPr>
              <w:t xml:space="preserve"> </w:t>
            </w:r>
            <w:r w:rsidR="00E6300F" w:rsidRPr="00530CB6">
              <w:rPr>
                <w:rFonts w:ascii="Times New Roman" w:hAnsi="Times New Roman"/>
                <w:sz w:val="20"/>
                <w:szCs w:val="20"/>
              </w:rPr>
              <w:t>(OP141)</w:t>
            </w:r>
            <w:r w:rsidR="009F273E">
              <w:rPr>
                <w:rFonts w:ascii="Times New Roman" w:hAnsi="Times New Roman"/>
                <w:sz w:val="20"/>
                <w:szCs w:val="20"/>
              </w:rPr>
              <w:t>.</w:t>
            </w:r>
          </w:p>
          <w:p w14:paraId="1748A176" w14:textId="77777777" w:rsidR="00EA52F3" w:rsidRPr="00530CB6" w:rsidRDefault="00EA52F3" w:rsidP="001A346E">
            <w:pPr>
              <w:pStyle w:val="Default"/>
              <w:ind w:left="360"/>
              <w:rPr>
                <w:rFonts w:ascii="Times New Roman" w:hAnsi="Times New Roman"/>
                <w:sz w:val="20"/>
                <w:szCs w:val="20"/>
              </w:rPr>
            </w:pPr>
          </w:p>
          <w:p w14:paraId="5866DA79" w14:textId="77777777" w:rsidR="00BD3B9C" w:rsidRPr="00530CB6" w:rsidRDefault="00BD3B9C" w:rsidP="004A714B">
            <w:pPr>
              <w:pStyle w:val="ListParagraph"/>
              <w:ind w:left="360"/>
              <w:rPr>
                <w:rFonts w:ascii="Times New Roman" w:hAnsi="Times New Roman"/>
                <w:sz w:val="20"/>
                <w:szCs w:val="20"/>
              </w:rPr>
            </w:pPr>
          </w:p>
        </w:tc>
        <w:tc>
          <w:tcPr>
            <w:tcW w:w="2700" w:type="dxa"/>
          </w:tcPr>
          <w:p w14:paraId="7CD82D0B" w14:textId="77777777" w:rsidR="00976542" w:rsidRPr="00530CB6" w:rsidRDefault="00976542" w:rsidP="00976542">
            <w:pPr>
              <w:pStyle w:val="Default"/>
              <w:rPr>
                <w:rFonts w:ascii="Times New Roman" w:hAnsi="Times New Roman"/>
                <w:sz w:val="20"/>
                <w:szCs w:val="20"/>
              </w:rPr>
            </w:pPr>
            <w:r w:rsidRPr="00530CB6">
              <w:rPr>
                <w:rFonts w:ascii="Times New Roman" w:hAnsi="Times New Roman"/>
                <w:sz w:val="20"/>
                <w:szCs w:val="20"/>
              </w:rPr>
              <w:lastRenderedPageBreak/>
              <w:t xml:space="preserve"># of countries applying components of the SOPs </w:t>
            </w:r>
          </w:p>
          <w:p w14:paraId="0C44FE14" w14:textId="77777777" w:rsidR="00BD3B9C" w:rsidRPr="00530CB6" w:rsidRDefault="00BD3B9C">
            <w:pPr>
              <w:rPr>
                <w:rFonts w:ascii="Times New Roman" w:hAnsi="Times New Roman"/>
                <w:sz w:val="20"/>
                <w:szCs w:val="20"/>
              </w:rPr>
            </w:pPr>
          </w:p>
        </w:tc>
        <w:tc>
          <w:tcPr>
            <w:tcW w:w="5850" w:type="dxa"/>
          </w:tcPr>
          <w:p w14:paraId="58565E8E" w14:textId="77777777" w:rsidR="004A714B" w:rsidRPr="00530CB6" w:rsidRDefault="004A714B" w:rsidP="004A714B">
            <w:pPr>
              <w:pStyle w:val="Default"/>
              <w:numPr>
                <w:ilvl w:val="0"/>
                <w:numId w:val="22"/>
              </w:numPr>
              <w:rPr>
                <w:rFonts w:ascii="Times New Roman" w:hAnsi="Times New Roman"/>
                <w:sz w:val="20"/>
                <w:szCs w:val="20"/>
              </w:rPr>
            </w:pPr>
            <w:r w:rsidRPr="00530CB6">
              <w:rPr>
                <w:rFonts w:ascii="Times New Roman" w:hAnsi="Times New Roman"/>
                <w:sz w:val="20"/>
                <w:szCs w:val="20"/>
              </w:rPr>
              <w:t xml:space="preserve">UNDP monitors the application of the SOPs through </w:t>
            </w:r>
            <w:r w:rsidR="008E3F3B">
              <w:rPr>
                <w:rFonts w:ascii="Times New Roman" w:hAnsi="Times New Roman"/>
                <w:sz w:val="20"/>
                <w:szCs w:val="20"/>
              </w:rPr>
              <w:t>the</w:t>
            </w:r>
            <w:r w:rsidR="008E3F3B" w:rsidRPr="00530CB6">
              <w:rPr>
                <w:rFonts w:ascii="Times New Roman" w:hAnsi="Times New Roman"/>
                <w:sz w:val="20"/>
                <w:szCs w:val="20"/>
              </w:rPr>
              <w:t xml:space="preserve"> </w:t>
            </w:r>
            <w:r w:rsidRPr="00530CB6">
              <w:rPr>
                <w:rFonts w:ascii="Times New Roman" w:hAnsi="Times New Roman"/>
                <w:sz w:val="20"/>
                <w:szCs w:val="20"/>
              </w:rPr>
              <w:t>IRRF (common QCPR indicator). The application of stand</w:t>
            </w:r>
            <w:r w:rsidR="00ED07CE" w:rsidRPr="00530CB6">
              <w:rPr>
                <w:rFonts w:ascii="Times New Roman" w:hAnsi="Times New Roman"/>
                <w:sz w:val="20"/>
                <w:szCs w:val="20"/>
              </w:rPr>
              <w:t>ard operating procedures in 2016 covered 66% of country offices, with 49</w:t>
            </w:r>
            <w:r w:rsidRPr="00530CB6">
              <w:rPr>
                <w:rFonts w:ascii="Times New Roman" w:hAnsi="Times New Roman"/>
                <w:sz w:val="20"/>
                <w:szCs w:val="20"/>
              </w:rPr>
              <w:t xml:space="preserve">% </w:t>
            </w:r>
            <w:r w:rsidR="00785B2C" w:rsidRPr="00530CB6">
              <w:rPr>
                <w:rFonts w:ascii="Times New Roman" w:hAnsi="Times New Roman"/>
                <w:sz w:val="20"/>
                <w:szCs w:val="20"/>
              </w:rPr>
              <w:lastRenderedPageBreak/>
              <w:t>operating with one programme, 32</w:t>
            </w:r>
            <w:r w:rsidRPr="00530CB6">
              <w:rPr>
                <w:rFonts w:ascii="Times New Roman" w:hAnsi="Times New Roman"/>
                <w:sz w:val="20"/>
                <w:szCs w:val="20"/>
              </w:rPr>
              <w:t>% with</w:t>
            </w:r>
            <w:r w:rsidR="00785B2C" w:rsidRPr="00530CB6">
              <w:rPr>
                <w:rFonts w:ascii="Times New Roman" w:hAnsi="Times New Roman"/>
                <w:sz w:val="20"/>
                <w:szCs w:val="20"/>
              </w:rPr>
              <w:t xml:space="preserve"> a common budgetary framework, 13% with one fund, 50% with one leader and 49</w:t>
            </w:r>
            <w:r w:rsidRPr="00530CB6">
              <w:rPr>
                <w:rFonts w:ascii="Times New Roman" w:hAnsi="Times New Roman"/>
                <w:sz w:val="20"/>
                <w:szCs w:val="20"/>
              </w:rPr>
              <w:t xml:space="preserve">% operating as one. </w:t>
            </w:r>
          </w:p>
          <w:p w14:paraId="04765C8F" w14:textId="77E710DB" w:rsidR="004A714B" w:rsidRPr="00530CB6" w:rsidRDefault="004A714B" w:rsidP="0048764C">
            <w:pPr>
              <w:pStyle w:val="Default"/>
              <w:numPr>
                <w:ilvl w:val="0"/>
                <w:numId w:val="22"/>
              </w:numPr>
              <w:rPr>
                <w:rFonts w:ascii="Times New Roman" w:hAnsi="Times New Roman"/>
                <w:sz w:val="20"/>
                <w:szCs w:val="20"/>
              </w:rPr>
            </w:pPr>
            <w:r w:rsidRPr="00530CB6">
              <w:rPr>
                <w:rFonts w:ascii="Times New Roman" w:hAnsi="Times New Roman"/>
                <w:sz w:val="20"/>
                <w:szCs w:val="20"/>
              </w:rPr>
              <w:t xml:space="preserve">UNDP </w:t>
            </w:r>
            <w:r w:rsidR="008E3F3B">
              <w:rPr>
                <w:rFonts w:ascii="Times New Roman" w:hAnsi="Times New Roman"/>
                <w:sz w:val="20"/>
                <w:szCs w:val="20"/>
              </w:rPr>
              <w:t xml:space="preserve">is </w:t>
            </w:r>
            <w:r w:rsidRPr="00530CB6">
              <w:rPr>
                <w:rFonts w:ascii="Times New Roman" w:hAnsi="Times New Roman"/>
                <w:sz w:val="20"/>
                <w:szCs w:val="20"/>
              </w:rPr>
              <w:t>commit</w:t>
            </w:r>
            <w:r w:rsidR="008E3F3B">
              <w:rPr>
                <w:rFonts w:ascii="Times New Roman" w:hAnsi="Times New Roman"/>
                <w:sz w:val="20"/>
                <w:szCs w:val="20"/>
              </w:rPr>
              <w:t>ted</w:t>
            </w:r>
            <w:r w:rsidRPr="00530CB6">
              <w:rPr>
                <w:rFonts w:ascii="Times New Roman" w:hAnsi="Times New Roman"/>
                <w:sz w:val="20"/>
                <w:szCs w:val="20"/>
              </w:rPr>
              <w:t xml:space="preserve"> to the implementation of </w:t>
            </w:r>
            <w:r w:rsidR="00213793" w:rsidRPr="00530CB6">
              <w:rPr>
                <w:rFonts w:ascii="Times New Roman" w:hAnsi="Times New Roman"/>
                <w:sz w:val="20"/>
                <w:szCs w:val="20"/>
              </w:rPr>
              <w:t>the SOPs</w:t>
            </w:r>
            <w:r w:rsidR="008E3F3B">
              <w:rPr>
                <w:rFonts w:ascii="Times New Roman" w:hAnsi="Times New Roman"/>
                <w:sz w:val="20"/>
                <w:szCs w:val="20"/>
              </w:rPr>
              <w:t xml:space="preserve">. This is </w:t>
            </w:r>
            <w:r w:rsidR="00213793" w:rsidRPr="00530CB6">
              <w:rPr>
                <w:rFonts w:ascii="Times New Roman" w:hAnsi="Times New Roman"/>
                <w:sz w:val="20"/>
                <w:szCs w:val="20"/>
              </w:rPr>
              <w:t xml:space="preserve">reflected through </w:t>
            </w:r>
            <w:r w:rsidR="004554AE" w:rsidRPr="00530CB6">
              <w:rPr>
                <w:rFonts w:ascii="Times New Roman" w:hAnsi="Times New Roman"/>
                <w:sz w:val="20"/>
                <w:szCs w:val="20"/>
              </w:rPr>
              <w:t xml:space="preserve">the integration of the </w:t>
            </w:r>
            <w:r w:rsidRPr="00530CB6">
              <w:rPr>
                <w:rFonts w:ascii="Times New Roman" w:hAnsi="Times New Roman"/>
                <w:sz w:val="20"/>
                <w:szCs w:val="20"/>
              </w:rPr>
              <w:t>SOPs into UNDP</w:t>
            </w:r>
            <w:r w:rsidR="00280EBB">
              <w:rPr>
                <w:rFonts w:ascii="Times New Roman" w:hAnsi="Times New Roman"/>
                <w:sz w:val="20"/>
                <w:szCs w:val="20"/>
              </w:rPr>
              <w:t>’s Programme and Operations Policies and Procedures (POPP)</w:t>
            </w:r>
            <w:r w:rsidR="008E3F3B">
              <w:rPr>
                <w:rFonts w:ascii="Times New Roman" w:hAnsi="Times New Roman"/>
                <w:sz w:val="20"/>
                <w:szCs w:val="20"/>
              </w:rPr>
              <w:t xml:space="preserve">, </w:t>
            </w:r>
            <w:r w:rsidRPr="00530CB6">
              <w:rPr>
                <w:rFonts w:ascii="Times New Roman" w:hAnsi="Times New Roman"/>
                <w:sz w:val="20"/>
                <w:szCs w:val="20"/>
              </w:rPr>
              <w:t xml:space="preserve">and their effective use in new UNDAFs and One Programme processes. </w:t>
            </w:r>
            <w:r w:rsidR="00AF0CC3" w:rsidRPr="00530CB6">
              <w:rPr>
                <w:rStyle w:val="popplabeldescription"/>
                <w:rFonts w:ascii="Times New Roman" w:hAnsi="Times New Roman"/>
                <w:sz w:val="20"/>
                <w:szCs w:val="20"/>
              </w:rPr>
              <w:t xml:space="preserve">The </w:t>
            </w:r>
            <w:r w:rsidR="0087715D" w:rsidRPr="00530CB6">
              <w:rPr>
                <w:rStyle w:val="popplabeldescription"/>
                <w:rFonts w:ascii="Times New Roman" w:hAnsi="Times New Roman"/>
                <w:sz w:val="20"/>
                <w:szCs w:val="20"/>
              </w:rPr>
              <w:t>SOPs guide</w:t>
            </w:r>
            <w:r w:rsidR="00AF0CC3" w:rsidRPr="00530CB6">
              <w:rPr>
                <w:rStyle w:val="popplabeldescription"/>
                <w:rFonts w:ascii="Times New Roman" w:hAnsi="Times New Roman"/>
                <w:sz w:val="20"/>
                <w:szCs w:val="20"/>
              </w:rPr>
              <w:t xml:space="preserve"> the management of UNDP programme and operati</w:t>
            </w:r>
            <w:r w:rsidR="005C041D">
              <w:rPr>
                <w:rStyle w:val="popplabeldescription"/>
                <w:rFonts w:ascii="Times New Roman" w:hAnsi="Times New Roman"/>
                <w:sz w:val="20"/>
                <w:szCs w:val="20"/>
              </w:rPr>
              <w:t>ons in responding to any crisis</w:t>
            </w:r>
            <w:r w:rsidR="00AF0CC3" w:rsidRPr="00530CB6">
              <w:rPr>
                <w:rStyle w:val="popplabeldescription"/>
                <w:rFonts w:ascii="Times New Roman" w:hAnsi="Times New Roman"/>
                <w:sz w:val="20"/>
                <w:szCs w:val="20"/>
              </w:rPr>
              <w:t>.</w:t>
            </w:r>
            <w:r w:rsidR="00AF0CC3" w:rsidRPr="00530CB6" w:rsidDel="004554AE">
              <w:rPr>
                <w:rFonts w:ascii="Times New Roman" w:hAnsi="Times New Roman"/>
                <w:sz w:val="20"/>
                <w:szCs w:val="20"/>
              </w:rPr>
              <w:t xml:space="preserve"> </w:t>
            </w:r>
          </w:p>
          <w:p w14:paraId="4BC98DCD" w14:textId="77777777" w:rsidR="00BD3B9C" w:rsidRPr="00530CB6" w:rsidRDefault="00BD3B9C" w:rsidP="004A714B">
            <w:pPr>
              <w:pStyle w:val="ListParagraph"/>
              <w:ind w:left="360"/>
              <w:rPr>
                <w:rFonts w:ascii="Times New Roman" w:hAnsi="Times New Roman"/>
                <w:sz w:val="20"/>
                <w:szCs w:val="20"/>
              </w:rPr>
            </w:pPr>
          </w:p>
        </w:tc>
      </w:tr>
      <w:tr w:rsidR="00BD3B9C" w:rsidRPr="008B3686" w14:paraId="41E81D51" w14:textId="77777777" w:rsidTr="00880567">
        <w:tc>
          <w:tcPr>
            <w:tcW w:w="4410" w:type="dxa"/>
          </w:tcPr>
          <w:p w14:paraId="713121E8" w14:textId="77777777" w:rsidR="00BD3B9C" w:rsidRPr="008B3686" w:rsidRDefault="00BD3B9C" w:rsidP="00BD3B9C">
            <w:pPr>
              <w:pStyle w:val="ListParagraph"/>
              <w:numPr>
                <w:ilvl w:val="0"/>
                <w:numId w:val="11"/>
              </w:numPr>
              <w:rPr>
                <w:rFonts w:ascii="Times New Roman" w:hAnsi="Times New Roman"/>
                <w:b/>
                <w:sz w:val="20"/>
                <w:szCs w:val="20"/>
              </w:rPr>
            </w:pPr>
            <w:r w:rsidRPr="008B3686">
              <w:rPr>
                <w:rFonts w:ascii="Times New Roman" w:hAnsi="Times New Roman"/>
                <w:b/>
                <w:sz w:val="20"/>
                <w:szCs w:val="20"/>
              </w:rPr>
              <w:lastRenderedPageBreak/>
              <w:t>Regional dimensions</w:t>
            </w:r>
            <w:r w:rsidR="00695CE1" w:rsidRPr="008B3686">
              <w:rPr>
                <w:rFonts w:ascii="Times New Roman" w:hAnsi="Times New Roman"/>
                <w:b/>
                <w:sz w:val="20"/>
                <w:szCs w:val="20"/>
              </w:rPr>
              <w:t xml:space="preserve"> (OP144-151)</w:t>
            </w:r>
          </w:p>
        </w:tc>
        <w:tc>
          <w:tcPr>
            <w:tcW w:w="2700" w:type="dxa"/>
          </w:tcPr>
          <w:p w14:paraId="04EEB7BF" w14:textId="77777777" w:rsidR="00BD3B9C" w:rsidRPr="008B3686" w:rsidRDefault="005E620D">
            <w:pPr>
              <w:rPr>
                <w:rFonts w:ascii="Times New Roman" w:hAnsi="Times New Roman"/>
                <w:b/>
                <w:sz w:val="20"/>
                <w:szCs w:val="20"/>
              </w:rPr>
            </w:pPr>
            <w:r w:rsidRPr="008B3686">
              <w:rPr>
                <w:rFonts w:ascii="Times New Roman" w:hAnsi="Times New Roman"/>
                <w:b/>
                <w:sz w:val="20"/>
                <w:szCs w:val="20"/>
              </w:rPr>
              <w:t>Relevant Indicators</w:t>
            </w:r>
          </w:p>
        </w:tc>
        <w:tc>
          <w:tcPr>
            <w:tcW w:w="5850" w:type="dxa"/>
          </w:tcPr>
          <w:p w14:paraId="550BD49B" w14:textId="77777777" w:rsidR="00BD3B9C" w:rsidRPr="008B3686" w:rsidRDefault="005E620D">
            <w:pPr>
              <w:rPr>
                <w:rFonts w:ascii="Times New Roman" w:hAnsi="Times New Roman"/>
                <w:b/>
                <w:sz w:val="20"/>
                <w:szCs w:val="20"/>
              </w:rPr>
            </w:pPr>
            <w:r w:rsidRPr="008B3686">
              <w:rPr>
                <w:rFonts w:ascii="Times New Roman" w:hAnsi="Times New Roman"/>
                <w:b/>
                <w:sz w:val="20"/>
                <w:szCs w:val="20"/>
              </w:rPr>
              <w:t>Progress</w:t>
            </w:r>
          </w:p>
        </w:tc>
      </w:tr>
      <w:tr w:rsidR="00BD3B9C" w:rsidRPr="00530CB6" w14:paraId="178757E3" w14:textId="77777777" w:rsidTr="00880567">
        <w:tc>
          <w:tcPr>
            <w:tcW w:w="4410" w:type="dxa"/>
          </w:tcPr>
          <w:p w14:paraId="00B9928F" w14:textId="77777777" w:rsidR="00A06080" w:rsidRPr="00530CB6" w:rsidRDefault="009F273E" w:rsidP="00A06080">
            <w:pPr>
              <w:pStyle w:val="Default"/>
              <w:numPr>
                <w:ilvl w:val="0"/>
                <w:numId w:val="24"/>
              </w:numPr>
              <w:rPr>
                <w:rFonts w:ascii="Times New Roman" w:hAnsi="Times New Roman"/>
                <w:sz w:val="20"/>
                <w:szCs w:val="20"/>
              </w:rPr>
            </w:pPr>
            <w:r>
              <w:rPr>
                <w:rFonts w:ascii="Times New Roman" w:hAnsi="Times New Roman"/>
                <w:bCs/>
                <w:i/>
                <w:sz w:val="20"/>
                <w:szCs w:val="20"/>
              </w:rPr>
              <w:t>S</w:t>
            </w:r>
            <w:r w:rsidR="00C3074F" w:rsidRPr="00530CB6">
              <w:rPr>
                <w:rFonts w:ascii="Times New Roman" w:hAnsi="Times New Roman"/>
                <w:bCs/>
                <w:i/>
                <w:sz w:val="20"/>
                <w:szCs w:val="20"/>
              </w:rPr>
              <w:t>trengthening</w:t>
            </w:r>
            <w:r w:rsidR="00A06080" w:rsidRPr="00530CB6">
              <w:rPr>
                <w:rFonts w:ascii="Times New Roman" w:hAnsi="Times New Roman"/>
                <w:bCs/>
                <w:i/>
                <w:sz w:val="20"/>
                <w:szCs w:val="20"/>
              </w:rPr>
              <w:t xml:space="preserve"> collaboration with regional and subregional intergovernmental organizations and regional banks</w:t>
            </w:r>
            <w:r w:rsidR="00A06080" w:rsidRPr="00530CB6">
              <w:rPr>
                <w:rFonts w:ascii="Times New Roman" w:hAnsi="Times New Roman"/>
                <w:sz w:val="20"/>
                <w:szCs w:val="20"/>
              </w:rPr>
              <w:t>, as appropriate and consistent with their respective mandates</w:t>
            </w:r>
            <w:r w:rsidR="00C3074F" w:rsidRPr="00530CB6">
              <w:rPr>
                <w:rFonts w:ascii="Times New Roman" w:hAnsi="Times New Roman"/>
                <w:sz w:val="20"/>
                <w:szCs w:val="20"/>
              </w:rPr>
              <w:t xml:space="preserve"> (OP145)</w:t>
            </w:r>
            <w:r>
              <w:rPr>
                <w:rFonts w:ascii="Times New Roman" w:hAnsi="Times New Roman"/>
                <w:sz w:val="20"/>
                <w:szCs w:val="20"/>
              </w:rPr>
              <w:t>.</w:t>
            </w:r>
            <w:r w:rsidR="00A06080" w:rsidRPr="00530CB6">
              <w:rPr>
                <w:rFonts w:ascii="Times New Roman" w:hAnsi="Times New Roman"/>
                <w:sz w:val="20"/>
                <w:szCs w:val="20"/>
              </w:rPr>
              <w:t xml:space="preserve"> </w:t>
            </w:r>
          </w:p>
          <w:p w14:paraId="6A381B2A" w14:textId="77777777" w:rsidR="00BD3B9C" w:rsidRPr="00530CB6" w:rsidRDefault="00BD3B9C" w:rsidP="00710C23">
            <w:pPr>
              <w:pStyle w:val="ListParagraph"/>
              <w:ind w:left="360"/>
              <w:rPr>
                <w:rFonts w:ascii="Times New Roman" w:hAnsi="Times New Roman"/>
                <w:sz w:val="20"/>
                <w:szCs w:val="20"/>
              </w:rPr>
            </w:pPr>
          </w:p>
        </w:tc>
        <w:tc>
          <w:tcPr>
            <w:tcW w:w="2700" w:type="dxa"/>
          </w:tcPr>
          <w:p w14:paraId="05770257" w14:textId="77777777" w:rsidR="00BD3B9C" w:rsidRPr="00530CB6" w:rsidRDefault="00C3074F">
            <w:pPr>
              <w:rPr>
                <w:rFonts w:ascii="Times New Roman" w:hAnsi="Times New Roman"/>
                <w:sz w:val="20"/>
                <w:szCs w:val="20"/>
              </w:rPr>
            </w:pPr>
            <w:r w:rsidRPr="00530CB6">
              <w:rPr>
                <w:rFonts w:ascii="Times New Roman" w:hAnsi="Times New Roman"/>
                <w:sz w:val="20"/>
                <w:szCs w:val="20"/>
              </w:rPr>
              <w:t>n/a</w:t>
            </w:r>
          </w:p>
        </w:tc>
        <w:tc>
          <w:tcPr>
            <w:tcW w:w="5850" w:type="dxa"/>
          </w:tcPr>
          <w:p w14:paraId="41A167A5" w14:textId="7FB19989" w:rsidR="00C3074F" w:rsidRPr="00530CB6" w:rsidRDefault="00C3074F" w:rsidP="00365688">
            <w:pPr>
              <w:pStyle w:val="Default"/>
              <w:numPr>
                <w:ilvl w:val="0"/>
                <w:numId w:val="23"/>
              </w:numPr>
              <w:rPr>
                <w:rFonts w:ascii="Times New Roman" w:hAnsi="Times New Roman"/>
                <w:sz w:val="20"/>
                <w:szCs w:val="20"/>
              </w:rPr>
            </w:pPr>
            <w:r w:rsidRPr="00530CB6">
              <w:rPr>
                <w:rFonts w:ascii="Times New Roman" w:hAnsi="Times New Roman"/>
                <w:sz w:val="20"/>
                <w:szCs w:val="20"/>
              </w:rPr>
              <w:t>At the regional level</w:t>
            </w:r>
            <w:r w:rsidR="008E3F3B">
              <w:rPr>
                <w:rFonts w:ascii="Times New Roman" w:hAnsi="Times New Roman"/>
                <w:sz w:val="20"/>
                <w:szCs w:val="20"/>
              </w:rPr>
              <w:t>,</w:t>
            </w:r>
            <w:r w:rsidRPr="00530CB6">
              <w:rPr>
                <w:rFonts w:ascii="Times New Roman" w:hAnsi="Times New Roman"/>
                <w:sz w:val="20"/>
                <w:szCs w:val="20"/>
              </w:rPr>
              <w:t xml:space="preserve"> UNDP chairs or co-chairs the Regional UNDAF Peer Support Group on behalf of the Regional UNDG. UNDP </w:t>
            </w:r>
            <w:r w:rsidR="008E3F3B">
              <w:rPr>
                <w:rFonts w:ascii="Times New Roman" w:hAnsi="Times New Roman"/>
                <w:sz w:val="20"/>
                <w:szCs w:val="20"/>
              </w:rPr>
              <w:t>provided</w:t>
            </w:r>
            <w:r w:rsidRPr="00530CB6">
              <w:rPr>
                <w:rFonts w:ascii="Times New Roman" w:hAnsi="Times New Roman"/>
                <w:sz w:val="20"/>
                <w:szCs w:val="20"/>
              </w:rPr>
              <w:t xml:space="preserve"> training</w:t>
            </w:r>
            <w:r w:rsidR="008E3F3B">
              <w:rPr>
                <w:rFonts w:ascii="Times New Roman" w:hAnsi="Times New Roman"/>
                <w:sz w:val="20"/>
                <w:szCs w:val="20"/>
              </w:rPr>
              <w:t xml:space="preserve"> assistance </w:t>
            </w:r>
            <w:r w:rsidRPr="00530CB6">
              <w:rPr>
                <w:rFonts w:ascii="Times New Roman" w:hAnsi="Times New Roman"/>
                <w:sz w:val="20"/>
                <w:szCs w:val="20"/>
              </w:rPr>
              <w:t>on UNDAF development, SOP tools, R</w:t>
            </w:r>
            <w:r w:rsidR="004666EB">
              <w:rPr>
                <w:rFonts w:ascii="Times New Roman" w:hAnsi="Times New Roman"/>
                <w:sz w:val="20"/>
                <w:szCs w:val="20"/>
              </w:rPr>
              <w:t>esults-Based Management</w:t>
            </w:r>
            <w:r w:rsidR="0082643A">
              <w:rPr>
                <w:rFonts w:ascii="Times New Roman" w:hAnsi="Times New Roman"/>
                <w:sz w:val="20"/>
                <w:szCs w:val="20"/>
              </w:rPr>
              <w:t xml:space="preserve"> (RBM)</w:t>
            </w:r>
            <w:r w:rsidRPr="00530CB6">
              <w:rPr>
                <w:rFonts w:ascii="Times New Roman" w:hAnsi="Times New Roman"/>
                <w:sz w:val="20"/>
                <w:szCs w:val="20"/>
              </w:rPr>
              <w:t xml:space="preserve">, monitoring tools, orientation on the </w:t>
            </w:r>
            <w:r w:rsidR="00BB7A2B">
              <w:rPr>
                <w:rFonts w:ascii="Times New Roman" w:hAnsi="Times New Roman"/>
                <w:sz w:val="20"/>
                <w:szCs w:val="20"/>
              </w:rPr>
              <w:t>Sustainable Development Goals</w:t>
            </w:r>
            <w:r w:rsidRPr="00530CB6">
              <w:rPr>
                <w:rFonts w:ascii="Times New Roman" w:hAnsi="Times New Roman"/>
                <w:sz w:val="20"/>
                <w:szCs w:val="20"/>
              </w:rPr>
              <w:t>, in addition to extending support to the UNDAF development process in several countries</w:t>
            </w:r>
            <w:r w:rsidR="00BB7A2B">
              <w:rPr>
                <w:rFonts w:ascii="Times New Roman" w:hAnsi="Times New Roman"/>
                <w:sz w:val="20"/>
                <w:szCs w:val="20"/>
              </w:rPr>
              <w:t>,</w:t>
            </w:r>
            <w:r w:rsidRPr="00530CB6">
              <w:rPr>
                <w:rFonts w:ascii="Times New Roman" w:hAnsi="Times New Roman"/>
                <w:sz w:val="20"/>
                <w:szCs w:val="20"/>
              </w:rPr>
              <w:t xml:space="preserve"> including those in crisis. UNDP leads</w:t>
            </w:r>
            <w:r w:rsidR="00774ECF" w:rsidRPr="00530CB6">
              <w:rPr>
                <w:rFonts w:ascii="Times New Roman" w:hAnsi="Times New Roman"/>
                <w:sz w:val="20"/>
                <w:szCs w:val="20"/>
              </w:rPr>
              <w:t xml:space="preserve"> and/or contributes to </w:t>
            </w:r>
            <w:r w:rsidR="0062370B" w:rsidRPr="00530CB6">
              <w:rPr>
                <w:rFonts w:ascii="Times New Roman" w:hAnsi="Times New Roman"/>
                <w:sz w:val="20"/>
                <w:szCs w:val="20"/>
              </w:rPr>
              <w:t>several</w:t>
            </w:r>
            <w:r w:rsidR="00514737" w:rsidRPr="00530CB6">
              <w:rPr>
                <w:rFonts w:ascii="Times New Roman" w:hAnsi="Times New Roman"/>
                <w:sz w:val="20"/>
                <w:szCs w:val="20"/>
              </w:rPr>
              <w:t xml:space="preserve"> thematic initiatives </w:t>
            </w:r>
            <w:r w:rsidR="00BB7A2B">
              <w:rPr>
                <w:rFonts w:ascii="Times New Roman" w:hAnsi="Times New Roman"/>
                <w:sz w:val="20"/>
                <w:szCs w:val="20"/>
              </w:rPr>
              <w:t>that require</w:t>
            </w:r>
            <w:r w:rsidR="00774ECF" w:rsidRPr="00530CB6">
              <w:rPr>
                <w:rFonts w:ascii="Times New Roman" w:hAnsi="Times New Roman"/>
                <w:sz w:val="20"/>
                <w:szCs w:val="20"/>
              </w:rPr>
              <w:t xml:space="preserve"> inter-agency action</w:t>
            </w:r>
            <w:r w:rsidR="00BB7A2B">
              <w:rPr>
                <w:rFonts w:ascii="Times New Roman" w:hAnsi="Times New Roman"/>
                <w:sz w:val="20"/>
                <w:szCs w:val="20"/>
              </w:rPr>
              <w:t xml:space="preserve">, as well as </w:t>
            </w:r>
            <w:r w:rsidR="00774ECF" w:rsidRPr="00530CB6">
              <w:rPr>
                <w:rFonts w:ascii="Times New Roman" w:hAnsi="Times New Roman"/>
                <w:sz w:val="20"/>
                <w:szCs w:val="20"/>
              </w:rPr>
              <w:t>ensure</w:t>
            </w:r>
            <w:r w:rsidR="00BB7A2B">
              <w:rPr>
                <w:rFonts w:ascii="Times New Roman" w:hAnsi="Times New Roman"/>
                <w:sz w:val="20"/>
                <w:szCs w:val="20"/>
              </w:rPr>
              <w:t>s</w:t>
            </w:r>
            <w:r w:rsidR="00774ECF" w:rsidRPr="00530CB6">
              <w:rPr>
                <w:rFonts w:ascii="Times New Roman" w:hAnsi="Times New Roman"/>
                <w:sz w:val="20"/>
                <w:szCs w:val="20"/>
              </w:rPr>
              <w:t xml:space="preserve"> collaboration with the Regional Coordination Mechanism and alignment with the UNDG global and regional agenda</w:t>
            </w:r>
            <w:r w:rsidR="00BB7A2B">
              <w:rPr>
                <w:rFonts w:ascii="Times New Roman" w:hAnsi="Times New Roman"/>
                <w:sz w:val="20"/>
                <w:szCs w:val="20"/>
              </w:rPr>
              <w:t>. UNDP</w:t>
            </w:r>
            <w:r w:rsidR="00774ECF" w:rsidRPr="00530CB6">
              <w:rPr>
                <w:rFonts w:ascii="Times New Roman" w:hAnsi="Times New Roman"/>
                <w:sz w:val="20"/>
                <w:szCs w:val="20"/>
              </w:rPr>
              <w:t xml:space="preserve"> undertakes regional advocacy on sustainable development, building on high-profile regional reports. </w:t>
            </w:r>
            <w:r w:rsidR="007D670F" w:rsidRPr="00530CB6">
              <w:rPr>
                <w:rFonts w:ascii="Times New Roman" w:hAnsi="Times New Roman"/>
                <w:sz w:val="20"/>
                <w:szCs w:val="20"/>
              </w:rPr>
              <w:t>In 2016</w:t>
            </w:r>
            <w:r w:rsidR="00BB7A2B">
              <w:rPr>
                <w:rFonts w:ascii="Times New Roman" w:hAnsi="Times New Roman"/>
                <w:sz w:val="20"/>
                <w:szCs w:val="20"/>
              </w:rPr>
              <w:t>,</w:t>
            </w:r>
            <w:r w:rsidR="007D670F" w:rsidRPr="00530CB6">
              <w:rPr>
                <w:rFonts w:ascii="Times New Roman" w:hAnsi="Times New Roman"/>
                <w:sz w:val="20"/>
                <w:szCs w:val="20"/>
              </w:rPr>
              <w:t xml:space="preserve"> </w:t>
            </w:r>
            <w:r w:rsidR="00BB7A2B">
              <w:rPr>
                <w:rFonts w:ascii="Times New Roman" w:hAnsi="Times New Roman" w:cs="Times New Roman"/>
                <w:sz w:val="20"/>
                <w:szCs w:val="20"/>
              </w:rPr>
              <w:t>r</w:t>
            </w:r>
            <w:r w:rsidR="007D670F" w:rsidRPr="00530CB6">
              <w:rPr>
                <w:rFonts w:ascii="Times New Roman" w:hAnsi="Times New Roman" w:cs="Times New Roman"/>
                <w:sz w:val="20"/>
                <w:szCs w:val="20"/>
              </w:rPr>
              <w:t xml:space="preserve">egional </w:t>
            </w:r>
            <w:r w:rsidR="00BB7A2B">
              <w:rPr>
                <w:rFonts w:ascii="Times New Roman" w:hAnsi="Times New Roman" w:cs="Times New Roman"/>
                <w:sz w:val="20"/>
                <w:szCs w:val="20"/>
              </w:rPr>
              <w:t>c</w:t>
            </w:r>
            <w:r w:rsidR="007D670F" w:rsidRPr="00530CB6">
              <w:rPr>
                <w:rFonts w:ascii="Times New Roman" w:hAnsi="Times New Roman" w:cs="Times New Roman"/>
                <w:sz w:val="20"/>
                <w:szCs w:val="20"/>
              </w:rPr>
              <w:t>ommissions and UNDG teams signed a joint statement of collaboration to su</w:t>
            </w:r>
            <w:r w:rsidR="00514737" w:rsidRPr="00530CB6">
              <w:rPr>
                <w:rFonts w:ascii="Times New Roman" w:hAnsi="Times New Roman" w:cs="Times New Roman"/>
                <w:sz w:val="20"/>
                <w:szCs w:val="20"/>
              </w:rPr>
              <w:t>pport M</w:t>
            </w:r>
            <w:r w:rsidR="0082643A">
              <w:rPr>
                <w:rFonts w:ascii="Times New Roman" w:hAnsi="Times New Roman" w:cs="Times New Roman"/>
                <w:sz w:val="20"/>
                <w:szCs w:val="20"/>
              </w:rPr>
              <w:t xml:space="preserve">ember </w:t>
            </w:r>
            <w:r w:rsidR="00514737" w:rsidRPr="00530CB6">
              <w:rPr>
                <w:rFonts w:ascii="Times New Roman" w:hAnsi="Times New Roman" w:cs="Times New Roman"/>
                <w:sz w:val="20"/>
                <w:szCs w:val="20"/>
              </w:rPr>
              <w:t>S</w:t>
            </w:r>
            <w:r w:rsidR="0082643A">
              <w:rPr>
                <w:rFonts w:ascii="Times New Roman" w:hAnsi="Times New Roman" w:cs="Times New Roman"/>
                <w:sz w:val="20"/>
                <w:szCs w:val="20"/>
              </w:rPr>
              <w:t>tate</w:t>
            </w:r>
            <w:r w:rsidR="00514737" w:rsidRPr="00530CB6">
              <w:rPr>
                <w:rFonts w:ascii="Times New Roman" w:hAnsi="Times New Roman" w:cs="Times New Roman"/>
                <w:sz w:val="20"/>
                <w:szCs w:val="20"/>
              </w:rPr>
              <w:t xml:space="preserve"> in implementation of </w:t>
            </w:r>
            <w:r w:rsidR="009A26ED">
              <w:rPr>
                <w:rFonts w:ascii="Times New Roman" w:hAnsi="Times New Roman" w:cs="Times New Roman"/>
                <w:sz w:val="20"/>
                <w:szCs w:val="20"/>
              </w:rPr>
              <w:t xml:space="preserve">the </w:t>
            </w:r>
            <w:r w:rsidR="007D670F" w:rsidRPr="00530CB6">
              <w:rPr>
                <w:rFonts w:ascii="Times New Roman" w:hAnsi="Times New Roman" w:cs="Times New Roman"/>
                <w:sz w:val="20"/>
                <w:szCs w:val="20"/>
              </w:rPr>
              <w:t>2030 Agenda</w:t>
            </w:r>
            <w:r w:rsidR="00252F75" w:rsidRPr="00530CB6">
              <w:rPr>
                <w:rFonts w:ascii="Times New Roman" w:hAnsi="Times New Roman" w:cs="Times New Roman"/>
                <w:sz w:val="20"/>
                <w:szCs w:val="20"/>
              </w:rPr>
              <w:t xml:space="preserve">. </w:t>
            </w:r>
          </w:p>
          <w:p w14:paraId="68120CF1" w14:textId="77777777" w:rsidR="00BD3B9C" w:rsidRPr="00530CB6" w:rsidRDefault="00BD3B9C" w:rsidP="00C3074F">
            <w:pPr>
              <w:pStyle w:val="ListParagraph"/>
              <w:ind w:left="360"/>
              <w:rPr>
                <w:rFonts w:ascii="Times New Roman" w:hAnsi="Times New Roman"/>
                <w:sz w:val="20"/>
                <w:szCs w:val="20"/>
              </w:rPr>
            </w:pPr>
          </w:p>
        </w:tc>
      </w:tr>
      <w:tr w:rsidR="00BD3B9C" w:rsidRPr="0062370B" w14:paraId="548F197A" w14:textId="77777777" w:rsidTr="00880567">
        <w:tc>
          <w:tcPr>
            <w:tcW w:w="4410" w:type="dxa"/>
          </w:tcPr>
          <w:p w14:paraId="3E436D3E" w14:textId="77777777" w:rsidR="00BD3B9C" w:rsidRPr="0062370B" w:rsidRDefault="00BD3B9C" w:rsidP="005E620D">
            <w:pPr>
              <w:pStyle w:val="ListParagraph"/>
              <w:numPr>
                <w:ilvl w:val="0"/>
                <w:numId w:val="11"/>
              </w:numPr>
              <w:rPr>
                <w:rFonts w:ascii="Times New Roman" w:hAnsi="Times New Roman"/>
                <w:b/>
                <w:sz w:val="20"/>
                <w:szCs w:val="20"/>
              </w:rPr>
            </w:pPr>
            <w:r w:rsidRPr="0062370B">
              <w:rPr>
                <w:rFonts w:ascii="Times New Roman" w:hAnsi="Times New Roman"/>
                <w:b/>
                <w:sz w:val="20"/>
                <w:szCs w:val="20"/>
              </w:rPr>
              <w:t>Simplification and harmonization of business practices</w:t>
            </w:r>
            <w:r w:rsidR="00695CE1" w:rsidRPr="0062370B">
              <w:rPr>
                <w:rFonts w:ascii="Times New Roman" w:hAnsi="Times New Roman"/>
                <w:b/>
                <w:sz w:val="20"/>
                <w:szCs w:val="20"/>
              </w:rPr>
              <w:t xml:space="preserve"> (OP152-163)</w:t>
            </w:r>
          </w:p>
        </w:tc>
        <w:tc>
          <w:tcPr>
            <w:tcW w:w="2700" w:type="dxa"/>
          </w:tcPr>
          <w:p w14:paraId="3BC2ABD4" w14:textId="77777777" w:rsidR="00BD3B9C" w:rsidRPr="0062370B" w:rsidRDefault="005E620D">
            <w:pPr>
              <w:rPr>
                <w:rFonts w:ascii="Times New Roman" w:hAnsi="Times New Roman"/>
                <w:b/>
                <w:sz w:val="20"/>
                <w:szCs w:val="20"/>
              </w:rPr>
            </w:pPr>
            <w:r w:rsidRPr="0062370B">
              <w:rPr>
                <w:rFonts w:ascii="Times New Roman" w:hAnsi="Times New Roman"/>
                <w:b/>
                <w:sz w:val="20"/>
                <w:szCs w:val="20"/>
              </w:rPr>
              <w:t>Relevant Indicators</w:t>
            </w:r>
          </w:p>
        </w:tc>
        <w:tc>
          <w:tcPr>
            <w:tcW w:w="5850" w:type="dxa"/>
          </w:tcPr>
          <w:p w14:paraId="3646C8B8" w14:textId="77777777" w:rsidR="00BD3B9C" w:rsidRPr="0062370B" w:rsidRDefault="005E620D">
            <w:pPr>
              <w:rPr>
                <w:rFonts w:ascii="Times New Roman" w:hAnsi="Times New Roman"/>
                <w:b/>
                <w:sz w:val="20"/>
                <w:szCs w:val="20"/>
              </w:rPr>
            </w:pPr>
            <w:r w:rsidRPr="0062370B">
              <w:rPr>
                <w:rFonts w:ascii="Times New Roman" w:hAnsi="Times New Roman"/>
                <w:b/>
                <w:sz w:val="20"/>
                <w:szCs w:val="20"/>
              </w:rPr>
              <w:t>Progress</w:t>
            </w:r>
          </w:p>
        </w:tc>
      </w:tr>
      <w:tr w:rsidR="005E620D" w:rsidRPr="00530CB6" w14:paraId="3C87A11D" w14:textId="77777777" w:rsidTr="00880567">
        <w:trPr>
          <w:trHeight w:val="4490"/>
        </w:trPr>
        <w:tc>
          <w:tcPr>
            <w:tcW w:w="4410" w:type="dxa"/>
          </w:tcPr>
          <w:p w14:paraId="10D146F9" w14:textId="77777777" w:rsidR="0057021E" w:rsidRPr="00530CB6" w:rsidRDefault="009F273E" w:rsidP="0057021E">
            <w:pPr>
              <w:pStyle w:val="Default"/>
              <w:numPr>
                <w:ilvl w:val="0"/>
                <w:numId w:val="23"/>
              </w:numPr>
              <w:rPr>
                <w:rFonts w:ascii="Times New Roman" w:hAnsi="Times New Roman"/>
                <w:sz w:val="20"/>
                <w:szCs w:val="20"/>
              </w:rPr>
            </w:pPr>
            <w:r>
              <w:rPr>
                <w:rFonts w:ascii="Times New Roman" w:hAnsi="Times New Roman"/>
                <w:bCs/>
                <w:i/>
                <w:sz w:val="20"/>
                <w:szCs w:val="20"/>
              </w:rPr>
              <w:lastRenderedPageBreak/>
              <w:t>F</w:t>
            </w:r>
            <w:r w:rsidR="0057021E" w:rsidRPr="00530CB6">
              <w:rPr>
                <w:rFonts w:ascii="Times New Roman" w:hAnsi="Times New Roman"/>
                <w:bCs/>
                <w:i/>
                <w:sz w:val="20"/>
                <w:szCs w:val="20"/>
              </w:rPr>
              <w:t>urther pursuing higher-quality, more effective and cost-efficient support services in all programme countries</w:t>
            </w:r>
            <w:r w:rsidR="0057021E" w:rsidRPr="00530CB6">
              <w:rPr>
                <w:rFonts w:ascii="Times New Roman" w:hAnsi="Times New Roman"/>
                <w:b/>
                <w:bCs/>
                <w:sz w:val="20"/>
                <w:szCs w:val="20"/>
              </w:rPr>
              <w:t xml:space="preserve"> </w:t>
            </w:r>
            <w:r w:rsidR="0057021E" w:rsidRPr="00530CB6">
              <w:rPr>
                <w:rFonts w:ascii="Times New Roman" w:hAnsi="Times New Roman"/>
                <w:sz w:val="20"/>
                <w:szCs w:val="20"/>
              </w:rPr>
              <w:t>(OP152)</w:t>
            </w:r>
            <w:r>
              <w:rPr>
                <w:rFonts w:ascii="Times New Roman" w:hAnsi="Times New Roman"/>
                <w:sz w:val="20"/>
                <w:szCs w:val="20"/>
              </w:rPr>
              <w:t>.</w:t>
            </w:r>
            <w:r w:rsidR="0057021E" w:rsidRPr="00530CB6">
              <w:rPr>
                <w:rFonts w:ascii="Times New Roman" w:hAnsi="Times New Roman"/>
                <w:sz w:val="20"/>
                <w:szCs w:val="20"/>
              </w:rPr>
              <w:t xml:space="preserve"> </w:t>
            </w:r>
          </w:p>
          <w:p w14:paraId="479C7647" w14:textId="77777777" w:rsidR="00A70EEA" w:rsidRPr="00530CB6" w:rsidRDefault="009F273E" w:rsidP="00A70EEA">
            <w:pPr>
              <w:pStyle w:val="Default"/>
              <w:numPr>
                <w:ilvl w:val="0"/>
                <w:numId w:val="23"/>
              </w:numPr>
              <w:rPr>
                <w:rFonts w:ascii="Times New Roman" w:hAnsi="Times New Roman"/>
                <w:sz w:val="20"/>
                <w:szCs w:val="20"/>
              </w:rPr>
            </w:pPr>
            <w:r>
              <w:rPr>
                <w:rFonts w:ascii="Times New Roman" w:hAnsi="Times New Roman"/>
                <w:i/>
                <w:sz w:val="20"/>
                <w:szCs w:val="20"/>
              </w:rPr>
              <w:t>F</w:t>
            </w:r>
            <w:r w:rsidR="00A70EEA" w:rsidRPr="00530CB6">
              <w:rPr>
                <w:rFonts w:ascii="Times New Roman" w:hAnsi="Times New Roman"/>
                <w:i/>
                <w:sz w:val="20"/>
                <w:szCs w:val="20"/>
              </w:rPr>
              <w:t xml:space="preserve">urther investing in </w:t>
            </w:r>
            <w:r w:rsidR="00A70EEA" w:rsidRPr="00530CB6">
              <w:rPr>
                <w:rFonts w:ascii="Times New Roman" w:hAnsi="Times New Roman"/>
                <w:bCs/>
                <w:i/>
                <w:sz w:val="20"/>
                <w:szCs w:val="20"/>
              </w:rPr>
              <w:t>intra-agency rationalization of business operations</w:t>
            </w:r>
            <w:r w:rsidR="00A70EEA" w:rsidRPr="00530CB6">
              <w:rPr>
                <w:rFonts w:ascii="Times New Roman" w:hAnsi="Times New Roman"/>
                <w:bCs/>
                <w:sz w:val="20"/>
                <w:szCs w:val="20"/>
              </w:rPr>
              <w:t xml:space="preserve"> (OP153)</w:t>
            </w:r>
            <w:r>
              <w:rPr>
                <w:rFonts w:ascii="Times New Roman" w:hAnsi="Times New Roman"/>
                <w:bCs/>
                <w:sz w:val="20"/>
                <w:szCs w:val="20"/>
              </w:rPr>
              <w:t>.</w:t>
            </w:r>
          </w:p>
          <w:p w14:paraId="587267FE" w14:textId="77777777" w:rsidR="00C12056" w:rsidRPr="00530CB6" w:rsidRDefault="009F273E" w:rsidP="00C12056">
            <w:pPr>
              <w:pStyle w:val="Default"/>
              <w:numPr>
                <w:ilvl w:val="0"/>
                <w:numId w:val="23"/>
              </w:numPr>
              <w:rPr>
                <w:rFonts w:ascii="Times New Roman" w:hAnsi="Times New Roman"/>
                <w:sz w:val="20"/>
                <w:szCs w:val="20"/>
              </w:rPr>
            </w:pPr>
            <w:r>
              <w:rPr>
                <w:rFonts w:ascii="Times New Roman" w:hAnsi="Times New Roman"/>
                <w:i/>
                <w:sz w:val="20"/>
                <w:szCs w:val="20"/>
              </w:rPr>
              <w:t>D</w:t>
            </w:r>
            <w:r w:rsidR="00C12056" w:rsidRPr="00530CB6">
              <w:rPr>
                <w:rFonts w:ascii="Times New Roman" w:hAnsi="Times New Roman"/>
                <w:i/>
                <w:sz w:val="20"/>
                <w:szCs w:val="20"/>
              </w:rPr>
              <w:t>eveloping and concluding inter-agency framework agreements</w:t>
            </w:r>
            <w:r w:rsidR="00C12056" w:rsidRPr="00530CB6">
              <w:rPr>
                <w:rFonts w:ascii="Times New Roman" w:hAnsi="Times New Roman"/>
                <w:sz w:val="20"/>
                <w:szCs w:val="20"/>
              </w:rPr>
              <w:t xml:space="preserve"> regarding the </w:t>
            </w:r>
            <w:r w:rsidR="00C12056" w:rsidRPr="00530CB6">
              <w:rPr>
                <w:rFonts w:ascii="Times New Roman" w:hAnsi="Times New Roman"/>
                <w:bCs/>
                <w:sz w:val="20"/>
                <w:szCs w:val="20"/>
              </w:rPr>
              <w:t xml:space="preserve">provision of support services regulating the mutual validity of agreements </w:t>
            </w:r>
            <w:r w:rsidR="00C12056" w:rsidRPr="00530CB6">
              <w:rPr>
                <w:rFonts w:ascii="Times New Roman" w:hAnsi="Times New Roman"/>
                <w:sz w:val="20"/>
                <w:szCs w:val="20"/>
              </w:rPr>
              <w:t>(OP154)</w:t>
            </w:r>
            <w:r>
              <w:rPr>
                <w:rFonts w:ascii="Times New Roman" w:hAnsi="Times New Roman"/>
                <w:sz w:val="20"/>
                <w:szCs w:val="20"/>
              </w:rPr>
              <w:t>.</w:t>
            </w:r>
          </w:p>
          <w:p w14:paraId="380C722F" w14:textId="77777777" w:rsidR="005E620D" w:rsidRPr="00530CB6" w:rsidRDefault="005E620D" w:rsidP="00C12056">
            <w:pPr>
              <w:pStyle w:val="Default"/>
              <w:rPr>
                <w:rFonts w:ascii="Times New Roman" w:hAnsi="Times New Roman"/>
                <w:sz w:val="20"/>
                <w:szCs w:val="20"/>
              </w:rPr>
            </w:pPr>
          </w:p>
        </w:tc>
        <w:tc>
          <w:tcPr>
            <w:tcW w:w="2700" w:type="dxa"/>
          </w:tcPr>
          <w:p w14:paraId="50855907" w14:textId="77777777" w:rsidR="0057021E" w:rsidRPr="00530CB6" w:rsidRDefault="0057021E" w:rsidP="0057021E">
            <w:pPr>
              <w:pStyle w:val="Default"/>
              <w:rPr>
                <w:rFonts w:ascii="Times New Roman" w:hAnsi="Times New Roman"/>
                <w:sz w:val="20"/>
                <w:szCs w:val="20"/>
              </w:rPr>
            </w:pPr>
            <w:r w:rsidRPr="00530CB6">
              <w:rPr>
                <w:rFonts w:ascii="Times New Roman" w:hAnsi="Times New Roman"/>
                <w:sz w:val="20"/>
                <w:szCs w:val="20"/>
              </w:rPr>
              <w:t>Plan for consolidated common support at country level submitted to governing bodies in 2014, including in the areas of financial management, human resources, proc</w:t>
            </w:r>
            <w:r w:rsidR="00C12056" w:rsidRPr="00530CB6">
              <w:rPr>
                <w:rFonts w:ascii="Times New Roman" w:hAnsi="Times New Roman"/>
                <w:sz w:val="20"/>
                <w:szCs w:val="20"/>
              </w:rPr>
              <w:t>urement, ICT and other services</w:t>
            </w:r>
          </w:p>
          <w:p w14:paraId="26B54739" w14:textId="77777777" w:rsidR="00C12056" w:rsidRPr="00530CB6" w:rsidRDefault="00C12056" w:rsidP="0057021E">
            <w:pPr>
              <w:pStyle w:val="Default"/>
              <w:rPr>
                <w:rFonts w:ascii="Times New Roman" w:hAnsi="Times New Roman"/>
                <w:sz w:val="20"/>
                <w:szCs w:val="20"/>
              </w:rPr>
            </w:pPr>
          </w:p>
          <w:p w14:paraId="137A1BD8" w14:textId="77777777" w:rsidR="00C12056" w:rsidRPr="00530CB6" w:rsidRDefault="00C12056" w:rsidP="00C12056">
            <w:pPr>
              <w:pStyle w:val="Default"/>
              <w:rPr>
                <w:rFonts w:ascii="Times New Roman" w:hAnsi="Times New Roman"/>
                <w:sz w:val="20"/>
                <w:szCs w:val="20"/>
              </w:rPr>
            </w:pPr>
            <w:r w:rsidRPr="00530CB6">
              <w:rPr>
                <w:rFonts w:ascii="Times New Roman" w:hAnsi="Times New Roman"/>
                <w:sz w:val="20"/>
                <w:szCs w:val="20"/>
              </w:rPr>
              <w:t xml:space="preserve"># of UN entities that presented plans for intra-agency rationalization </w:t>
            </w:r>
          </w:p>
          <w:p w14:paraId="4E8AE18B" w14:textId="77777777" w:rsidR="00C12056" w:rsidRPr="00530CB6" w:rsidRDefault="00C12056" w:rsidP="0057021E">
            <w:pPr>
              <w:pStyle w:val="Default"/>
              <w:rPr>
                <w:rFonts w:ascii="Times New Roman" w:hAnsi="Times New Roman"/>
                <w:sz w:val="20"/>
                <w:szCs w:val="20"/>
              </w:rPr>
            </w:pPr>
          </w:p>
          <w:p w14:paraId="40FB748D" w14:textId="77777777" w:rsidR="005E620D" w:rsidRPr="00530CB6" w:rsidRDefault="009619C9" w:rsidP="00931CA5">
            <w:pPr>
              <w:pStyle w:val="Default"/>
              <w:rPr>
                <w:rFonts w:ascii="Times New Roman" w:hAnsi="Times New Roman"/>
                <w:sz w:val="20"/>
                <w:szCs w:val="20"/>
              </w:rPr>
            </w:pPr>
            <w:r w:rsidRPr="00530CB6">
              <w:rPr>
                <w:rFonts w:ascii="Times New Roman" w:hAnsi="Times New Roman"/>
                <w:sz w:val="20"/>
                <w:szCs w:val="20"/>
              </w:rPr>
              <w:t xml:space="preserve"># of countries implementing common services, common LTAs, harmonized approach to procurement, common HR management, ICT services, financial management services </w:t>
            </w:r>
          </w:p>
        </w:tc>
        <w:tc>
          <w:tcPr>
            <w:tcW w:w="5850" w:type="dxa"/>
          </w:tcPr>
          <w:p w14:paraId="09B32403" w14:textId="77777777" w:rsidR="00D71D2A" w:rsidRPr="00530CB6" w:rsidRDefault="00D71D2A" w:rsidP="00D71D2A">
            <w:pPr>
              <w:pStyle w:val="Default"/>
              <w:numPr>
                <w:ilvl w:val="0"/>
                <w:numId w:val="26"/>
              </w:numPr>
              <w:rPr>
                <w:rFonts w:ascii="Times New Roman" w:hAnsi="Times New Roman"/>
                <w:sz w:val="20"/>
                <w:szCs w:val="20"/>
              </w:rPr>
            </w:pPr>
            <w:r w:rsidRPr="00530CB6">
              <w:rPr>
                <w:rFonts w:ascii="Times New Roman" w:hAnsi="Times New Roman"/>
                <w:sz w:val="20"/>
                <w:szCs w:val="20"/>
              </w:rPr>
              <w:t>UNDP, together with agencies, funds and programmes</w:t>
            </w:r>
            <w:r w:rsidR="009A26ED">
              <w:rPr>
                <w:rFonts w:ascii="Times New Roman" w:hAnsi="Times New Roman"/>
                <w:sz w:val="20"/>
                <w:szCs w:val="20"/>
              </w:rPr>
              <w:t>,</w:t>
            </w:r>
            <w:r w:rsidRPr="00530CB6">
              <w:rPr>
                <w:rFonts w:ascii="Times New Roman" w:hAnsi="Times New Roman"/>
                <w:sz w:val="20"/>
                <w:szCs w:val="20"/>
              </w:rPr>
              <w:t xml:space="preserve"> is implementing the business operations strategy in pilot </w:t>
            </w:r>
            <w:r w:rsidR="009A26ED">
              <w:rPr>
                <w:rFonts w:ascii="Times New Roman" w:hAnsi="Times New Roman"/>
                <w:sz w:val="20"/>
                <w:szCs w:val="20"/>
              </w:rPr>
              <w:t>and</w:t>
            </w:r>
            <w:r w:rsidRPr="00530CB6">
              <w:rPr>
                <w:rFonts w:ascii="Times New Roman" w:hAnsi="Times New Roman"/>
                <w:sz w:val="20"/>
                <w:szCs w:val="20"/>
              </w:rPr>
              <w:t xml:space="preserve"> self-starter co</w:t>
            </w:r>
            <w:r w:rsidR="006A7219" w:rsidRPr="00530CB6">
              <w:rPr>
                <w:rFonts w:ascii="Times New Roman" w:hAnsi="Times New Roman"/>
                <w:sz w:val="20"/>
                <w:szCs w:val="20"/>
              </w:rPr>
              <w:t xml:space="preserve">untries. Currently, </w:t>
            </w:r>
            <w:r w:rsidR="00EB31C0" w:rsidRPr="00530CB6">
              <w:rPr>
                <w:rFonts w:ascii="Times New Roman" w:hAnsi="Times New Roman"/>
                <w:sz w:val="20"/>
                <w:szCs w:val="20"/>
              </w:rPr>
              <w:t>49% of UN</w:t>
            </w:r>
            <w:r w:rsidR="006A7219" w:rsidRPr="00530CB6">
              <w:rPr>
                <w:rFonts w:ascii="Times New Roman" w:hAnsi="Times New Roman"/>
                <w:sz w:val="20"/>
                <w:szCs w:val="20"/>
              </w:rPr>
              <w:t>DP country offices</w:t>
            </w:r>
            <w:r w:rsidRPr="00530CB6">
              <w:rPr>
                <w:rFonts w:ascii="Times New Roman" w:hAnsi="Times New Roman"/>
                <w:sz w:val="20"/>
                <w:szCs w:val="20"/>
              </w:rPr>
              <w:t xml:space="preserve"> </w:t>
            </w:r>
            <w:r w:rsidR="00EB31C0" w:rsidRPr="00530CB6">
              <w:rPr>
                <w:rFonts w:ascii="Times New Roman" w:hAnsi="Times New Roman"/>
                <w:sz w:val="20"/>
                <w:szCs w:val="20"/>
              </w:rPr>
              <w:t>have</w:t>
            </w:r>
            <w:r w:rsidRPr="00530CB6">
              <w:rPr>
                <w:rFonts w:ascii="Times New Roman" w:hAnsi="Times New Roman"/>
                <w:sz w:val="20"/>
                <w:szCs w:val="20"/>
              </w:rPr>
              <w:t xml:space="preserve"> </w:t>
            </w:r>
            <w:r w:rsidR="009A26ED">
              <w:rPr>
                <w:rFonts w:ascii="Times New Roman" w:hAnsi="Times New Roman"/>
                <w:sz w:val="20"/>
                <w:szCs w:val="20"/>
              </w:rPr>
              <w:t>b</w:t>
            </w:r>
            <w:r w:rsidRPr="00530CB6">
              <w:rPr>
                <w:rFonts w:ascii="Times New Roman" w:hAnsi="Times New Roman"/>
                <w:sz w:val="20"/>
                <w:szCs w:val="20"/>
              </w:rPr>
              <w:t xml:space="preserve">usiness </w:t>
            </w:r>
            <w:r w:rsidR="009A26ED">
              <w:rPr>
                <w:rFonts w:ascii="Times New Roman" w:hAnsi="Times New Roman"/>
                <w:sz w:val="20"/>
                <w:szCs w:val="20"/>
              </w:rPr>
              <w:t>o</w:t>
            </w:r>
            <w:r w:rsidRPr="00530CB6">
              <w:rPr>
                <w:rFonts w:ascii="Times New Roman" w:hAnsi="Times New Roman"/>
                <w:sz w:val="20"/>
                <w:szCs w:val="20"/>
              </w:rPr>
              <w:t xml:space="preserve">perations </w:t>
            </w:r>
            <w:r w:rsidR="009A26ED">
              <w:rPr>
                <w:rFonts w:ascii="Times New Roman" w:hAnsi="Times New Roman"/>
                <w:sz w:val="20"/>
                <w:szCs w:val="20"/>
              </w:rPr>
              <w:t>s</w:t>
            </w:r>
            <w:r w:rsidRPr="00530CB6">
              <w:rPr>
                <w:rFonts w:ascii="Times New Roman" w:hAnsi="Times New Roman"/>
                <w:sz w:val="20"/>
                <w:szCs w:val="20"/>
              </w:rPr>
              <w:t xml:space="preserve">trategies. </w:t>
            </w:r>
          </w:p>
          <w:p w14:paraId="387931F3" w14:textId="04CC9A55" w:rsidR="00C46CA8" w:rsidRPr="00530CB6" w:rsidRDefault="006A7219" w:rsidP="00C46CA8">
            <w:pPr>
              <w:pStyle w:val="Default"/>
              <w:numPr>
                <w:ilvl w:val="0"/>
                <w:numId w:val="26"/>
              </w:numPr>
              <w:rPr>
                <w:rFonts w:ascii="Times New Roman" w:hAnsi="Times New Roman"/>
                <w:sz w:val="20"/>
                <w:szCs w:val="20"/>
              </w:rPr>
            </w:pPr>
            <w:r w:rsidRPr="00530CB6">
              <w:rPr>
                <w:rFonts w:ascii="Times New Roman" w:hAnsi="Times New Roman"/>
                <w:sz w:val="20"/>
                <w:szCs w:val="20"/>
              </w:rPr>
              <w:t>UNDP revised</w:t>
            </w:r>
            <w:r w:rsidR="00C46CA8" w:rsidRPr="00530CB6">
              <w:rPr>
                <w:rFonts w:ascii="Times New Roman" w:hAnsi="Times New Roman"/>
                <w:sz w:val="20"/>
                <w:szCs w:val="20"/>
              </w:rPr>
              <w:t xml:space="preserve"> its business processes for integrated services to clients for recruitment; </w:t>
            </w:r>
            <w:r w:rsidR="001B4642">
              <w:rPr>
                <w:rFonts w:ascii="Times New Roman" w:hAnsi="Times New Roman"/>
                <w:sz w:val="20"/>
                <w:szCs w:val="20"/>
              </w:rPr>
              <w:t>information technology</w:t>
            </w:r>
            <w:r w:rsidR="001B4642" w:rsidRPr="00530CB6">
              <w:rPr>
                <w:rFonts w:ascii="Times New Roman" w:hAnsi="Times New Roman"/>
                <w:sz w:val="20"/>
                <w:szCs w:val="20"/>
              </w:rPr>
              <w:t xml:space="preserve"> </w:t>
            </w:r>
            <w:r w:rsidR="00C46CA8" w:rsidRPr="00530CB6">
              <w:rPr>
                <w:rFonts w:ascii="Times New Roman" w:hAnsi="Times New Roman"/>
                <w:sz w:val="20"/>
                <w:szCs w:val="20"/>
              </w:rPr>
              <w:t>support; procurement</w:t>
            </w:r>
            <w:r w:rsidR="009A26ED">
              <w:rPr>
                <w:rFonts w:ascii="Times New Roman" w:hAnsi="Times New Roman"/>
                <w:sz w:val="20"/>
                <w:szCs w:val="20"/>
              </w:rPr>
              <w:t>,</w:t>
            </w:r>
            <w:r w:rsidR="00985848">
              <w:rPr>
                <w:rFonts w:ascii="Times New Roman" w:hAnsi="Times New Roman"/>
                <w:sz w:val="20"/>
                <w:szCs w:val="20"/>
              </w:rPr>
              <w:t xml:space="preserve"> and travel. Within the</w:t>
            </w:r>
            <w:r w:rsidR="00C46CA8" w:rsidRPr="00530CB6">
              <w:rPr>
                <w:rFonts w:ascii="Times New Roman" w:hAnsi="Times New Roman"/>
                <w:sz w:val="20"/>
                <w:szCs w:val="20"/>
              </w:rPr>
              <w:t xml:space="preserve"> Bureau for Management </w:t>
            </w:r>
            <w:r w:rsidR="00985848">
              <w:rPr>
                <w:rFonts w:ascii="Times New Roman" w:hAnsi="Times New Roman"/>
                <w:sz w:val="20"/>
                <w:szCs w:val="20"/>
              </w:rPr>
              <w:t xml:space="preserve">Services, a </w:t>
            </w:r>
            <w:r w:rsidR="00C46CA8" w:rsidRPr="00530CB6">
              <w:rPr>
                <w:rFonts w:ascii="Times New Roman" w:hAnsi="Times New Roman"/>
                <w:sz w:val="20"/>
                <w:szCs w:val="20"/>
              </w:rPr>
              <w:t>new business coordinato</w:t>
            </w:r>
            <w:r w:rsidR="00D36229" w:rsidRPr="00530CB6">
              <w:rPr>
                <w:rFonts w:ascii="Times New Roman" w:hAnsi="Times New Roman"/>
                <w:sz w:val="20"/>
                <w:szCs w:val="20"/>
              </w:rPr>
              <w:t>r function is</w:t>
            </w:r>
            <w:r w:rsidR="00C46CA8" w:rsidRPr="00530CB6">
              <w:rPr>
                <w:rFonts w:ascii="Times New Roman" w:hAnsi="Times New Roman"/>
                <w:sz w:val="20"/>
                <w:szCs w:val="20"/>
              </w:rPr>
              <w:t xml:space="preserve"> responsible for providing integrated business solutions for </w:t>
            </w:r>
            <w:r w:rsidR="009A26ED">
              <w:rPr>
                <w:rFonts w:ascii="Times New Roman" w:hAnsi="Times New Roman"/>
                <w:sz w:val="20"/>
                <w:szCs w:val="20"/>
              </w:rPr>
              <w:t>bureaus</w:t>
            </w:r>
            <w:r w:rsidR="009A26ED" w:rsidRPr="00530CB6">
              <w:rPr>
                <w:rFonts w:ascii="Times New Roman" w:hAnsi="Times New Roman"/>
                <w:sz w:val="20"/>
                <w:szCs w:val="20"/>
              </w:rPr>
              <w:t xml:space="preserve"> </w:t>
            </w:r>
            <w:r w:rsidR="00C46CA8" w:rsidRPr="00530CB6">
              <w:rPr>
                <w:rFonts w:ascii="Times New Roman" w:hAnsi="Times New Roman"/>
                <w:sz w:val="20"/>
                <w:szCs w:val="20"/>
              </w:rPr>
              <w:t xml:space="preserve">in partnership with service managers at </w:t>
            </w:r>
            <w:r w:rsidR="009A26ED">
              <w:rPr>
                <w:rFonts w:ascii="Times New Roman" w:hAnsi="Times New Roman"/>
                <w:sz w:val="20"/>
                <w:szCs w:val="20"/>
              </w:rPr>
              <w:t>headquarters</w:t>
            </w:r>
            <w:r w:rsidR="00C46CA8" w:rsidRPr="00530CB6">
              <w:rPr>
                <w:rFonts w:ascii="Times New Roman" w:hAnsi="Times New Roman"/>
                <w:sz w:val="20"/>
                <w:szCs w:val="20"/>
              </w:rPr>
              <w:t xml:space="preserve">, </w:t>
            </w:r>
            <w:r w:rsidR="009A26ED">
              <w:rPr>
                <w:rFonts w:ascii="Times New Roman" w:hAnsi="Times New Roman"/>
                <w:sz w:val="20"/>
                <w:szCs w:val="20"/>
              </w:rPr>
              <w:t>r</w:t>
            </w:r>
            <w:r w:rsidR="00C46CA8" w:rsidRPr="00530CB6">
              <w:rPr>
                <w:rFonts w:ascii="Times New Roman" w:hAnsi="Times New Roman"/>
                <w:sz w:val="20"/>
                <w:szCs w:val="20"/>
              </w:rPr>
              <w:t xml:space="preserve">egional </w:t>
            </w:r>
            <w:r w:rsidR="009A26ED">
              <w:rPr>
                <w:rFonts w:ascii="Times New Roman" w:hAnsi="Times New Roman"/>
                <w:sz w:val="20"/>
                <w:szCs w:val="20"/>
              </w:rPr>
              <w:t>h</w:t>
            </w:r>
            <w:r w:rsidR="00C46CA8" w:rsidRPr="00530CB6">
              <w:rPr>
                <w:rFonts w:ascii="Times New Roman" w:hAnsi="Times New Roman"/>
                <w:sz w:val="20"/>
                <w:szCs w:val="20"/>
              </w:rPr>
              <w:t xml:space="preserve">ubs, and </w:t>
            </w:r>
            <w:r w:rsidR="009A26ED">
              <w:rPr>
                <w:rFonts w:ascii="Times New Roman" w:hAnsi="Times New Roman"/>
                <w:sz w:val="20"/>
                <w:szCs w:val="20"/>
              </w:rPr>
              <w:t xml:space="preserve">the </w:t>
            </w:r>
            <w:r w:rsidR="00C46CA8" w:rsidRPr="00530CB6">
              <w:rPr>
                <w:rFonts w:ascii="Times New Roman" w:hAnsi="Times New Roman"/>
                <w:sz w:val="20"/>
                <w:szCs w:val="20"/>
              </w:rPr>
              <w:t xml:space="preserve">Global Shared Service Centres in Copenhagen and Kuala Lumpur. </w:t>
            </w:r>
          </w:p>
          <w:p w14:paraId="001E7291" w14:textId="77777777" w:rsidR="00EE2EFA" w:rsidRDefault="00C46CA8" w:rsidP="004E2626">
            <w:pPr>
              <w:pStyle w:val="ListParagraph"/>
              <w:numPr>
                <w:ilvl w:val="0"/>
                <w:numId w:val="25"/>
              </w:numPr>
              <w:rPr>
                <w:rFonts w:ascii="Times New Roman" w:hAnsi="Times New Roman"/>
                <w:sz w:val="20"/>
                <w:szCs w:val="20"/>
              </w:rPr>
            </w:pPr>
            <w:r w:rsidRPr="00530CB6">
              <w:rPr>
                <w:rFonts w:ascii="Times New Roman" w:hAnsi="Times New Roman"/>
                <w:sz w:val="20"/>
                <w:szCs w:val="20"/>
              </w:rPr>
              <w:t>In 2016, the following was repor</w:t>
            </w:r>
            <w:r w:rsidR="00D36229" w:rsidRPr="00530CB6">
              <w:rPr>
                <w:rFonts w:ascii="Times New Roman" w:hAnsi="Times New Roman"/>
                <w:sz w:val="20"/>
                <w:szCs w:val="20"/>
              </w:rPr>
              <w:t>ted (</w:t>
            </w:r>
            <w:r w:rsidR="009A26ED">
              <w:rPr>
                <w:rFonts w:ascii="Times New Roman" w:hAnsi="Times New Roman"/>
                <w:sz w:val="20"/>
                <w:szCs w:val="20"/>
              </w:rPr>
              <w:t>from</w:t>
            </w:r>
            <w:r w:rsidR="00FD4B52" w:rsidRPr="00530CB6">
              <w:rPr>
                <w:rFonts w:ascii="Times New Roman" w:hAnsi="Times New Roman"/>
                <w:sz w:val="20"/>
                <w:szCs w:val="20"/>
              </w:rPr>
              <w:t xml:space="preserve"> 134 UNDP country offices</w:t>
            </w:r>
            <w:r w:rsidR="00D36229" w:rsidRPr="00530CB6">
              <w:rPr>
                <w:rFonts w:ascii="Times New Roman" w:hAnsi="Times New Roman"/>
                <w:sz w:val="20"/>
                <w:szCs w:val="20"/>
              </w:rPr>
              <w:t>)</w:t>
            </w:r>
            <w:r w:rsidR="00FD4B52" w:rsidRPr="00530CB6">
              <w:rPr>
                <w:rFonts w:ascii="Times New Roman" w:hAnsi="Times New Roman"/>
                <w:sz w:val="20"/>
                <w:szCs w:val="20"/>
              </w:rPr>
              <w:t>:</w:t>
            </w:r>
            <w:r w:rsidR="0062370B">
              <w:rPr>
                <w:rFonts w:ascii="Times New Roman" w:hAnsi="Times New Roman"/>
                <w:sz w:val="20"/>
                <w:szCs w:val="20"/>
              </w:rPr>
              <w:t xml:space="preserve"> </w:t>
            </w:r>
            <w:r w:rsidR="008E3C89" w:rsidRPr="0062370B">
              <w:rPr>
                <w:rFonts w:ascii="Times New Roman" w:hAnsi="Times New Roman"/>
                <w:sz w:val="20"/>
                <w:szCs w:val="20"/>
              </w:rPr>
              <w:t>92% of UNDP country offices use common services</w:t>
            </w:r>
            <w:r w:rsidR="009A26ED" w:rsidRPr="0062370B">
              <w:rPr>
                <w:rFonts w:ascii="Times New Roman" w:hAnsi="Times New Roman"/>
                <w:sz w:val="20"/>
                <w:szCs w:val="20"/>
              </w:rPr>
              <w:t xml:space="preserve">; </w:t>
            </w:r>
            <w:r w:rsidR="00C811BA" w:rsidRPr="0062370B">
              <w:rPr>
                <w:rFonts w:ascii="Times New Roman" w:hAnsi="Times New Roman"/>
                <w:sz w:val="20"/>
                <w:szCs w:val="20"/>
              </w:rPr>
              <w:t xml:space="preserve">75% of UNDP country offices use </w:t>
            </w:r>
            <w:r w:rsidR="009A26ED" w:rsidRPr="0062370B">
              <w:rPr>
                <w:rFonts w:ascii="Times New Roman" w:hAnsi="Times New Roman"/>
                <w:sz w:val="20"/>
                <w:szCs w:val="20"/>
              </w:rPr>
              <w:t>long term agreements</w:t>
            </w:r>
            <w:r w:rsidR="001B4642" w:rsidRPr="0062370B">
              <w:rPr>
                <w:rFonts w:ascii="Times New Roman" w:hAnsi="Times New Roman"/>
                <w:sz w:val="20"/>
                <w:szCs w:val="20"/>
              </w:rPr>
              <w:t xml:space="preserve"> (LTAs)</w:t>
            </w:r>
            <w:r w:rsidR="009A26ED" w:rsidRPr="0062370B">
              <w:rPr>
                <w:rFonts w:ascii="Times New Roman" w:hAnsi="Times New Roman"/>
                <w:sz w:val="20"/>
                <w:szCs w:val="20"/>
              </w:rPr>
              <w:t xml:space="preserve">; </w:t>
            </w:r>
            <w:r w:rsidR="00C811BA" w:rsidRPr="0062370B">
              <w:rPr>
                <w:rFonts w:ascii="Times New Roman" w:hAnsi="Times New Roman"/>
                <w:sz w:val="20"/>
                <w:szCs w:val="20"/>
              </w:rPr>
              <w:t>41% of UNDP country offices use a harmonized approach to procurement</w:t>
            </w:r>
            <w:r w:rsidR="009A26ED" w:rsidRPr="0062370B">
              <w:rPr>
                <w:rFonts w:ascii="Times New Roman" w:hAnsi="Times New Roman"/>
                <w:sz w:val="20"/>
                <w:szCs w:val="20"/>
              </w:rPr>
              <w:t xml:space="preserve">; </w:t>
            </w:r>
            <w:r w:rsidR="00FD4B52" w:rsidRPr="0062370B">
              <w:rPr>
                <w:rFonts w:ascii="Times New Roman" w:hAnsi="Times New Roman"/>
                <w:sz w:val="20"/>
                <w:szCs w:val="20"/>
              </w:rPr>
              <w:t>36% of UNDP country office</w:t>
            </w:r>
            <w:r w:rsidR="00EE2EFA" w:rsidRPr="0062370B">
              <w:rPr>
                <w:rFonts w:ascii="Times New Roman" w:hAnsi="Times New Roman"/>
                <w:sz w:val="20"/>
                <w:szCs w:val="20"/>
              </w:rPr>
              <w:t>s</w:t>
            </w:r>
            <w:r w:rsidR="00FD4B52" w:rsidRPr="0062370B">
              <w:rPr>
                <w:rFonts w:ascii="Times New Roman" w:hAnsi="Times New Roman"/>
                <w:sz w:val="20"/>
                <w:szCs w:val="20"/>
              </w:rPr>
              <w:t xml:space="preserve"> use human resource management</w:t>
            </w:r>
            <w:r w:rsidR="009A26ED" w:rsidRPr="0062370B">
              <w:rPr>
                <w:rFonts w:ascii="Times New Roman" w:hAnsi="Times New Roman"/>
                <w:sz w:val="20"/>
                <w:szCs w:val="20"/>
              </w:rPr>
              <w:t xml:space="preserve">; </w:t>
            </w:r>
            <w:r w:rsidR="00EE2EFA" w:rsidRPr="0062370B">
              <w:rPr>
                <w:rFonts w:ascii="Times New Roman" w:hAnsi="Times New Roman"/>
                <w:sz w:val="20"/>
                <w:szCs w:val="20"/>
              </w:rPr>
              <w:t xml:space="preserve">60% of UNDP country offices use </w:t>
            </w:r>
            <w:r w:rsidR="009A26ED" w:rsidRPr="0062370B">
              <w:rPr>
                <w:rFonts w:ascii="Times New Roman" w:hAnsi="Times New Roman"/>
                <w:sz w:val="20"/>
                <w:szCs w:val="20"/>
              </w:rPr>
              <w:t>information communication technology</w:t>
            </w:r>
            <w:r w:rsidR="001B4642" w:rsidRPr="0062370B">
              <w:rPr>
                <w:rFonts w:ascii="Times New Roman" w:hAnsi="Times New Roman"/>
                <w:sz w:val="20"/>
                <w:szCs w:val="20"/>
              </w:rPr>
              <w:t xml:space="preserve"> (ICT)</w:t>
            </w:r>
            <w:r w:rsidR="009A26ED" w:rsidRPr="0062370B">
              <w:rPr>
                <w:rFonts w:ascii="Times New Roman" w:hAnsi="Times New Roman"/>
                <w:sz w:val="20"/>
                <w:szCs w:val="20"/>
              </w:rPr>
              <w:t xml:space="preserve"> </w:t>
            </w:r>
            <w:r w:rsidR="00EE2EFA" w:rsidRPr="0062370B">
              <w:rPr>
                <w:rFonts w:ascii="Times New Roman" w:hAnsi="Times New Roman"/>
                <w:sz w:val="20"/>
                <w:szCs w:val="20"/>
              </w:rPr>
              <w:t>services</w:t>
            </w:r>
            <w:r w:rsidR="009A26ED" w:rsidRPr="0062370B">
              <w:rPr>
                <w:rFonts w:ascii="Times New Roman" w:hAnsi="Times New Roman"/>
                <w:sz w:val="20"/>
                <w:szCs w:val="20"/>
              </w:rPr>
              <w:t xml:space="preserve">, and </w:t>
            </w:r>
            <w:r w:rsidR="00863F50" w:rsidRPr="0062370B">
              <w:rPr>
                <w:rFonts w:ascii="Times New Roman" w:hAnsi="Times New Roman"/>
                <w:sz w:val="20"/>
                <w:szCs w:val="20"/>
              </w:rPr>
              <w:t xml:space="preserve">28% of UNDP country offices use common financial management services. </w:t>
            </w:r>
          </w:p>
          <w:p w14:paraId="2ACE044C" w14:textId="053FEAC6" w:rsidR="0062370B" w:rsidRPr="0062370B" w:rsidRDefault="0062370B" w:rsidP="0062370B">
            <w:pPr>
              <w:pStyle w:val="ListParagraph"/>
              <w:ind w:left="360"/>
              <w:rPr>
                <w:rFonts w:ascii="Times New Roman" w:hAnsi="Times New Roman"/>
                <w:sz w:val="20"/>
                <w:szCs w:val="20"/>
              </w:rPr>
            </w:pPr>
          </w:p>
        </w:tc>
      </w:tr>
      <w:tr w:rsidR="005E620D" w:rsidRPr="0062370B" w14:paraId="2E6A0C25" w14:textId="77777777" w:rsidTr="00880567">
        <w:tc>
          <w:tcPr>
            <w:tcW w:w="4410" w:type="dxa"/>
          </w:tcPr>
          <w:p w14:paraId="3A3CB6A5" w14:textId="77777777" w:rsidR="005E620D" w:rsidRPr="0062370B" w:rsidRDefault="005E620D" w:rsidP="005E620D">
            <w:pPr>
              <w:pStyle w:val="ListParagraph"/>
              <w:numPr>
                <w:ilvl w:val="0"/>
                <w:numId w:val="11"/>
              </w:numPr>
              <w:rPr>
                <w:rFonts w:ascii="Times New Roman" w:hAnsi="Times New Roman"/>
                <w:b/>
                <w:sz w:val="20"/>
                <w:szCs w:val="20"/>
              </w:rPr>
            </w:pPr>
            <w:r w:rsidRPr="0062370B">
              <w:rPr>
                <w:rFonts w:ascii="Times New Roman" w:hAnsi="Times New Roman"/>
                <w:b/>
                <w:sz w:val="20"/>
                <w:szCs w:val="20"/>
              </w:rPr>
              <w:t xml:space="preserve">Results-based management </w:t>
            </w:r>
            <w:r w:rsidR="00695CE1" w:rsidRPr="0062370B">
              <w:rPr>
                <w:rFonts w:ascii="Times New Roman" w:hAnsi="Times New Roman"/>
                <w:b/>
                <w:sz w:val="20"/>
                <w:szCs w:val="20"/>
              </w:rPr>
              <w:t>(OP164</w:t>
            </w:r>
            <w:r w:rsidR="00AF50F2" w:rsidRPr="0062370B">
              <w:rPr>
                <w:rFonts w:ascii="Times New Roman" w:hAnsi="Times New Roman"/>
                <w:b/>
                <w:sz w:val="20"/>
                <w:szCs w:val="20"/>
              </w:rPr>
              <w:t>-172)</w:t>
            </w:r>
          </w:p>
        </w:tc>
        <w:tc>
          <w:tcPr>
            <w:tcW w:w="2700" w:type="dxa"/>
          </w:tcPr>
          <w:p w14:paraId="46379B01" w14:textId="77777777" w:rsidR="005E620D" w:rsidRPr="0062370B" w:rsidRDefault="005E620D">
            <w:pPr>
              <w:rPr>
                <w:rFonts w:ascii="Times New Roman" w:hAnsi="Times New Roman"/>
                <w:b/>
                <w:sz w:val="20"/>
                <w:szCs w:val="20"/>
              </w:rPr>
            </w:pPr>
            <w:r w:rsidRPr="0062370B">
              <w:rPr>
                <w:rFonts w:ascii="Times New Roman" w:hAnsi="Times New Roman"/>
                <w:b/>
                <w:sz w:val="20"/>
                <w:szCs w:val="20"/>
              </w:rPr>
              <w:t>Relevant Indicators</w:t>
            </w:r>
          </w:p>
        </w:tc>
        <w:tc>
          <w:tcPr>
            <w:tcW w:w="5850" w:type="dxa"/>
          </w:tcPr>
          <w:p w14:paraId="5E423EA4" w14:textId="77777777" w:rsidR="005E620D" w:rsidRPr="0062370B" w:rsidRDefault="005E620D">
            <w:pPr>
              <w:rPr>
                <w:rFonts w:ascii="Times New Roman" w:hAnsi="Times New Roman"/>
                <w:b/>
                <w:sz w:val="20"/>
                <w:szCs w:val="20"/>
              </w:rPr>
            </w:pPr>
            <w:r w:rsidRPr="0062370B">
              <w:rPr>
                <w:rFonts w:ascii="Times New Roman" w:hAnsi="Times New Roman"/>
                <w:b/>
                <w:sz w:val="20"/>
                <w:szCs w:val="20"/>
              </w:rPr>
              <w:t>Progress</w:t>
            </w:r>
          </w:p>
        </w:tc>
      </w:tr>
      <w:tr w:rsidR="00104BAF" w:rsidRPr="00530CB6" w14:paraId="78EF0ADE" w14:textId="77777777" w:rsidTr="00880567">
        <w:tc>
          <w:tcPr>
            <w:tcW w:w="4410" w:type="dxa"/>
          </w:tcPr>
          <w:p w14:paraId="3560B6DE" w14:textId="77777777" w:rsidR="00410472" w:rsidRPr="00530CB6" w:rsidRDefault="009F273E" w:rsidP="00736212">
            <w:pPr>
              <w:pStyle w:val="Default"/>
              <w:numPr>
                <w:ilvl w:val="0"/>
                <w:numId w:val="25"/>
              </w:numPr>
              <w:rPr>
                <w:rFonts w:ascii="Times New Roman" w:hAnsi="Times New Roman"/>
                <w:sz w:val="20"/>
                <w:szCs w:val="20"/>
              </w:rPr>
            </w:pPr>
            <w:r>
              <w:rPr>
                <w:rFonts w:ascii="Times New Roman" w:hAnsi="Times New Roman"/>
                <w:i/>
                <w:sz w:val="20"/>
                <w:szCs w:val="20"/>
              </w:rPr>
              <w:t>A</w:t>
            </w:r>
            <w:r w:rsidR="00736212" w:rsidRPr="00530CB6">
              <w:rPr>
                <w:rFonts w:ascii="Times New Roman" w:hAnsi="Times New Roman"/>
                <w:i/>
                <w:sz w:val="20"/>
                <w:szCs w:val="20"/>
              </w:rPr>
              <w:t xml:space="preserve">ccelerating work to </w:t>
            </w:r>
            <w:r w:rsidR="00736212" w:rsidRPr="00530CB6">
              <w:rPr>
                <w:rFonts w:ascii="Times New Roman" w:hAnsi="Times New Roman"/>
                <w:bCs/>
                <w:i/>
                <w:sz w:val="20"/>
                <w:szCs w:val="20"/>
              </w:rPr>
              <w:t>develop and sustain a results culture at all levels within the funds and programmes, the specialized agencies and other United Nations entities</w:t>
            </w:r>
            <w:r w:rsidR="00736212" w:rsidRPr="00530CB6">
              <w:rPr>
                <w:rFonts w:ascii="Times New Roman" w:hAnsi="Times New Roman"/>
                <w:sz w:val="20"/>
                <w:szCs w:val="20"/>
              </w:rPr>
              <w:t>, including by identifying and implementing appropriate incentives for results-based management, removing disincentives for results-based management at all levels and periodically reviewing their results management systems, and to invest in developing capacities and competencies for results-based management (OP166)</w:t>
            </w:r>
            <w:r>
              <w:rPr>
                <w:rFonts w:ascii="Times New Roman" w:hAnsi="Times New Roman"/>
                <w:sz w:val="20"/>
                <w:szCs w:val="20"/>
              </w:rPr>
              <w:t>.</w:t>
            </w:r>
          </w:p>
          <w:tbl>
            <w:tblPr>
              <w:tblW w:w="0" w:type="auto"/>
              <w:tblBorders>
                <w:top w:val="nil"/>
                <w:left w:val="nil"/>
                <w:bottom w:val="nil"/>
                <w:right w:val="nil"/>
              </w:tblBorders>
              <w:tblLook w:val="0000" w:firstRow="0" w:lastRow="0" w:firstColumn="0" w:lastColumn="0" w:noHBand="0" w:noVBand="0"/>
            </w:tblPr>
            <w:tblGrid>
              <w:gridCol w:w="4194"/>
            </w:tblGrid>
            <w:tr w:rsidR="00321BA4" w:rsidRPr="00530CB6" w14:paraId="69FAF79A" w14:textId="77777777" w:rsidTr="00060A87">
              <w:trPr>
                <w:trHeight w:val="309"/>
              </w:trPr>
              <w:tc>
                <w:tcPr>
                  <w:tcW w:w="0" w:type="auto"/>
                </w:tcPr>
                <w:p w14:paraId="5A542ACE" w14:textId="77777777" w:rsidR="00410472" w:rsidRPr="00931CA5" w:rsidRDefault="009F273E" w:rsidP="00931CA5">
                  <w:pPr>
                    <w:pStyle w:val="ListParagraph"/>
                    <w:numPr>
                      <w:ilvl w:val="0"/>
                      <w:numId w:val="25"/>
                    </w:numPr>
                    <w:autoSpaceDE w:val="0"/>
                    <w:autoSpaceDN w:val="0"/>
                    <w:adjustRightInd w:val="0"/>
                    <w:spacing w:after="0" w:line="240" w:lineRule="auto"/>
                    <w:rPr>
                      <w:rFonts w:ascii="Times New Roman" w:hAnsi="Times New Roman" w:cs="Calibri"/>
                      <w:bCs/>
                      <w:color w:val="000000"/>
                      <w:sz w:val="20"/>
                      <w:szCs w:val="20"/>
                    </w:rPr>
                  </w:pPr>
                  <w:r>
                    <w:rPr>
                      <w:rFonts w:ascii="Times New Roman" w:hAnsi="Times New Roman" w:cs="Calibri"/>
                      <w:bCs/>
                      <w:i/>
                      <w:color w:val="000000"/>
                      <w:sz w:val="20"/>
                      <w:szCs w:val="20"/>
                    </w:rPr>
                    <w:t>P</w:t>
                  </w:r>
                  <w:r w:rsidR="00321BA4" w:rsidRPr="00530CB6">
                    <w:rPr>
                      <w:rFonts w:ascii="Times New Roman" w:hAnsi="Times New Roman" w:cs="Calibri"/>
                      <w:bCs/>
                      <w:i/>
                      <w:color w:val="000000"/>
                      <w:sz w:val="20"/>
                      <w:szCs w:val="20"/>
                    </w:rPr>
                    <w:t>romoting the development of clear and robust results frameworks</w:t>
                  </w:r>
                  <w:r w:rsidR="00321BA4" w:rsidRPr="00530CB6">
                    <w:rPr>
                      <w:rFonts w:ascii="Times New Roman" w:hAnsi="Times New Roman" w:cs="Calibri"/>
                      <w:bCs/>
                      <w:color w:val="000000"/>
                      <w:sz w:val="20"/>
                      <w:szCs w:val="20"/>
                    </w:rPr>
                    <w:t xml:space="preserve"> that demonstrate complete results chains that establish expected results at the output, outcome and impact levels </w:t>
                  </w:r>
                  <w:r w:rsidR="006B0C91" w:rsidRPr="00530CB6">
                    <w:rPr>
                      <w:rFonts w:ascii="Times New Roman" w:hAnsi="Times New Roman" w:cs="Calibri"/>
                      <w:bCs/>
                      <w:color w:val="000000"/>
                      <w:sz w:val="20"/>
                      <w:szCs w:val="20"/>
                    </w:rPr>
                    <w:t xml:space="preserve">and consulting Member States during the production of results frameworks </w:t>
                  </w:r>
                  <w:r w:rsidR="006B0C91" w:rsidRPr="00530CB6">
                    <w:rPr>
                      <w:rFonts w:ascii="Times New Roman" w:hAnsi="Times New Roman" w:cs="Calibri"/>
                      <w:bCs/>
                      <w:color w:val="000000"/>
                      <w:sz w:val="20"/>
                      <w:szCs w:val="20"/>
                    </w:rPr>
                    <w:lastRenderedPageBreak/>
                    <w:t>of their respective strategic plans, and to report annually on implementation from 2014 (OP170)</w:t>
                  </w:r>
                  <w:r>
                    <w:rPr>
                      <w:rFonts w:ascii="Times New Roman" w:hAnsi="Times New Roman" w:cs="Calibri"/>
                      <w:bCs/>
                      <w:color w:val="000000"/>
                      <w:sz w:val="20"/>
                      <w:szCs w:val="20"/>
                    </w:rPr>
                    <w:t>.</w:t>
                  </w:r>
                </w:p>
              </w:tc>
            </w:tr>
          </w:tbl>
          <w:p w14:paraId="5BF9B5D2" w14:textId="77777777" w:rsidR="00104BAF" w:rsidRPr="00530CB6" w:rsidRDefault="00104BAF" w:rsidP="00321BA4">
            <w:pPr>
              <w:pStyle w:val="ListParagraph"/>
              <w:ind w:left="360"/>
              <w:rPr>
                <w:rFonts w:ascii="Times New Roman" w:hAnsi="Times New Roman"/>
                <w:sz w:val="20"/>
                <w:szCs w:val="20"/>
              </w:rPr>
            </w:pPr>
          </w:p>
        </w:tc>
        <w:tc>
          <w:tcPr>
            <w:tcW w:w="2700" w:type="dxa"/>
          </w:tcPr>
          <w:p w14:paraId="15C12231" w14:textId="77777777" w:rsidR="000731B4" w:rsidRPr="00530CB6" w:rsidRDefault="000731B4" w:rsidP="000731B4">
            <w:pPr>
              <w:pStyle w:val="Default"/>
              <w:rPr>
                <w:rFonts w:ascii="Times New Roman" w:hAnsi="Times New Roman"/>
                <w:sz w:val="20"/>
                <w:szCs w:val="20"/>
              </w:rPr>
            </w:pPr>
            <w:r w:rsidRPr="00530CB6">
              <w:rPr>
                <w:rFonts w:ascii="Times New Roman" w:hAnsi="Times New Roman"/>
                <w:sz w:val="20"/>
                <w:szCs w:val="20"/>
              </w:rPr>
              <w:lastRenderedPageBreak/>
              <w:t xml:space="preserve"># of UN entities using common RBM tools and principles </w:t>
            </w:r>
          </w:p>
          <w:p w14:paraId="2D4970AB" w14:textId="77777777" w:rsidR="000731B4" w:rsidRPr="00530CB6" w:rsidRDefault="000731B4" w:rsidP="0057179B">
            <w:pPr>
              <w:pStyle w:val="Default"/>
              <w:rPr>
                <w:rFonts w:ascii="Times New Roman" w:hAnsi="Times New Roman"/>
                <w:sz w:val="20"/>
                <w:szCs w:val="20"/>
              </w:rPr>
            </w:pPr>
          </w:p>
          <w:p w14:paraId="757412CE" w14:textId="77777777" w:rsidR="0057179B" w:rsidRPr="00530CB6" w:rsidRDefault="0057179B" w:rsidP="0057179B">
            <w:pPr>
              <w:pStyle w:val="Default"/>
              <w:rPr>
                <w:rFonts w:ascii="Times New Roman" w:hAnsi="Times New Roman"/>
                <w:sz w:val="20"/>
                <w:szCs w:val="20"/>
              </w:rPr>
            </w:pPr>
            <w:r w:rsidRPr="00530CB6">
              <w:rPr>
                <w:rFonts w:ascii="Times New Roman" w:hAnsi="Times New Roman"/>
                <w:sz w:val="20"/>
                <w:szCs w:val="20"/>
              </w:rPr>
              <w:t xml:space="preserve"># of UN entities with clear and robust results frameworks </w:t>
            </w:r>
          </w:p>
          <w:p w14:paraId="01025C01" w14:textId="77777777" w:rsidR="00104BAF" w:rsidRPr="00530CB6" w:rsidRDefault="00104BAF">
            <w:pPr>
              <w:rPr>
                <w:rFonts w:ascii="Times New Roman" w:hAnsi="Times New Roman"/>
                <w:sz w:val="20"/>
                <w:szCs w:val="20"/>
              </w:rPr>
            </w:pPr>
          </w:p>
        </w:tc>
        <w:tc>
          <w:tcPr>
            <w:tcW w:w="5850" w:type="dxa"/>
          </w:tcPr>
          <w:p w14:paraId="52904CE2" w14:textId="7FA78DCC" w:rsidR="00736212" w:rsidRPr="00530CB6" w:rsidRDefault="00736212" w:rsidP="00F61DF7">
            <w:pPr>
              <w:pStyle w:val="Default"/>
              <w:numPr>
                <w:ilvl w:val="0"/>
                <w:numId w:val="27"/>
              </w:numPr>
              <w:rPr>
                <w:rFonts w:ascii="Times New Roman" w:hAnsi="Times New Roman"/>
                <w:sz w:val="20"/>
                <w:szCs w:val="20"/>
              </w:rPr>
            </w:pPr>
            <w:r w:rsidRPr="00530CB6">
              <w:rPr>
                <w:rFonts w:ascii="Times New Roman" w:hAnsi="Times New Roman"/>
                <w:bCs/>
                <w:iCs/>
                <w:sz w:val="20"/>
                <w:szCs w:val="20"/>
              </w:rPr>
              <w:t>In 2016, 57</w:t>
            </w:r>
            <w:r w:rsidR="00175E5A">
              <w:rPr>
                <w:rFonts w:ascii="Times New Roman" w:hAnsi="Times New Roman"/>
                <w:bCs/>
                <w:iCs/>
                <w:sz w:val="20"/>
                <w:szCs w:val="20"/>
              </w:rPr>
              <w:t xml:space="preserve">% </w:t>
            </w:r>
            <w:r w:rsidRPr="00530CB6">
              <w:rPr>
                <w:rFonts w:ascii="Times New Roman" w:hAnsi="Times New Roman"/>
                <w:bCs/>
                <w:iCs/>
                <w:sz w:val="20"/>
                <w:szCs w:val="20"/>
              </w:rPr>
              <w:t xml:space="preserve">of country offices met the internal standard of spending </w:t>
            </w:r>
            <w:r w:rsidR="00D76C74">
              <w:rPr>
                <w:rFonts w:ascii="Times New Roman" w:hAnsi="Times New Roman"/>
                <w:bCs/>
                <w:iCs/>
                <w:sz w:val="20"/>
                <w:szCs w:val="20"/>
              </w:rPr>
              <w:t>one to three per cent</w:t>
            </w:r>
            <w:r w:rsidRPr="00530CB6">
              <w:rPr>
                <w:rFonts w:ascii="Times New Roman" w:hAnsi="Times New Roman"/>
                <w:bCs/>
                <w:iCs/>
                <w:sz w:val="20"/>
                <w:szCs w:val="20"/>
              </w:rPr>
              <w:t xml:space="preserve"> of their programme budget on </w:t>
            </w:r>
            <w:r w:rsidR="00D76C74">
              <w:rPr>
                <w:rFonts w:ascii="Times New Roman" w:hAnsi="Times New Roman"/>
                <w:bCs/>
                <w:iCs/>
                <w:sz w:val="20"/>
                <w:szCs w:val="20"/>
              </w:rPr>
              <w:t>monitoring and evaluation (M&amp;E).</w:t>
            </w:r>
            <w:r w:rsidRPr="00530CB6">
              <w:rPr>
                <w:rFonts w:ascii="Times New Roman" w:hAnsi="Times New Roman"/>
                <w:bCs/>
                <w:iCs/>
                <w:sz w:val="20"/>
                <w:szCs w:val="20"/>
              </w:rPr>
              <w:t xml:space="preserve"> </w:t>
            </w:r>
            <w:r w:rsidR="00931D27">
              <w:rPr>
                <w:rFonts w:ascii="Times New Roman" w:hAnsi="Times New Roman"/>
                <w:bCs/>
                <w:iCs/>
                <w:sz w:val="20"/>
                <w:szCs w:val="20"/>
              </w:rPr>
              <w:t>Seventy-three</w:t>
            </w:r>
            <w:r w:rsidR="00D76C74">
              <w:rPr>
                <w:rFonts w:ascii="Times New Roman" w:hAnsi="Times New Roman"/>
                <w:bCs/>
                <w:iCs/>
                <w:sz w:val="20"/>
                <w:szCs w:val="20"/>
              </w:rPr>
              <w:t xml:space="preserve"> </w:t>
            </w:r>
            <w:r w:rsidRPr="00530CB6">
              <w:rPr>
                <w:rFonts w:ascii="Times New Roman" w:hAnsi="Times New Roman"/>
                <w:bCs/>
                <w:iCs/>
                <w:sz w:val="20"/>
                <w:szCs w:val="20"/>
              </w:rPr>
              <w:t xml:space="preserve">per cent had met the </w:t>
            </w:r>
            <w:r w:rsidR="00D1261D">
              <w:rPr>
                <w:rFonts w:ascii="Times New Roman" w:hAnsi="Times New Roman"/>
                <w:bCs/>
                <w:iCs/>
                <w:sz w:val="20"/>
                <w:szCs w:val="20"/>
              </w:rPr>
              <w:t>Country Office Support Initiative</w:t>
            </w:r>
            <w:r w:rsidR="00D1261D" w:rsidRPr="00530CB6">
              <w:rPr>
                <w:rFonts w:ascii="Times New Roman" w:hAnsi="Times New Roman"/>
                <w:bCs/>
                <w:iCs/>
                <w:sz w:val="20"/>
                <w:szCs w:val="20"/>
              </w:rPr>
              <w:t xml:space="preserve"> </w:t>
            </w:r>
            <w:r w:rsidRPr="00530CB6">
              <w:rPr>
                <w:rFonts w:ascii="Times New Roman" w:hAnsi="Times New Roman"/>
                <w:bCs/>
                <w:iCs/>
                <w:sz w:val="20"/>
                <w:szCs w:val="20"/>
              </w:rPr>
              <w:t>prescriptive benchmarks for M&amp;E capacities, totaling 137 full-time equivalent M&amp;E specialists in country offices</w:t>
            </w:r>
            <w:r w:rsidR="00D76C74">
              <w:rPr>
                <w:rFonts w:ascii="Times New Roman" w:hAnsi="Times New Roman"/>
                <w:bCs/>
                <w:iCs/>
                <w:sz w:val="20"/>
                <w:szCs w:val="20"/>
              </w:rPr>
              <w:t>. Furthermore,</w:t>
            </w:r>
            <w:r w:rsidRPr="00530CB6">
              <w:rPr>
                <w:rFonts w:ascii="Times New Roman" w:hAnsi="Times New Roman"/>
                <w:bCs/>
                <w:iCs/>
                <w:sz w:val="20"/>
                <w:szCs w:val="20"/>
              </w:rPr>
              <w:t xml:space="preserve"> 13</w:t>
            </w:r>
            <w:r w:rsidR="00D76C74">
              <w:rPr>
                <w:rFonts w:ascii="Times New Roman" w:hAnsi="Times New Roman"/>
                <w:bCs/>
                <w:iCs/>
                <w:sz w:val="20"/>
                <w:szCs w:val="20"/>
              </w:rPr>
              <w:t xml:space="preserve">% </w:t>
            </w:r>
            <w:r w:rsidRPr="00530CB6">
              <w:rPr>
                <w:rFonts w:ascii="Times New Roman" w:hAnsi="Times New Roman"/>
                <w:bCs/>
                <w:iCs/>
                <w:sz w:val="20"/>
                <w:szCs w:val="20"/>
              </w:rPr>
              <w:t>of country offices recruited UNDP specialized staff to provide evaluation expertise</w:t>
            </w:r>
            <w:r w:rsidR="00D76C74">
              <w:rPr>
                <w:rFonts w:ascii="Times New Roman" w:hAnsi="Times New Roman"/>
                <w:bCs/>
                <w:iCs/>
                <w:sz w:val="20"/>
                <w:szCs w:val="20"/>
              </w:rPr>
              <w:t>, while</w:t>
            </w:r>
            <w:r w:rsidRPr="00530CB6">
              <w:rPr>
                <w:rFonts w:ascii="Times New Roman" w:hAnsi="Times New Roman"/>
                <w:bCs/>
                <w:iCs/>
                <w:sz w:val="20"/>
                <w:szCs w:val="20"/>
              </w:rPr>
              <w:t xml:space="preserve"> 56</w:t>
            </w:r>
            <w:r w:rsidR="00D76C74">
              <w:rPr>
                <w:rFonts w:ascii="Times New Roman" w:hAnsi="Times New Roman"/>
                <w:bCs/>
                <w:iCs/>
                <w:sz w:val="20"/>
                <w:szCs w:val="20"/>
              </w:rPr>
              <w:t xml:space="preserve">% </w:t>
            </w:r>
            <w:r w:rsidRPr="00530CB6">
              <w:rPr>
                <w:rFonts w:ascii="Times New Roman" w:hAnsi="Times New Roman"/>
                <w:bCs/>
                <w:iCs/>
                <w:sz w:val="20"/>
                <w:szCs w:val="20"/>
              </w:rPr>
              <w:t>of country offices provided training for country office staff, project staff and national counterparts on conducting and managing high quality decentralized evaluations</w:t>
            </w:r>
            <w:r w:rsidR="00AD322E">
              <w:rPr>
                <w:rFonts w:ascii="Times New Roman" w:hAnsi="Times New Roman"/>
                <w:bCs/>
                <w:iCs/>
                <w:sz w:val="20"/>
                <w:szCs w:val="20"/>
              </w:rPr>
              <w:t xml:space="preserve">. In </w:t>
            </w:r>
            <w:r w:rsidRPr="00530CB6">
              <w:rPr>
                <w:rFonts w:ascii="Times New Roman" w:hAnsi="Times New Roman"/>
                <w:bCs/>
                <w:iCs/>
                <w:sz w:val="20"/>
                <w:szCs w:val="20"/>
              </w:rPr>
              <w:t xml:space="preserve">27% of </w:t>
            </w:r>
            <w:r w:rsidR="00AD322E">
              <w:rPr>
                <w:rFonts w:ascii="Times New Roman" w:hAnsi="Times New Roman"/>
                <w:bCs/>
                <w:iCs/>
                <w:sz w:val="20"/>
                <w:szCs w:val="20"/>
              </w:rPr>
              <w:t xml:space="preserve">cases </w:t>
            </w:r>
            <w:r w:rsidRPr="00530CB6">
              <w:rPr>
                <w:rFonts w:ascii="Times New Roman" w:hAnsi="Times New Roman"/>
                <w:bCs/>
                <w:iCs/>
                <w:sz w:val="20"/>
                <w:szCs w:val="20"/>
              </w:rPr>
              <w:t>country offices established collaborations with international, national and sub-national evaluation associations/entities</w:t>
            </w:r>
            <w:r w:rsidR="00EE7021" w:rsidRPr="00530CB6">
              <w:rPr>
                <w:rFonts w:ascii="Times New Roman" w:hAnsi="Times New Roman"/>
                <w:bCs/>
                <w:iCs/>
                <w:sz w:val="20"/>
                <w:szCs w:val="20"/>
              </w:rPr>
              <w:t>.</w:t>
            </w:r>
          </w:p>
          <w:p w14:paraId="04E24EA0" w14:textId="19699312" w:rsidR="00104BAF" w:rsidRPr="00931CA5" w:rsidRDefault="00104BAF" w:rsidP="00573884">
            <w:pPr>
              <w:pStyle w:val="Default"/>
              <w:ind w:left="360"/>
              <w:rPr>
                <w:rFonts w:ascii="Times New Roman" w:hAnsi="Times New Roman"/>
                <w:sz w:val="20"/>
                <w:szCs w:val="20"/>
              </w:rPr>
            </w:pPr>
          </w:p>
        </w:tc>
      </w:tr>
    </w:tbl>
    <w:p w14:paraId="0580D014" w14:textId="77777777" w:rsidR="00163603" w:rsidRPr="00530CB6" w:rsidRDefault="00163603" w:rsidP="00931CA5">
      <w:pPr>
        <w:rPr>
          <w:rFonts w:ascii="Times New Roman" w:hAnsi="Times New Roman"/>
          <w:sz w:val="20"/>
          <w:szCs w:val="20"/>
        </w:rPr>
      </w:pPr>
    </w:p>
    <w:sectPr w:rsidR="00163603" w:rsidRPr="00530CB6" w:rsidSect="0016360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6298" w14:textId="77777777" w:rsidR="00B16E82" w:rsidRDefault="00B16E82" w:rsidP="00163603">
      <w:pPr>
        <w:spacing w:after="0" w:line="240" w:lineRule="auto"/>
      </w:pPr>
      <w:r>
        <w:separator/>
      </w:r>
    </w:p>
  </w:endnote>
  <w:endnote w:type="continuationSeparator" w:id="0">
    <w:p w14:paraId="3E248214" w14:textId="77777777" w:rsidR="00B16E82" w:rsidRDefault="00B16E82" w:rsidP="0016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77196"/>
      <w:docPartObj>
        <w:docPartGallery w:val="Page Numbers (Bottom of Page)"/>
        <w:docPartUnique/>
      </w:docPartObj>
    </w:sdtPr>
    <w:sdtEndPr>
      <w:rPr>
        <w:noProof/>
      </w:rPr>
    </w:sdtEndPr>
    <w:sdtContent>
      <w:p w14:paraId="5FE5662D" w14:textId="6CADEB3F" w:rsidR="00931CA5" w:rsidRDefault="00931CA5">
        <w:pPr>
          <w:pStyle w:val="Footer"/>
          <w:jc w:val="center"/>
        </w:pPr>
        <w:r>
          <w:fldChar w:fldCharType="begin"/>
        </w:r>
        <w:r>
          <w:instrText xml:space="preserve"> PAGE   \* MERGEFORMAT </w:instrText>
        </w:r>
        <w:r>
          <w:fldChar w:fldCharType="separate"/>
        </w:r>
        <w:r w:rsidR="0086566D">
          <w:rPr>
            <w:noProof/>
          </w:rPr>
          <w:t>8</w:t>
        </w:r>
        <w:r>
          <w:rPr>
            <w:noProof/>
          </w:rPr>
          <w:fldChar w:fldCharType="end"/>
        </w:r>
      </w:p>
    </w:sdtContent>
  </w:sdt>
  <w:p w14:paraId="7E8DA343" w14:textId="77777777" w:rsidR="00931CA5" w:rsidRDefault="00931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8DDF" w14:textId="77777777" w:rsidR="00B16E82" w:rsidRDefault="00B16E82" w:rsidP="00163603">
      <w:pPr>
        <w:spacing w:after="0" w:line="240" w:lineRule="auto"/>
      </w:pPr>
      <w:r>
        <w:separator/>
      </w:r>
    </w:p>
  </w:footnote>
  <w:footnote w:type="continuationSeparator" w:id="0">
    <w:p w14:paraId="4EE17902" w14:textId="77777777" w:rsidR="00B16E82" w:rsidRDefault="00B16E82" w:rsidP="00163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68"/>
    <w:multiLevelType w:val="hybridMultilevel"/>
    <w:tmpl w:val="34FA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23FD4"/>
    <w:multiLevelType w:val="hybridMultilevel"/>
    <w:tmpl w:val="F7647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374F9"/>
    <w:multiLevelType w:val="hybridMultilevel"/>
    <w:tmpl w:val="7978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85EF4"/>
    <w:multiLevelType w:val="hybridMultilevel"/>
    <w:tmpl w:val="24E01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A3309"/>
    <w:multiLevelType w:val="hybridMultilevel"/>
    <w:tmpl w:val="5BC86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273AC2"/>
    <w:multiLevelType w:val="hybridMultilevel"/>
    <w:tmpl w:val="EBD61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327FF"/>
    <w:multiLevelType w:val="hybridMultilevel"/>
    <w:tmpl w:val="F78687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F37B8"/>
    <w:multiLevelType w:val="hybridMultilevel"/>
    <w:tmpl w:val="8D8EE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662868"/>
    <w:multiLevelType w:val="hybridMultilevel"/>
    <w:tmpl w:val="5C2C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10C62"/>
    <w:multiLevelType w:val="hybridMultilevel"/>
    <w:tmpl w:val="8FBE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733A6"/>
    <w:multiLevelType w:val="hybridMultilevel"/>
    <w:tmpl w:val="6D14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F140CD"/>
    <w:multiLevelType w:val="hybridMultilevel"/>
    <w:tmpl w:val="2C6C8C3E"/>
    <w:lvl w:ilvl="0" w:tplc="8020A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026B"/>
    <w:multiLevelType w:val="hybridMultilevel"/>
    <w:tmpl w:val="4EBC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00080"/>
    <w:multiLevelType w:val="hybridMultilevel"/>
    <w:tmpl w:val="D3ACE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E223A8"/>
    <w:multiLevelType w:val="hybridMultilevel"/>
    <w:tmpl w:val="A420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457C1"/>
    <w:multiLevelType w:val="hybridMultilevel"/>
    <w:tmpl w:val="909C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FD58BD"/>
    <w:multiLevelType w:val="hybridMultilevel"/>
    <w:tmpl w:val="03D68D60"/>
    <w:lvl w:ilvl="0" w:tplc="4744540A">
      <w:start w:val="1"/>
      <w:numFmt w:val="bullet"/>
      <w:lvlText w:val="•"/>
      <w:lvlJc w:val="left"/>
      <w:pPr>
        <w:tabs>
          <w:tab w:val="num" w:pos="648"/>
        </w:tabs>
        <w:ind w:left="648" w:hanging="360"/>
      </w:pPr>
      <w:rPr>
        <w:rFonts w:ascii="Arial" w:hAnsi="Arial" w:cs="Times New Roman" w:hint="default"/>
      </w:rPr>
    </w:lvl>
    <w:lvl w:ilvl="1" w:tplc="6EA8A4C2">
      <w:start w:val="1"/>
      <w:numFmt w:val="bullet"/>
      <w:lvlText w:val="•"/>
      <w:lvlJc w:val="left"/>
      <w:pPr>
        <w:tabs>
          <w:tab w:val="num" w:pos="1368"/>
        </w:tabs>
        <w:ind w:left="1368" w:hanging="360"/>
      </w:pPr>
      <w:rPr>
        <w:rFonts w:ascii="Arial" w:hAnsi="Arial" w:cs="Times New Roman" w:hint="default"/>
      </w:rPr>
    </w:lvl>
    <w:lvl w:ilvl="2" w:tplc="2AC664CA">
      <w:start w:val="1"/>
      <w:numFmt w:val="bullet"/>
      <w:lvlText w:val="•"/>
      <w:lvlJc w:val="left"/>
      <w:pPr>
        <w:tabs>
          <w:tab w:val="num" w:pos="2088"/>
        </w:tabs>
        <w:ind w:left="2088" w:hanging="360"/>
      </w:pPr>
      <w:rPr>
        <w:rFonts w:ascii="Arial" w:hAnsi="Arial" w:cs="Times New Roman" w:hint="default"/>
      </w:rPr>
    </w:lvl>
    <w:lvl w:ilvl="3" w:tplc="EF9E28CA">
      <w:start w:val="1"/>
      <w:numFmt w:val="bullet"/>
      <w:lvlText w:val="•"/>
      <w:lvlJc w:val="left"/>
      <w:pPr>
        <w:tabs>
          <w:tab w:val="num" w:pos="2808"/>
        </w:tabs>
        <w:ind w:left="2808" w:hanging="360"/>
      </w:pPr>
      <w:rPr>
        <w:rFonts w:ascii="Arial" w:hAnsi="Arial" w:cs="Times New Roman" w:hint="default"/>
      </w:rPr>
    </w:lvl>
    <w:lvl w:ilvl="4" w:tplc="2B9E95B0">
      <w:start w:val="1"/>
      <w:numFmt w:val="bullet"/>
      <w:lvlText w:val="•"/>
      <w:lvlJc w:val="left"/>
      <w:pPr>
        <w:tabs>
          <w:tab w:val="num" w:pos="3528"/>
        </w:tabs>
        <w:ind w:left="3528" w:hanging="360"/>
      </w:pPr>
      <w:rPr>
        <w:rFonts w:ascii="Arial" w:hAnsi="Arial" w:cs="Times New Roman" w:hint="default"/>
      </w:rPr>
    </w:lvl>
    <w:lvl w:ilvl="5" w:tplc="F00CC50C">
      <w:start w:val="1"/>
      <w:numFmt w:val="bullet"/>
      <w:lvlText w:val="•"/>
      <w:lvlJc w:val="left"/>
      <w:pPr>
        <w:tabs>
          <w:tab w:val="num" w:pos="4248"/>
        </w:tabs>
        <w:ind w:left="4248" w:hanging="360"/>
      </w:pPr>
      <w:rPr>
        <w:rFonts w:ascii="Arial" w:hAnsi="Arial" w:cs="Times New Roman" w:hint="default"/>
      </w:rPr>
    </w:lvl>
    <w:lvl w:ilvl="6" w:tplc="04CEB60A">
      <w:start w:val="1"/>
      <w:numFmt w:val="bullet"/>
      <w:lvlText w:val="•"/>
      <w:lvlJc w:val="left"/>
      <w:pPr>
        <w:tabs>
          <w:tab w:val="num" w:pos="4968"/>
        </w:tabs>
        <w:ind w:left="4968" w:hanging="360"/>
      </w:pPr>
      <w:rPr>
        <w:rFonts w:ascii="Arial" w:hAnsi="Arial" w:cs="Times New Roman" w:hint="default"/>
      </w:rPr>
    </w:lvl>
    <w:lvl w:ilvl="7" w:tplc="3BEC60AA">
      <w:start w:val="1"/>
      <w:numFmt w:val="bullet"/>
      <w:lvlText w:val="•"/>
      <w:lvlJc w:val="left"/>
      <w:pPr>
        <w:tabs>
          <w:tab w:val="num" w:pos="5688"/>
        </w:tabs>
        <w:ind w:left="5688" w:hanging="360"/>
      </w:pPr>
      <w:rPr>
        <w:rFonts w:ascii="Arial" w:hAnsi="Arial" w:cs="Times New Roman" w:hint="default"/>
      </w:rPr>
    </w:lvl>
    <w:lvl w:ilvl="8" w:tplc="DA2678DE">
      <w:start w:val="1"/>
      <w:numFmt w:val="bullet"/>
      <w:lvlText w:val="•"/>
      <w:lvlJc w:val="left"/>
      <w:pPr>
        <w:tabs>
          <w:tab w:val="num" w:pos="6408"/>
        </w:tabs>
        <w:ind w:left="6408" w:hanging="360"/>
      </w:pPr>
      <w:rPr>
        <w:rFonts w:ascii="Arial" w:hAnsi="Arial" w:cs="Times New Roman" w:hint="default"/>
      </w:rPr>
    </w:lvl>
  </w:abstractNum>
  <w:abstractNum w:abstractNumId="17" w15:restartNumberingAfterBreak="0">
    <w:nsid w:val="502E4D6D"/>
    <w:multiLevelType w:val="hybridMultilevel"/>
    <w:tmpl w:val="4C5C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B4871"/>
    <w:multiLevelType w:val="hybridMultilevel"/>
    <w:tmpl w:val="910A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96AF5"/>
    <w:multiLevelType w:val="hybridMultilevel"/>
    <w:tmpl w:val="2A6E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9C130F"/>
    <w:multiLevelType w:val="hybridMultilevel"/>
    <w:tmpl w:val="D50E2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F377D"/>
    <w:multiLevelType w:val="hybridMultilevel"/>
    <w:tmpl w:val="E9FA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B4284"/>
    <w:multiLevelType w:val="hybridMultilevel"/>
    <w:tmpl w:val="2AAE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07AC3"/>
    <w:multiLevelType w:val="hybridMultilevel"/>
    <w:tmpl w:val="DF5E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4A6C3A"/>
    <w:multiLevelType w:val="hybridMultilevel"/>
    <w:tmpl w:val="5DD6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3918E9"/>
    <w:multiLevelType w:val="hybridMultilevel"/>
    <w:tmpl w:val="50EE3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BB1A94"/>
    <w:multiLevelType w:val="hybridMultilevel"/>
    <w:tmpl w:val="583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E27791"/>
    <w:multiLevelType w:val="hybridMultilevel"/>
    <w:tmpl w:val="DD324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E2FCD"/>
    <w:multiLevelType w:val="hybridMultilevel"/>
    <w:tmpl w:val="EB18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A4213"/>
    <w:multiLevelType w:val="hybridMultilevel"/>
    <w:tmpl w:val="2B30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DD20FF"/>
    <w:multiLevelType w:val="hybridMultilevel"/>
    <w:tmpl w:val="32289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1"/>
  </w:num>
  <w:num w:numId="4">
    <w:abstractNumId w:val="0"/>
  </w:num>
  <w:num w:numId="5">
    <w:abstractNumId w:val="17"/>
  </w:num>
  <w:num w:numId="6">
    <w:abstractNumId w:val="13"/>
  </w:num>
  <w:num w:numId="7">
    <w:abstractNumId w:val="2"/>
  </w:num>
  <w:num w:numId="8">
    <w:abstractNumId w:val="18"/>
  </w:num>
  <w:num w:numId="9">
    <w:abstractNumId w:val="25"/>
  </w:num>
  <w:num w:numId="10">
    <w:abstractNumId w:val="8"/>
  </w:num>
  <w:num w:numId="11">
    <w:abstractNumId w:val="27"/>
  </w:num>
  <w:num w:numId="12">
    <w:abstractNumId w:val="11"/>
  </w:num>
  <w:num w:numId="13">
    <w:abstractNumId w:val="10"/>
  </w:num>
  <w:num w:numId="14">
    <w:abstractNumId w:val="14"/>
  </w:num>
  <w:num w:numId="15">
    <w:abstractNumId w:val="12"/>
  </w:num>
  <w:num w:numId="16">
    <w:abstractNumId w:val="29"/>
  </w:num>
  <w:num w:numId="17">
    <w:abstractNumId w:val="22"/>
  </w:num>
  <w:num w:numId="18">
    <w:abstractNumId w:val="28"/>
  </w:num>
  <w:num w:numId="19">
    <w:abstractNumId w:val="20"/>
  </w:num>
  <w:num w:numId="20">
    <w:abstractNumId w:val="15"/>
  </w:num>
  <w:num w:numId="21">
    <w:abstractNumId w:val="9"/>
  </w:num>
  <w:num w:numId="22">
    <w:abstractNumId w:val="30"/>
  </w:num>
  <w:num w:numId="23">
    <w:abstractNumId w:val="7"/>
  </w:num>
  <w:num w:numId="24">
    <w:abstractNumId w:val="19"/>
  </w:num>
  <w:num w:numId="25">
    <w:abstractNumId w:val="1"/>
  </w:num>
  <w:num w:numId="26">
    <w:abstractNumId w:val="26"/>
  </w:num>
  <w:num w:numId="27">
    <w:abstractNumId w:val="24"/>
  </w:num>
  <w:num w:numId="28">
    <w:abstractNumId w:val="6"/>
  </w:num>
  <w:num w:numId="29">
    <w:abstractNumId w:val="16"/>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03"/>
    <w:rsid w:val="00002801"/>
    <w:rsid w:val="000100B0"/>
    <w:rsid w:val="000128D6"/>
    <w:rsid w:val="00020E3C"/>
    <w:rsid w:val="00021A21"/>
    <w:rsid w:val="000232E6"/>
    <w:rsid w:val="000305D1"/>
    <w:rsid w:val="00034116"/>
    <w:rsid w:val="0003777E"/>
    <w:rsid w:val="00043E78"/>
    <w:rsid w:val="00046B68"/>
    <w:rsid w:val="000470C3"/>
    <w:rsid w:val="00060A87"/>
    <w:rsid w:val="00063A17"/>
    <w:rsid w:val="00067D83"/>
    <w:rsid w:val="000702E6"/>
    <w:rsid w:val="000731B4"/>
    <w:rsid w:val="00075E62"/>
    <w:rsid w:val="00085927"/>
    <w:rsid w:val="00096295"/>
    <w:rsid w:val="000A6AF3"/>
    <w:rsid w:val="000B0180"/>
    <w:rsid w:val="000C0CA4"/>
    <w:rsid w:val="000C14A6"/>
    <w:rsid w:val="000C1C03"/>
    <w:rsid w:val="000E4E1A"/>
    <w:rsid w:val="000F1918"/>
    <w:rsid w:val="000F3E63"/>
    <w:rsid w:val="000F4DBC"/>
    <w:rsid w:val="000F5461"/>
    <w:rsid w:val="000F7F65"/>
    <w:rsid w:val="00101A76"/>
    <w:rsid w:val="00104BAF"/>
    <w:rsid w:val="00121EFA"/>
    <w:rsid w:val="00134079"/>
    <w:rsid w:val="0014423A"/>
    <w:rsid w:val="00144596"/>
    <w:rsid w:val="00145B7F"/>
    <w:rsid w:val="00161984"/>
    <w:rsid w:val="00163603"/>
    <w:rsid w:val="00175E5A"/>
    <w:rsid w:val="001773B9"/>
    <w:rsid w:val="00183236"/>
    <w:rsid w:val="001849C2"/>
    <w:rsid w:val="00187A32"/>
    <w:rsid w:val="00190CFD"/>
    <w:rsid w:val="001A01C3"/>
    <w:rsid w:val="001A346E"/>
    <w:rsid w:val="001B4642"/>
    <w:rsid w:val="001B7622"/>
    <w:rsid w:val="001C23C0"/>
    <w:rsid w:val="001D6E87"/>
    <w:rsid w:val="001D76E3"/>
    <w:rsid w:val="001E00DC"/>
    <w:rsid w:val="001E04C8"/>
    <w:rsid w:val="00200441"/>
    <w:rsid w:val="002017B9"/>
    <w:rsid w:val="00203B27"/>
    <w:rsid w:val="0021048B"/>
    <w:rsid w:val="00213793"/>
    <w:rsid w:val="00234FB6"/>
    <w:rsid w:val="00243356"/>
    <w:rsid w:val="002455C7"/>
    <w:rsid w:val="00247978"/>
    <w:rsid w:val="00250C71"/>
    <w:rsid w:val="00252F75"/>
    <w:rsid w:val="00255731"/>
    <w:rsid w:val="00257174"/>
    <w:rsid w:val="00274732"/>
    <w:rsid w:val="0027721D"/>
    <w:rsid w:val="00280EBB"/>
    <w:rsid w:val="00285167"/>
    <w:rsid w:val="00290729"/>
    <w:rsid w:val="0029109B"/>
    <w:rsid w:val="00292354"/>
    <w:rsid w:val="00295CFF"/>
    <w:rsid w:val="002A558E"/>
    <w:rsid w:val="002B4196"/>
    <w:rsid w:val="002B76E8"/>
    <w:rsid w:val="002C43E0"/>
    <w:rsid w:val="002D11BE"/>
    <w:rsid w:val="002E2A94"/>
    <w:rsid w:val="002E7734"/>
    <w:rsid w:val="002E7E6D"/>
    <w:rsid w:val="002F060D"/>
    <w:rsid w:val="002F2817"/>
    <w:rsid w:val="002F5F3C"/>
    <w:rsid w:val="002F6811"/>
    <w:rsid w:val="003116F6"/>
    <w:rsid w:val="00313419"/>
    <w:rsid w:val="00314B34"/>
    <w:rsid w:val="00317644"/>
    <w:rsid w:val="00321BA4"/>
    <w:rsid w:val="00333FD5"/>
    <w:rsid w:val="00345D74"/>
    <w:rsid w:val="0034788C"/>
    <w:rsid w:val="00347F3F"/>
    <w:rsid w:val="0035658B"/>
    <w:rsid w:val="00362C0A"/>
    <w:rsid w:val="00365688"/>
    <w:rsid w:val="00367A28"/>
    <w:rsid w:val="00390196"/>
    <w:rsid w:val="003944F6"/>
    <w:rsid w:val="003958AA"/>
    <w:rsid w:val="003A1769"/>
    <w:rsid w:val="003A7BD1"/>
    <w:rsid w:val="003B0CCC"/>
    <w:rsid w:val="003B7A1B"/>
    <w:rsid w:val="003C60D6"/>
    <w:rsid w:val="003D0B71"/>
    <w:rsid w:val="003D64F4"/>
    <w:rsid w:val="003D78A5"/>
    <w:rsid w:val="003F10CD"/>
    <w:rsid w:val="00410472"/>
    <w:rsid w:val="004150DD"/>
    <w:rsid w:val="004209E6"/>
    <w:rsid w:val="00421A8B"/>
    <w:rsid w:val="0042460B"/>
    <w:rsid w:val="0044505A"/>
    <w:rsid w:val="004554AE"/>
    <w:rsid w:val="00461894"/>
    <w:rsid w:val="004666EB"/>
    <w:rsid w:val="004714FF"/>
    <w:rsid w:val="0048188C"/>
    <w:rsid w:val="00484827"/>
    <w:rsid w:val="0048764C"/>
    <w:rsid w:val="004A2320"/>
    <w:rsid w:val="004A714B"/>
    <w:rsid w:val="004B609A"/>
    <w:rsid w:val="004B6202"/>
    <w:rsid w:val="004B69AF"/>
    <w:rsid w:val="004B7978"/>
    <w:rsid w:val="004C0B56"/>
    <w:rsid w:val="004D0748"/>
    <w:rsid w:val="004D3553"/>
    <w:rsid w:val="004D7883"/>
    <w:rsid w:val="004E2626"/>
    <w:rsid w:val="004E40EC"/>
    <w:rsid w:val="004F20B7"/>
    <w:rsid w:val="004F3BD8"/>
    <w:rsid w:val="0050315C"/>
    <w:rsid w:val="00514737"/>
    <w:rsid w:val="00523F92"/>
    <w:rsid w:val="00525CCF"/>
    <w:rsid w:val="0052728F"/>
    <w:rsid w:val="00530CB6"/>
    <w:rsid w:val="00534960"/>
    <w:rsid w:val="0055499A"/>
    <w:rsid w:val="005610AC"/>
    <w:rsid w:val="00563263"/>
    <w:rsid w:val="00567274"/>
    <w:rsid w:val="005675E6"/>
    <w:rsid w:val="00567DD2"/>
    <w:rsid w:val="0057010F"/>
    <w:rsid w:val="0057021E"/>
    <w:rsid w:val="0057179B"/>
    <w:rsid w:val="00572C75"/>
    <w:rsid w:val="00573884"/>
    <w:rsid w:val="00581333"/>
    <w:rsid w:val="005863FE"/>
    <w:rsid w:val="00590EBA"/>
    <w:rsid w:val="005A142D"/>
    <w:rsid w:val="005A3DEB"/>
    <w:rsid w:val="005A72D8"/>
    <w:rsid w:val="005C041D"/>
    <w:rsid w:val="005C36FF"/>
    <w:rsid w:val="005C5A04"/>
    <w:rsid w:val="005D7142"/>
    <w:rsid w:val="005E05E7"/>
    <w:rsid w:val="005E1090"/>
    <w:rsid w:val="005E620D"/>
    <w:rsid w:val="005E6687"/>
    <w:rsid w:val="005F337B"/>
    <w:rsid w:val="005F633B"/>
    <w:rsid w:val="00606F43"/>
    <w:rsid w:val="0061651B"/>
    <w:rsid w:val="006204E3"/>
    <w:rsid w:val="0062370B"/>
    <w:rsid w:val="00623CF1"/>
    <w:rsid w:val="006242DD"/>
    <w:rsid w:val="00626F58"/>
    <w:rsid w:val="0063195B"/>
    <w:rsid w:val="00635269"/>
    <w:rsid w:val="00646B25"/>
    <w:rsid w:val="00661520"/>
    <w:rsid w:val="00670520"/>
    <w:rsid w:val="006825C4"/>
    <w:rsid w:val="0069048C"/>
    <w:rsid w:val="00691EE2"/>
    <w:rsid w:val="00693746"/>
    <w:rsid w:val="00695CE1"/>
    <w:rsid w:val="00696F54"/>
    <w:rsid w:val="006A19BB"/>
    <w:rsid w:val="006A1BA7"/>
    <w:rsid w:val="006A7219"/>
    <w:rsid w:val="006B0C91"/>
    <w:rsid w:val="006B1ACB"/>
    <w:rsid w:val="006B747F"/>
    <w:rsid w:val="006C6207"/>
    <w:rsid w:val="006F27E0"/>
    <w:rsid w:val="00710C23"/>
    <w:rsid w:val="0071163C"/>
    <w:rsid w:val="007134D2"/>
    <w:rsid w:val="0071647A"/>
    <w:rsid w:val="007206FD"/>
    <w:rsid w:val="007253F9"/>
    <w:rsid w:val="00734E35"/>
    <w:rsid w:val="00736212"/>
    <w:rsid w:val="00736AD6"/>
    <w:rsid w:val="00742458"/>
    <w:rsid w:val="00743E0A"/>
    <w:rsid w:val="00756D9B"/>
    <w:rsid w:val="00760DDB"/>
    <w:rsid w:val="007679DB"/>
    <w:rsid w:val="00774ECF"/>
    <w:rsid w:val="00785B2C"/>
    <w:rsid w:val="00786522"/>
    <w:rsid w:val="00797FEC"/>
    <w:rsid w:val="007B6CAD"/>
    <w:rsid w:val="007B7158"/>
    <w:rsid w:val="007C3397"/>
    <w:rsid w:val="007D670F"/>
    <w:rsid w:val="007E472D"/>
    <w:rsid w:val="007F6040"/>
    <w:rsid w:val="007F7F0B"/>
    <w:rsid w:val="00807B34"/>
    <w:rsid w:val="008100BC"/>
    <w:rsid w:val="0082232B"/>
    <w:rsid w:val="00823688"/>
    <w:rsid w:val="00825FD6"/>
    <w:rsid w:val="0082643A"/>
    <w:rsid w:val="00830334"/>
    <w:rsid w:val="0083062F"/>
    <w:rsid w:val="0084146C"/>
    <w:rsid w:val="00853C4E"/>
    <w:rsid w:val="00857EDC"/>
    <w:rsid w:val="00863F50"/>
    <w:rsid w:val="0086566D"/>
    <w:rsid w:val="0087715D"/>
    <w:rsid w:val="00880567"/>
    <w:rsid w:val="0088118F"/>
    <w:rsid w:val="008B3686"/>
    <w:rsid w:val="008B51A7"/>
    <w:rsid w:val="008B5828"/>
    <w:rsid w:val="008B69DE"/>
    <w:rsid w:val="008D0782"/>
    <w:rsid w:val="008E12B4"/>
    <w:rsid w:val="008E30BB"/>
    <w:rsid w:val="008E3C89"/>
    <w:rsid w:val="008E3F3B"/>
    <w:rsid w:val="009066FF"/>
    <w:rsid w:val="00921AC1"/>
    <w:rsid w:val="00927F4C"/>
    <w:rsid w:val="00931CA5"/>
    <w:rsid w:val="00931D27"/>
    <w:rsid w:val="009375FD"/>
    <w:rsid w:val="00937888"/>
    <w:rsid w:val="00937998"/>
    <w:rsid w:val="00947DEB"/>
    <w:rsid w:val="009619C9"/>
    <w:rsid w:val="00964830"/>
    <w:rsid w:val="009675EC"/>
    <w:rsid w:val="00976542"/>
    <w:rsid w:val="00980062"/>
    <w:rsid w:val="0098205A"/>
    <w:rsid w:val="00985848"/>
    <w:rsid w:val="00994008"/>
    <w:rsid w:val="009940D0"/>
    <w:rsid w:val="009A26ED"/>
    <w:rsid w:val="009A66C5"/>
    <w:rsid w:val="009B46C8"/>
    <w:rsid w:val="009B5F52"/>
    <w:rsid w:val="009C561A"/>
    <w:rsid w:val="009D7F6C"/>
    <w:rsid w:val="009E14C3"/>
    <w:rsid w:val="009F273E"/>
    <w:rsid w:val="009F2F94"/>
    <w:rsid w:val="009F4313"/>
    <w:rsid w:val="00A004CA"/>
    <w:rsid w:val="00A004E6"/>
    <w:rsid w:val="00A01743"/>
    <w:rsid w:val="00A06080"/>
    <w:rsid w:val="00A14D6F"/>
    <w:rsid w:val="00A23110"/>
    <w:rsid w:val="00A25E48"/>
    <w:rsid w:val="00A33484"/>
    <w:rsid w:val="00A45769"/>
    <w:rsid w:val="00A52A41"/>
    <w:rsid w:val="00A5630F"/>
    <w:rsid w:val="00A648AA"/>
    <w:rsid w:val="00A7060C"/>
    <w:rsid w:val="00A707CB"/>
    <w:rsid w:val="00A70EEA"/>
    <w:rsid w:val="00A723C3"/>
    <w:rsid w:val="00A75113"/>
    <w:rsid w:val="00A83C3B"/>
    <w:rsid w:val="00A96581"/>
    <w:rsid w:val="00AA1601"/>
    <w:rsid w:val="00AC7993"/>
    <w:rsid w:val="00AD322E"/>
    <w:rsid w:val="00AD6A69"/>
    <w:rsid w:val="00AF0CC3"/>
    <w:rsid w:val="00AF445D"/>
    <w:rsid w:val="00AF50F2"/>
    <w:rsid w:val="00AF5E40"/>
    <w:rsid w:val="00B02828"/>
    <w:rsid w:val="00B164DA"/>
    <w:rsid w:val="00B16E82"/>
    <w:rsid w:val="00B22FBE"/>
    <w:rsid w:val="00B24716"/>
    <w:rsid w:val="00B25BCE"/>
    <w:rsid w:val="00B30367"/>
    <w:rsid w:val="00B332B5"/>
    <w:rsid w:val="00B46B76"/>
    <w:rsid w:val="00B47676"/>
    <w:rsid w:val="00B52DCD"/>
    <w:rsid w:val="00B65F32"/>
    <w:rsid w:val="00B7411A"/>
    <w:rsid w:val="00B742B2"/>
    <w:rsid w:val="00B75503"/>
    <w:rsid w:val="00B85FFB"/>
    <w:rsid w:val="00B8648B"/>
    <w:rsid w:val="00B91873"/>
    <w:rsid w:val="00B957AA"/>
    <w:rsid w:val="00BA3833"/>
    <w:rsid w:val="00BA3E5E"/>
    <w:rsid w:val="00BA69A1"/>
    <w:rsid w:val="00BA7B33"/>
    <w:rsid w:val="00BB06CE"/>
    <w:rsid w:val="00BB2B7F"/>
    <w:rsid w:val="00BB7A2B"/>
    <w:rsid w:val="00BC12CC"/>
    <w:rsid w:val="00BC163F"/>
    <w:rsid w:val="00BD03BA"/>
    <w:rsid w:val="00BD3B9C"/>
    <w:rsid w:val="00BE184F"/>
    <w:rsid w:val="00BF594F"/>
    <w:rsid w:val="00BF63EB"/>
    <w:rsid w:val="00C0548A"/>
    <w:rsid w:val="00C062A6"/>
    <w:rsid w:val="00C12056"/>
    <w:rsid w:val="00C1688B"/>
    <w:rsid w:val="00C17E39"/>
    <w:rsid w:val="00C22824"/>
    <w:rsid w:val="00C273AE"/>
    <w:rsid w:val="00C27943"/>
    <w:rsid w:val="00C3074F"/>
    <w:rsid w:val="00C36642"/>
    <w:rsid w:val="00C3715C"/>
    <w:rsid w:val="00C46CA8"/>
    <w:rsid w:val="00C47479"/>
    <w:rsid w:val="00C53D2E"/>
    <w:rsid w:val="00C544C0"/>
    <w:rsid w:val="00C63F1D"/>
    <w:rsid w:val="00C713D9"/>
    <w:rsid w:val="00C71497"/>
    <w:rsid w:val="00C7201A"/>
    <w:rsid w:val="00C80851"/>
    <w:rsid w:val="00C80C5A"/>
    <w:rsid w:val="00C811BA"/>
    <w:rsid w:val="00C85886"/>
    <w:rsid w:val="00C93C83"/>
    <w:rsid w:val="00C96538"/>
    <w:rsid w:val="00CA4958"/>
    <w:rsid w:val="00CA765F"/>
    <w:rsid w:val="00CB2CF8"/>
    <w:rsid w:val="00CB3C28"/>
    <w:rsid w:val="00CC24C1"/>
    <w:rsid w:val="00CC581E"/>
    <w:rsid w:val="00CC5EC5"/>
    <w:rsid w:val="00CC702A"/>
    <w:rsid w:val="00CC74BA"/>
    <w:rsid w:val="00CD2641"/>
    <w:rsid w:val="00CD4308"/>
    <w:rsid w:val="00CE634B"/>
    <w:rsid w:val="00CF0AAD"/>
    <w:rsid w:val="00CF6DB2"/>
    <w:rsid w:val="00D1261D"/>
    <w:rsid w:val="00D1338A"/>
    <w:rsid w:val="00D21A77"/>
    <w:rsid w:val="00D23379"/>
    <w:rsid w:val="00D25B7D"/>
    <w:rsid w:val="00D3300A"/>
    <w:rsid w:val="00D36229"/>
    <w:rsid w:val="00D36A71"/>
    <w:rsid w:val="00D52ABA"/>
    <w:rsid w:val="00D55548"/>
    <w:rsid w:val="00D563B0"/>
    <w:rsid w:val="00D61162"/>
    <w:rsid w:val="00D629FB"/>
    <w:rsid w:val="00D71D2A"/>
    <w:rsid w:val="00D71FD5"/>
    <w:rsid w:val="00D72CDB"/>
    <w:rsid w:val="00D74570"/>
    <w:rsid w:val="00D76C74"/>
    <w:rsid w:val="00D951D1"/>
    <w:rsid w:val="00DA6E0F"/>
    <w:rsid w:val="00DB2F27"/>
    <w:rsid w:val="00DC4E65"/>
    <w:rsid w:val="00DD1C2E"/>
    <w:rsid w:val="00DD2FD7"/>
    <w:rsid w:val="00DD4A0E"/>
    <w:rsid w:val="00DD4B27"/>
    <w:rsid w:val="00DD4F0A"/>
    <w:rsid w:val="00DE5CAF"/>
    <w:rsid w:val="00DE7B54"/>
    <w:rsid w:val="00DF1540"/>
    <w:rsid w:val="00DF5899"/>
    <w:rsid w:val="00DF668B"/>
    <w:rsid w:val="00E21E7C"/>
    <w:rsid w:val="00E22D96"/>
    <w:rsid w:val="00E27392"/>
    <w:rsid w:val="00E337ED"/>
    <w:rsid w:val="00E44D36"/>
    <w:rsid w:val="00E50394"/>
    <w:rsid w:val="00E5696B"/>
    <w:rsid w:val="00E6300F"/>
    <w:rsid w:val="00E8675A"/>
    <w:rsid w:val="00E86C39"/>
    <w:rsid w:val="00E95770"/>
    <w:rsid w:val="00EA52F3"/>
    <w:rsid w:val="00EB31C0"/>
    <w:rsid w:val="00EB6301"/>
    <w:rsid w:val="00EC0C28"/>
    <w:rsid w:val="00ED07CE"/>
    <w:rsid w:val="00EE201B"/>
    <w:rsid w:val="00EE2B26"/>
    <w:rsid w:val="00EE2EFA"/>
    <w:rsid w:val="00EE6196"/>
    <w:rsid w:val="00EE7021"/>
    <w:rsid w:val="00F0004F"/>
    <w:rsid w:val="00F03F8D"/>
    <w:rsid w:val="00F04C74"/>
    <w:rsid w:val="00F05387"/>
    <w:rsid w:val="00F1343B"/>
    <w:rsid w:val="00F14DA6"/>
    <w:rsid w:val="00F315D1"/>
    <w:rsid w:val="00F3266A"/>
    <w:rsid w:val="00F43FD9"/>
    <w:rsid w:val="00F54D34"/>
    <w:rsid w:val="00F61DF7"/>
    <w:rsid w:val="00F661B6"/>
    <w:rsid w:val="00F70D13"/>
    <w:rsid w:val="00F76B4C"/>
    <w:rsid w:val="00F7743B"/>
    <w:rsid w:val="00F816AB"/>
    <w:rsid w:val="00F8236F"/>
    <w:rsid w:val="00F90219"/>
    <w:rsid w:val="00F921FA"/>
    <w:rsid w:val="00F97F8C"/>
    <w:rsid w:val="00FA1928"/>
    <w:rsid w:val="00FB67F6"/>
    <w:rsid w:val="00FC33D2"/>
    <w:rsid w:val="00FC787C"/>
    <w:rsid w:val="00FD28E5"/>
    <w:rsid w:val="00FD4B52"/>
    <w:rsid w:val="00FD6E37"/>
    <w:rsid w:val="00FD7B58"/>
    <w:rsid w:val="00FE4780"/>
    <w:rsid w:val="00F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BE663"/>
  <w15:docId w15:val="{EE39C204-3852-4708-9674-13DF662D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20"/>
  </w:style>
  <w:style w:type="paragraph" w:styleId="Heading1">
    <w:name w:val="heading 1"/>
    <w:basedOn w:val="Normal"/>
    <w:next w:val="Normal"/>
    <w:link w:val="Heading1Char"/>
    <w:uiPriority w:val="9"/>
    <w:qFormat/>
    <w:rsid w:val="004A232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A232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4A232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A232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A232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A232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A232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4A232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4A232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03"/>
    <w:rPr>
      <w:sz w:val="20"/>
      <w:szCs w:val="20"/>
    </w:rPr>
  </w:style>
  <w:style w:type="character" w:styleId="FootnoteReference">
    <w:name w:val="footnote reference"/>
    <w:basedOn w:val="DefaultParagraphFont"/>
    <w:uiPriority w:val="99"/>
    <w:semiHidden/>
    <w:unhideWhenUsed/>
    <w:rsid w:val="00163603"/>
    <w:rPr>
      <w:vertAlign w:val="superscript"/>
    </w:rPr>
  </w:style>
  <w:style w:type="paragraph" w:styleId="ListParagraph">
    <w:name w:val="List Paragraph"/>
    <w:aliases w:val="List Paragraph (numbered (a)),List Paragraph1,WB Para,Recommendation,List Paragraph11,L,CV text,Table text,List Paragraph2,F5 List Paragraph,Dot pt,List Paragraph111,Medium Grid 1 - Accent 21,Numbered Paragraph,Main numbered paragraph"/>
    <w:basedOn w:val="Normal"/>
    <w:link w:val="ListParagraphChar"/>
    <w:uiPriority w:val="34"/>
    <w:qFormat/>
    <w:rsid w:val="00B75503"/>
    <w:pPr>
      <w:ind w:left="720"/>
      <w:contextualSpacing/>
    </w:pPr>
  </w:style>
  <w:style w:type="character" w:styleId="Hyperlink">
    <w:name w:val="Hyperlink"/>
    <w:basedOn w:val="DefaultParagraphFont"/>
    <w:uiPriority w:val="99"/>
    <w:unhideWhenUsed/>
    <w:rsid w:val="00A707CB"/>
    <w:rPr>
      <w:color w:val="0000FF"/>
      <w:u w:val="single"/>
    </w:rPr>
  </w:style>
  <w:style w:type="character" w:styleId="FollowedHyperlink">
    <w:name w:val="FollowedHyperlink"/>
    <w:basedOn w:val="DefaultParagraphFont"/>
    <w:uiPriority w:val="99"/>
    <w:semiHidden/>
    <w:unhideWhenUsed/>
    <w:rsid w:val="000470C3"/>
    <w:rPr>
      <w:color w:val="954F72" w:themeColor="followedHyperlink"/>
      <w:u w:val="single"/>
    </w:rPr>
  </w:style>
  <w:style w:type="character" w:customStyle="1" w:styleId="Heading1Char">
    <w:name w:val="Heading 1 Char"/>
    <w:basedOn w:val="DefaultParagraphFont"/>
    <w:link w:val="Heading1"/>
    <w:uiPriority w:val="9"/>
    <w:rsid w:val="004A232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A232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4A232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A232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A232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A232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A232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A232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A232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A23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A232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A232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A232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A2320"/>
    <w:rPr>
      <w:caps/>
      <w:color w:val="404040" w:themeColor="text1" w:themeTint="BF"/>
      <w:spacing w:val="20"/>
      <w:sz w:val="28"/>
      <w:szCs w:val="28"/>
    </w:rPr>
  </w:style>
  <w:style w:type="character" w:styleId="Strong">
    <w:name w:val="Strong"/>
    <w:basedOn w:val="DefaultParagraphFont"/>
    <w:uiPriority w:val="22"/>
    <w:qFormat/>
    <w:rsid w:val="004A2320"/>
    <w:rPr>
      <w:b/>
      <w:bCs/>
    </w:rPr>
  </w:style>
  <w:style w:type="character" w:styleId="Emphasis">
    <w:name w:val="Emphasis"/>
    <w:basedOn w:val="DefaultParagraphFont"/>
    <w:uiPriority w:val="20"/>
    <w:qFormat/>
    <w:rsid w:val="004A2320"/>
    <w:rPr>
      <w:i/>
      <w:iCs/>
      <w:color w:val="000000" w:themeColor="text1"/>
    </w:rPr>
  </w:style>
  <w:style w:type="paragraph" w:styleId="NoSpacing">
    <w:name w:val="No Spacing"/>
    <w:uiPriority w:val="1"/>
    <w:qFormat/>
    <w:rsid w:val="004A2320"/>
    <w:pPr>
      <w:spacing w:after="0" w:line="240" w:lineRule="auto"/>
    </w:pPr>
  </w:style>
  <w:style w:type="paragraph" w:styleId="Quote">
    <w:name w:val="Quote"/>
    <w:basedOn w:val="Normal"/>
    <w:next w:val="Normal"/>
    <w:link w:val="QuoteChar"/>
    <w:uiPriority w:val="29"/>
    <w:qFormat/>
    <w:rsid w:val="004A23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A232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A232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A232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A2320"/>
    <w:rPr>
      <w:i/>
      <w:iCs/>
      <w:color w:val="595959" w:themeColor="text1" w:themeTint="A6"/>
    </w:rPr>
  </w:style>
  <w:style w:type="character" w:styleId="IntenseEmphasis">
    <w:name w:val="Intense Emphasis"/>
    <w:basedOn w:val="DefaultParagraphFont"/>
    <w:uiPriority w:val="21"/>
    <w:qFormat/>
    <w:rsid w:val="004A2320"/>
    <w:rPr>
      <w:b/>
      <w:bCs/>
      <w:i/>
      <w:iCs/>
      <w:caps w:val="0"/>
      <w:smallCaps w:val="0"/>
      <w:strike w:val="0"/>
      <w:dstrike w:val="0"/>
      <w:color w:val="ED7D31" w:themeColor="accent2"/>
    </w:rPr>
  </w:style>
  <w:style w:type="character" w:styleId="SubtleReference">
    <w:name w:val="Subtle Reference"/>
    <w:basedOn w:val="DefaultParagraphFont"/>
    <w:uiPriority w:val="31"/>
    <w:qFormat/>
    <w:rsid w:val="004A23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A2320"/>
    <w:rPr>
      <w:b/>
      <w:bCs/>
      <w:caps w:val="0"/>
      <w:smallCaps/>
      <w:color w:val="auto"/>
      <w:spacing w:val="0"/>
      <w:u w:val="single"/>
    </w:rPr>
  </w:style>
  <w:style w:type="character" w:styleId="BookTitle">
    <w:name w:val="Book Title"/>
    <w:basedOn w:val="DefaultParagraphFont"/>
    <w:uiPriority w:val="33"/>
    <w:qFormat/>
    <w:rsid w:val="004A2320"/>
    <w:rPr>
      <w:b/>
      <w:bCs/>
      <w:caps w:val="0"/>
      <w:smallCaps/>
      <w:spacing w:val="0"/>
    </w:rPr>
  </w:style>
  <w:style w:type="paragraph" w:styleId="TOCHeading">
    <w:name w:val="TOC Heading"/>
    <w:basedOn w:val="Heading1"/>
    <w:next w:val="Normal"/>
    <w:uiPriority w:val="39"/>
    <w:semiHidden/>
    <w:unhideWhenUsed/>
    <w:qFormat/>
    <w:rsid w:val="004A2320"/>
    <w:pPr>
      <w:outlineLvl w:val="9"/>
    </w:pPr>
  </w:style>
  <w:style w:type="paragraph" w:customStyle="1" w:styleId="Default">
    <w:name w:val="Default"/>
    <w:rsid w:val="00807B3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553"/>
    <w:rPr>
      <w:rFonts w:ascii="Segoe UI" w:hAnsi="Segoe UI" w:cs="Segoe UI"/>
      <w:sz w:val="18"/>
      <w:szCs w:val="18"/>
    </w:rPr>
  </w:style>
  <w:style w:type="character" w:styleId="CommentReference">
    <w:name w:val="annotation reference"/>
    <w:basedOn w:val="DefaultParagraphFont"/>
    <w:uiPriority w:val="99"/>
    <w:semiHidden/>
    <w:unhideWhenUsed/>
    <w:rsid w:val="004D3553"/>
    <w:rPr>
      <w:sz w:val="16"/>
      <w:szCs w:val="16"/>
    </w:rPr>
  </w:style>
  <w:style w:type="paragraph" w:styleId="CommentText">
    <w:name w:val="annotation text"/>
    <w:basedOn w:val="Normal"/>
    <w:link w:val="CommentTextChar"/>
    <w:uiPriority w:val="99"/>
    <w:semiHidden/>
    <w:unhideWhenUsed/>
    <w:rsid w:val="004D3553"/>
    <w:pPr>
      <w:spacing w:line="240" w:lineRule="auto"/>
    </w:pPr>
    <w:rPr>
      <w:sz w:val="20"/>
      <w:szCs w:val="20"/>
    </w:rPr>
  </w:style>
  <w:style w:type="character" w:customStyle="1" w:styleId="CommentTextChar">
    <w:name w:val="Comment Text Char"/>
    <w:basedOn w:val="DefaultParagraphFont"/>
    <w:link w:val="CommentText"/>
    <w:uiPriority w:val="99"/>
    <w:semiHidden/>
    <w:rsid w:val="004D3553"/>
    <w:rPr>
      <w:sz w:val="20"/>
      <w:szCs w:val="20"/>
    </w:rPr>
  </w:style>
  <w:style w:type="paragraph" w:styleId="CommentSubject">
    <w:name w:val="annotation subject"/>
    <w:basedOn w:val="CommentText"/>
    <w:next w:val="CommentText"/>
    <w:link w:val="CommentSubjectChar"/>
    <w:uiPriority w:val="99"/>
    <w:semiHidden/>
    <w:unhideWhenUsed/>
    <w:rsid w:val="004D3553"/>
    <w:rPr>
      <w:b/>
      <w:bCs/>
    </w:rPr>
  </w:style>
  <w:style w:type="character" w:customStyle="1" w:styleId="CommentSubjectChar">
    <w:name w:val="Comment Subject Char"/>
    <w:basedOn w:val="CommentTextChar"/>
    <w:link w:val="CommentSubject"/>
    <w:uiPriority w:val="99"/>
    <w:semiHidden/>
    <w:rsid w:val="004D3553"/>
    <w:rPr>
      <w:b/>
      <w:bCs/>
      <w:sz w:val="20"/>
      <w:szCs w:val="20"/>
    </w:rPr>
  </w:style>
  <w:style w:type="paragraph" w:styleId="Header">
    <w:name w:val="header"/>
    <w:basedOn w:val="Normal"/>
    <w:link w:val="HeaderChar"/>
    <w:uiPriority w:val="99"/>
    <w:unhideWhenUsed/>
    <w:rsid w:val="0098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62"/>
  </w:style>
  <w:style w:type="paragraph" w:styleId="Footer">
    <w:name w:val="footer"/>
    <w:basedOn w:val="Normal"/>
    <w:link w:val="FooterChar"/>
    <w:uiPriority w:val="99"/>
    <w:unhideWhenUsed/>
    <w:rsid w:val="0098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62"/>
  </w:style>
  <w:style w:type="character" w:customStyle="1" w:styleId="ListParagraphChar">
    <w:name w:val="List Paragraph Char"/>
    <w:aliases w:val="List Paragraph (numbered (a)) Char,List Paragraph1 Char,WB Para Char,Recommendation Char,List Paragraph11 Char,L Char,CV text Char,Table text Char,List Paragraph2 Char,F5 List Paragraph Char,Dot pt Char,List Paragraph111 Char"/>
    <w:link w:val="ListParagraph"/>
    <w:uiPriority w:val="34"/>
    <w:qFormat/>
    <w:locked/>
    <w:rsid w:val="005C5A04"/>
  </w:style>
  <w:style w:type="character" w:customStyle="1" w:styleId="popplabeldescription">
    <w:name w:val="popp_label_description"/>
    <w:basedOn w:val="DefaultParagraphFont"/>
    <w:rsid w:val="00AF0CC3"/>
  </w:style>
  <w:style w:type="paragraph" w:styleId="Revision">
    <w:name w:val="Revision"/>
    <w:hidden/>
    <w:uiPriority w:val="99"/>
    <w:semiHidden/>
    <w:rsid w:val="00A25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7626">
      <w:bodyDiv w:val="1"/>
      <w:marLeft w:val="0"/>
      <w:marRight w:val="0"/>
      <w:marTop w:val="0"/>
      <w:marBottom w:val="0"/>
      <w:divBdr>
        <w:top w:val="none" w:sz="0" w:space="0" w:color="auto"/>
        <w:left w:val="none" w:sz="0" w:space="0" w:color="auto"/>
        <w:bottom w:val="none" w:sz="0" w:space="0" w:color="auto"/>
        <w:right w:val="none" w:sz="0" w:space="0" w:color="auto"/>
      </w:divBdr>
      <w:divsChild>
        <w:div w:id="242031163">
          <w:marLeft w:val="0"/>
          <w:marRight w:val="0"/>
          <w:marTop w:val="0"/>
          <w:marBottom w:val="0"/>
          <w:divBdr>
            <w:top w:val="none" w:sz="0" w:space="0" w:color="auto"/>
            <w:left w:val="none" w:sz="0" w:space="0" w:color="auto"/>
            <w:bottom w:val="none" w:sz="0" w:space="0" w:color="auto"/>
            <w:right w:val="none" w:sz="0" w:space="0" w:color="auto"/>
          </w:divBdr>
        </w:div>
        <w:div w:id="1707608169">
          <w:marLeft w:val="0"/>
          <w:marRight w:val="0"/>
          <w:marTop w:val="0"/>
          <w:marBottom w:val="0"/>
          <w:divBdr>
            <w:top w:val="none" w:sz="0" w:space="0" w:color="auto"/>
            <w:left w:val="none" w:sz="0" w:space="0" w:color="auto"/>
            <w:bottom w:val="none" w:sz="0" w:space="0" w:color="auto"/>
            <w:right w:val="none" w:sz="0" w:space="0" w:color="auto"/>
          </w:divBdr>
        </w:div>
        <w:div w:id="600996608">
          <w:marLeft w:val="0"/>
          <w:marRight w:val="0"/>
          <w:marTop w:val="0"/>
          <w:marBottom w:val="0"/>
          <w:divBdr>
            <w:top w:val="none" w:sz="0" w:space="0" w:color="auto"/>
            <w:left w:val="none" w:sz="0" w:space="0" w:color="auto"/>
            <w:bottom w:val="none" w:sz="0" w:space="0" w:color="auto"/>
            <w:right w:val="none" w:sz="0" w:space="0" w:color="auto"/>
          </w:divBdr>
        </w:div>
        <w:div w:id="1692023105">
          <w:marLeft w:val="0"/>
          <w:marRight w:val="0"/>
          <w:marTop w:val="0"/>
          <w:marBottom w:val="0"/>
          <w:divBdr>
            <w:top w:val="none" w:sz="0" w:space="0" w:color="auto"/>
            <w:left w:val="none" w:sz="0" w:space="0" w:color="auto"/>
            <w:bottom w:val="none" w:sz="0" w:space="0" w:color="auto"/>
            <w:right w:val="none" w:sz="0" w:space="0" w:color="auto"/>
          </w:divBdr>
        </w:div>
        <w:div w:id="495804421">
          <w:marLeft w:val="0"/>
          <w:marRight w:val="0"/>
          <w:marTop w:val="0"/>
          <w:marBottom w:val="0"/>
          <w:divBdr>
            <w:top w:val="none" w:sz="0" w:space="0" w:color="auto"/>
            <w:left w:val="none" w:sz="0" w:space="0" w:color="auto"/>
            <w:bottom w:val="none" w:sz="0" w:space="0" w:color="auto"/>
            <w:right w:val="none" w:sz="0" w:space="0" w:color="auto"/>
          </w:divBdr>
        </w:div>
        <w:div w:id="1091584533">
          <w:marLeft w:val="0"/>
          <w:marRight w:val="0"/>
          <w:marTop w:val="0"/>
          <w:marBottom w:val="0"/>
          <w:divBdr>
            <w:top w:val="none" w:sz="0" w:space="0" w:color="auto"/>
            <w:left w:val="none" w:sz="0" w:space="0" w:color="auto"/>
            <w:bottom w:val="none" w:sz="0" w:space="0" w:color="auto"/>
            <w:right w:val="none" w:sz="0" w:space="0" w:color="auto"/>
          </w:divBdr>
        </w:div>
      </w:divsChild>
    </w:div>
    <w:div w:id="8292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sustainable-development-goals/from-mdgs-to-sustainable-development-for-a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p.org/content/undp/en/home/librarypage/sustainable-development-goals/transitioning-from-the-mdgs-to-the-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CB79-F5C5-43E2-8B33-0F7170C6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19438</Characters>
  <Application>Microsoft Office Word</Application>
  <DocSecurity>0</DocSecurity>
  <Lines>462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Svetlana Iazykova</cp:lastModifiedBy>
  <cp:revision>2</cp:revision>
  <dcterms:created xsi:type="dcterms:W3CDTF">2017-05-15T19:12:00Z</dcterms:created>
  <dcterms:modified xsi:type="dcterms:W3CDTF">2017-05-15T19:12:00Z</dcterms:modified>
</cp:coreProperties>
</file>