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9EC6B" w14:textId="77777777" w:rsidR="00DB4DD4" w:rsidRPr="00DB4DD4" w:rsidRDefault="00DB4DD4" w:rsidP="00A84130">
      <w:pPr>
        <w:tabs>
          <w:tab w:val="left" w:pos="0"/>
          <w:tab w:val="left" w:pos="8640"/>
          <w:tab w:val="left" w:pos="8820"/>
          <w:tab w:val="left" w:pos="9180"/>
        </w:tabs>
        <w:rPr>
          <w:b/>
          <w:bCs/>
          <w:color w:val="000000"/>
          <w:lang w:val="en-GB" w:eastAsia="fr-FR"/>
        </w:rPr>
      </w:pPr>
      <w:r w:rsidRPr="00DB4DD4">
        <w:rPr>
          <w:b/>
          <w:bCs/>
          <w:color w:val="000000"/>
          <w:lang w:val="en-GB" w:eastAsia="fr-FR"/>
        </w:rPr>
        <w:t>Second regular session 2017</w:t>
      </w:r>
    </w:p>
    <w:p w14:paraId="549F768C" w14:textId="77777777" w:rsidR="00DB4DD4" w:rsidRPr="00DB4DD4" w:rsidRDefault="00DB4DD4" w:rsidP="00A84130">
      <w:pPr>
        <w:tabs>
          <w:tab w:val="left" w:pos="0"/>
        </w:tabs>
        <w:rPr>
          <w:bCs/>
          <w:color w:val="000000"/>
          <w:lang w:val="en-GB" w:eastAsia="fr-FR"/>
        </w:rPr>
      </w:pPr>
      <w:r w:rsidRPr="00DB4DD4">
        <w:rPr>
          <w:bCs/>
          <w:color w:val="000000"/>
          <w:lang w:val="en-GB" w:eastAsia="fr-FR"/>
        </w:rPr>
        <w:t>5 - 11 September 2017, New York</w:t>
      </w:r>
    </w:p>
    <w:p w14:paraId="0493C31D" w14:textId="3E81F3B3" w:rsidR="00DB4DD4" w:rsidRPr="00DB4DD4" w:rsidRDefault="0018092C" w:rsidP="00A84130">
      <w:pPr>
        <w:tabs>
          <w:tab w:val="left" w:pos="0"/>
        </w:tabs>
        <w:rPr>
          <w:bCs/>
          <w:color w:val="000000"/>
          <w:lang w:val="en-GB" w:eastAsia="fr-FR"/>
        </w:rPr>
      </w:pPr>
      <w:r>
        <w:rPr>
          <w:bCs/>
          <w:color w:val="000000"/>
          <w:lang w:val="en-GB" w:eastAsia="fr-FR"/>
        </w:rPr>
        <w:t>Item 6</w:t>
      </w:r>
      <w:r w:rsidR="00DB4DD4" w:rsidRPr="00DB4DD4">
        <w:rPr>
          <w:bCs/>
          <w:color w:val="000000"/>
          <w:lang w:val="en-GB" w:eastAsia="fr-FR"/>
        </w:rPr>
        <w:t xml:space="preserve"> of the provisional agenda</w:t>
      </w:r>
    </w:p>
    <w:p w14:paraId="33B0D261" w14:textId="77777777" w:rsidR="00DB4DD4" w:rsidRPr="00DB4DD4" w:rsidRDefault="00DB4DD4" w:rsidP="00A84130">
      <w:pPr>
        <w:tabs>
          <w:tab w:val="left" w:pos="0"/>
        </w:tabs>
        <w:rPr>
          <w:b/>
          <w:bCs/>
          <w:color w:val="000000"/>
          <w:lang w:val="en-GB" w:eastAsia="fr-FR"/>
        </w:rPr>
      </w:pPr>
      <w:r w:rsidRPr="00DB4DD4">
        <w:rPr>
          <w:b/>
          <w:bCs/>
          <w:color w:val="000000"/>
          <w:lang w:val="en-GB" w:eastAsia="fr-FR"/>
        </w:rPr>
        <w:t>Country programmes and related matters</w:t>
      </w:r>
    </w:p>
    <w:p w14:paraId="21839879" w14:textId="77777777" w:rsidR="00DB4DD4" w:rsidRPr="00DB4DD4" w:rsidRDefault="00DB4DD4" w:rsidP="00A84130">
      <w:pPr>
        <w:tabs>
          <w:tab w:val="left" w:pos="0"/>
        </w:tabs>
        <w:rPr>
          <w:b/>
          <w:color w:val="000000"/>
          <w:sz w:val="28"/>
          <w:szCs w:val="28"/>
          <w:lang w:val="en-GB" w:eastAsia="fr-FR"/>
        </w:rPr>
      </w:pPr>
    </w:p>
    <w:p w14:paraId="507D2D80" w14:textId="77777777" w:rsidR="00DB4DD4" w:rsidRPr="00DB4DD4" w:rsidRDefault="00DB4DD4" w:rsidP="00A84130">
      <w:pPr>
        <w:tabs>
          <w:tab w:val="left" w:pos="0"/>
        </w:tabs>
        <w:ind w:right="-360"/>
        <w:rPr>
          <w:b/>
          <w:bCs/>
          <w:color w:val="000000"/>
          <w:sz w:val="32"/>
          <w:szCs w:val="32"/>
          <w:lang w:val="en-GB" w:eastAsia="fr-FR"/>
        </w:rPr>
      </w:pPr>
    </w:p>
    <w:p w14:paraId="6D4775A4" w14:textId="77777777" w:rsidR="00DB4DD4" w:rsidRPr="00DB4DD4" w:rsidRDefault="00DB4DD4" w:rsidP="00A84130">
      <w:pPr>
        <w:tabs>
          <w:tab w:val="left" w:pos="0"/>
        </w:tabs>
        <w:ind w:right="-360"/>
        <w:rPr>
          <w:b/>
          <w:color w:val="000000"/>
          <w:sz w:val="32"/>
          <w:szCs w:val="32"/>
          <w:lang w:val="en-GB" w:eastAsia="fr-FR"/>
        </w:rPr>
      </w:pPr>
      <w:r w:rsidRPr="00DB4DD4">
        <w:rPr>
          <w:b/>
          <w:bCs/>
          <w:color w:val="000000"/>
          <w:sz w:val="32"/>
          <w:szCs w:val="32"/>
          <w:lang w:val="en-GB" w:eastAsia="fr-FR"/>
        </w:rPr>
        <w:t xml:space="preserve">Draft country programme document for </w:t>
      </w:r>
      <w:r>
        <w:rPr>
          <w:b/>
          <w:bCs/>
          <w:color w:val="000000"/>
          <w:sz w:val="32"/>
          <w:szCs w:val="32"/>
          <w:lang w:val="en-GB" w:eastAsia="fr-FR"/>
        </w:rPr>
        <w:t>Guinea</w:t>
      </w:r>
      <w:r w:rsidRPr="00DB4DD4">
        <w:rPr>
          <w:b/>
          <w:bCs/>
          <w:color w:val="000000"/>
          <w:sz w:val="32"/>
          <w:szCs w:val="32"/>
          <w:lang w:val="en-GB" w:eastAsia="fr-FR"/>
        </w:rPr>
        <w:t xml:space="preserve"> (2018-2022)</w:t>
      </w:r>
    </w:p>
    <w:p w14:paraId="6979153A" w14:textId="77777777" w:rsidR="00DB4DD4" w:rsidRDefault="00DB4DD4" w:rsidP="00A84130">
      <w:pPr>
        <w:tabs>
          <w:tab w:val="left" w:pos="0"/>
        </w:tabs>
        <w:ind w:left="-720" w:right="328"/>
        <w:rPr>
          <w:color w:val="000000"/>
          <w:lang w:val="en-GB" w:eastAsia="fr-FR"/>
        </w:rPr>
      </w:pPr>
    </w:p>
    <w:p w14:paraId="65304DA0" w14:textId="77777777" w:rsidR="00DB4DD4" w:rsidRPr="00DB4DD4" w:rsidRDefault="00DB4DD4" w:rsidP="00A84130">
      <w:pPr>
        <w:tabs>
          <w:tab w:val="left" w:pos="0"/>
        </w:tabs>
        <w:ind w:left="-720" w:right="328"/>
        <w:rPr>
          <w:color w:val="000000"/>
          <w:lang w:val="en-GB" w:eastAsia="fr-FR"/>
        </w:rPr>
      </w:pPr>
    </w:p>
    <w:p w14:paraId="091EE120" w14:textId="77777777" w:rsidR="00DB4DD4" w:rsidRPr="00DB4DD4" w:rsidRDefault="00DB4DD4" w:rsidP="00A84130">
      <w:pPr>
        <w:keepNext/>
        <w:keepLines/>
        <w:tabs>
          <w:tab w:val="left" w:pos="0"/>
          <w:tab w:val="right" w:pos="1022"/>
          <w:tab w:val="left" w:pos="1267"/>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720" w:right="328" w:firstLine="720"/>
        <w:outlineLvl w:val="0"/>
        <w:rPr>
          <w:color w:val="000000"/>
          <w:spacing w:val="-2"/>
          <w:w w:val="103"/>
          <w:kern w:val="14"/>
          <w:sz w:val="28"/>
          <w:lang w:val="en-GB" w:eastAsia="fr-FR"/>
        </w:rPr>
      </w:pPr>
      <w:r w:rsidRPr="00DB4DD4">
        <w:rPr>
          <w:color w:val="000000"/>
          <w:kern w:val="14"/>
          <w:sz w:val="28"/>
          <w:lang w:val="en-GB" w:eastAsia="fr-FR"/>
        </w:rPr>
        <w:t>Contents</w:t>
      </w:r>
    </w:p>
    <w:p w14:paraId="00AF2E9E" w14:textId="77777777" w:rsidR="00DB4DD4" w:rsidRPr="00DB4DD4" w:rsidRDefault="00DB4DD4" w:rsidP="00A84130">
      <w:pPr>
        <w:tabs>
          <w:tab w:val="left" w:pos="0"/>
        </w:tabs>
        <w:rPr>
          <w:color w:val="000000"/>
          <w:lang w:val="en-GB" w:eastAsia="fr-FR"/>
        </w:rPr>
      </w:pP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DB4DD4" w:rsidRPr="00DB4DD4" w14:paraId="097333B9" w14:textId="77777777" w:rsidTr="004531E6">
        <w:tc>
          <w:tcPr>
            <w:tcW w:w="1060" w:type="dxa"/>
            <w:shd w:val="clear" w:color="auto" w:fill="auto"/>
          </w:tcPr>
          <w:p w14:paraId="5B9C1A65" w14:textId="77777777" w:rsidR="00DB4DD4" w:rsidRPr="00DB4DD4" w:rsidRDefault="00DB4DD4" w:rsidP="00A84130">
            <w:pPr>
              <w:tabs>
                <w:tab w:val="left" w:pos="0"/>
              </w:tabs>
              <w:suppressAutoHyphens/>
              <w:spacing w:after="120"/>
              <w:jc w:val="right"/>
              <w:rPr>
                <w:i/>
                <w:color w:val="000000"/>
                <w:spacing w:val="4"/>
                <w:w w:val="103"/>
                <w:kern w:val="14"/>
                <w:sz w:val="14"/>
                <w:lang w:val="en-GB" w:eastAsia="fr-FR"/>
              </w:rPr>
            </w:pPr>
          </w:p>
        </w:tc>
        <w:tc>
          <w:tcPr>
            <w:tcW w:w="8480" w:type="dxa"/>
            <w:gridSpan w:val="2"/>
            <w:shd w:val="clear" w:color="auto" w:fill="auto"/>
          </w:tcPr>
          <w:p w14:paraId="0EAD7AF9" w14:textId="77777777" w:rsidR="00DB4DD4" w:rsidRPr="00DB4DD4" w:rsidRDefault="00DB4DD4" w:rsidP="00A84130">
            <w:pPr>
              <w:tabs>
                <w:tab w:val="left" w:pos="0"/>
              </w:tabs>
              <w:suppressAutoHyphens/>
              <w:spacing w:after="120"/>
              <w:rPr>
                <w:i/>
                <w:color w:val="000000"/>
                <w:spacing w:val="4"/>
                <w:w w:val="103"/>
                <w:kern w:val="14"/>
                <w:sz w:val="14"/>
                <w:lang w:val="en-GB" w:eastAsia="fr-FR"/>
              </w:rPr>
            </w:pPr>
          </w:p>
        </w:tc>
        <w:tc>
          <w:tcPr>
            <w:tcW w:w="362" w:type="dxa"/>
            <w:shd w:val="clear" w:color="auto" w:fill="auto"/>
          </w:tcPr>
          <w:p w14:paraId="30535F13" w14:textId="77777777" w:rsidR="00DB4DD4" w:rsidRPr="00DB4DD4" w:rsidRDefault="00DB4DD4" w:rsidP="00A84130">
            <w:pPr>
              <w:tabs>
                <w:tab w:val="left" w:pos="0"/>
              </w:tabs>
              <w:suppressAutoHyphens/>
              <w:spacing w:after="120"/>
              <w:jc w:val="right"/>
              <w:rPr>
                <w:i/>
                <w:color w:val="000000"/>
                <w:spacing w:val="4"/>
                <w:w w:val="103"/>
                <w:kern w:val="14"/>
                <w:sz w:val="14"/>
                <w:lang w:val="en-GB" w:eastAsia="fr-FR"/>
              </w:rPr>
            </w:pPr>
            <w:r w:rsidRPr="00DB4DD4">
              <w:rPr>
                <w:i/>
                <w:iCs/>
                <w:color w:val="000000"/>
                <w:kern w:val="14"/>
                <w:sz w:val="14"/>
                <w:lang w:val="en-GB" w:eastAsia="fr-FR"/>
              </w:rPr>
              <w:t>Page</w:t>
            </w:r>
          </w:p>
        </w:tc>
      </w:tr>
      <w:tr w:rsidR="00DB4DD4" w:rsidRPr="00DB4DD4" w14:paraId="65CBE9ED" w14:textId="77777777" w:rsidTr="004531E6">
        <w:tc>
          <w:tcPr>
            <w:tcW w:w="9540" w:type="dxa"/>
            <w:gridSpan w:val="3"/>
            <w:shd w:val="clear" w:color="auto" w:fill="auto"/>
          </w:tcPr>
          <w:p w14:paraId="2393EF30" w14:textId="77777777" w:rsidR="00DB4DD4" w:rsidRPr="00DB4DD4" w:rsidRDefault="00DB4DD4" w:rsidP="00A84130">
            <w:pPr>
              <w:numPr>
                <w:ilvl w:val="0"/>
                <w:numId w:val="43"/>
              </w:numPr>
              <w:tabs>
                <w:tab w:val="left" w:pos="0"/>
                <w:tab w:val="right" w:pos="1080"/>
                <w:tab w:val="left" w:pos="1296"/>
                <w:tab w:val="left" w:pos="2160"/>
                <w:tab w:val="left" w:pos="2592"/>
                <w:tab w:val="right" w:leader="dot" w:pos="9090"/>
              </w:tabs>
              <w:suppressAutoHyphens/>
              <w:spacing w:after="120" w:line="240" w:lineRule="exact"/>
              <w:jc w:val="both"/>
              <w:rPr>
                <w:color w:val="000000"/>
                <w:spacing w:val="4"/>
                <w:w w:val="103"/>
                <w:kern w:val="14"/>
                <w:lang w:val="en-GB" w:eastAsia="fr-FR"/>
              </w:rPr>
            </w:pPr>
            <w:r w:rsidRPr="00DB4DD4">
              <w:rPr>
                <w:color w:val="000000"/>
                <w:kern w:val="14"/>
                <w:lang w:val="en-GB" w:eastAsia="fr-FR"/>
              </w:rPr>
              <w:tab/>
              <w:t>Programme rationale</w:t>
            </w:r>
            <w:r w:rsidRPr="00DB4DD4">
              <w:rPr>
                <w:color w:val="000000"/>
                <w:sz w:val="24"/>
                <w:szCs w:val="24"/>
                <w:lang w:val="en-GB" w:eastAsia="fr-FR"/>
              </w:rPr>
              <w:tab/>
            </w:r>
          </w:p>
        </w:tc>
        <w:tc>
          <w:tcPr>
            <w:tcW w:w="362" w:type="dxa"/>
            <w:vMerge w:val="restart"/>
            <w:shd w:val="clear" w:color="auto" w:fill="auto"/>
            <w:vAlign w:val="bottom"/>
          </w:tcPr>
          <w:p w14:paraId="7D4BDA01" w14:textId="77777777" w:rsidR="00DB4DD4" w:rsidRPr="00DB4DD4" w:rsidRDefault="00DB4DD4" w:rsidP="00A84130">
            <w:pPr>
              <w:tabs>
                <w:tab w:val="left" w:pos="0"/>
              </w:tabs>
              <w:suppressAutoHyphens/>
              <w:spacing w:after="120" w:line="240" w:lineRule="exact"/>
              <w:jc w:val="right"/>
              <w:rPr>
                <w:color w:val="000000"/>
                <w:spacing w:val="4"/>
                <w:w w:val="103"/>
                <w:kern w:val="14"/>
                <w:lang w:val="en-GB" w:eastAsia="fr-FR"/>
              </w:rPr>
            </w:pPr>
            <w:r w:rsidRPr="00DB4DD4">
              <w:rPr>
                <w:color w:val="000000"/>
                <w:kern w:val="14"/>
                <w:lang w:val="en-GB" w:eastAsia="fr-FR"/>
              </w:rPr>
              <w:t>2</w:t>
            </w:r>
          </w:p>
          <w:p w14:paraId="61F742D6" w14:textId="77777777" w:rsidR="00DB4DD4" w:rsidRPr="00DB4DD4" w:rsidRDefault="00DB4DD4" w:rsidP="00A84130">
            <w:pPr>
              <w:tabs>
                <w:tab w:val="left" w:pos="0"/>
              </w:tabs>
              <w:suppressAutoHyphens/>
              <w:spacing w:after="120" w:line="240" w:lineRule="exact"/>
              <w:jc w:val="right"/>
              <w:rPr>
                <w:color w:val="000000"/>
                <w:spacing w:val="4"/>
                <w:w w:val="103"/>
                <w:kern w:val="14"/>
                <w:lang w:val="en-GB" w:eastAsia="fr-FR"/>
              </w:rPr>
            </w:pPr>
            <w:r w:rsidRPr="00DB4DD4">
              <w:rPr>
                <w:color w:val="000000"/>
                <w:kern w:val="14"/>
                <w:lang w:val="en-GB" w:eastAsia="fr-FR"/>
              </w:rPr>
              <w:t>4</w:t>
            </w:r>
          </w:p>
        </w:tc>
      </w:tr>
      <w:tr w:rsidR="00DB4DD4" w:rsidRPr="00DB4DD4" w14:paraId="139E4B46" w14:textId="77777777" w:rsidTr="004531E6">
        <w:tc>
          <w:tcPr>
            <w:tcW w:w="9540" w:type="dxa"/>
            <w:gridSpan w:val="3"/>
            <w:shd w:val="clear" w:color="auto" w:fill="auto"/>
          </w:tcPr>
          <w:p w14:paraId="5ADA0F4C" w14:textId="77777777" w:rsidR="00DB4DD4" w:rsidRPr="00DB4DD4" w:rsidRDefault="00DB4DD4" w:rsidP="00A84130">
            <w:pPr>
              <w:numPr>
                <w:ilvl w:val="0"/>
                <w:numId w:val="43"/>
              </w:numPr>
              <w:tabs>
                <w:tab w:val="left" w:pos="0"/>
                <w:tab w:val="right" w:pos="1080"/>
                <w:tab w:val="left" w:pos="1296"/>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DB4DD4">
              <w:rPr>
                <w:color w:val="000000"/>
                <w:kern w:val="14"/>
                <w:lang w:val="en-GB" w:eastAsia="fr-FR"/>
              </w:rPr>
              <w:tab/>
              <w:t>Programme priorities and partnerships………………………………………………….</w:t>
            </w:r>
            <w:r w:rsidRPr="00DB4DD4">
              <w:rPr>
                <w:color w:val="000000"/>
                <w:kern w:val="14"/>
                <w:sz w:val="17"/>
                <w:lang w:val="en-GB" w:eastAsia="fr-FR"/>
              </w:rPr>
              <w:tab/>
            </w:r>
            <w:r w:rsidRPr="00DB4DD4">
              <w:rPr>
                <w:color w:val="000000"/>
                <w:kern w:val="14"/>
                <w:lang w:val="en-GB" w:eastAsia="fr-FR"/>
              </w:rPr>
              <w:t>……….…</w:t>
            </w:r>
          </w:p>
        </w:tc>
        <w:tc>
          <w:tcPr>
            <w:tcW w:w="362" w:type="dxa"/>
            <w:vMerge/>
            <w:shd w:val="clear" w:color="auto" w:fill="auto"/>
            <w:vAlign w:val="bottom"/>
          </w:tcPr>
          <w:p w14:paraId="7A89CD84" w14:textId="77777777" w:rsidR="00DB4DD4" w:rsidRPr="00DB4DD4" w:rsidRDefault="00DB4DD4" w:rsidP="00A84130">
            <w:pPr>
              <w:tabs>
                <w:tab w:val="left" w:pos="0"/>
              </w:tabs>
              <w:suppressAutoHyphens/>
              <w:spacing w:after="120" w:line="240" w:lineRule="exact"/>
              <w:jc w:val="right"/>
              <w:rPr>
                <w:color w:val="000000"/>
                <w:spacing w:val="4"/>
                <w:w w:val="103"/>
                <w:kern w:val="14"/>
                <w:lang w:val="en-GB" w:eastAsia="fr-FR"/>
              </w:rPr>
            </w:pPr>
          </w:p>
        </w:tc>
      </w:tr>
      <w:tr w:rsidR="00DB4DD4" w:rsidRPr="00DB4DD4" w14:paraId="4F28CB93" w14:textId="77777777" w:rsidTr="004531E6">
        <w:tc>
          <w:tcPr>
            <w:tcW w:w="9540" w:type="dxa"/>
            <w:gridSpan w:val="3"/>
            <w:shd w:val="clear" w:color="auto" w:fill="auto"/>
          </w:tcPr>
          <w:p w14:paraId="3ABA7BE5" w14:textId="77777777" w:rsidR="00DB4DD4" w:rsidRPr="00DB4DD4" w:rsidRDefault="00DB4DD4" w:rsidP="00A84130">
            <w:pPr>
              <w:numPr>
                <w:ilvl w:val="0"/>
                <w:numId w:val="43"/>
              </w:numPr>
              <w:tabs>
                <w:tab w:val="left" w:pos="0"/>
                <w:tab w:val="right" w:pos="1080"/>
                <w:tab w:val="left" w:pos="1296"/>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DB4DD4">
              <w:rPr>
                <w:color w:val="000000"/>
                <w:kern w:val="14"/>
                <w:lang w:val="en-GB" w:eastAsia="fr-FR"/>
              </w:rPr>
              <w:tab/>
              <w:t>Programme and risk management</w:t>
            </w:r>
            <w:r w:rsidRPr="00DB4DD4">
              <w:rPr>
                <w:color w:val="000000"/>
                <w:sz w:val="24"/>
                <w:szCs w:val="24"/>
                <w:lang w:val="en-GB" w:eastAsia="fr-FR"/>
              </w:rPr>
              <w:tab/>
            </w:r>
          </w:p>
        </w:tc>
        <w:tc>
          <w:tcPr>
            <w:tcW w:w="362" w:type="dxa"/>
            <w:vMerge w:val="restart"/>
            <w:shd w:val="clear" w:color="auto" w:fill="auto"/>
            <w:vAlign w:val="bottom"/>
          </w:tcPr>
          <w:p w14:paraId="1F2FD443" w14:textId="7EB8E97C" w:rsidR="00DB4DD4" w:rsidRPr="00DB4DD4" w:rsidRDefault="00E028D8" w:rsidP="00A84130">
            <w:pPr>
              <w:tabs>
                <w:tab w:val="left" w:pos="0"/>
              </w:tabs>
              <w:suppressAutoHyphens/>
              <w:spacing w:after="120" w:line="240" w:lineRule="exact"/>
              <w:jc w:val="right"/>
              <w:rPr>
                <w:color w:val="000000"/>
                <w:spacing w:val="4"/>
                <w:w w:val="103"/>
                <w:kern w:val="14"/>
                <w:lang w:val="en-GB" w:eastAsia="fr-FR"/>
              </w:rPr>
            </w:pPr>
            <w:r>
              <w:rPr>
                <w:color w:val="000000"/>
                <w:kern w:val="14"/>
                <w:lang w:val="en-GB" w:eastAsia="fr-FR"/>
              </w:rPr>
              <w:t>6</w:t>
            </w:r>
          </w:p>
          <w:p w14:paraId="08EEE08A" w14:textId="16E22978" w:rsidR="00DB4DD4" w:rsidRPr="00DB4DD4" w:rsidRDefault="00E028D8" w:rsidP="00A84130">
            <w:pPr>
              <w:tabs>
                <w:tab w:val="left" w:pos="0"/>
              </w:tabs>
              <w:suppressAutoHyphens/>
              <w:spacing w:after="120" w:line="240" w:lineRule="exact"/>
              <w:jc w:val="right"/>
              <w:rPr>
                <w:color w:val="000000"/>
                <w:spacing w:val="4"/>
                <w:w w:val="103"/>
                <w:kern w:val="14"/>
                <w:lang w:val="en-GB" w:eastAsia="fr-FR"/>
              </w:rPr>
            </w:pPr>
            <w:r>
              <w:rPr>
                <w:color w:val="000000"/>
                <w:kern w:val="14"/>
                <w:lang w:val="en-GB" w:eastAsia="fr-FR"/>
              </w:rPr>
              <w:t>7</w:t>
            </w:r>
          </w:p>
        </w:tc>
      </w:tr>
      <w:tr w:rsidR="00DB4DD4" w:rsidRPr="00DB4DD4" w14:paraId="53748EC4" w14:textId="77777777" w:rsidTr="004531E6">
        <w:tc>
          <w:tcPr>
            <w:tcW w:w="9540" w:type="dxa"/>
            <w:gridSpan w:val="3"/>
            <w:shd w:val="clear" w:color="auto" w:fill="auto"/>
          </w:tcPr>
          <w:p w14:paraId="6B169E24" w14:textId="77777777" w:rsidR="00DB4DD4" w:rsidRPr="00DB4DD4" w:rsidRDefault="00DB4DD4" w:rsidP="00A84130">
            <w:pPr>
              <w:numPr>
                <w:ilvl w:val="0"/>
                <w:numId w:val="43"/>
              </w:numPr>
              <w:tabs>
                <w:tab w:val="left" w:pos="0"/>
                <w:tab w:val="right" w:pos="1080"/>
                <w:tab w:val="left" w:pos="1296"/>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DB4DD4">
              <w:rPr>
                <w:color w:val="000000"/>
                <w:kern w:val="14"/>
                <w:lang w:val="en-GB" w:eastAsia="fr-FR"/>
              </w:rPr>
              <w:tab/>
              <w:t>Monitoring and evaluation</w:t>
            </w:r>
            <w:r w:rsidRPr="00DB4DD4">
              <w:rPr>
                <w:color w:val="000000"/>
                <w:sz w:val="24"/>
                <w:szCs w:val="24"/>
                <w:lang w:val="en-GB" w:eastAsia="fr-FR"/>
              </w:rPr>
              <w:tab/>
            </w:r>
            <w:r w:rsidRPr="00DB4DD4">
              <w:rPr>
                <w:color w:val="000000"/>
                <w:lang w:val="en-GB" w:eastAsia="fr-FR"/>
              </w:rPr>
              <w:t>…………………………………………………….……………………</w:t>
            </w:r>
          </w:p>
        </w:tc>
        <w:tc>
          <w:tcPr>
            <w:tcW w:w="362" w:type="dxa"/>
            <w:vMerge/>
            <w:shd w:val="clear" w:color="auto" w:fill="auto"/>
            <w:vAlign w:val="bottom"/>
          </w:tcPr>
          <w:p w14:paraId="5DBDBFD1" w14:textId="77777777" w:rsidR="00DB4DD4" w:rsidRPr="00DB4DD4" w:rsidRDefault="00DB4DD4" w:rsidP="00A84130">
            <w:pPr>
              <w:tabs>
                <w:tab w:val="left" w:pos="0"/>
              </w:tabs>
              <w:suppressAutoHyphens/>
              <w:spacing w:after="120" w:line="240" w:lineRule="exact"/>
              <w:jc w:val="right"/>
              <w:rPr>
                <w:color w:val="000000"/>
                <w:spacing w:val="4"/>
                <w:w w:val="103"/>
                <w:kern w:val="14"/>
                <w:lang w:val="en-GB" w:eastAsia="fr-FR"/>
              </w:rPr>
            </w:pPr>
          </w:p>
        </w:tc>
      </w:tr>
      <w:tr w:rsidR="00DB4DD4" w:rsidRPr="00DB4DD4" w14:paraId="6289256D" w14:textId="77777777" w:rsidTr="004531E6">
        <w:tc>
          <w:tcPr>
            <w:tcW w:w="9369" w:type="dxa"/>
            <w:gridSpan w:val="2"/>
            <w:shd w:val="clear" w:color="auto" w:fill="auto"/>
          </w:tcPr>
          <w:p w14:paraId="3995C6E0" w14:textId="77777777" w:rsidR="00DB4DD4" w:rsidRPr="00DB4DD4" w:rsidRDefault="00DB4DD4" w:rsidP="00A84130">
            <w:pPr>
              <w:tabs>
                <w:tab w:val="left" w:pos="0"/>
                <w:tab w:val="right" w:pos="1080"/>
                <w:tab w:val="left" w:pos="1296"/>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DB4DD4">
              <w:rPr>
                <w:color w:val="000000"/>
                <w:kern w:val="14"/>
                <w:lang w:val="en-GB" w:eastAsia="fr-FR"/>
              </w:rPr>
              <w:t xml:space="preserve">     Annex</w:t>
            </w:r>
          </w:p>
        </w:tc>
        <w:tc>
          <w:tcPr>
            <w:tcW w:w="533" w:type="dxa"/>
            <w:gridSpan w:val="2"/>
            <w:shd w:val="clear" w:color="auto" w:fill="auto"/>
            <w:vAlign w:val="bottom"/>
          </w:tcPr>
          <w:p w14:paraId="41FB58C4" w14:textId="77777777" w:rsidR="00DB4DD4" w:rsidRPr="00DB4DD4" w:rsidRDefault="00DB4DD4" w:rsidP="00A84130">
            <w:pPr>
              <w:tabs>
                <w:tab w:val="left" w:pos="0"/>
              </w:tabs>
              <w:suppressAutoHyphens/>
              <w:spacing w:after="120" w:line="240" w:lineRule="exact"/>
              <w:jc w:val="right"/>
              <w:rPr>
                <w:color w:val="000000"/>
                <w:spacing w:val="4"/>
                <w:w w:val="103"/>
                <w:kern w:val="14"/>
                <w:lang w:val="en-GB" w:eastAsia="fr-FR"/>
              </w:rPr>
            </w:pPr>
          </w:p>
        </w:tc>
      </w:tr>
      <w:tr w:rsidR="00DB4DD4" w:rsidRPr="00DB4DD4" w14:paraId="62083962" w14:textId="77777777" w:rsidTr="004531E6">
        <w:tc>
          <w:tcPr>
            <w:tcW w:w="9369" w:type="dxa"/>
            <w:gridSpan w:val="2"/>
            <w:shd w:val="clear" w:color="auto" w:fill="auto"/>
          </w:tcPr>
          <w:p w14:paraId="426DB8B7" w14:textId="77777777" w:rsidR="00DB4DD4" w:rsidRPr="00DB4DD4" w:rsidRDefault="00DB4DD4" w:rsidP="00A84130">
            <w:pPr>
              <w:tabs>
                <w:tab w:val="left" w:pos="0"/>
                <w:tab w:val="right" w:pos="1080"/>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lang w:val="en-GB" w:eastAsia="fr-FR"/>
              </w:rPr>
            </w:pPr>
            <w:r w:rsidRPr="00DB4DD4">
              <w:rPr>
                <w:color w:val="000000"/>
                <w:kern w:val="14"/>
                <w:lang w:val="en-GB" w:eastAsia="fr-FR"/>
              </w:rPr>
              <w:t xml:space="preserve">Results and resources framework for </w:t>
            </w:r>
            <w:r>
              <w:rPr>
                <w:color w:val="000000"/>
                <w:kern w:val="14"/>
                <w:lang w:val="en-GB" w:eastAsia="fr-FR"/>
              </w:rPr>
              <w:t>Guinea</w:t>
            </w:r>
            <w:r w:rsidRPr="00DB4DD4">
              <w:rPr>
                <w:color w:val="000000"/>
                <w:kern w:val="14"/>
                <w:lang w:val="en-GB" w:eastAsia="fr-FR"/>
              </w:rPr>
              <w:t xml:space="preserve"> (2018-2022)</w:t>
            </w:r>
            <w:r w:rsidRPr="00DB4DD4">
              <w:rPr>
                <w:color w:val="000000"/>
                <w:sz w:val="24"/>
                <w:szCs w:val="24"/>
                <w:lang w:val="en-GB" w:eastAsia="fr-FR"/>
              </w:rPr>
              <w:tab/>
            </w:r>
            <w:r w:rsidRPr="00DB4DD4">
              <w:rPr>
                <w:color w:val="000000"/>
                <w:lang w:val="en-GB" w:eastAsia="fr-FR"/>
              </w:rPr>
              <w:t>………………………………………</w:t>
            </w:r>
          </w:p>
        </w:tc>
        <w:tc>
          <w:tcPr>
            <w:tcW w:w="533" w:type="dxa"/>
            <w:gridSpan w:val="2"/>
            <w:shd w:val="clear" w:color="auto" w:fill="auto"/>
            <w:vAlign w:val="bottom"/>
          </w:tcPr>
          <w:p w14:paraId="06541076" w14:textId="77777777" w:rsidR="00DB4DD4" w:rsidRPr="00DB4DD4" w:rsidRDefault="00DB4DD4" w:rsidP="00A84130">
            <w:pPr>
              <w:tabs>
                <w:tab w:val="left" w:pos="0"/>
              </w:tabs>
              <w:suppressAutoHyphens/>
              <w:spacing w:after="120" w:line="240" w:lineRule="exact"/>
              <w:jc w:val="right"/>
              <w:rPr>
                <w:color w:val="000000"/>
                <w:spacing w:val="4"/>
                <w:w w:val="103"/>
                <w:kern w:val="14"/>
                <w:lang w:val="en-GB" w:eastAsia="fr-FR"/>
              </w:rPr>
            </w:pPr>
            <w:r w:rsidRPr="00DB4DD4">
              <w:rPr>
                <w:color w:val="000000"/>
                <w:kern w:val="14"/>
                <w:lang w:val="en-GB" w:eastAsia="fr-FR"/>
              </w:rPr>
              <w:t>9</w:t>
            </w:r>
          </w:p>
        </w:tc>
      </w:tr>
    </w:tbl>
    <w:p w14:paraId="708E5F7B" w14:textId="77777777" w:rsidR="00DB4DD4" w:rsidRPr="00DB4DD4" w:rsidRDefault="00DB4DD4" w:rsidP="00A84130">
      <w:pPr>
        <w:tabs>
          <w:tab w:val="left" w:pos="0"/>
        </w:tabs>
        <w:ind w:hanging="990"/>
      </w:pPr>
    </w:p>
    <w:p w14:paraId="20F1EDB1" w14:textId="77777777" w:rsidR="00DB4DD4" w:rsidRPr="00C9769D" w:rsidRDefault="00DB4DD4" w:rsidP="00A84130">
      <w:pPr>
        <w:tabs>
          <w:tab w:val="left" w:pos="0"/>
        </w:tabs>
        <w:rPr>
          <w:bCs/>
          <w:color w:val="000000"/>
          <w:sz w:val="24"/>
          <w:szCs w:val="24"/>
        </w:rPr>
      </w:pPr>
      <w:r w:rsidRPr="00DB4DD4">
        <w:br w:type="page"/>
      </w:r>
    </w:p>
    <w:p w14:paraId="7C386A73" w14:textId="5F940FE0" w:rsidR="00A918A7" w:rsidRPr="00304230" w:rsidRDefault="0059112A" w:rsidP="00047245">
      <w:pPr>
        <w:pStyle w:val="Heading2"/>
        <w:numPr>
          <w:ilvl w:val="0"/>
          <w:numId w:val="44"/>
        </w:numPr>
        <w:tabs>
          <w:tab w:val="left" w:pos="0"/>
        </w:tabs>
        <w:ind w:left="810" w:right="1267" w:hanging="450"/>
        <w:jc w:val="left"/>
        <w:rPr>
          <w:rFonts w:ascii="Times New Roman" w:hAnsi="Times New Roman"/>
          <w:bCs/>
          <w:color w:val="000000"/>
          <w:szCs w:val="24"/>
        </w:rPr>
      </w:pPr>
      <w:r w:rsidRPr="00304230">
        <w:rPr>
          <w:rFonts w:ascii="Times New Roman" w:hAnsi="Times New Roman"/>
          <w:bCs/>
          <w:color w:val="000000"/>
          <w:szCs w:val="24"/>
        </w:rPr>
        <w:lastRenderedPageBreak/>
        <w:t xml:space="preserve">Programme </w:t>
      </w:r>
      <w:r w:rsidR="00DB4DD4" w:rsidRPr="00304230">
        <w:rPr>
          <w:rFonts w:ascii="Times New Roman" w:hAnsi="Times New Roman"/>
          <w:bCs/>
          <w:color w:val="000000"/>
          <w:szCs w:val="24"/>
        </w:rPr>
        <w:t>r</w:t>
      </w:r>
      <w:r w:rsidRPr="00304230">
        <w:rPr>
          <w:rFonts w:ascii="Times New Roman" w:hAnsi="Times New Roman"/>
          <w:bCs/>
          <w:color w:val="000000"/>
          <w:szCs w:val="24"/>
        </w:rPr>
        <w:t>ationale</w:t>
      </w:r>
    </w:p>
    <w:p w14:paraId="1B58C51A" w14:textId="77777777" w:rsidR="003C2517" w:rsidRPr="00C9769D" w:rsidRDefault="003C2517" w:rsidP="00A84130">
      <w:pPr>
        <w:tabs>
          <w:tab w:val="left" w:pos="0"/>
        </w:tabs>
      </w:pPr>
    </w:p>
    <w:p w14:paraId="4F4DDE9D" w14:textId="4D1E511A" w:rsidR="00A84130" w:rsidRDefault="002E6F69" w:rsidP="00047245">
      <w:pPr>
        <w:pStyle w:val="Default"/>
        <w:numPr>
          <w:ilvl w:val="0"/>
          <w:numId w:val="4"/>
        </w:numPr>
        <w:tabs>
          <w:tab w:val="left" w:pos="0"/>
          <w:tab w:val="left" w:pos="540"/>
          <w:tab w:val="left" w:pos="1080"/>
        </w:tabs>
        <w:spacing w:after="120"/>
        <w:ind w:left="810" w:right="1208" w:firstLine="0"/>
        <w:jc w:val="both"/>
        <w:rPr>
          <w:rFonts w:ascii="Times New Roman" w:hAnsi="Times New Roman" w:cs="Times New Roman"/>
          <w:color w:val="auto"/>
          <w:sz w:val="20"/>
          <w:szCs w:val="20"/>
          <w:lang w:val="en-US" w:eastAsia="en-US"/>
        </w:rPr>
      </w:pPr>
      <w:r w:rsidRPr="00C9769D">
        <w:rPr>
          <w:rFonts w:ascii="Times New Roman" w:hAnsi="Times New Roman" w:cs="Times New Roman"/>
          <w:color w:val="auto"/>
          <w:sz w:val="20"/>
          <w:szCs w:val="20"/>
          <w:lang w:val="en-US" w:eastAsia="en-US"/>
        </w:rPr>
        <w:t xml:space="preserve">Despite </w:t>
      </w:r>
      <w:r w:rsidR="00751322">
        <w:rPr>
          <w:rFonts w:ascii="Times New Roman" w:hAnsi="Times New Roman" w:cs="Times New Roman"/>
          <w:color w:val="auto"/>
          <w:sz w:val="20"/>
          <w:szCs w:val="20"/>
          <w:lang w:val="en-US" w:eastAsia="en-US"/>
        </w:rPr>
        <w:t>many</w:t>
      </w:r>
      <w:r w:rsidR="0003629F" w:rsidRPr="00C9769D">
        <w:rPr>
          <w:rFonts w:ascii="Times New Roman" w:hAnsi="Times New Roman" w:cs="Times New Roman"/>
          <w:color w:val="auto"/>
          <w:sz w:val="20"/>
          <w:szCs w:val="20"/>
          <w:lang w:val="en-US" w:eastAsia="en-US"/>
        </w:rPr>
        <w:t xml:space="preserve"> natural and</w:t>
      </w:r>
      <w:r w:rsidR="007D4531" w:rsidRPr="00C9769D">
        <w:rPr>
          <w:rFonts w:ascii="Times New Roman" w:hAnsi="Times New Roman" w:cs="Times New Roman"/>
          <w:color w:val="auto"/>
          <w:sz w:val="20"/>
          <w:szCs w:val="20"/>
          <w:lang w:val="en-US" w:eastAsia="en-US"/>
        </w:rPr>
        <w:t xml:space="preserve"> mineral resources</w:t>
      </w:r>
      <w:r w:rsidR="0003629F" w:rsidRPr="00C9769D">
        <w:rPr>
          <w:rFonts w:ascii="Times New Roman" w:hAnsi="Times New Roman" w:cs="Times New Roman"/>
          <w:color w:val="auto"/>
          <w:sz w:val="20"/>
          <w:szCs w:val="20"/>
          <w:lang w:val="en-US" w:eastAsia="en-US"/>
        </w:rPr>
        <w:t xml:space="preserve">, Guinea </w:t>
      </w:r>
      <w:r w:rsidR="004A6607">
        <w:rPr>
          <w:rFonts w:ascii="Times New Roman" w:hAnsi="Times New Roman" w:cs="Times New Roman"/>
          <w:color w:val="auto"/>
          <w:sz w:val="20"/>
          <w:szCs w:val="20"/>
          <w:lang w:val="en-US" w:eastAsia="en-US"/>
        </w:rPr>
        <w:t>is</w:t>
      </w:r>
      <w:r w:rsidR="004A6607" w:rsidRPr="00C9769D">
        <w:rPr>
          <w:rFonts w:ascii="Times New Roman" w:hAnsi="Times New Roman" w:cs="Times New Roman"/>
          <w:color w:val="auto"/>
          <w:sz w:val="20"/>
          <w:szCs w:val="20"/>
          <w:lang w:val="en-US" w:eastAsia="en-US"/>
        </w:rPr>
        <w:t xml:space="preserve"> </w:t>
      </w:r>
      <w:r w:rsidR="0003629F" w:rsidRPr="00C9769D">
        <w:rPr>
          <w:rFonts w:ascii="Times New Roman" w:hAnsi="Times New Roman" w:cs="Times New Roman"/>
          <w:color w:val="auto"/>
          <w:sz w:val="20"/>
          <w:szCs w:val="20"/>
          <w:lang w:val="en-US" w:eastAsia="en-US"/>
        </w:rPr>
        <w:t xml:space="preserve">among the world’s least developed countries. This is due to poor macroeconomic performance, weak governance structures, political instability, and insecurity </w:t>
      </w:r>
      <w:r w:rsidR="006A6C54">
        <w:rPr>
          <w:rFonts w:ascii="Times New Roman" w:hAnsi="Times New Roman" w:cs="Times New Roman"/>
          <w:color w:val="auto"/>
          <w:sz w:val="20"/>
          <w:szCs w:val="20"/>
          <w:lang w:val="en-US" w:eastAsia="en-US"/>
        </w:rPr>
        <w:t>in</w:t>
      </w:r>
      <w:r w:rsidR="006A6C54" w:rsidRPr="00C9769D">
        <w:rPr>
          <w:rFonts w:ascii="Times New Roman" w:hAnsi="Times New Roman" w:cs="Times New Roman"/>
          <w:color w:val="auto"/>
          <w:sz w:val="20"/>
          <w:szCs w:val="20"/>
          <w:lang w:val="en-US" w:eastAsia="en-US"/>
        </w:rPr>
        <w:t xml:space="preserve"> </w:t>
      </w:r>
      <w:r w:rsidR="0003629F" w:rsidRPr="00C9769D">
        <w:rPr>
          <w:rFonts w:ascii="Times New Roman" w:hAnsi="Times New Roman" w:cs="Times New Roman"/>
          <w:color w:val="auto"/>
          <w:sz w:val="20"/>
          <w:szCs w:val="20"/>
          <w:lang w:val="en-US" w:eastAsia="en-US"/>
        </w:rPr>
        <w:t>the late 1990s</w:t>
      </w:r>
      <w:r w:rsidR="0056555D">
        <w:rPr>
          <w:rFonts w:ascii="Times New Roman" w:hAnsi="Times New Roman" w:cs="Times New Roman"/>
          <w:color w:val="auto"/>
          <w:sz w:val="20"/>
          <w:szCs w:val="20"/>
          <w:lang w:val="en-US" w:eastAsia="en-US"/>
        </w:rPr>
        <w:t>.</w:t>
      </w:r>
      <w:r w:rsidR="0003629F" w:rsidRPr="00C9769D">
        <w:rPr>
          <w:rFonts w:ascii="Times New Roman" w:hAnsi="Times New Roman" w:cs="Times New Roman"/>
          <w:color w:val="auto"/>
          <w:sz w:val="20"/>
          <w:szCs w:val="20"/>
          <w:lang w:val="en-US" w:eastAsia="en-US"/>
        </w:rPr>
        <w:t xml:space="preserve"> </w:t>
      </w:r>
      <w:r w:rsidR="006A6C54">
        <w:rPr>
          <w:rFonts w:ascii="Times New Roman" w:hAnsi="Times New Roman" w:cs="Times New Roman"/>
          <w:color w:val="auto"/>
          <w:sz w:val="20"/>
          <w:szCs w:val="20"/>
          <w:lang w:val="en-US" w:eastAsia="en-US"/>
        </w:rPr>
        <w:t>S</w:t>
      </w:r>
      <w:r w:rsidR="0003629F" w:rsidRPr="00C9769D">
        <w:rPr>
          <w:rFonts w:ascii="Times New Roman" w:hAnsi="Times New Roman" w:cs="Times New Roman"/>
          <w:color w:val="auto"/>
          <w:sz w:val="20"/>
          <w:szCs w:val="20"/>
          <w:lang w:val="en-US" w:eastAsia="en-US"/>
        </w:rPr>
        <w:t>ince its emergence from political isolation</w:t>
      </w:r>
      <w:r w:rsidR="006A6C54">
        <w:rPr>
          <w:rFonts w:ascii="Times New Roman" w:hAnsi="Times New Roman" w:cs="Times New Roman"/>
          <w:color w:val="auto"/>
          <w:sz w:val="20"/>
          <w:szCs w:val="20"/>
          <w:lang w:val="en-US" w:eastAsia="en-US"/>
        </w:rPr>
        <w:t xml:space="preserve">, via a </w:t>
      </w:r>
      <w:r w:rsidR="0003629F" w:rsidRPr="00C9769D">
        <w:rPr>
          <w:rFonts w:ascii="Times New Roman" w:hAnsi="Times New Roman" w:cs="Times New Roman"/>
          <w:color w:val="auto"/>
          <w:sz w:val="20"/>
          <w:szCs w:val="20"/>
          <w:lang w:val="en-US" w:eastAsia="en-US"/>
        </w:rPr>
        <w:t xml:space="preserve">new constitution and democratic elections in 2010, Guinea made considerable progress until the </w:t>
      </w:r>
      <w:r w:rsidR="0056555D">
        <w:rPr>
          <w:rFonts w:ascii="Times New Roman" w:hAnsi="Times New Roman" w:cs="Times New Roman"/>
          <w:color w:val="auto"/>
          <w:sz w:val="20"/>
          <w:szCs w:val="20"/>
          <w:lang w:val="en-US" w:eastAsia="en-US"/>
        </w:rPr>
        <w:t xml:space="preserve">crisis in involving the </w:t>
      </w:r>
      <w:r w:rsidR="0003629F" w:rsidRPr="00C9769D">
        <w:rPr>
          <w:rFonts w:ascii="Times New Roman" w:hAnsi="Times New Roman" w:cs="Times New Roman"/>
          <w:color w:val="auto"/>
          <w:sz w:val="20"/>
          <w:szCs w:val="20"/>
          <w:lang w:val="en-US" w:eastAsia="en-US"/>
        </w:rPr>
        <w:t xml:space="preserve">Ebola Virus Disease in 2014. </w:t>
      </w:r>
      <w:r w:rsidR="006A6C54">
        <w:rPr>
          <w:rFonts w:ascii="Times New Roman" w:hAnsi="Times New Roman" w:cs="Times New Roman"/>
          <w:color w:val="auto"/>
          <w:sz w:val="20"/>
          <w:szCs w:val="20"/>
          <w:lang w:val="en-US" w:eastAsia="en-US"/>
        </w:rPr>
        <w:t>Go</w:t>
      </w:r>
      <w:r w:rsidR="0003629F" w:rsidRPr="00C9769D">
        <w:rPr>
          <w:rFonts w:ascii="Times New Roman" w:hAnsi="Times New Roman" w:cs="Times New Roman"/>
          <w:color w:val="auto"/>
          <w:sz w:val="20"/>
          <w:szCs w:val="20"/>
          <w:lang w:val="en-US" w:eastAsia="en-US"/>
        </w:rPr>
        <w:t xml:space="preserve">vernment efforts to stabilize the macroeconomic framework were </w:t>
      </w:r>
      <w:r w:rsidR="006A6C54">
        <w:rPr>
          <w:rFonts w:ascii="Times New Roman" w:hAnsi="Times New Roman" w:cs="Times New Roman"/>
          <w:color w:val="auto"/>
          <w:sz w:val="20"/>
          <w:szCs w:val="20"/>
          <w:lang w:val="en-US" w:eastAsia="en-US"/>
        </w:rPr>
        <w:t>affected</w:t>
      </w:r>
      <w:r w:rsidR="0003629F" w:rsidRPr="00C9769D">
        <w:rPr>
          <w:rFonts w:ascii="Times New Roman" w:hAnsi="Times New Roman" w:cs="Times New Roman"/>
          <w:color w:val="auto"/>
          <w:sz w:val="20"/>
          <w:szCs w:val="20"/>
          <w:lang w:val="en-US" w:eastAsia="en-US"/>
        </w:rPr>
        <w:t xml:space="preserve"> by the epidemic. </w:t>
      </w:r>
      <w:r w:rsidR="00774F76" w:rsidRPr="00C9769D">
        <w:rPr>
          <w:rFonts w:ascii="Times New Roman" w:hAnsi="Times New Roman" w:cs="Times New Roman"/>
          <w:color w:val="auto"/>
          <w:sz w:val="20"/>
          <w:szCs w:val="20"/>
          <w:lang w:val="en-US" w:eastAsia="en-US"/>
        </w:rPr>
        <w:t>The GDP growth rate</w:t>
      </w:r>
      <w:r w:rsidR="00774F76" w:rsidRPr="00C9769D">
        <w:rPr>
          <w:rFonts w:ascii="Times New Roman" w:hAnsi="Times New Roman" w:cs="Times New Roman"/>
          <w:color w:val="auto"/>
          <w:sz w:val="20"/>
          <w:szCs w:val="20"/>
          <w:vertAlign w:val="superscript"/>
          <w:lang w:val="en-US" w:eastAsia="en-US"/>
        </w:rPr>
        <w:footnoteReference w:id="2"/>
      </w:r>
      <w:r w:rsidR="00774F76" w:rsidRPr="00C9769D">
        <w:rPr>
          <w:rFonts w:ascii="Times New Roman" w:hAnsi="Times New Roman" w:cs="Times New Roman"/>
          <w:color w:val="auto"/>
          <w:sz w:val="20"/>
          <w:szCs w:val="20"/>
          <w:lang w:val="en-US" w:eastAsia="en-US"/>
        </w:rPr>
        <w:t xml:space="preserve"> dropped from 2.3</w:t>
      </w:r>
      <w:r w:rsidR="00774F76">
        <w:rPr>
          <w:rFonts w:ascii="Times New Roman" w:hAnsi="Times New Roman" w:cs="Times New Roman"/>
          <w:color w:val="auto"/>
          <w:sz w:val="20"/>
          <w:szCs w:val="20"/>
          <w:lang w:val="en-US" w:eastAsia="en-US"/>
        </w:rPr>
        <w:t xml:space="preserve"> per cent</w:t>
      </w:r>
      <w:r w:rsidR="00774F76" w:rsidRPr="00C9769D">
        <w:rPr>
          <w:rFonts w:ascii="Times New Roman" w:hAnsi="Times New Roman" w:cs="Times New Roman"/>
          <w:color w:val="auto"/>
          <w:sz w:val="20"/>
          <w:szCs w:val="20"/>
          <w:lang w:val="en-US" w:eastAsia="en-US"/>
        </w:rPr>
        <w:t xml:space="preserve"> in 2013 to 0.1</w:t>
      </w:r>
      <w:r w:rsidR="00774F76">
        <w:rPr>
          <w:rFonts w:ascii="Times New Roman" w:hAnsi="Times New Roman" w:cs="Times New Roman"/>
          <w:color w:val="auto"/>
          <w:sz w:val="20"/>
          <w:szCs w:val="20"/>
          <w:lang w:val="en-US" w:eastAsia="en-US"/>
        </w:rPr>
        <w:t xml:space="preserve"> per cent</w:t>
      </w:r>
      <w:r w:rsidR="00774F76" w:rsidRPr="00C9769D">
        <w:rPr>
          <w:rFonts w:ascii="Times New Roman" w:hAnsi="Times New Roman" w:cs="Times New Roman"/>
          <w:color w:val="auto"/>
          <w:sz w:val="20"/>
          <w:szCs w:val="20"/>
          <w:lang w:val="en-US" w:eastAsia="en-US"/>
        </w:rPr>
        <w:t xml:space="preserve"> in 2015</w:t>
      </w:r>
      <w:r w:rsidR="00774F76">
        <w:rPr>
          <w:rFonts w:ascii="Times New Roman" w:hAnsi="Times New Roman" w:cs="Times New Roman"/>
          <w:color w:val="auto"/>
          <w:sz w:val="20"/>
          <w:szCs w:val="20"/>
          <w:lang w:val="en-US" w:eastAsia="en-US"/>
        </w:rPr>
        <w:t xml:space="preserve"> </w:t>
      </w:r>
      <w:r w:rsidR="00774F76" w:rsidRPr="00C9769D">
        <w:rPr>
          <w:rFonts w:ascii="Times New Roman" w:hAnsi="Times New Roman" w:cs="Times New Roman"/>
          <w:color w:val="auto"/>
          <w:sz w:val="20"/>
          <w:szCs w:val="20"/>
          <w:lang w:val="en-US" w:eastAsia="en-US"/>
        </w:rPr>
        <w:t>and per capita income declined</w:t>
      </w:r>
      <w:r w:rsidR="00774F76">
        <w:rPr>
          <w:rFonts w:ascii="Times New Roman" w:hAnsi="Times New Roman" w:cs="Times New Roman"/>
          <w:color w:val="auto"/>
          <w:sz w:val="20"/>
          <w:szCs w:val="20"/>
          <w:lang w:val="en-US" w:eastAsia="en-US"/>
        </w:rPr>
        <w:t>.</w:t>
      </w:r>
      <w:r w:rsidR="00774F76" w:rsidRPr="00C9769D">
        <w:rPr>
          <w:rFonts w:ascii="Times New Roman" w:hAnsi="Times New Roman" w:cs="Times New Roman"/>
          <w:color w:val="auto"/>
          <w:sz w:val="20"/>
          <w:szCs w:val="20"/>
          <w:vertAlign w:val="superscript"/>
          <w:lang w:val="en-US" w:eastAsia="en-US"/>
        </w:rPr>
        <w:footnoteReference w:id="3"/>
      </w:r>
      <w:r w:rsidR="00774F76" w:rsidRPr="00C9769D">
        <w:rPr>
          <w:rFonts w:ascii="Times New Roman" w:hAnsi="Times New Roman" w:cs="Times New Roman"/>
          <w:color w:val="auto"/>
          <w:sz w:val="20"/>
          <w:szCs w:val="20"/>
          <w:lang w:val="en-US" w:eastAsia="en-US"/>
        </w:rPr>
        <w:t xml:space="preserve"> </w:t>
      </w:r>
      <w:r w:rsidR="0003629F" w:rsidRPr="00C9769D">
        <w:rPr>
          <w:rFonts w:ascii="Times New Roman" w:hAnsi="Times New Roman" w:cs="Times New Roman"/>
          <w:color w:val="auto"/>
          <w:sz w:val="20"/>
          <w:szCs w:val="20"/>
          <w:lang w:val="en-US" w:eastAsia="en-US"/>
        </w:rPr>
        <w:t xml:space="preserve">Fortunately, the economy </w:t>
      </w:r>
      <w:r w:rsidR="006A6C54">
        <w:rPr>
          <w:rFonts w:ascii="Times New Roman" w:hAnsi="Times New Roman" w:cs="Times New Roman"/>
          <w:color w:val="auto"/>
          <w:sz w:val="20"/>
          <w:szCs w:val="20"/>
          <w:lang w:val="en-US" w:eastAsia="en-US"/>
        </w:rPr>
        <w:t>recovered</w:t>
      </w:r>
      <w:r w:rsidR="0003629F" w:rsidRPr="00C9769D">
        <w:rPr>
          <w:rFonts w:ascii="Times New Roman" w:hAnsi="Times New Roman" w:cs="Times New Roman"/>
          <w:color w:val="auto"/>
          <w:sz w:val="20"/>
          <w:szCs w:val="20"/>
          <w:lang w:val="en-US" w:eastAsia="en-US"/>
        </w:rPr>
        <w:t xml:space="preserve"> </w:t>
      </w:r>
      <w:r w:rsidR="00957E0D">
        <w:rPr>
          <w:rFonts w:ascii="Times New Roman" w:hAnsi="Times New Roman" w:cs="Times New Roman"/>
          <w:color w:val="auto"/>
          <w:sz w:val="20"/>
          <w:szCs w:val="20"/>
          <w:lang w:val="en-US" w:eastAsia="en-US"/>
        </w:rPr>
        <w:t>due to</w:t>
      </w:r>
      <w:r w:rsidR="00957E0D" w:rsidRPr="00C9769D">
        <w:rPr>
          <w:rFonts w:ascii="Times New Roman" w:hAnsi="Times New Roman" w:cs="Times New Roman"/>
          <w:color w:val="auto"/>
          <w:sz w:val="20"/>
          <w:szCs w:val="20"/>
          <w:lang w:val="en-US" w:eastAsia="en-US"/>
        </w:rPr>
        <w:t xml:space="preserve"> </w:t>
      </w:r>
      <w:r w:rsidR="0003629F" w:rsidRPr="00C9769D">
        <w:rPr>
          <w:rFonts w:ascii="Times New Roman" w:hAnsi="Times New Roman" w:cs="Times New Roman"/>
          <w:color w:val="auto"/>
          <w:sz w:val="20"/>
          <w:szCs w:val="20"/>
          <w:lang w:val="en-US" w:eastAsia="en-US"/>
        </w:rPr>
        <w:t>strong performance</w:t>
      </w:r>
      <w:r w:rsidR="0030414E">
        <w:rPr>
          <w:rFonts w:ascii="Times New Roman" w:hAnsi="Times New Roman" w:cs="Times New Roman"/>
          <w:color w:val="auto"/>
          <w:sz w:val="20"/>
          <w:szCs w:val="20"/>
          <w:lang w:val="en-US" w:eastAsia="en-US"/>
        </w:rPr>
        <w:t>s</w:t>
      </w:r>
      <w:r w:rsidR="0003629F" w:rsidRPr="00C9769D">
        <w:rPr>
          <w:rFonts w:ascii="Times New Roman" w:hAnsi="Times New Roman" w:cs="Times New Roman"/>
          <w:color w:val="auto"/>
          <w:sz w:val="20"/>
          <w:szCs w:val="20"/>
          <w:lang w:val="en-US" w:eastAsia="en-US"/>
        </w:rPr>
        <w:t xml:space="preserve"> in the mining</w:t>
      </w:r>
      <w:r w:rsidR="009F03A9" w:rsidRPr="00C9769D">
        <w:rPr>
          <w:rFonts w:ascii="Times New Roman" w:hAnsi="Times New Roman" w:cs="Times New Roman"/>
          <w:color w:val="auto"/>
          <w:sz w:val="20"/>
          <w:szCs w:val="20"/>
          <w:lang w:val="en-US" w:eastAsia="en-US"/>
        </w:rPr>
        <w:t xml:space="preserve"> and agricultur</w:t>
      </w:r>
      <w:r w:rsidR="003C2517" w:rsidRPr="00C9769D">
        <w:rPr>
          <w:rFonts w:ascii="Times New Roman" w:hAnsi="Times New Roman" w:cs="Times New Roman"/>
          <w:color w:val="auto"/>
          <w:sz w:val="20"/>
          <w:szCs w:val="20"/>
          <w:lang w:val="en-US" w:eastAsia="en-US"/>
        </w:rPr>
        <w:t>al sector</w:t>
      </w:r>
      <w:r w:rsidR="006A6C54">
        <w:rPr>
          <w:rFonts w:ascii="Times New Roman" w:hAnsi="Times New Roman" w:cs="Times New Roman"/>
          <w:color w:val="auto"/>
          <w:sz w:val="20"/>
          <w:szCs w:val="20"/>
          <w:lang w:val="en-US" w:eastAsia="en-US"/>
        </w:rPr>
        <w:t>s</w:t>
      </w:r>
      <w:r w:rsidR="0030414E">
        <w:rPr>
          <w:rFonts w:ascii="Times New Roman" w:hAnsi="Times New Roman" w:cs="Times New Roman"/>
          <w:color w:val="auto"/>
          <w:sz w:val="20"/>
          <w:szCs w:val="20"/>
          <w:lang w:val="en-US" w:eastAsia="en-US"/>
        </w:rPr>
        <w:t>,</w:t>
      </w:r>
      <w:r w:rsidR="003C2517" w:rsidRPr="00C9769D">
        <w:rPr>
          <w:rFonts w:ascii="Times New Roman" w:hAnsi="Times New Roman" w:cs="Times New Roman"/>
          <w:color w:val="auto"/>
          <w:sz w:val="20"/>
          <w:szCs w:val="20"/>
          <w:lang w:val="en-US" w:eastAsia="en-US"/>
        </w:rPr>
        <w:t xml:space="preserve"> and </w:t>
      </w:r>
      <w:r w:rsidR="00957E0D">
        <w:rPr>
          <w:rFonts w:ascii="Times New Roman" w:hAnsi="Times New Roman" w:cs="Times New Roman"/>
          <w:color w:val="auto"/>
          <w:sz w:val="20"/>
          <w:szCs w:val="20"/>
          <w:lang w:val="en-US" w:eastAsia="en-US"/>
        </w:rPr>
        <w:t xml:space="preserve">an </w:t>
      </w:r>
      <w:r w:rsidR="0003629F" w:rsidRPr="00C9769D">
        <w:rPr>
          <w:rFonts w:ascii="Times New Roman" w:hAnsi="Times New Roman" w:cs="Times New Roman"/>
          <w:color w:val="auto"/>
          <w:sz w:val="20"/>
          <w:szCs w:val="20"/>
          <w:lang w:val="en-US" w:eastAsia="en-US"/>
        </w:rPr>
        <w:t>increase in electricity supply</w:t>
      </w:r>
      <w:r w:rsidR="006A6C54">
        <w:rPr>
          <w:rFonts w:ascii="Times New Roman" w:hAnsi="Times New Roman" w:cs="Times New Roman"/>
          <w:color w:val="auto"/>
          <w:sz w:val="20"/>
          <w:szCs w:val="20"/>
          <w:lang w:val="en-US" w:eastAsia="en-US"/>
        </w:rPr>
        <w:t>.</w:t>
      </w:r>
      <w:r w:rsidR="0003629F" w:rsidRPr="00C9769D">
        <w:rPr>
          <w:rStyle w:val="FootnoteReference"/>
          <w:rFonts w:ascii="Times New Roman" w:hAnsi="Times New Roman"/>
          <w:color w:val="auto"/>
          <w:sz w:val="20"/>
          <w:szCs w:val="20"/>
          <w:lang w:val="en-US" w:eastAsia="en-US"/>
        </w:rPr>
        <w:footnoteReference w:id="4"/>
      </w:r>
      <w:r w:rsidR="0003629F" w:rsidRPr="00C9769D">
        <w:rPr>
          <w:rFonts w:ascii="Times New Roman" w:hAnsi="Times New Roman" w:cs="Times New Roman"/>
          <w:color w:val="auto"/>
          <w:sz w:val="20"/>
          <w:szCs w:val="20"/>
          <w:lang w:val="en-US" w:eastAsia="en-US"/>
        </w:rPr>
        <w:t xml:space="preserve"> </w:t>
      </w:r>
      <w:r w:rsidR="009F03A9" w:rsidRPr="00C9769D">
        <w:rPr>
          <w:rFonts w:ascii="Times New Roman" w:hAnsi="Times New Roman" w:cs="Times New Roman"/>
          <w:color w:val="auto"/>
          <w:sz w:val="20"/>
          <w:szCs w:val="20"/>
          <w:lang w:val="en-US" w:eastAsia="en-US"/>
        </w:rPr>
        <w:t xml:space="preserve">Average </w:t>
      </w:r>
      <w:r w:rsidR="0003629F" w:rsidRPr="00C9769D">
        <w:rPr>
          <w:rFonts w:ascii="Times New Roman" w:hAnsi="Times New Roman" w:cs="Times New Roman"/>
          <w:color w:val="auto"/>
          <w:sz w:val="20"/>
          <w:szCs w:val="20"/>
          <w:lang w:val="en-US" w:eastAsia="en-US"/>
        </w:rPr>
        <w:t xml:space="preserve">growth is estimated </w:t>
      </w:r>
      <w:r w:rsidR="009F03A9" w:rsidRPr="00C9769D">
        <w:rPr>
          <w:rFonts w:ascii="Times New Roman" w:hAnsi="Times New Roman" w:cs="Times New Roman"/>
          <w:color w:val="auto"/>
          <w:sz w:val="20"/>
          <w:szCs w:val="20"/>
          <w:lang w:val="en-US" w:eastAsia="en-US"/>
        </w:rPr>
        <w:t xml:space="preserve">at </w:t>
      </w:r>
      <w:r w:rsidR="0003629F" w:rsidRPr="00C9769D">
        <w:rPr>
          <w:rFonts w:ascii="Times New Roman" w:hAnsi="Times New Roman" w:cs="Times New Roman"/>
          <w:color w:val="auto"/>
          <w:sz w:val="20"/>
          <w:szCs w:val="20"/>
          <w:lang w:val="en-US" w:eastAsia="en-US"/>
        </w:rPr>
        <w:t>5</w:t>
      </w:r>
      <w:r w:rsidR="00813B63">
        <w:rPr>
          <w:rFonts w:ascii="Times New Roman" w:hAnsi="Times New Roman" w:cs="Times New Roman"/>
          <w:color w:val="auto"/>
          <w:sz w:val="20"/>
          <w:szCs w:val="20"/>
          <w:lang w:val="en-US" w:eastAsia="en-US"/>
        </w:rPr>
        <w:t xml:space="preserve"> per cent</w:t>
      </w:r>
      <w:r w:rsidR="0003629F" w:rsidRPr="00C9769D">
        <w:rPr>
          <w:rFonts w:ascii="Times New Roman" w:hAnsi="Times New Roman" w:cs="Times New Roman"/>
          <w:color w:val="auto"/>
          <w:sz w:val="20"/>
          <w:szCs w:val="20"/>
          <w:lang w:val="en-US" w:eastAsia="en-US"/>
        </w:rPr>
        <w:t xml:space="preserve"> </w:t>
      </w:r>
      <w:r w:rsidR="009F03A9" w:rsidRPr="00C9769D">
        <w:rPr>
          <w:rFonts w:ascii="Times New Roman" w:hAnsi="Times New Roman" w:cs="Times New Roman"/>
          <w:color w:val="auto"/>
          <w:sz w:val="20"/>
          <w:szCs w:val="20"/>
          <w:lang w:val="en-US" w:eastAsia="en-US"/>
        </w:rPr>
        <w:t xml:space="preserve">for </w:t>
      </w:r>
      <w:r w:rsidR="00567B56" w:rsidRPr="00C9769D">
        <w:rPr>
          <w:rFonts w:ascii="Times New Roman" w:hAnsi="Times New Roman" w:cs="Times New Roman"/>
          <w:color w:val="auto"/>
          <w:sz w:val="20"/>
          <w:szCs w:val="20"/>
          <w:lang w:val="en-US" w:eastAsia="en-US"/>
        </w:rPr>
        <w:t>2016</w:t>
      </w:r>
      <w:r w:rsidR="006A6C54">
        <w:rPr>
          <w:rFonts w:ascii="Times New Roman" w:hAnsi="Times New Roman" w:cs="Times New Roman"/>
          <w:color w:val="auto"/>
          <w:sz w:val="20"/>
          <w:szCs w:val="20"/>
          <w:lang w:val="en-US" w:eastAsia="en-US"/>
        </w:rPr>
        <w:t xml:space="preserve"> to </w:t>
      </w:r>
      <w:r w:rsidR="0003629F" w:rsidRPr="00C9769D">
        <w:rPr>
          <w:rFonts w:ascii="Times New Roman" w:hAnsi="Times New Roman" w:cs="Times New Roman"/>
          <w:color w:val="auto"/>
          <w:sz w:val="20"/>
          <w:szCs w:val="20"/>
          <w:lang w:val="en-US" w:eastAsia="en-US"/>
        </w:rPr>
        <w:t xml:space="preserve">2020. </w:t>
      </w:r>
      <w:r w:rsidR="006A6C54" w:rsidRPr="00C9769D">
        <w:rPr>
          <w:rFonts w:ascii="Times New Roman" w:hAnsi="Times New Roman" w:cs="Times New Roman"/>
          <w:color w:val="auto"/>
          <w:sz w:val="20"/>
          <w:szCs w:val="20"/>
          <w:lang w:val="en-US" w:eastAsia="en-US"/>
        </w:rPr>
        <w:t>Nevertheless</w:t>
      </w:r>
      <w:r w:rsidR="0003629F" w:rsidRPr="00C9769D">
        <w:rPr>
          <w:rFonts w:ascii="Times New Roman" w:hAnsi="Times New Roman" w:cs="Times New Roman"/>
          <w:color w:val="auto"/>
          <w:sz w:val="20"/>
          <w:szCs w:val="20"/>
          <w:lang w:val="en-US" w:eastAsia="en-US"/>
        </w:rPr>
        <w:t xml:space="preserve">, performance </w:t>
      </w:r>
      <w:r w:rsidR="006A6C54">
        <w:rPr>
          <w:rFonts w:ascii="Times New Roman" w:hAnsi="Times New Roman" w:cs="Times New Roman"/>
          <w:color w:val="auto"/>
          <w:sz w:val="20"/>
          <w:szCs w:val="20"/>
          <w:lang w:val="en-US" w:eastAsia="en-US"/>
        </w:rPr>
        <w:t>is</w:t>
      </w:r>
      <w:r w:rsidR="006A6C54" w:rsidRPr="00C9769D">
        <w:rPr>
          <w:rFonts w:ascii="Times New Roman" w:hAnsi="Times New Roman" w:cs="Times New Roman"/>
          <w:color w:val="auto"/>
          <w:sz w:val="20"/>
          <w:szCs w:val="20"/>
          <w:lang w:val="en-US" w:eastAsia="en-US"/>
        </w:rPr>
        <w:t xml:space="preserve"> </w:t>
      </w:r>
      <w:r w:rsidR="0003629F" w:rsidRPr="00C9769D">
        <w:rPr>
          <w:rFonts w:ascii="Times New Roman" w:hAnsi="Times New Roman" w:cs="Times New Roman"/>
          <w:color w:val="auto"/>
          <w:sz w:val="20"/>
          <w:szCs w:val="20"/>
          <w:lang w:val="en-US" w:eastAsia="en-US"/>
        </w:rPr>
        <w:t xml:space="preserve">hampered by </w:t>
      </w:r>
      <w:r w:rsidR="003C2517" w:rsidRPr="00C9769D">
        <w:rPr>
          <w:rFonts w:ascii="Times New Roman" w:hAnsi="Times New Roman" w:cs="Times New Roman"/>
          <w:color w:val="auto"/>
          <w:sz w:val="20"/>
          <w:szCs w:val="20"/>
          <w:lang w:val="en-US" w:eastAsia="en-US"/>
        </w:rPr>
        <w:t>limited</w:t>
      </w:r>
      <w:r w:rsidR="0003629F" w:rsidRPr="00C9769D">
        <w:rPr>
          <w:rFonts w:ascii="Times New Roman" w:hAnsi="Times New Roman" w:cs="Times New Roman"/>
          <w:color w:val="auto"/>
          <w:sz w:val="20"/>
          <w:szCs w:val="20"/>
          <w:lang w:val="en-US" w:eastAsia="en-US"/>
        </w:rPr>
        <w:t xml:space="preserve"> </w:t>
      </w:r>
      <w:r w:rsidR="005B2D7D" w:rsidRPr="00C9769D">
        <w:rPr>
          <w:rFonts w:ascii="Times New Roman" w:hAnsi="Times New Roman" w:cs="Times New Roman"/>
          <w:color w:val="auto"/>
          <w:sz w:val="20"/>
          <w:szCs w:val="20"/>
          <w:lang w:val="en-US" w:eastAsia="en-US"/>
        </w:rPr>
        <w:t xml:space="preserve">economic </w:t>
      </w:r>
      <w:r w:rsidR="0003629F" w:rsidRPr="00C9769D">
        <w:rPr>
          <w:rFonts w:ascii="Times New Roman" w:hAnsi="Times New Roman" w:cs="Times New Roman"/>
          <w:color w:val="auto"/>
          <w:sz w:val="20"/>
          <w:szCs w:val="20"/>
          <w:lang w:val="en-US" w:eastAsia="en-US"/>
        </w:rPr>
        <w:t>diversification</w:t>
      </w:r>
      <w:r w:rsidR="006A6C54">
        <w:rPr>
          <w:rFonts w:ascii="Times New Roman" w:hAnsi="Times New Roman" w:cs="Times New Roman"/>
          <w:color w:val="auto"/>
          <w:sz w:val="20"/>
          <w:szCs w:val="20"/>
          <w:lang w:val="en-US" w:eastAsia="en-US"/>
        </w:rPr>
        <w:t>;</w:t>
      </w:r>
      <w:r w:rsidR="00567B56" w:rsidRPr="00C9769D">
        <w:rPr>
          <w:rFonts w:ascii="Times New Roman" w:hAnsi="Times New Roman" w:cs="Times New Roman"/>
          <w:color w:val="auto"/>
          <w:sz w:val="20"/>
          <w:szCs w:val="20"/>
          <w:lang w:val="en-US" w:eastAsia="en-US"/>
        </w:rPr>
        <w:t xml:space="preserve"> </w:t>
      </w:r>
      <w:r w:rsidR="0003629F" w:rsidRPr="00C9769D">
        <w:rPr>
          <w:rFonts w:ascii="Times New Roman" w:hAnsi="Times New Roman" w:cs="Times New Roman"/>
          <w:color w:val="auto"/>
          <w:sz w:val="20"/>
          <w:szCs w:val="20"/>
          <w:lang w:val="en-US" w:eastAsia="en-US"/>
        </w:rPr>
        <w:t>inadequacies in agricultural, mining and fisheries value chains; insufficient support for entrepreneurship</w:t>
      </w:r>
      <w:r w:rsidR="006A6C54">
        <w:rPr>
          <w:rFonts w:ascii="Times New Roman" w:hAnsi="Times New Roman" w:cs="Times New Roman"/>
          <w:color w:val="auto"/>
          <w:sz w:val="20"/>
          <w:szCs w:val="20"/>
          <w:lang w:val="en-US" w:eastAsia="en-US"/>
        </w:rPr>
        <w:t xml:space="preserve">; </w:t>
      </w:r>
      <w:r w:rsidR="00957E0D">
        <w:rPr>
          <w:rFonts w:ascii="Times New Roman" w:hAnsi="Times New Roman" w:cs="Times New Roman"/>
          <w:color w:val="auto"/>
          <w:sz w:val="20"/>
          <w:szCs w:val="20"/>
          <w:lang w:val="en-US" w:eastAsia="en-US"/>
        </w:rPr>
        <w:t>poor</w:t>
      </w:r>
      <w:r w:rsidR="0003629F" w:rsidRPr="00C9769D">
        <w:rPr>
          <w:rFonts w:ascii="Times New Roman" w:hAnsi="Times New Roman" w:cs="Times New Roman"/>
          <w:color w:val="auto"/>
          <w:sz w:val="20"/>
          <w:szCs w:val="20"/>
          <w:lang w:val="en-US" w:eastAsia="en-US"/>
        </w:rPr>
        <w:t xml:space="preserve"> employment </w:t>
      </w:r>
      <w:r w:rsidR="00957E0D">
        <w:rPr>
          <w:rFonts w:ascii="Times New Roman" w:hAnsi="Times New Roman" w:cs="Times New Roman"/>
          <w:color w:val="auto"/>
          <w:sz w:val="20"/>
          <w:szCs w:val="20"/>
          <w:lang w:val="en-US" w:eastAsia="en-US"/>
        </w:rPr>
        <w:t xml:space="preserve">opportunities </w:t>
      </w:r>
      <w:r w:rsidR="0003629F" w:rsidRPr="00C9769D">
        <w:rPr>
          <w:rFonts w:ascii="Times New Roman" w:hAnsi="Times New Roman" w:cs="Times New Roman"/>
          <w:color w:val="auto"/>
          <w:sz w:val="20"/>
          <w:szCs w:val="20"/>
          <w:lang w:val="en-US" w:eastAsia="en-US"/>
        </w:rPr>
        <w:t>for women and youth</w:t>
      </w:r>
      <w:r w:rsidR="006A6C54">
        <w:rPr>
          <w:rFonts w:ascii="Times New Roman" w:hAnsi="Times New Roman" w:cs="Times New Roman"/>
          <w:color w:val="auto"/>
          <w:sz w:val="20"/>
          <w:szCs w:val="20"/>
          <w:lang w:val="en-US" w:eastAsia="en-US"/>
        </w:rPr>
        <w:t>;</w:t>
      </w:r>
      <w:r w:rsidR="0003629F" w:rsidRPr="00C9769D">
        <w:rPr>
          <w:rFonts w:ascii="Times New Roman" w:hAnsi="Times New Roman" w:cs="Times New Roman"/>
          <w:color w:val="auto"/>
          <w:sz w:val="20"/>
          <w:szCs w:val="20"/>
          <w:lang w:val="en-US" w:eastAsia="en-US"/>
        </w:rPr>
        <w:t xml:space="preserve"> </w:t>
      </w:r>
      <w:r w:rsidR="0030414E">
        <w:rPr>
          <w:rFonts w:ascii="Times New Roman" w:hAnsi="Times New Roman" w:cs="Times New Roman"/>
          <w:color w:val="auto"/>
          <w:sz w:val="20"/>
          <w:szCs w:val="20"/>
          <w:lang w:val="en-US" w:eastAsia="en-US"/>
        </w:rPr>
        <w:t xml:space="preserve">slow </w:t>
      </w:r>
      <w:r w:rsidR="004A3224" w:rsidRPr="00C9769D">
        <w:rPr>
          <w:rFonts w:ascii="Times New Roman" w:hAnsi="Times New Roman" w:cs="Times New Roman"/>
          <w:color w:val="auto"/>
          <w:sz w:val="20"/>
          <w:szCs w:val="20"/>
          <w:lang w:val="en-US" w:eastAsia="en-US"/>
        </w:rPr>
        <w:t>formalization</w:t>
      </w:r>
      <w:r w:rsidR="0003629F" w:rsidRPr="00C9769D">
        <w:rPr>
          <w:rFonts w:ascii="Times New Roman" w:hAnsi="Times New Roman" w:cs="Times New Roman"/>
          <w:color w:val="auto"/>
          <w:sz w:val="20"/>
          <w:szCs w:val="20"/>
          <w:lang w:val="en-US" w:eastAsia="en-US"/>
        </w:rPr>
        <w:t xml:space="preserve"> of the informal sector</w:t>
      </w:r>
      <w:r w:rsidR="006A6C54">
        <w:rPr>
          <w:rFonts w:ascii="Times New Roman" w:hAnsi="Times New Roman" w:cs="Times New Roman"/>
          <w:color w:val="auto"/>
          <w:sz w:val="20"/>
          <w:szCs w:val="20"/>
          <w:lang w:val="en-US" w:eastAsia="en-US"/>
        </w:rPr>
        <w:t>,</w:t>
      </w:r>
      <w:r w:rsidR="0003629F" w:rsidRPr="00C9769D">
        <w:rPr>
          <w:rFonts w:ascii="Times New Roman" w:hAnsi="Times New Roman" w:cs="Times New Roman"/>
          <w:color w:val="auto"/>
          <w:sz w:val="20"/>
          <w:szCs w:val="20"/>
          <w:vertAlign w:val="superscript"/>
          <w:lang w:val="en-US" w:eastAsia="en-US"/>
        </w:rPr>
        <w:footnoteReference w:id="5"/>
      </w:r>
      <w:r w:rsidR="0003629F" w:rsidRPr="00C9769D">
        <w:rPr>
          <w:rFonts w:ascii="Times New Roman" w:hAnsi="Times New Roman" w:cs="Times New Roman"/>
          <w:color w:val="auto"/>
          <w:sz w:val="20"/>
          <w:szCs w:val="20"/>
          <w:lang w:val="en-US" w:eastAsia="en-US"/>
        </w:rPr>
        <w:t xml:space="preserve"> and </w:t>
      </w:r>
      <w:r w:rsidR="00957E0D">
        <w:rPr>
          <w:rFonts w:ascii="Times New Roman" w:hAnsi="Times New Roman" w:cs="Times New Roman"/>
          <w:color w:val="auto"/>
          <w:sz w:val="20"/>
          <w:szCs w:val="20"/>
          <w:lang w:val="en-US" w:eastAsia="en-US"/>
        </w:rPr>
        <w:t>weak</w:t>
      </w:r>
      <w:r w:rsidR="00957E0D" w:rsidRPr="00C9769D">
        <w:rPr>
          <w:rFonts w:ascii="Times New Roman" w:hAnsi="Times New Roman" w:cs="Times New Roman"/>
          <w:color w:val="auto"/>
          <w:sz w:val="20"/>
          <w:szCs w:val="20"/>
          <w:lang w:val="en-US" w:eastAsia="en-US"/>
        </w:rPr>
        <w:t xml:space="preserve"> </w:t>
      </w:r>
      <w:r w:rsidR="0003629F" w:rsidRPr="00C9769D">
        <w:rPr>
          <w:rFonts w:ascii="Times New Roman" w:hAnsi="Times New Roman" w:cs="Times New Roman"/>
          <w:color w:val="auto"/>
          <w:sz w:val="20"/>
          <w:szCs w:val="20"/>
          <w:lang w:val="en-US" w:eastAsia="en-US"/>
        </w:rPr>
        <w:t>communit</w:t>
      </w:r>
      <w:r w:rsidR="00F516FC">
        <w:rPr>
          <w:rFonts w:ascii="Times New Roman" w:hAnsi="Times New Roman" w:cs="Times New Roman"/>
          <w:color w:val="auto"/>
          <w:sz w:val="20"/>
          <w:szCs w:val="20"/>
          <w:lang w:val="en-US" w:eastAsia="en-US"/>
        </w:rPr>
        <w:t>y resilience</w:t>
      </w:r>
      <w:r w:rsidR="0003629F" w:rsidRPr="00C9769D">
        <w:rPr>
          <w:rFonts w:ascii="Times New Roman" w:hAnsi="Times New Roman" w:cs="Times New Roman"/>
          <w:color w:val="auto"/>
          <w:sz w:val="20"/>
          <w:szCs w:val="20"/>
          <w:lang w:val="en-US" w:eastAsia="en-US"/>
        </w:rPr>
        <w:t xml:space="preserve"> </w:t>
      </w:r>
      <w:r w:rsidR="0030414E">
        <w:rPr>
          <w:rFonts w:ascii="Times New Roman" w:hAnsi="Times New Roman" w:cs="Times New Roman"/>
          <w:color w:val="auto"/>
          <w:sz w:val="20"/>
          <w:szCs w:val="20"/>
          <w:lang w:val="en-US" w:eastAsia="en-US"/>
        </w:rPr>
        <w:t>to</w:t>
      </w:r>
      <w:r w:rsidR="0030414E" w:rsidRPr="00C9769D">
        <w:rPr>
          <w:rFonts w:ascii="Times New Roman" w:hAnsi="Times New Roman" w:cs="Times New Roman"/>
          <w:color w:val="auto"/>
          <w:sz w:val="20"/>
          <w:szCs w:val="20"/>
          <w:lang w:val="en-US" w:eastAsia="en-US"/>
        </w:rPr>
        <w:t xml:space="preserve"> </w:t>
      </w:r>
      <w:r w:rsidR="0003629F" w:rsidRPr="00C9769D">
        <w:rPr>
          <w:rFonts w:ascii="Times New Roman" w:hAnsi="Times New Roman" w:cs="Times New Roman"/>
          <w:color w:val="auto"/>
          <w:sz w:val="20"/>
          <w:szCs w:val="20"/>
          <w:lang w:val="en-US" w:eastAsia="en-US"/>
        </w:rPr>
        <w:t>crises and disasters</w:t>
      </w:r>
      <w:r w:rsidR="006A6C54">
        <w:rPr>
          <w:rFonts w:ascii="Times New Roman" w:hAnsi="Times New Roman" w:cs="Times New Roman"/>
          <w:color w:val="auto"/>
          <w:sz w:val="20"/>
          <w:szCs w:val="20"/>
          <w:lang w:val="en-US" w:eastAsia="en-US"/>
        </w:rPr>
        <w:t>.</w:t>
      </w:r>
      <w:r w:rsidR="0003629F" w:rsidRPr="00C9769D">
        <w:rPr>
          <w:rFonts w:ascii="Times New Roman" w:hAnsi="Times New Roman" w:cs="Times New Roman"/>
          <w:color w:val="auto"/>
          <w:sz w:val="20"/>
          <w:szCs w:val="20"/>
          <w:vertAlign w:val="superscript"/>
          <w:lang w:val="en-US" w:eastAsia="en-US"/>
        </w:rPr>
        <w:footnoteReference w:id="6"/>
      </w:r>
    </w:p>
    <w:p w14:paraId="5DB09A10" w14:textId="4D9CD61A" w:rsidR="00A84130" w:rsidRDefault="00375C15" w:rsidP="00047245">
      <w:pPr>
        <w:pStyle w:val="Default"/>
        <w:numPr>
          <w:ilvl w:val="0"/>
          <w:numId w:val="4"/>
        </w:numPr>
        <w:tabs>
          <w:tab w:val="left" w:pos="0"/>
          <w:tab w:val="left" w:pos="540"/>
          <w:tab w:val="left" w:pos="1080"/>
        </w:tabs>
        <w:spacing w:after="120"/>
        <w:ind w:left="810" w:right="1208" w:firstLine="0"/>
        <w:jc w:val="both"/>
        <w:rPr>
          <w:rFonts w:ascii="Times New Roman" w:hAnsi="Times New Roman" w:cs="Times New Roman"/>
          <w:color w:val="auto"/>
          <w:sz w:val="20"/>
          <w:szCs w:val="20"/>
          <w:lang w:val="en-US" w:eastAsia="en-US"/>
        </w:rPr>
      </w:pPr>
      <w:r>
        <w:rPr>
          <w:rFonts w:ascii="Times New Roman" w:hAnsi="Times New Roman" w:cs="Times New Roman"/>
          <w:color w:val="auto"/>
          <w:sz w:val="20"/>
          <w:szCs w:val="20"/>
          <w:lang w:val="en-US" w:eastAsia="en-US"/>
        </w:rPr>
        <w:t>Overall p</w:t>
      </w:r>
      <w:r w:rsidR="001B4726" w:rsidRPr="00A84130">
        <w:rPr>
          <w:rFonts w:ascii="Times New Roman" w:hAnsi="Times New Roman" w:cs="Times New Roman"/>
          <w:color w:val="auto"/>
          <w:sz w:val="20"/>
          <w:szCs w:val="20"/>
          <w:lang w:val="en-US" w:eastAsia="en-US"/>
        </w:rPr>
        <w:t xml:space="preserve">erformance has not translated into </w:t>
      </w:r>
      <w:r w:rsidR="003C2517" w:rsidRPr="00A84130">
        <w:rPr>
          <w:rFonts w:ascii="Times New Roman" w:hAnsi="Times New Roman" w:cs="Times New Roman"/>
          <w:color w:val="auto"/>
          <w:sz w:val="20"/>
          <w:szCs w:val="20"/>
          <w:lang w:val="en-US" w:eastAsia="en-US"/>
        </w:rPr>
        <w:t>better</w:t>
      </w:r>
      <w:r w:rsidR="001B4726" w:rsidRPr="00A84130">
        <w:rPr>
          <w:rFonts w:ascii="Times New Roman" w:hAnsi="Times New Roman" w:cs="Times New Roman"/>
          <w:color w:val="auto"/>
          <w:sz w:val="20"/>
          <w:szCs w:val="20"/>
          <w:lang w:val="en-US" w:eastAsia="en-US"/>
        </w:rPr>
        <w:t xml:space="preserve"> living conditions </w:t>
      </w:r>
      <w:r w:rsidR="00813B63" w:rsidRPr="00A84130">
        <w:rPr>
          <w:rFonts w:ascii="Times New Roman" w:hAnsi="Times New Roman" w:cs="Times New Roman"/>
          <w:color w:val="auto"/>
          <w:sz w:val="20"/>
          <w:szCs w:val="20"/>
          <w:lang w:val="en-US" w:eastAsia="en-US"/>
        </w:rPr>
        <w:t>for people</w:t>
      </w:r>
      <w:r w:rsidR="001B4726" w:rsidRPr="00A84130">
        <w:rPr>
          <w:rFonts w:ascii="Times New Roman" w:hAnsi="Times New Roman" w:cs="Times New Roman"/>
          <w:color w:val="auto"/>
          <w:sz w:val="20"/>
          <w:szCs w:val="20"/>
          <w:lang w:val="en-US" w:eastAsia="en-US"/>
        </w:rPr>
        <w:t xml:space="preserve">. Efforts to achieve the </w:t>
      </w:r>
      <w:r w:rsidR="00813B63" w:rsidRPr="00A84130">
        <w:rPr>
          <w:rFonts w:ascii="Times New Roman" w:hAnsi="Times New Roman" w:cs="Times New Roman"/>
          <w:color w:val="auto"/>
          <w:sz w:val="20"/>
          <w:szCs w:val="20"/>
          <w:lang w:val="en-US" w:eastAsia="en-US"/>
        </w:rPr>
        <w:t>Millennium Development Goals (</w:t>
      </w:r>
      <w:r w:rsidR="001B4726" w:rsidRPr="00A84130">
        <w:rPr>
          <w:rFonts w:ascii="Times New Roman" w:hAnsi="Times New Roman" w:cs="Times New Roman"/>
          <w:color w:val="auto"/>
          <w:sz w:val="20"/>
          <w:szCs w:val="20"/>
          <w:lang w:val="en-US" w:eastAsia="en-US"/>
        </w:rPr>
        <w:t>MDGs</w:t>
      </w:r>
      <w:r w:rsidR="00813B63" w:rsidRPr="00A84130">
        <w:rPr>
          <w:rFonts w:ascii="Times New Roman" w:hAnsi="Times New Roman" w:cs="Times New Roman"/>
          <w:color w:val="auto"/>
          <w:sz w:val="20"/>
          <w:szCs w:val="20"/>
          <w:lang w:val="en-US" w:eastAsia="en-US"/>
        </w:rPr>
        <w:t>)</w:t>
      </w:r>
      <w:r w:rsidR="001B4726" w:rsidRPr="00A84130">
        <w:rPr>
          <w:rFonts w:ascii="Times New Roman" w:hAnsi="Times New Roman" w:cs="Times New Roman"/>
          <w:color w:val="auto"/>
          <w:sz w:val="20"/>
          <w:szCs w:val="20"/>
          <w:lang w:val="en-US" w:eastAsia="en-US"/>
        </w:rPr>
        <w:t xml:space="preserve"> had </w:t>
      </w:r>
      <w:r>
        <w:rPr>
          <w:rFonts w:ascii="Times New Roman" w:hAnsi="Times New Roman" w:cs="Times New Roman"/>
          <w:color w:val="auto"/>
          <w:sz w:val="20"/>
          <w:szCs w:val="20"/>
          <w:lang w:val="en-US" w:eastAsia="en-US"/>
        </w:rPr>
        <w:t>little</w:t>
      </w:r>
      <w:r w:rsidRPr="00A84130">
        <w:rPr>
          <w:rFonts w:ascii="Times New Roman" w:hAnsi="Times New Roman" w:cs="Times New Roman"/>
          <w:color w:val="auto"/>
          <w:sz w:val="20"/>
          <w:szCs w:val="20"/>
          <w:lang w:val="en-US" w:eastAsia="en-US"/>
        </w:rPr>
        <w:t xml:space="preserve"> </w:t>
      </w:r>
      <w:r w:rsidR="001B4726" w:rsidRPr="00A84130">
        <w:rPr>
          <w:rFonts w:ascii="Times New Roman" w:hAnsi="Times New Roman" w:cs="Times New Roman"/>
          <w:color w:val="auto"/>
          <w:sz w:val="20"/>
          <w:szCs w:val="20"/>
          <w:lang w:val="en-US" w:eastAsia="en-US"/>
        </w:rPr>
        <w:t>impact on reducing poverty and social inequalities</w:t>
      </w:r>
      <w:r w:rsidR="00813B63" w:rsidRPr="00A84130">
        <w:rPr>
          <w:rFonts w:ascii="Times New Roman" w:hAnsi="Times New Roman" w:cs="Times New Roman"/>
          <w:color w:val="auto"/>
          <w:sz w:val="20"/>
          <w:szCs w:val="20"/>
          <w:lang w:val="en-US" w:eastAsia="en-US"/>
        </w:rPr>
        <w:t xml:space="preserve">: </w:t>
      </w:r>
      <w:r w:rsidR="001B4726" w:rsidRPr="00A84130">
        <w:rPr>
          <w:rFonts w:ascii="Times New Roman" w:hAnsi="Times New Roman" w:cs="Times New Roman"/>
          <w:color w:val="auto"/>
          <w:sz w:val="20"/>
          <w:szCs w:val="20"/>
          <w:lang w:val="en-US" w:eastAsia="en-US"/>
        </w:rPr>
        <w:t>55</w:t>
      </w:r>
      <w:r w:rsidR="00813B63" w:rsidRPr="00A84130">
        <w:rPr>
          <w:rFonts w:ascii="Times New Roman" w:hAnsi="Times New Roman" w:cs="Times New Roman"/>
          <w:color w:val="auto"/>
          <w:sz w:val="20"/>
          <w:szCs w:val="20"/>
          <w:lang w:val="en-US" w:eastAsia="en-US"/>
        </w:rPr>
        <w:t xml:space="preserve"> per cent</w:t>
      </w:r>
      <w:r w:rsidR="001B4726" w:rsidRPr="00A84130">
        <w:rPr>
          <w:rFonts w:ascii="Times New Roman" w:hAnsi="Times New Roman" w:cs="Times New Roman"/>
          <w:color w:val="auto"/>
          <w:sz w:val="20"/>
          <w:szCs w:val="20"/>
          <w:lang w:val="en-US" w:eastAsia="en-US"/>
        </w:rPr>
        <w:t xml:space="preserve"> of the population lives below the poverty line </w:t>
      </w:r>
      <w:r w:rsidR="00813B63" w:rsidRPr="00A84130">
        <w:rPr>
          <w:rFonts w:ascii="Times New Roman" w:hAnsi="Times New Roman" w:cs="Times New Roman"/>
          <w:color w:val="auto"/>
          <w:sz w:val="20"/>
          <w:szCs w:val="20"/>
          <w:lang w:val="en-US" w:eastAsia="en-US"/>
        </w:rPr>
        <w:t xml:space="preserve">and there are strong urban (35 per cent) and rural (65 per cent) </w:t>
      </w:r>
      <w:r w:rsidR="001B4726" w:rsidRPr="00A84130">
        <w:rPr>
          <w:rFonts w:ascii="Times New Roman" w:hAnsi="Times New Roman" w:cs="Times New Roman"/>
          <w:color w:val="auto"/>
          <w:sz w:val="20"/>
          <w:szCs w:val="20"/>
          <w:lang w:val="en-US" w:eastAsia="en-US"/>
        </w:rPr>
        <w:t>disparit</w:t>
      </w:r>
      <w:r w:rsidR="005B2D7D" w:rsidRPr="00A84130">
        <w:rPr>
          <w:rFonts w:ascii="Times New Roman" w:hAnsi="Times New Roman" w:cs="Times New Roman"/>
          <w:color w:val="auto"/>
          <w:sz w:val="20"/>
          <w:szCs w:val="20"/>
          <w:lang w:val="en-US" w:eastAsia="en-US"/>
        </w:rPr>
        <w:t>ies</w:t>
      </w:r>
      <w:r w:rsidR="001B4726" w:rsidRPr="00A84130">
        <w:rPr>
          <w:rFonts w:ascii="Times New Roman" w:hAnsi="Times New Roman" w:cs="Times New Roman"/>
          <w:color w:val="auto"/>
          <w:sz w:val="20"/>
          <w:szCs w:val="20"/>
          <w:lang w:val="en-US" w:eastAsia="en-US"/>
        </w:rPr>
        <w:t xml:space="preserve">. Close to a quarter of households </w:t>
      </w:r>
      <w:r w:rsidR="00813B63" w:rsidRPr="00A84130">
        <w:rPr>
          <w:rFonts w:ascii="Times New Roman" w:hAnsi="Times New Roman" w:cs="Times New Roman"/>
          <w:color w:val="auto"/>
          <w:sz w:val="20"/>
          <w:szCs w:val="20"/>
          <w:lang w:val="en-US" w:eastAsia="en-US"/>
        </w:rPr>
        <w:t>do n</w:t>
      </w:r>
      <w:r w:rsidR="001B4726" w:rsidRPr="00A84130">
        <w:rPr>
          <w:rFonts w:ascii="Times New Roman" w:hAnsi="Times New Roman" w:cs="Times New Roman"/>
          <w:color w:val="auto"/>
          <w:sz w:val="20"/>
          <w:szCs w:val="20"/>
          <w:lang w:val="en-US" w:eastAsia="en-US"/>
        </w:rPr>
        <w:t>o</w:t>
      </w:r>
      <w:r w:rsidR="00813B63" w:rsidRPr="00A84130">
        <w:rPr>
          <w:rFonts w:ascii="Times New Roman" w:hAnsi="Times New Roman" w:cs="Times New Roman"/>
          <w:color w:val="auto"/>
          <w:sz w:val="20"/>
          <w:szCs w:val="20"/>
          <w:lang w:val="en-US" w:eastAsia="en-US"/>
        </w:rPr>
        <w:t>t have</w:t>
      </w:r>
      <w:r w:rsidR="001B4726" w:rsidRPr="00A84130">
        <w:rPr>
          <w:rFonts w:ascii="Times New Roman" w:hAnsi="Times New Roman" w:cs="Times New Roman"/>
          <w:color w:val="auto"/>
          <w:sz w:val="20"/>
          <w:szCs w:val="20"/>
          <w:lang w:val="en-US" w:eastAsia="en-US"/>
        </w:rPr>
        <w:t xml:space="preserve"> access to improved sanitation</w:t>
      </w:r>
      <w:r w:rsidR="00813B63" w:rsidRPr="00A84130">
        <w:rPr>
          <w:rFonts w:ascii="Times New Roman" w:hAnsi="Times New Roman" w:cs="Times New Roman"/>
          <w:color w:val="auto"/>
          <w:sz w:val="20"/>
          <w:szCs w:val="20"/>
          <w:lang w:val="en-US" w:eastAsia="en-US"/>
        </w:rPr>
        <w:t>,</w:t>
      </w:r>
      <w:r w:rsidR="00825E19" w:rsidRPr="00A84130">
        <w:rPr>
          <w:rFonts w:ascii="Times New Roman" w:hAnsi="Times New Roman" w:cs="Times New Roman"/>
          <w:color w:val="auto"/>
          <w:sz w:val="20"/>
          <w:szCs w:val="20"/>
          <w:lang w:val="en-US" w:eastAsia="en-US"/>
        </w:rPr>
        <w:t xml:space="preserve"> and 7</w:t>
      </w:r>
      <w:r w:rsidR="001B4726" w:rsidRPr="00A84130">
        <w:rPr>
          <w:rFonts w:ascii="Times New Roman" w:hAnsi="Times New Roman" w:cs="Times New Roman"/>
          <w:color w:val="auto"/>
          <w:sz w:val="20"/>
          <w:szCs w:val="20"/>
          <w:lang w:val="en-US" w:eastAsia="en-US"/>
        </w:rPr>
        <w:t>4</w:t>
      </w:r>
      <w:r w:rsidR="00813B63" w:rsidRPr="00A84130">
        <w:rPr>
          <w:rFonts w:ascii="Times New Roman" w:hAnsi="Times New Roman" w:cs="Times New Roman"/>
          <w:color w:val="auto"/>
          <w:sz w:val="20"/>
          <w:szCs w:val="20"/>
          <w:lang w:val="en-US" w:eastAsia="en-US"/>
        </w:rPr>
        <w:t xml:space="preserve"> per cent</w:t>
      </w:r>
      <w:r w:rsidR="001B4726" w:rsidRPr="00A84130">
        <w:rPr>
          <w:rFonts w:ascii="Times New Roman" w:hAnsi="Times New Roman" w:cs="Times New Roman"/>
          <w:color w:val="auto"/>
          <w:sz w:val="20"/>
          <w:szCs w:val="20"/>
          <w:lang w:val="en-US" w:eastAsia="en-US"/>
        </w:rPr>
        <w:t xml:space="preserve"> have no access to electricity </w:t>
      </w:r>
      <w:r w:rsidR="00813B63" w:rsidRPr="00A84130">
        <w:rPr>
          <w:rFonts w:ascii="Times New Roman" w:hAnsi="Times New Roman" w:cs="Times New Roman"/>
          <w:color w:val="auto"/>
          <w:sz w:val="20"/>
          <w:szCs w:val="20"/>
          <w:lang w:val="en-US" w:eastAsia="en-US"/>
        </w:rPr>
        <w:t xml:space="preserve">(97 per cent in </w:t>
      </w:r>
      <w:r w:rsidR="001B4726" w:rsidRPr="00A84130">
        <w:rPr>
          <w:rFonts w:ascii="Times New Roman" w:hAnsi="Times New Roman" w:cs="Times New Roman"/>
          <w:color w:val="auto"/>
          <w:sz w:val="20"/>
          <w:szCs w:val="20"/>
          <w:lang w:val="en-US" w:eastAsia="en-US"/>
        </w:rPr>
        <w:t xml:space="preserve">rural </w:t>
      </w:r>
      <w:r w:rsidR="00813B63" w:rsidRPr="00A84130">
        <w:rPr>
          <w:rFonts w:ascii="Times New Roman" w:hAnsi="Times New Roman" w:cs="Times New Roman"/>
          <w:color w:val="auto"/>
          <w:sz w:val="20"/>
          <w:szCs w:val="20"/>
          <w:lang w:val="en-US" w:eastAsia="en-US"/>
        </w:rPr>
        <w:t>areas vs. 26 per cent in</w:t>
      </w:r>
      <w:r w:rsidR="001B4726" w:rsidRPr="00A84130">
        <w:rPr>
          <w:rFonts w:ascii="Times New Roman" w:hAnsi="Times New Roman" w:cs="Times New Roman"/>
          <w:color w:val="auto"/>
          <w:sz w:val="20"/>
          <w:szCs w:val="20"/>
          <w:lang w:val="en-US" w:eastAsia="en-US"/>
        </w:rPr>
        <w:t xml:space="preserve"> urban</w:t>
      </w:r>
      <w:r w:rsidR="00813B63" w:rsidRPr="00A84130">
        <w:rPr>
          <w:rFonts w:ascii="Times New Roman" w:hAnsi="Times New Roman" w:cs="Times New Roman"/>
          <w:color w:val="auto"/>
          <w:sz w:val="20"/>
          <w:szCs w:val="20"/>
          <w:lang w:val="en-US" w:eastAsia="en-US"/>
        </w:rPr>
        <w:t xml:space="preserve"> centres</w:t>
      </w:r>
      <w:r w:rsidR="00455C99">
        <w:rPr>
          <w:rFonts w:ascii="Times New Roman" w:hAnsi="Times New Roman" w:cs="Times New Roman"/>
          <w:color w:val="auto"/>
          <w:sz w:val="20"/>
          <w:szCs w:val="20"/>
          <w:lang w:val="en-US" w:eastAsia="en-US"/>
        </w:rPr>
        <w:t>)</w:t>
      </w:r>
      <w:r w:rsidR="00813B63" w:rsidRPr="00A84130">
        <w:rPr>
          <w:rFonts w:ascii="Times New Roman" w:hAnsi="Times New Roman" w:cs="Times New Roman"/>
          <w:color w:val="auto"/>
          <w:sz w:val="20"/>
          <w:szCs w:val="20"/>
          <w:lang w:val="en-US" w:eastAsia="en-US"/>
        </w:rPr>
        <w:t>.</w:t>
      </w:r>
      <w:r w:rsidR="00227872" w:rsidRPr="00C9769D">
        <w:rPr>
          <w:rStyle w:val="FootnoteReference"/>
          <w:rFonts w:ascii="Times New Roman" w:hAnsi="Times New Roman"/>
          <w:color w:val="auto"/>
          <w:sz w:val="20"/>
          <w:szCs w:val="20"/>
          <w:lang w:val="en-US" w:eastAsia="en-US"/>
        </w:rPr>
        <w:footnoteReference w:id="7"/>
      </w:r>
      <w:r w:rsidR="001B4726" w:rsidRPr="00A84130">
        <w:rPr>
          <w:rFonts w:ascii="Times New Roman" w:hAnsi="Times New Roman" w:cs="Times New Roman"/>
          <w:color w:val="auto"/>
          <w:sz w:val="20"/>
          <w:szCs w:val="20"/>
          <w:lang w:val="en-US" w:eastAsia="en-US"/>
        </w:rPr>
        <w:t xml:space="preserve"> In </w:t>
      </w:r>
      <w:r w:rsidR="00825E19" w:rsidRPr="00A84130">
        <w:rPr>
          <w:rFonts w:ascii="Times New Roman" w:hAnsi="Times New Roman" w:cs="Times New Roman"/>
          <w:color w:val="auto"/>
          <w:sz w:val="20"/>
          <w:szCs w:val="20"/>
          <w:lang w:val="en-US" w:eastAsia="en-US"/>
        </w:rPr>
        <w:t xml:space="preserve">addition, </w:t>
      </w:r>
      <w:r w:rsidR="001B4726" w:rsidRPr="00A84130">
        <w:rPr>
          <w:rFonts w:ascii="Times New Roman" w:hAnsi="Times New Roman" w:cs="Times New Roman"/>
          <w:color w:val="auto"/>
          <w:sz w:val="20"/>
          <w:szCs w:val="20"/>
          <w:lang w:val="en-US" w:eastAsia="en-US"/>
        </w:rPr>
        <w:t>urban unemployment doubled from 8</w:t>
      </w:r>
      <w:r w:rsidR="00813B63" w:rsidRPr="00A84130">
        <w:rPr>
          <w:rFonts w:ascii="Times New Roman" w:hAnsi="Times New Roman" w:cs="Times New Roman"/>
          <w:color w:val="auto"/>
          <w:sz w:val="20"/>
          <w:szCs w:val="20"/>
          <w:lang w:val="en-US" w:eastAsia="en-US"/>
        </w:rPr>
        <w:t xml:space="preserve"> per cent</w:t>
      </w:r>
      <w:r w:rsidR="001B4726" w:rsidRPr="00A84130">
        <w:rPr>
          <w:rFonts w:ascii="Times New Roman" w:hAnsi="Times New Roman" w:cs="Times New Roman"/>
          <w:color w:val="auto"/>
          <w:sz w:val="20"/>
          <w:szCs w:val="20"/>
          <w:lang w:val="en-US" w:eastAsia="en-US"/>
        </w:rPr>
        <w:t xml:space="preserve"> in 2012 to 16</w:t>
      </w:r>
      <w:r w:rsidR="00813B63" w:rsidRPr="00A84130">
        <w:rPr>
          <w:rFonts w:ascii="Times New Roman" w:hAnsi="Times New Roman" w:cs="Times New Roman"/>
          <w:color w:val="auto"/>
          <w:sz w:val="20"/>
          <w:szCs w:val="20"/>
          <w:lang w:val="en-US" w:eastAsia="en-US"/>
        </w:rPr>
        <w:t xml:space="preserve"> per cent</w:t>
      </w:r>
      <w:r w:rsidR="001B4726" w:rsidRPr="00A84130">
        <w:rPr>
          <w:rFonts w:ascii="Times New Roman" w:hAnsi="Times New Roman" w:cs="Times New Roman"/>
          <w:color w:val="auto"/>
          <w:sz w:val="20"/>
          <w:szCs w:val="20"/>
          <w:lang w:val="en-US" w:eastAsia="en-US"/>
        </w:rPr>
        <w:t xml:space="preserve"> in 2015</w:t>
      </w:r>
      <w:r w:rsidR="00813B63" w:rsidRPr="00A84130">
        <w:rPr>
          <w:rFonts w:ascii="Times New Roman" w:hAnsi="Times New Roman" w:cs="Times New Roman"/>
          <w:color w:val="auto"/>
          <w:sz w:val="20"/>
          <w:szCs w:val="20"/>
          <w:lang w:val="en-US" w:eastAsia="en-US"/>
        </w:rPr>
        <w:t>.</w:t>
      </w:r>
      <w:r w:rsidR="00227872" w:rsidRPr="00C9769D">
        <w:rPr>
          <w:rStyle w:val="FootnoteReference"/>
          <w:rFonts w:ascii="Times New Roman" w:hAnsi="Times New Roman"/>
          <w:color w:val="auto"/>
          <w:sz w:val="20"/>
          <w:szCs w:val="20"/>
          <w:lang w:val="en-US" w:eastAsia="en-US"/>
        </w:rPr>
        <w:footnoteReference w:id="8"/>
      </w:r>
      <w:r w:rsidR="001B4726" w:rsidRPr="00A84130">
        <w:rPr>
          <w:rFonts w:ascii="Times New Roman" w:hAnsi="Times New Roman" w:cs="Times New Roman"/>
          <w:color w:val="auto"/>
          <w:sz w:val="20"/>
          <w:szCs w:val="20"/>
          <w:lang w:val="en-US" w:eastAsia="en-US"/>
        </w:rPr>
        <w:t xml:space="preserve"> Guinea’s Human Development Index (HDI) was 0.414</w:t>
      </w:r>
      <w:r w:rsidR="0093192B" w:rsidRPr="00C9769D">
        <w:rPr>
          <w:rStyle w:val="FootnoteReference"/>
          <w:rFonts w:ascii="Times New Roman" w:hAnsi="Times New Roman"/>
          <w:color w:val="auto"/>
          <w:sz w:val="20"/>
          <w:szCs w:val="20"/>
          <w:lang w:val="en-US" w:eastAsia="en-US"/>
        </w:rPr>
        <w:footnoteReference w:id="9"/>
      </w:r>
      <w:r w:rsidR="0093192B" w:rsidRPr="00A84130">
        <w:rPr>
          <w:rFonts w:ascii="Times New Roman" w:hAnsi="Times New Roman" w:cs="Times New Roman"/>
          <w:color w:val="auto"/>
          <w:sz w:val="20"/>
          <w:szCs w:val="20"/>
          <w:lang w:val="en-US" w:eastAsia="en-US"/>
        </w:rPr>
        <w:t xml:space="preserve"> </w:t>
      </w:r>
      <w:r w:rsidR="001B4726" w:rsidRPr="00A84130">
        <w:rPr>
          <w:rFonts w:ascii="Times New Roman" w:hAnsi="Times New Roman" w:cs="Times New Roman"/>
          <w:color w:val="auto"/>
          <w:sz w:val="20"/>
          <w:szCs w:val="20"/>
          <w:lang w:val="en-US" w:eastAsia="en-US"/>
        </w:rPr>
        <w:t xml:space="preserve">in 2016, </w:t>
      </w:r>
      <w:r w:rsidR="00813B63" w:rsidRPr="00A84130">
        <w:rPr>
          <w:rFonts w:ascii="Times New Roman" w:hAnsi="Times New Roman" w:cs="Times New Roman"/>
          <w:color w:val="auto"/>
          <w:sz w:val="20"/>
          <w:szCs w:val="20"/>
          <w:lang w:val="en-US" w:eastAsia="en-US"/>
        </w:rPr>
        <w:t xml:space="preserve">making </w:t>
      </w:r>
      <w:r w:rsidR="001B4726" w:rsidRPr="00A84130">
        <w:rPr>
          <w:rFonts w:ascii="Times New Roman" w:hAnsi="Times New Roman" w:cs="Times New Roman"/>
          <w:color w:val="auto"/>
          <w:sz w:val="20"/>
          <w:szCs w:val="20"/>
          <w:lang w:val="en-US" w:eastAsia="en-US"/>
        </w:rPr>
        <w:t>it 183</w:t>
      </w:r>
      <w:r w:rsidR="00813B63" w:rsidRPr="00A84130">
        <w:rPr>
          <w:rFonts w:ascii="Times New Roman" w:hAnsi="Times New Roman" w:cs="Times New Roman"/>
          <w:color w:val="auto"/>
          <w:sz w:val="20"/>
          <w:szCs w:val="20"/>
          <w:lang w:val="en-US" w:eastAsia="en-US"/>
        </w:rPr>
        <w:t xml:space="preserve"> out</w:t>
      </w:r>
      <w:r w:rsidR="001B4726" w:rsidRPr="00A84130">
        <w:rPr>
          <w:rFonts w:ascii="Times New Roman" w:hAnsi="Times New Roman" w:cs="Times New Roman"/>
          <w:color w:val="auto"/>
          <w:sz w:val="20"/>
          <w:szCs w:val="20"/>
          <w:lang w:val="en-US" w:eastAsia="en-US"/>
        </w:rPr>
        <w:t xml:space="preserve"> of 188 countries. Estimates from poverty surveys indicate accelerated and inclusive growth</w:t>
      </w:r>
      <w:r w:rsidR="004A33C4" w:rsidRPr="00A84130">
        <w:rPr>
          <w:rFonts w:ascii="Times New Roman" w:hAnsi="Times New Roman" w:cs="Times New Roman"/>
          <w:color w:val="auto"/>
          <w:sz w:val="20"/>
          <w:szCs w:val="20"/>
          <w:lang w:val="en-US" w:eastAsia="en-US"/>
        </w:rPr>
        <w:t xml:space="preserve"> can </w:t>
      </w:r>
      <w:r w:rsidR="00F2476F">
        <w:rPr>
          <w:rFonts w:ascii="Times New Roman" w:hAnsi="Times New Roman" w:cs="Times New Roman"/>
          <w:color w:val="auto"/>
          <w:sz w:val="20"/>
          <w:szCs w:val="20"/>
          <w:lang w:val="en-US" w:eastAsia="en-US"/>
        </w:rPr>
        <w:t>have</w:t>
      </w:r>
      <w:r w:rsidR="00F2476F" w:rsidRPr="00A84130">
        <w:rPr>
          <w:rFonts w:ascii="Times New Roman" w:hAnsi="Times New Roman" w:cs="Times New Roman"/>
          <w:color w:val="auto"/>
          <w:sz w:val="20"/>
          <w:szCs w:val="20"/>
          <w:lang w:val="en-US" w:eastAsia="en-US"/>
        </w:rPr>
        <w:t xml:space="preserve"> </w:t>
      </w:r>
      <w:r w:rsidR="004A33C4" w:rsidRPr="00A84130">
        <w:rPr>
          <w:rFonts w:ascii="Times New Roman" w:hAnsi="Times New Roman" w:cs="Times New Roman"/>
          <w:color w:val="auto"/>
          <w:sz w:val="20"/>
          <w:szCs w:val="20"/>
          <w:lang w:val="en-US" w:eastAsia="en-US"/>
        </w:rPr>
        <w:t>the biggest impact on poverty reduction in Guinea.</w:t>
      </w:r>
      <w:r w:rsidR="00F14D0D" w:rsidRPr="00C9769D">
        <w:rPr>
          <w:rStyle w:val="FootnoteReference"/>
          <w:rFonts w:ascii="Times New Roman" w:hAnsi="Times New Roman"/>
          <w:color w:val="auto"/>
          <w:sz w:val="20"/>
          <w:szCs w:val="20"/>
          <w:lang w:val="en-US" w:eastAsia="en-US"/>
        </w:rPr>
        <w:footnoteReference w:id="10"/>
      </w:r>
      <w:r w:rsidR="001B4726" w:rsidRPr="00A84130">
        <w:rPr>
          <w:rFonts w:ascii="Times New Roman" w:hAnsi="Times New Roman" w:cs="Times New Roman"/>
          <w:color w:val="auto"/>
          <w:sz w:val="20"/>
          <w:szCs w:val="20"/>
          <w:lang w:val="en-US" w:eastAsia="en-US"/>
        </w:rPr>
        <w:t xml:space="preserve"> If growth is equitably distributed, </w:t>
      </w:r>
      <w:r w:rsidR="004A33C4" w:rsidRPr="00A84130">
        <w:rPr>
          <w:rFonts w:ascii="Times New Roman" w:hAnsi="Times New Roman" w:cs="Times New Roman"/>
          <w:color w:val="auto"/>
          <w:sz w:val="20"/>
          <w:szCs w:val="20"/>
          <w:lang w:val="en-US" w:eastAsia="en-US"/>
        </w:rPr>
        <w:t xml:space="preserve">1 per cent </w:t>
      </w:r>
      <w:r w:rsidR="001B4726" w:rsidRPr="00A84130">
        <w:rPr>
          <w:rFonts w:ascii="Times New Roman" w:hAnsi="Times New Roman" w:cs="Times New Roman"/>
          <w:color w:val="auto"/>
          <w:sz w:val="20"/>
          <w:szCs w:val="20"/>
          <w:lang w:val="en-US" w:eastAsia="en-US"/>
        </w:rPr>
        <w:t xml:space="preserve">growth in private consumption </w:t>
      </w:r>
      <w:r w:rsidR="00F2476F">
        <w:rPr>
          <w:rFonts w:ascii="Times New Roman" w:hAnsi="Times New Roman" w:cs="Times New Roman"/>
          <w:color w:val="auto"/>
          <w:sz w:val="20"/>
          <w:szCs w:val="20"/>
          <w:lang w:val="en-US" w:eastAsia="en-US"/>
        </w:rPr>
        <w:t>can</w:t>
      </w:r>
      <w:r w:rsidR="00F2476F" w:rsidRPr="00A84130">
        <w:rPr>
          <w:rFonts w:ascii="Times New Roman" w:hAnsi="Times New Roman" w:cs="Times New Roman"/>
          <w:color w:val="auto"/>
          <w:sz w:val="20"/>
          <w:szCs w:val="20"/>
          <w:lang w:val="en-US" w:eastAsia="en-US"/>
        </w:rPr>
        <w:t xml:space="preserve"> </w:t>
      </w:r>
      <w:r w:rsidR="001B4726" w:rsidRPr="00A84130">
        <w:rPr>
          <w:rFonts w:ascii="Times New Roman" w:hAnsi="Times New Roman" w:cs="Times New Roman"/>
          <w:color w:val="auto"/>
          <w:sz w:val="20"/>
          <w:szCs w:val="20"/>
          <w:lang w:val="en-US" w:eastAsia="en-US"/>
        </w:rPr>
        <w:t xml:space="preserve">lead to a </w:t>
      </w:r>
      <w:r w:rsidR="004A33C4" w:rsidRPr="00A84130">
        <w:rPr>
          <w:rFonts w:ascii="Times New Roman" w:hAnsi="Times New Roman" w:cs="Times New Roman"/>
          <w:color w:val="auto"/>
          <w:sz w:val="20"/>
          <w:szCs w:val="20"/>
          <w:lang w:val="en-US" w:eastAsia="en-US"/>
        </w:rPr>
        <w:t xml:space="preserve">full </w:t>
      </w:r>
      <w:r w:rsidR="001B4726" w:rsidRPr="00A84130">
        <w:rPr>
          <w:rFonts w:ascii="Times New Roman" w:hAnsi="Times New Roman" w:cs="Times New Roman"/>
          <w:color w:val="auto"/>
          <w:sz w:val="20"/>
          <w:szCs w:val="20"/>
          <w:lang w:val="en-US" w:eastAsia="en-US"/>
        </w:rPr>
        <w:t>percentage point reduction in the poverty rate</w:t>
      </w:r>
      <w:r w:rsidR="004A33C4" w:rsidRPr="00A84130">
        <w:rPr>
          <w:rFonts w:ascii="Times New Roman" w:hAnsi="Times New Roman" w:cs="Times New Roman"/>
          <w:color w:val="auto"/>
          <w:sz w:val="20"/>
          <w:szCs w:val="20"/>
          <w:lang w:val="en-US" w:eastAsia="en-US"/>
        </w:rPr>
        <w:t>.</w:t>
      </w:r>
      <w:r w:rsidR="00227872" w:rsidRPr="00C9769D">
        <w:rPr>
          <w:rStyle w:val="FootnoteReference"/>
          <w:rFonts w:ascii="Times New Roman" w:hAnsi="Times New Roman"/>
          <w:color w:val="auto"/>
          <w:sz w:val="20"/>
          <w:szCs w:val="20"/>
          <w:lang w:val="en-US" w:eastAsia="en-US"/>
        </w:rPr>
        <w:footnoteReference w:id="11"/>
      </w:r>
      <w:r w:rsidR="001B4726" w:rsidRPr="00A84130">
        <w:rPr>
          <w:rFonts w:ascii="Times New Roman" w:hAnsi="Times New Roman" w:cs="Times New Roman"/>
          <w:color w:val="auto"/>
          <w:sz w:val="20"/>
          <w:szCs w:val="20"/>
          <w:lang w:val="en-US" w:eastAsia="en-US"/>
        </w:rPr>
        <w:t xml:space="preserve"> A recent fragility analysis</w:t>
      </w:r>
      <w:r w:rsidR="00F14D0D" w:rsidRPr="00C9769D">
        <w:rPr>
          <w:rStyle w:val="FootnoteReference"/>
          <w:rFonts w:ascii="Times New Roman" w:hAnsi="Times New Roman"/>
          <w:color w:val="auto"/>
          <w:sz w:val="20"/>
          <w:szCs w:val="20"/>
          <w:lang w:val="en-US" w:eastAsia="en-US"/>
        </w:rPr>
        <w:footnoteReference w:id="12"/>
      </w:r>
      <w:r w:rsidR="00F14D0D" w:rsidRPr="00A84130">
        <w:rPr>
          <w:rFonts w:ascii="Times New Roman" w:hAnsi="Times New Roman" w:cs="Times New Roman"/>
          <w:color w:val="auto"/>
          <w:sz w:val="20"/>
          <w:szCs w:val="20"/>
          <w:lang w:val="en-US" w:eastAsia="en-US"/>
        </w:rPr>
        <w:t xml:space="preserve"> </w:t>
      </w:r>
      <w:r w:rsidR="001B4726" w:rsidRPr="00A84130">
        <w:rPr>
          <w:rFonts w:ascii="Times New Roman" w:hAnsi="Times New Roman" w:cs="Times New Roman"/>
          <w:color w:val="auto"/>
          <w:sz w:val="20"/>
          <w:szCs w:val="20"/>
          <w:lang w:val="en-US" w:eastAsia="en-US"/>
        </w:rPr>
        <w:t xml:space="preserve">revealed Guinea is still </w:t>
      </w:r>
      <w:r w:rsidR="004A33C4" w:rsidRPr="00A84130">
        <w:rPr>
          <w:rFonts w:ascii="Times New Roman" w:hAnsi="Times New Roman" w:cs="Times New Roman"/>
          <w:color w:val="auto"/>
          <w:sz w:val="20"/>
          <w:szCs w:val="20"/>
          <w:lang w:val="en-US" w:eastAsia="en-US"/>
        </w:rPr>
        <w:t xml:space="preserve">in </w:t>
      </w:r>
      <w:r w:rsidR="001B4726" w:rsidRPr="00A84130">
        <w:rPr>
          <w:rFonts w:ascii="Times New Roman" w:hAnsi="Times New Roman" w:cs="Times New Roman"/>
          <w:color w:val="auto"/>
          <w:sz w:val="20"/>
          <w:szCs w:val="20"/>
          <w:lang w:val="en-US" w:eastAsia="en-US"/>
        </w:rPr>
        <w:t>a “transition stage” and needs to strengthen its institutions and state-civil society relationship for increased effic</w:t>
      </w:r>
      <w:r w:rsidR="00F47D04" w:rsidRPr="00A84130">
        <w:rPr>
          <w:rFonts w:ascii="Times New Roman" w:hAnsi="Times New Roman" w:cs="Times New Roman"/>
          <w:color w:val="auto"/>
          <w:sz w:val="20"/>
          <w:szCs w:val="20"/>
          <w:lang w:val="en-US" w:eastAsia="en-US"/>
        </w:rPr>
        <w:t>ien</w:t>
      </w:r>
      <w:r w:rsidR="001B4726" w:rsidRPr="00A84130">
        <w:rPr>
          <w:rFonts w:ascii="Times New Roman" w:hAnsi="Times New Roman" w:cs="Times New Roman"/>
          <w:color w:val="auto"/>
          <w:sz w:val="20"/>
          <w:szCs w:val="20"/>
          <w:lang w:val="en-US" w:eastAsia="en-US"/>
        </w:rPr>
        <w:t>cy, transparency, accountability and resilience.</w:t>
      </w:r>
    </w:p>
    <w:p w14:paraId="6981C5B4" w14:textId="68EE87AE" w:rsidR="00A84130" w:rsidRDefault="00EB5AA1" w:rsidP="00047245">
      <w:pPr>
        <w:pStyle w:val="Default"/>
        <w:numPr>
          <w:ilvl w:val="0"/>
          <w:numId w:val="4"/>
        </w:numPr>
        <w:tabs>
          <w:tab w:val="left" w:pos="0"/>
          <w:tab w:val="left" w:pos="284"/>
          <w:tab w:val="left" w:pos="540"/>
          <w:tab w:val="left" w:pos="1080"/>
        </w:tabs>
        <w:spacing w:after="120"/>
        <w:ind w:left="810" w:right="1208" w:firstLine="0"/>
        <w:jc w:val="both"/>
        <w:rPr>
          <w:rFonts w:ascii="Times New Roman" w:hAnsi="Times New Roman" w:cs="Times New Roman"/>
          <w:color w:val="auto"/>
          <w:sz w:val="20"/>
          <w:szCs w:val="20"/>
          <w:lang w:val="en-US" w:eastAsia="en-US"/>
        </w:rPr>
      </w:pPr>
      <w:r>
        <w:rPr>
          <w:rFonts w:ascii="Times New Roman" w:hAnsi="Times New Roman" w:cs="Times New Roman"/>
          <w:color w:val="auto"/>
          <w:sz w:val="20"/>
          <w:szCs w:val="20"/>
          <w:lang w:val="en-US" w:eastAsia="en-US"/>
        </w:rPr>
        <w:t>The q</w:t>
      </w:r>
      <w:r w:rsidR="004A6607">
        <w:rPr>
          <w:rFonts w:ascii="Times New Roman" w:hAnsi="Times New Roman" w:cs="Times New Roman"/>
          <w:color w:val="auto"/>
          <w:sz w:val="20"/>
          <w:szCs w:val="20"/>
          <w:lang w:val="en-US" w:eastAsia="en-US"/>
        </w:rPr>
        <w:t>uality of g</w:t>
      </w:r>
      <w:r w:rsidR="004D3A8A" w:rsidRPr="00A84130">
        <w:rPr>
          <w:rFonts w:ascii="Times New Roman" w:hAnsi="Times New Roman" w:cs="Times New Roman"/>
          <w:color w:val="auto"/>
          <w:sz w:val="20"/>
          <w:szCs w:val="20"/>
          <w:lang w:val="en-US" w:eastAsia="en-US"/>
        </w:rPr>
        <w:t>overnance</w:t>
      </w:r>
      <w:r w:rsidR="004A33C4" w:rsidRPr="00A84130">
        <w:rPr>
          <w:rFonts w:ascii="Times New Roman" w:hAnsi="Times New Roman" w:cs="Times New Roman"/>
          <w:color w:val="auto"/>
          <w:sz w:val="20"/>
          <w:szCs w:val="20"/>
          <w:lang w:val="en-US" w:eastAsia="en-US"/>
        </w:rPr>
        <w:t xml:space="preserve"> </w:t>
      </w:r>
      <w:r w:rsidR="004A6607">
        <w:rPr>
          <w:rFonts w:ascii="Times New Roman" w:hAnsi="Times New Roman" w:cs="Times New Roman"/>
          <w:color w:val="auto"/>
          <w:sz w:val="20"/>
          <w:szCs w:val="20"/>
          <w:lang w:val="en-US" w:eastAsia="en-US"/>
        </w:rPr>
        <w:t>is</w:t>
      </w:r>
      <w:r w:rsidR="004A33C4" w:rsidRPr="00A84130">
        <w:rPr>
          <w:rFonts w:ascii="Times New Roman" w:hAnsi="Times New Roman" w:cs="Times New Roman"/>
          <w:color w:val="auto"/>
          <w:sz w:val="20"/>
          <w:szCs w:val="20"/>
          <w:lang w:val="en-US" w:eastAsia="en-US"/>
        </w:rPr>
        <w:t xml:space="preserve"> low</w:t>
      </w:r>
      <w:r w:rsidR="004A6607">
        <w:rPr>
          <w:rFonts w:ascii="Times New Roman" w:hAnsi="Times New Roman" w:cs="Times New Roman"/>
          <w:color w:val="auto"/>
          <w:sz w:val="20"/>
          <w:szCs w:val="20"/>
          <w:lang w:val="en-US" w:eastAsia="en-US"/>
        </w:rPr>
        <w:t xml:space="preserve"> in Guinea</w:t>
      </w:r>
      <w:r w:rsidR="004A33C4" w:rsidRPr="00A84130">
        <w:rPr>
          <w:rFonts w:ascii="Times New Roman" w:hAnsi="Times New Roman" w:cs="Times New Roman"/>
          <w:color w:val="auto"/>
          <w:sz w:val="20"/>
          <w:szCs w:val="20"/>
          <w:lang w:val="en-US" w:eastAsia="en-US"/>
        </w:rPr>
        <w:t>.</w:t>
      </w:r>
      <w:r w:rsidR="00F14D0D" w:rsidRPr="00C9769D">
        <w:rPr>
          <w:rStyle w:val="FootnoteReference"/>
          <w:rFonts w:ascii="Times New Roman" w:hAnsi="Times New Roman"/>
          <w:color w:val="auto"/>
          <w:sz w:val="20"/>
          <w:szCs w:val="20"/>
          <w:lang w:val="en-US" w:eastAsia="en-US"/>
        </w:rPr>
        <w:footnoteReference w:id="13"/>
      </w:r>
      <w:r w:rsidR="004D3A8A" w:rsidRPr="00A84130">
        <w:rPr>
          <w:rFonts w:ascii="Times New Roman" w:hAnsi="Times New Roman" w:cs="Times New Roman"/>
          <w:color w:val="auto"/>
          <w:sz w:val="20"/>
          <w:szCs w:val="20"/>
          <w:lang w:val="en-US" w:eastAsia="en-US"/>
        </w:rPr>
        <w:t xml:space="preserve"> A recent survey suggests citizen perception of public administration is negative with 84</w:t>
      </w:r>
      <w:r w:rsidR="004F4295" w:rsidRPr="00A84130">
        <w:rPr>
          <w:rFonts w:ascii="Times New Roman" w:hAnsi="Times New Roman" w:cs="Times New Roman"/>
          <w:color w:val="auto"/>
          <w:sz w:val="20"/>
          <w:szCs w:val="20"/>
          <w:lang w:val="en-US" w:eastAsia="en-US"/>
        </w:rPr>
        <w:t xml:space="preserve"> per cent of</w:t>
      </w:r>
      <w:r w:rsidR="004D3A8A" w:rsidRPr="00A84130">
        <w:rPr>
          <w:rFonts w:ascii="Times New Roman" w:hAnsi="Times New Roman" w:cs="Times New Roman"/>
          <w:color w:val="auto"/>
          <w:sz w:val="20"/>
          <w:szCs w:val="20"/>
          <w:lang w:val="en-US" w:eastAsia="en-US"/>
        </w:rPr>
        <w:t xml:space="preserve"> respondents stating that public services </w:t>
      </w:r>
      <w:r w:rsidR="004A1F3D" w:rsidRPr="00A84130">
        <w:rPr>
          <w:rFonts w:ascii="Times New Roman" w:hAnsi="Times New Roman" w:cs="Times New Roman"/>
          <w:color w:val="auto"/>
          <w:sz w:val="20"/>
          <w:szCs w:val="20"/>
          <w:lang w:val="en-US" w:eastAsia="en-US"/>
        </w:rPr>
        <w:t>are corrupt</w:t>
      </w:r>
      <w:r w:rsidR="004F4295" w:rsidRPr="00A84130">
        <w:rPr>
          <w:rFonts w:ascii="Times New Roman" w:hAnsi="Times New Roman" w:cs="Times New Roman"/>
          <w:color w:val="auto"/>
          <w:sz w:val="20"/>
          <w:szCs w:val="20"/>
          <w:lang w:val="en-US" w:eastAsia="en-US"/>
        </w:rPr>
        <w:t xml:space="preserve">, </w:t>
      </w:r>
      <w:r w:rsidR="00F2476F">
        <w:rPr>
          <w:rFonts w:ascii="Times New Roman" w:hAnsi="Times New Roman" w:cs="Times New Roman"/>
          <w:color w:val="auto"/>
          <w:sz w:val="20"/>
          <w:szCs w:val="20"/>
          <w:lang w:val="en-US" w:eastAsia="en-US"/>
        </w:rPr>
        <w:t>while</w:t>
      </w:r>
      <w:r w:rsidR="00F2476F" w:rsidRPr="00A84130">
        <w:rPr>
          <w:rFonts w:ascii="Times New Roman" w:hAnsi="Times New Roman" w:cs="Times New Roman"/>
          <w:color w:val="auto"/>
          <w:sz w:val="20"/>
          <w:szCs w:val="20"/>
          <w:lang w:val="en-US" w:eastAsia="en-US"/>
        </w:rPr>
        <w:t xml:space="preserve"> </w:t>
      </w:r>
      <w:r w:rsidR="004D3A8A" w:rsidRPr="00A84130">
        <w:rPr>
          <w:rFonts w:ascii="Times New Roman" w:hAnsi="Times New Roman" w:cs="Times New Roman"/>
          <w:color w:val="auto"/>
          <w:sz w:val="20"/>
          <w:szCs w:val="20"/>
          <w:lang w:val="en-US" w:eastAsia="en-US"/>
        </w:rPr>
        <w:t>77</w:t>
      </w:r>
      <w:r w:rsidR="004F4295" w:rsidRPr="00A84130">
        <w:rPr>
          <w:rFonts w:ascii="Times New Roman" w:hAnsi="Times New Roman" w:cs="Times New Roman"/>
          <w:color w:val="auto"/>
          <w:sz w:val="20"/>
          <w:szCs w:val="20"/>
          <w:lang w:val="en-US" w:eastAsia="en-US"/>
        </w:rPr>
        <w:t xml:space="preserve"> per cent</w:t>
      </w:r>
      <w:r w:rsidR="00F14D0D" w:rsidRPr="00C9769D">
        <w:rPr>
          <w:rStyle w:val="FootnoteReference"/>
          <w:rFonts w:ascii="Times New Roman" w:hAnsi="Times New Roman"/>
          <w:color w:val="auto"/>
          <w:sz w:val="20"/>
          <w:szCs w:val="20"/>
          <w:lang w:val="en-US" w:eastAsia="en-US"/>
        </w:rPr>
        <w:footnoteReference w:id="14"/>
      </w:r>
      <w:r w:rsidR="00F14D0D" w:rsidRPr="00A84130">
        <w:rPr>
          <w:rFonts w:ascii="Times New Roman" w:hAnsi="Times New Roman" w:cs="Times New Roman"/>
          <w:color w:val="auto"/>
          <w:sz w:val="20"/>
          <w:szCs w:val="20"/>
          <w:lang w:val="en-US" w:eastAsia="en-US"/>
        </w:rPr>
        <w:t xml:space="preserve"> </w:t>
      </w:r>
      <w:r w:rsidR="004D3A8A" w:rsidRPr="00A84130">
        <w:rPr>
          <w:rFonts w:ascii="Times New Roman" w:hAnsi="Times New Roman" w:cs="Times New Roman"/>
          <w:color w:val="auto"/>
          <w:sz w:val="20"/>
          <w:szCs w:val="20"/>
          <w:lang w:val="en-US" w:eastAsia="en-US"/>
        </w:rPr>
        <w:t xml:space="preserve">have limited trust in the justice system. Women, youth and </w:t>
      </w:r>
      <w:r w:rsidR="004F4295" w:rsidRPr="00A84130">
        <w:rPr>
          <w:rFonts w:ascii="Times New Roman" w:hAnsi="Times New Roman" w:cs="Times New Roman"/>
          <w:color w:val="auto"/>
          <w:sz w:val="20"/>
          <w:szCs w:val="20"/>
          <w:lang w:val="en-US" w:eastAsia="en-US"/>
        </w:rPr>
        <w:t xml:space="preserve">people </w:t>
      </w:r>
      <w:r w:rsidR="004D3A8A" w:rsidRPr="00A84130">
        <w:rPr>
          <w:rFonts w:ascii="Times New Roman" w:hAnsi="Times New Roman" w:cs="Times New Roman"/>
          <w:color w:val="auto"/>
          <w:sz w:val="20"/>
          <w:szCs w:val="20"/>
          <w:lang w:val="en-US" w:eastAsia="en-US"/>
        </w:rPr>
        <w:t xml:space="preserve">with disabilities are largely excluded from political debates and decisions-making processes. Women are </w:t>
      </w:r>
      <w:r w:rsidR="004F4295" w:rsidRPr="00A84130">
        <w:rPr>
          <w:rFonts w:ascii="Times New Roman" w:hAnsi="Times New Roman" w:cs="Times New Roman"/>
          <w:color w:val="auto"/>
          <w:sz w:val="20"/>
          <w:szCs w:val="20"/>
          <w:lang w:val="en-US" w:eastAsia="en-US"/>
        </w:rPr>
        <w:t xml:space="preserve">a </w:t>
      </w:r>
      <w:r w:rsidR="004D3A8A" w:rsidRPr="00A84130">
        <w:rPr>
          <w:rFonts w:ascii="Times New Roman" w:hAnsi="Times New Roman" w:cs="Times New Roman"/>
          <w:color w:val="auto"/>
          <w:sz w:val="20"/>
          <w:szCs w:val="20"/>
          <w:lang w:val="en-US" w:eastAsia="en-US"/>
        </w:rPr>
        <w:t xml:space="preserve">minority in leadership </w:t>
      </w:r>
      <w:r w:rsidR="004F4295" w:rsidRPr="00A84130">
        <w:rPr>
          <w:rFonts w:ascii="Times New Roman" w:hAnsi="Times New Roman" w:cs="Times New Roman"/>
          <w:color w:val="auto"/>
          <w:sz w:val="20"/>
          <w:szCs w:val="20"/>
          <w:lang w:val="en-US" w:eastAsia="en-US"/>
        </w:rPr>
        <w:t xml:space="preserve">positions in </w:t>
      </w:r>
      <w:r w:rsidR="004D3A8A" w:rsidRPr="00A84130">
        <w:rPr>
          <w:rFonts w:ascii="Times New Roman" w:hAnsi="Times New Roman" w:cs="Times New Roman"/>
          <w:color w:val="auto"/>
          <w:sz w:val="20"/>
          <w:szCs w:val="20"/>
          <w:lang w:val="en-US" w:eastAsia="en-US"/>
        </w:rPr>
        <w:t>public and private enterprises</w:t>
      </w:r>
      <w:r w:rsidR="004F4295" w:rsidRPr="00A84130">
        <w:rPr>
          <w:rFonts w:ascii="Times New Roman" w:hAnsi="Times New Roman" w:cs="Times New Roman"/>
          <w:color w:val="auto"/>
          <w:sz w:val="20"/>
          <w:szCs w:val="20"/>
          <w:lang w:val="en-US" w:eastAsia="en-US"/>
        </w:rPr>
        <w:t>,</w:t>
      </w:r>
      <w:r w:rsidR="004D3A8A" w:rsidRPr="00A84130">
        <w:rPr>
          <w:rFonts w:ascii="Times New Roman" w:hAnsi="Times New Roman" w:cs="Times New Roman"/>
          <w:color w:val="auto"/>
          <w:sz w:val="20"/>
          <w:szCs w:val="20"/>
          <w:lang w:val="en-US" w:eastAsia="en-US"/>
        </w:rPr>
        <w:t xml:space="preserve"> and underrepresented in political and electoral pro</w:t>
      </w:r>
      <w:r w:rsidR="00936451" w:rsidRPr="00A84130">
        <w:rPr>
          <w:rFonts w:ascii="Times New Roman" w:hAnsi="Times New Roman" w:cs="Times New Roman"/>
          <w:color w:val="auto"/>
          <w:sz w:val="20"/>
          <w:szCs w:val="20"/>
          <w:lang w:val="en-US" w:eastAsia="en-US"/>
        </w:rPr>
        <w:t xml:space="preserve">cesses. </w:t>
      </w:r>
      <w:r w:rsidR="006762E2">
        <w:rPr>
          <w:rFonts w:ascii="Times New Roman" w:hAnsi="Times New Roman" w:cs="Times New Roman"/>
          <w:color w:val="auto"/>
          <w:sz w:val="20"/>
          <w:szCs w:val="20"/>
          <w:lang w:val="en-US" w:eastAsia="en-US"/>
        </w:rPr>
        <w:t>Only</w:t>
      </w:r>
      <w:r w:rsidR="004F4295" w:rsidRPr="00A84130">
        <w:rPr>
          <w:rFonts w:ascii="Times New Roman" w:hAnsi="Times New Roman" w:cs="Times New Roman"/>
          <w:color w:val="auto"/>
          <w:sz w:val="20"/>
          <w:szCs w:val="20"/>
          <w:lang w:val="en-US" w:eastAsia="en-US"/>
        </w:rPr>
        <w:t xml:space="preserve"> </w:t>
      </w:r>
      <w:r w:rsidR="00936451" w:rsidRPr="00A84130">
        <w:rPr>
          <w:rFonts w:ascii="Times New Roman" w:hAnsi="Times New Roman" w:cs="Times New Roman"/>
          <w:color w:val="auto"/>
          <w:sz w:val="20"/>
          <w:szCs w:val="20"/>
          <w:lang w:val="en-US" w:eastAsia="en-US"/>
        </w:rPr>
        <w:t>21.9</w:t>
      </w:r>
      <w:r w:rsidR="004F4295" w:rsidRPr="00A84130">
        <w:rPr>
          <w:rFonts w:ascii="Times New Roman" w:hAnsi="Times New Roman" w:cs="Times New Roman"/>
          <w:color w:val="auto"/>
          <w:sz w:val="20"/>
          <w:szCs w:val="20"/>
          <w:lang w:val="en-US" w:eastAsia="en-US"/>
        </w:rPr>
        <w:t xml:space="preserve"> per cent</w:t>
      </w:r>
      <w:r w:rsidR="0093192B" w:rsidRPr="00C9769D">
        <w:rPr>
          <w:rStyle w:val="FootnoteReference"/>
          <w:rFonts w:ascii="Times New Roman" w:hAnsi="Times New Roman"/>
          <w:color w:val="auto"/>
          <w:sz w:val="20"/>
          <w:szCs w:val="20"/>
          <w:lang w:val="en-US" w:eastAsia="en-US"/>
        </w:rPr>
        <w:footnoteReference w:id="15"/>
      </w:r>
      <w:r w:rsidR="0093192B" w:rsidRPr="00A84130">
        <w:rPr>
          <w:rFonts w:ascii="Times New Roman" w:hAnsi="Times New Roman" w:cs="Times New Roman"/>
          <w:color w:val="auto"/>
          <w:sz w:val="20"/>
          <w:szCs w:val="20"/>
          <w:lang w:val="en-US" w:eastAsia="en-US"/>
        </w:rPr>
        <w:t xml:space="preserve"> </w:t>
      </w:r>
      <w:r w:rsidR="004D3A8A" w:rsidRPr="00A84130">
        <w:rPr>
          <w:rFonts w:ascii="Times New Roman" w:hAnsi="Times New Roman" w:cs="Times New Roman"/>
          <w:color w:val="auto"/>
          <w:sz w:val="20"/>
          <w:szCs w:val="20"/>
          <w:lang w:val="en-US" w:eastAsia="en-US"/>
        </w:rPr>
        <w:t>of national parliamentarians are women</w:t>
      </w:r>
      <w:r w:rsidR="004F4295" w:rsidRPr="00A84130">
        <w:rPr>
          <w:rFonts w:ascii="Times New Roman" w:hAnsi="Times New Roman" w:cs="Times New Roman"/>
          <w:color w:val="auto"/>
          <w:sz w:val="20"/>
          <w:szCs w:val="20"/>
          <w:lang w:val="en-US" w:eastAsia="en-US"/>
        </w:rPr>
        <w:t>,</w:t>
      </w:r>
      <w:r w:rsidR="004D3A8A" w:rsidRPr="00A84130">
        <w:rPr>
          <w:rFonts w:ascii="Times New Roman" w:hAnsi="Times New Roman" w:cs="Times New Roman"/>
          <w:color w:val="auto"/>
          <w:sz w:val="20"/>
          <w:szCs w:val="20"/>
          <w:lang w:val="en-US" w:eastAsia="en-US"/>
        </w:rPr>
        <w:t xml:space="preserve"> and </w:t>
      </w:r>
      <w:r w:rsidR="00F2476F">
        <w:rPr>
          <w:rFonts w:ascii="Times New Roman" w:hAnsi="Times New Roman" w:cs="Times New Roman"/>
          <w:color w:val="auto"/>
          <w:sz w:val="20"/>
          <w:szCs w:val="20"/>
          <w:lang w:val="en-US" w:eastAsia="en-US"/>
        </w:rPr>
        <w:t>seven</w:t>
      </w:r>
      <w:r w:rsidR="007B2E9C">
        <w:rPr>
          <w:rFonts w:ascii="Times New Roman" w:hAnsi="Times New Roman" w:cs="Times New Roman"/>
          <w:color w:val="auto"/>
          <w:sz w:val="20"/>
          <w:szCs w:val="20"/>
          <w:lang w:val="en-US" w:eastAsia="en-US"/>
        </w:rPr>
        <w:t xml:space="preserve"> </w:t>
      </w:r>
      <w:r w:rsidR="004D3A8A" w:rsidRPr="00A84130">
        <w:rPr>
          <w:rFonts w:ascii="Times New Roman" w:hAnsi="Times New Roman" w:cs="Times New Roman"/>
          <w:color w:val="auto"/>
          <w:sz w:val="20"/>
          <w:szCs w:val="20"/>
          <w:lang w:val="en-US" w:eastAsia="en-US"/>
        </w:rPr>
        <w:t>government ministers</w:t>
      </w:r>
      <w:r w:rsidR="00C244A8" w:rsidRPr="00A84130">
        <w:rPr>
          <w:rFonts w:ascii="Times New Roman" w:hAnsi="Times New Roman" w:cs="Times New Roman"/>
          <w:color w:val="auto"/>
          <w:sz w:val="20"/>
          <w:szCs w:val="20"/>
          <w:lang w:val="en-US" w:eastAsia="en-US"/>
        </w:rPr>
        <w:t xml:space="preserve"> out of 34</w:t>
      </w:r>
      <w:r w:rsidR="004D3A8A" w:rsidRPr="00A84130">
        <w:rPr>
          <w:rFonts w:ascii="Times New Roman" w:hAnsi="Times New Roman" w:cs="Times New Roman"/>
          <w:color w:val="auto"/>
          <w:sz w:val="20"/>
          <w:szCs w:val="20"/>
          <w:lang w:val="en-US" w:eastAsia="en-US"/>
        </w:rPr>
        <w:t xml:space="preserve"> are women</w:t>
      </w:r>
      <w:r w:rsidR="00144976">
        <w:rPr>
          <w:rFonts w:ascii="Times New Roman" w:hAnsi="Times New Roman" w:cs="Times New Roman"/>
          <w:color w:val="auto"/>
          <w:sz w:val="20"/>
          <w:szCs w:val="20"/>
          <w:lang w:val="en-US" w:eastAsia="en-US"/>
        </w:rPr>
        <w:t xml:space="preserve">, which </w:t>
      </w:r>
      <w:r w:rsidR="004D3A8A" w:rsidRPr="00A84130">
        <w:rPr>
          <w:rFonts w:ascii="Times New Roman" w:hAnsi="Times New Roman" w:cs="Times New Roman"/>
          <w:color w:val="auto"/>
          <w:sz w:val="20"/>
          <w:szCs w:val="20"/>
          <w:lang w:val="en-US" w:eastAsia="en-US"/>
        </w:rPr>
        <w:t>is below the 30</w:t>
      </w:r>
      <w:r w:rsidR="003A026B" w:rsidRPr="00A84130">
        <w:rPr>
          <w:rFonts w:ascii="Times New Roman" w:hAnsi="Times New Roman" w:cs="Times New Roman"/>
          <w:color w:val="auto"/>
          <w:sz w:val="20"/>
          <w:szCs w:val="20"/>
          <w:lang w:val="en-US" w:eastAsia="en-US"/>
        </w:rPr>
        <w:t xml:space="preserve"> per cent</w:t>
      </w:r>
      <w:r w:rsidR="004D3A8A" w:rsidRPr="00A84130">
        <w:rPr>
          <w:rFonts w:ascii="Times New Roman" w:hAnsi="Times New Roman" w:cs="Times New Roman"/>
          <w:color w:val="auto"/>
          <w:sz w:val="20"/>
          <w:szCs w:val="20"/>
          <w:lang w:val="en-US" w:eastAsia="en-US"/>
        </w:rPr>
        <w:t xml:space="preserve"> constitutional target. </w:t>
      </w:r>
      <w:r w:rsidR="00F14D0D" w:rsidRPr="00A84130">
        <w:rPr>
          <w:rFonts w:ascii="Times New Roman" w:hAnsi="Times New Roman" w:cs="Times New Roman"/>
          <w:color w:val="auto"/>
          <w:sz w:val="20"/>
          <w:szCs w:val="20"/>
          <w:lang w:val="en-US" w:eastAsia="en-US"/>
        </w:rPr>
        <w:t>T</w:t>
      </w:r>
      <w:r w:rsidR="00B61916" w:rsidRPr="00A84130">
        <w:rPr>
          <w:rFonts w:ascii="Times New Roman" w:hAnsi="Times New Roman" w:cs="Times New Roman"/>
          <w:color w:val="auto"/>
          <w:sz w:val="20"/>
          <w:szCs w:val="20"/>
          <w:lang w:val="en-US" w:eastAsia="en-US"/>
        </w:rPr>
        <w:t xml:space="preserve">he resumption of political dialogue </w:t>
      </w:r>
      <w:r w:rsidR="003A026B" w:rsidRPr="00A84130">
        <w:rPr>
          <w:rFonts w:ascii="Times New Roman" w:hAnsi="Times New Roman" w:cs="Times New Roman"/>
          <w:color w:val="auto"/>
          <w:sz w:val="20"/>
          <w:szCs w:val="20"/>
          <w:lang w:val="en-US" w:eastAsia="en-US"/>
        </w:rPr>
        <w:t>following</w:t>
      </w:r>
      <w:r w:rsidR="00B61916" w:rsidRPr="00A84130">
        <w:rPr>
          <w:rFonts w:ascii="Times New Roman" w:hAnsi="Times New Roman" w:cs="Times New Roman"/>
          <w:color w:val="auto"/>
          <w:sz w:val="20"/>
          <w:szCs w:val="20"/>
          <w:lang w:val="en-US" w:eastAsia="en-US"/>
        </w:rPr>
        <w:t xml:space="preserve"> the </w:t>
      </w:r>
      <w:r w:rsidR="003A026B" w:rsidRPr="00A84130">
        <w:rPr>
          <w:rFonts w:ascii="Times New Roman" w:hAnsi="Times New Roman" w:cs="Times New Roman"/>
          <w:color w:val="auto"/>
          <w:sz w:val="20"/>
          <w:szCs w:val="20"/>
          <w:lang w:val="en-US" w:eastAsia="en-US"/>
        </w:rPr>
        <w:t xml:space="preserve">Ebola </w:t>
      </w:r>
      <w:r w:rsidR="00B61916" w:rsidRPr="00A84130">
        <w:rPr>
          <w:rFonts w:ascii="Times New Roman" w:hAnsi="Times New Roman" w:cs="Times New Roman"/>
          <w:color w:val="auto"/>
          <w:sz w:val="20"/>
          <w:szCs w:val="20"/>
          <w:lang w:val="en-US" w:eastAsia="en-US"/>
        </w:rPr>
        <w:t xml:space="preserve">epidemic </w:t>
      </w:r>
      <w:r w:rsidR="003A026B" w:rsidRPr="00A84130">
        <w:rPr>
          <w:rFonts w:ascii="Times New Roman" w:hAnsi="Times New Roman" w:cs="Times New Roman"/>
          <w:color w:val="auto"/>
          <w:sz w:val="20"/>
          <w:szCs w:val="20"/>
          <w:lang w:val="en-US" w:eastAsia="en-US"/>
        </w:rPr>
        <w:t>helped improve the</w:t>
      </w:r>
      <w:r w:rsidR="00B61916" w:rsidRPr="00A84130">
        <w:rPr>
          <w:rFonts w:ascii="Times New Roman" w:hAnsi="Times New Roman" w:cs="Times New Roman"/>
          <w:color w:val="auto"/>
          <w:sz w:val="20"/>
          <w:szCs w:val="20"/>
          <w:lang w:val="en-US" w:eastAsia="en-US"/>
        </w:rPr>
        <w:t xml:space="preserve"> socio-political situation</w:t>
      </w:r>
      <w:r w:rsidR="003A026B" w:rsidRPr="00A84130">
        <w:rPr>
          <w:rFonts w:ascii="Times New Roman" w:hAnsi="Times New Roman" w:cs="Times New Roman"/>
          <w:color w:val="auto"/>
          <w:sz w:val="20"/>
          <w:szCs w:val="20"/>
          <w:lang w:val="en-US" w:eastAsia="en-US"/>
        </w:rPr>
        <w:t>. L</w:t>
      </w:r>
      <w:r w:rsidR="00B61916" w:rsidRPr="00A84130">
        <w:rPr>
          <w:rFonts w:ascii="Times New Roman" w:hAnsi="Times New Roman" w:cs="Times New Roman"/>
          <w:color w:val="auto"/>
          <w:sz w:val="20"/>
          <w:szCs w:val="20"/>
          <w:lang w:val="en-US" w:eastAsia="en-US"/>
        </w:rPr>
        <w:t>ocal elections are scheduled for 2017</w:t>
      </w:r>
      <w:r w:rsidR="003A026B" w:rsidRPr="00A84130">
        <w:rPr>
          <w:rFonts w:ascii="Times New Roman" w:hAnsi="Times New Roman" w:cs="Times New Roman"/>
          <w:color w:val="auto"/>
          <w:sz w:val="20"/>
          <w:szCs w:val="20"/>
          <w:lang w:val="en-US" w:eastAsia="en-US"/>
        </w:rPr>
        <w:t xml:space="preserve"> but </w:t>
      </w:r>
      <w:r w:rsidR="00B61916" w:rsidRPr="00A84130">
        <w:rPr>
          <w:rFonts w:ascii="Times New Roman" w:hAnsi="Times New Roman" w:cs="Times New Roman"/>
          <w:color w:val="auto"/>
          <w:sz w:val="20"/>
          <w:szCs w:val="20"/>
          <w:lang w:val="en-US" w:eastAsia="en-US"/>
        </w:rPr>
        <w:t xml:space="preserve">the political and social system </w:t>
      </w:r>
      <w:r w:rsidR="004A6607">
        <w:rPr>
          <w:rFonts w:ascii="Times New Roman" w:hAnsi="Times New Roman" w:cs="Times New Roman"/>
          <w:color w:val="auto"/>
          <w:sz w:val="20"/>
          <w:szCs w:val="20"/>
          <w:lang w:val="en-US" w:eastAsia="en-US"/>
        </w:rPr>
        <w:t>is</w:t>
      </w:r>
      <w:r w:rsidR="004A6607" w:rsidRPr="00A84130">
        <w:rPr>
          <w:rFonts w:ascii="Times New Roman" w:hAnsi="Times New Roman" w:cs="Times New Roman"/>
          <w:color w:val="auto"/>
          <w:sz w:val="20"/>
          <w:szCs w:val="20"/>
          <w:lang w:val="en-US" w:eastAsia="en-US"/>
        </w:rPr>
        <w:t xml:space="preserve"> </w:t>
      </w:r>
      <w:r w:rsidR="00B61916" w:rsidRPr="00A84130">
        <w:rPr>
          <w:rFonts w:ascii="Times New Roman" w:hAnsi="Times New Roman" w:cs="Times New Roman"/>
          <w:color w:val="auto"/>
          <w:sz w:val="20"/>
          <w:szCs w:val="20"/>
          <w:lang w:val="en-US" w:eastAsia="en-US"/>
        </w:rPr>
        <w:t>fragile, characterized by deferral of local elections beyond deadlines set out in successive political agreements</w:t>
      </w:r>
      <w:r w:rsidR="00DB739A" w:rsidRPr="00A84130">
        <w:rPr>
          <w:rFonts w:ascii="Times New Roman" w:hAnsi="Times New Roman" w:cs="Times New Roman"/>
          <w:color w:val="auto"/>
          <w:sz w:val="20"/>
          <w:szCs w:val="20"/>
          <w:lang w:val="en-US" w:eastAsia="en-US"/>
        </w:rPr>
        <w:t>,</w:t>
      </w:r>
      <w:r w:rsidR="0093192B" w:rsidRPr="00C9769D">
        <w:rPr>
          <w:rStyle w:val="FootnoteReference"/>
          <w:rFonts w:ascii="Times New Roman" w:hAnsi="Times New Roman"/>
          <w:color w:val="auto"/>
          <w:sz w:val="20"/>
          <w:szCs w:val="20"/>
          <w:lang w:val="en-US" w:eastAsia="en-US"/>
        </w:rPr>
        <w:footnoteReference w:id="16"/>
      </w:r>
      <w:r w:rsidR="003E00D2" w:rsidRPr="00A84130">
        <w:rPr>
          <w:rFonts w:ascii="Times New Roman" w:hAnsi="Times New Roman" w:cs="Times New Roman"/>
          <w:color w:val="auto"/>
          <w:sz w:val="20"/>
          <w:szCs w:val="20"/>
          <w:lang w:val="en-US" w:eastAsia="en-US"/>
        </w:rPr>
        <w:t xml:space="preserve"> </w:t>
      </w:r>
      <w:r w:rsidR="00DB739A" w:rsidRPr="00A84130">
        <w:rPr>
          <w:rFonts w:ascii="Times New Roman" w:hAnsi="Times New Roman" w:cs="Times New Roman"/>
          <w:color w:val="auto"/>
          <w:sz w:val="20"/>
          <w:szCs w:val="20"/>
          <w:lang w:val="en-US" w:eastAsia="en-US"/>
        </w:rPr>
        <w:t>which have</w:t>
      </w:r>
      <w:r w:rsidR="003A026B" w:rsidRPr="00A84130">
        <w:rPr>
          <w:rFonts w:ascii="Times New Roman" w:hAnsi="Times New Roman" w:cs="Times New Roman"/>
          <w:color w:val="auto"/>
          <w:sz w:val="20"/>
          <w:szCs w:val="20"/>
          <w:lang w:val="en-US" w:eastAsia="en-US"/>
        </w:rPr>
        <w:t xml:space="preserve"> led to</w:t>
      </w:r>
      <w:r w:rsidR="00B61916" w:rsidRPr="00A84130">
        <w:rPr>
          <w:rFonts w:ascii="Times New Roman" w:hAnsi="Times New Roman" w:cs="Times New Roman"/>
          <w:color w:val="auto"/>
          <w:sz w:val="20"/>
          <w:szCs w:val="20"/>
          <w:lang w:val="en-US" w:eastAsia="en-US"/>
        </w:rPr>
        <w:t xml:space="preserve"> political tension. </w:t>
      </w:r>
      <w:r w:rsidR="00144976">
        <w:rPr>
          <w:rFonts w:ascii="Times New Roman" w:hAnsi="Times New Roman" w:cs="Times New Roman"/>
          <w:color w:val="auto"/>
          <w:sz w:val="20"/>
          <w:szCs w:val="20"/>
          <w:lang w:val="en-US" w:eastAsia="en-US"/>
        </w:rPr>
        <w:t>A</w:t>
      </w:r>
      <w:r w:rsidR="00144976" w:rsidRPr="00A84130">
        <w:rPr>
          <w:rFonts w:ascii="Times New Roman" w:hAnsi="Times New Roman" w:cs="Times New Roman"/>
          <w:color w:val="auto"/>
          <w:sz w:val="20"/>
          <w:szCs w:val="20"/>
          <w:lang w:val="en-US" w:eastAsia="en-US"/>
        </w:rPr>
        <w:t xml:space="preserve"> </w:t>
      </w:r>
      <w:r w:rsidR="00170CCF" w:rsidRPr="00A84130">
        <w:rPr>
          <w:rFonts w:ascii="Times New Roman" w:hAnsi="Times New Roman" w:cs="Times New Roman"/>
          <w:color w:val="auto"/>
          <w:sz w:val="20"/>
          <w:szCs w:val="20"/>
          <w:lang w:val="en-US" w:eastAsia="en-US"/>
        </w:rPr>
        <w:t>lack of regular updates and harmonization of legal and regulatory frameworks, policies and strategies on rule of law, inclusive growth and environment weakens overall coherence, hinders enforcement</w:t>
      </w:r>
      <w:r w:rsidR="0093192B" w:rsidRPr="00C9769D">
        <w:rPr>
          <w:rStyle w:val="FootnoteReference"/>
          <w:rFonts w:ascii="Times New Roman" w:hAnsi="Times New Roman"/>
          <w:color w:val="auto"/>
          <w:sz w:val="20"/>
          <w:szCs w:val="20"/>
          <w:lang w:val="en-US" w:eastAsia="en-US"/>
        </w:rPr>
        <w:footnoteReference w:id="17"/>
      </w:r>
      <w:r w:rsidR="003F5EF8" w:rsidRPr="00A84130">
        <w:rPr>
          <w:rFonts w:ascii="Times New Roman" w:hAnsi="Times New Roman" w:cs="Times New Roman"/>
          <w:color w:val="auto"/>
          <w:sz w:val="20"/>
          <w:szCs w:val="20"/>
          <w:lang w:val="en-US" w:eastAsia="en-US"/>
        </w:rPr>
        <w:t xml:space="preserve"> </w:t>
      </w:r>
      <w:r w:rsidR="00170CCF" w:rsidRPr="00A84130">
        <w:rPr>
          <w:rFonts w:ascii="Times New Roman" w:hAnsi="Times New Roman" w:cs="Times New Roman"/>
          <w:color w:val="auto"/>
          <w:sz w:val="20"/>
          <w:szCs w:val="20"/>
          <w:lang w:val="en-US" w:eastAsia="en-US"/>
        </w:rPr>
        <w:t xml:space="preserve">and effectiveness. </w:t>
      </w:r>
      <w:r w:rsidR="00B61916" w:rsidRPr="00A84130">
        <w:rPr>
          <w:rFonts w:ascii="Times New Roman" w:hAnsi="Times New Roman" w:cs="Times New Roman"/>
          <w:color w:val="auto"/>
          <w:sz w:val="20"/>
          <w:szCs w:val="20"/>
          <w:lang w:val="en-US" w:eastAsia="en-US"/>
        </w:rPr>
        <w:t xml:space="preserve">Fostering dialogue among political </w:t>
      </w:r>
      <w:r w:rsidR="00B61916" w:rsidRPr="00A84130">
        <w:rPr>
          <w:rFonts w:ascii="Times New Roman" w:hAnsi="Times New Roman" w:cs="Times New Roman"/>
          <w:color w:val="auto"/>
          <w:sz w:val="20"/>
          <w:szCs w:val="20"/>
          <w:lang w:val="en-US" w:eastAsia="en-US"/>
        </w:rPr>
        <w:lastRenderedPageBreak/>
        <w:t xml:space="preserve">stakeholders </w:t>
      </w:r>
      <w:r w:rsidR="00DB739A" w:rsidRPr="00A84130">
        <w:rPr>
          <w:rFonts w:ascii="Times New Roman" w:hAnsi="Times New Roman" w:cs="Times New Roman"/>
          <w:color w:val="auto"/>
          <w:sz w:val="20"/>
          <w:szCs w:val="20"/>
          <w:lang w:val="en-US" w:eastAsia="en-US"/>
        </w:rPr>
        <w:t>and</w:t>
      </w:r>
      <w:r w:rsidR="00170CCF" w:rsidRPr="00A84130">
        <w:rPr>
          <w:rFonts w:ascii="Times New Roman" w:hAnsi="Times New Roman" w:cs="Times New Roman"/>
          <w:color w:val="auto"/>
          <w:sz w:val="20"/>
          <w:szCs w:val="20"/>
          <w:lang w:val="en-US" w:eastAsia="en-US"/>
        </w:rPr>
        <w:t xml:space="preserve"> </w:t>
      </w:r>
      <w:r w:rsidR="00B61916" w:rsidRPr="00A84130">
        <w:rPr>
          <w:rFonts w:ascii="Times New Roman" w:hAnsi="Times New Roman" w:cs="Times New Roman"/>
          <w:color w:val="auto"/>
          <w:sz w:val="20"/>
          <w:szCs w:val="20"/>
          <w:lang w:val="en-US" w:eastAsia="en-US"/>
        </w:rPr>
        <w:t xml:space="preserve">strengthening relevant public institutions </w:t>
      </w:r>
      <w:r w:rsidR="00DB739A" w:rsidRPr="00A84130">
        <w:rPr>
          <w:rFonts w:ascii="Times New Roman" w:hAnsi="Times New Roman" w:cs="Times New Roman"/>
          <w:color w:val="auto"/>
          <w:sz w:val="20"/>
          <w:szCs w:val="20"/>
          <w:lang w:val="en-US" w:eastAsia="en-US"/>
        </w:rPr>
        <w:t>are critical for</w:t>
      </w:r>
      <w:r w:rsidR="00B61916" w:rsidRPr="00A84130">
        <w:rPr>
          <w:rFonts w:ascii="Times New Roman" w:hAnsi="Times New Roman" w:cs="Times New Roman"/>
          <w:color w:val="auto"/>
          <w:sz w:val="20"/>
          <w:szCs w:val="20"/>
          <w:lang w:val="en-US" w:eastAsia="en-US"/>
        </w:rPr>
        <w:t xml:space="preserve"> safeguarding and sustaining peace</w:t>
      </w:r>
      <w:r w:rsidR="00DB739A" w:rsidRPr="00A84130">
        <w:rPr>
          <w:rFonts w:ascii="Times New Roman" w:hAnsi="Times New Roman" w:cs="Times New Roman"/>
          <w:color w:val="auto"/>
          <w:sz w:val="20"/>
          <w:szCs w:val="20"/>
          <w:lang w:val="en-US" w:eastAsia="en-US"/>
        </w:rPr>
        <w:t>,</w:t>
      </w:r>
      <w:r w:rsidR="001E3D03" w:rsidRPr="00A84130">
        <w:rPr>
          <w:rFonts w:ascii="Times New Roman" w:hAnsi="Times New Roman" w:cs="Times New Roman"/>
          <w:color w:val="auto"/>
          <w:sz w:val="20"/>
          <w:szCs w:val="20"/>
          <w:lang w:val="en-US" w:eastAsia="en-US"/>
        </w:rPr>
        <w:t xml:space="preserve"> </w:t>
      </w:r>
      <w:r w:rsidR="00D30642" w:rsidRPr="00A84130">
        <w:rPr>
          <w:rFonts w:ascii="Times New Roman" w:hAnsi="Times New Roman" w:cs="Times New Roman"/>
          <w:color w:val="auto"/>
          <w:sz w:val="20"/>
          <w:szCs w:val="20"/>
          <w:lang w:val="en-US" w:eastAsia="en-US"/>
        </w:rPr>
        <w:t>and c</w:t>
      </w:r>
      <w:r w:rsidR="001E3D03" w:rsidRPr="00A84130">
        <w:rPr>
          <w:rFonts w:ascii="Times New Roman" w:hAnsi="Times New Roman" w:cs="Times New Roman"/>
          <w:color w:val="auto"/>
          <w:sz w:val="20"/>
          <w:szCs w:val="20"/>
          <w:lang w:val="en-US" w:eastAsia="en-US"/>
        </w:rPr>
        <w:t>reati</w:t>
      </w:r>
      <w:r w:rsidR="00D30642" w:rsidRPr="00A84130">
        <w:rPr>
          <w:rFonts w:ascii="Times New Roman" w:hAnsi="Times New Roman" w:cs="Times New Roman"/>
          <w:color w:val="auto"/>
          <w:sz w:val="20"/>
          <w:szCs w:val="20"/>
          <w:lang w:val="en-US" w:eastAsia="en-US"/>
        </w:rPr>
        <w:t xml:space="preserve">ng conditions </w:t>
      </w:r>
      <w:r w:rsidR="001E3D03" w:rsidRPr="00A84130">
        <w:rPr>
          <w:rFonts w:ascii="Times New Roman" w:hAnsi="Times New Roman" w:cs="Times New Roman"/>
          <w:color w:val="auto"/>
          <w:sz w:val="20"/>
          <w:szCs w:val="20"/>
          <w:lang w:val="en-US" w:eastAsia="en-US"/>
        </w:rPr>
        <w:t>conducive to economic transformation</w:t>
      </w:r>
      <w:r w:rsidR="00B61916" w:rsidRPr="00A84130">
        <w:rPr>
          <w:rFonts w:ascii="Times New Roman" w:hAnsi="Times New Roman" w:cs="Times New Roman"/>
          <w:color w:val="auto"/>
          <w:sz w:val="20"/>
          <w:szCs w:val="20"/>
          <w:lang w:val="en-US" w:eastAsia="en-US"/>
        </w:rPr>
        <w:t>.</w:t>
      </w:r>
    </w:p>
    <w:p w14:paraId="695FF213" w14:textId="0E3BB321" w:rsidR="004D3A8A" w:rsidRPr="00A84130" w:rsidRDefault="00144976" w:rsidP="00047245">
      <w:pPr>
        <w:pStyle w:val="Default"/>
        <w:numPr>
          <w:ilvl w:val="0"/>
          <w:numId w:val="4"/>
        </w:numPr>
        <w:tabs>
          <w:tab w:val="left" w:pos="0"/>
          <w:tab w:val="left" w:pos="540"/>
          <w:tab w:val="left" w:pos="851"/>
          <w:tab w:val="left" w:pos="1080"/>
        </w:tabs>
        <w:spacing w:after="120"/>
        <w:ind w:left="810" w:right="1208" w:firstLine="0"/>
        <w:jc w:val="both"/>
        <w:rPr>
          <w:rFonts w:ascii="Times New Roman" w:hAnsi="Times New Roman" w:cs="Times New Roman"/>
          <w:color w:val="auto"/>
          <w:sz w:val="20"/>
          <w:szCs w:val="20"/>
          <w:lang w:val="en-US" w:eastAsia="en-US"/>
        </w:rPr>
      </w:pPr>
      <w:r>
        <w:rPr>
          <w:rFonts w:ascii="Times New Roman" w:hAnsi="Times New Roman" w:cs="Times New Roman"/>
          <w:color w:val="auto"/>
          <w:sz w:val="20"/>
          <w:szCs w:val="20"/>
          <w:lang w:val="en-US" w:eastAsia="en-US"/>
        </w:rPr>
        <w:t>Unemployment rates among y</w:t>
      </w:r>
      <w:r w:rsidR="004D3A8A" w:rsidRPr="00A84130">
        <w:rPr>
          <w:rFonts w:ascii="Times New Roman" w:hAnsi="Times New Roman" w:cs="Times New Roman"/>
          <w:color w:val="auto"/>
          <w:sz w:val="20"/>
          <w:szCs w:val="20"/>
          <w:lang w:val="en-US" w:eastAsia="en-US"/>
        </w:rPr>
        <w:t>outh and women</w:t>
      </w:r>
      <w:r w:rsidR="00D374BB" w:rsidRPr="00C9769D">
        <w:rPr>
          <w:rStyle w:val="FootnoteReference"/>
          <w:rFonts w:ascii="Times New Roman" w:hAnsi="Times New Roman"/>
          <w:color w:val="auto"/>
          <w:sz w:val="20"/>
          <w:szCs w:val="20"/>
          <w:lang w:val="en-US" w:eastAsia="en-US"/>
        </w:rPr>
        <w:footnoteReference w:id="18"/>
      </w:r>
      <w:r w:rsidR="003F5EF8" w:rsidRPr="00A84130">
        <w:rPr>
          <w:rFonts w:ascii="Times New Roman" w:hAnsi="Times New Roman" w:cs="Times New Roman"/>
          <w:color w:val="auto"/>
          <w:sz w:val="20"/>
          <w:szCs w:val="20"/>
          <w:lang w:val="en-US" w:eastAsia="en-US"/>
        </w:rPr>
        <w:t xml:space="preserve"> </w:t>
      </w:r>
      <w:r w:rsidR="004D3A8A" w:rsidRPr="00A84130">
        <w:rPr>
          <w:rFonts w:ascii="Times New Roman" w:hAnsi="Times New Roman" w:cs="Times New Roman"/>
          <w:color w:val="auto"/>
          <w:sz w:val="20"/>
          <w:szCs w:val="20"/>
          <w:lang w:val="en-US" w:eastAsia="en-US"/>
        </w:rPr>
        <w:t xml:space="preserve">rates </w:t>
      </w:r>
      <w:r w:rsidR="009F731D" w:rsidRPr="00A84130">
        <w:rPr>
          <w:rFonts w:ascii="Times New Roman" w:hAnsi="Times New Roman" w:cs="Times New Roman"/>
          <w:color w:val="auto"/>
          <w:sz w:val="20"/>
          <w:szCs w:val="20"/>
          <w:lang w:val="en-US" w:eastAsia="en-US"/>
        </w:rPr>
        <w:t xml:space="preserve">are high </w:t>
      </w:r>
      <w:r w:rsidR="004D3A8A" w:rsidRPr="00A84130">
        <w:rPr>
          <w:rFonts w:ascii="Times New Roman" w:hAnsi="Times New Roman" w:cs="Times New Roman"/>
          <w:color w:val="auto"/>
          <w:sz w:val="20"/>
          <w:szCs w:val="20"/>
          <w:lang w:val="en-US" w:eastAsia="en-US"/>
        </w:rPr>
        <w:t>(50.4</w:t>
      </w:r>
      <w:r w:rsidR="00DB739A" w:rsidRPr="00A84130">
        <w:rPr>
          <w:rFonts w:ascii="Times New Roman" w:hAnsi="Times New Roman" w:cs="Times New Roman"/>
          <w:color w:val="auto"/>
          <w:sz w:val="20"/>
          <w:szCs w:val="20"/>
          <w:lang w:val="en-US" w:eastAsia="en-US"/>
        </w:rPr>
        <w:t xml:space="preserve"> per cent for</w:t>
      </w:r>
      <w:r w:rsidR="004D3A8A" w:rsidRPr="00A84130">
        <w:rPr>
          <w:rFonts w:ascii="Times New Roman" w:hAnsi="Times New Roman" w:cs="Times New Roman"/>
          <w:color w:val="auto"/>
          <w:sz w:val="20"/>
          <w:szCs w:val="20"/>
          <w:lang w:val="en-US" w:eastAsia="en-US"/>
        </w:rPr>
        <w:t xml:space="preserve"> women and 83</w:t>
      </w:r>
      <w:r w:rsidR="00DB739A" w:rsidRPr="00A84130">
        <w:rPr>
          <w:rFonts w:ascii="Times New Roman" w:hAnsi="Times New Roman" w:cs="Times New Roman"/>
          <w:color w:val="auto"/>
          <w:sz w:val="20"/>
          <w:szCs w:val="20"/>
          <w:lang w:val="en-US" w:eastAsia="en-US"/>
        </w:rPr>
        <w:t xml:space="preserve"> per cent for</w:t>
      </w:r>
      <w:r w:rsidR="004D3A8A" w:rsidRPr="00A84130">
        <w:rPr>
          <w:rFonts w:ascii="Times New Roman" w:hAnsi="Times New Roman" w:cs="Times New Roman"/>
          <w:color w:val="auto"/>
          <w:sz w:val="20"/>
          <w:szCs w:val="20"/>
          <w:lang w:val="en-US" w:eastAsia="en-US"/>
        </w:rPr>
        <w:t xml:space="preserve"> youth</w:t>
      </w:r>
      <w:r w:rsidR="004A3224">
        <w:rPr>
          <w:rFonts w:ascii="Times New Roman" w:hAnsi="Times New Roman" w:cs="Times New Roman"/>
          <w:color w:val="auto"/>
          <w:sz w:val="20"/>
          <w:szCs w:val="20"/>
          <w:lang w:val="en-US" w:eastAsia="en-US"/>
        </w:rPr>
        <w:t>)</w:t>
      </w:r>
      <w:r>
        <w:rPr>
          <w:rFonts w:ascii="Times New Roman" w:hAnsi="Times New Roman" w:cs="Times New Roman"/>
          <w:color w:val="auto"/>
          <w:sz w:val="20"/>
          <w:szCs w:val="20"/>
          <w:lang w:val="en-US" w:eastAsia="en-US"/>
        </w:rPr>
        <w:t>.</w:t>
      </w:r>
      <w:r w:rsidR="00D374BB" w:rsidRPr="00C9769D">
        <w:rPr>
          <w:rStyle w:val="FootnoteReference"/>
          <w:rFonts w:ascii="Times New Roman" w:hAnsi="Times New Roman"/>
          <w:color w:val="auto"/>
          <w:sz w:val="20"/>
          <w:szCs w:val="20"/>
          <w:lang w:val="en-US" w:eastAsia="en-US"/>
        </w:rPr>
        <w:footnoteReference w:id="19"/>
      </w:r>
      <w:r w:rsidR="004D3A8A" w:rsidRPr="00A84130">
        <w:rPr>
          <w:rFonts w:ascii="Times New Roman" w:hAnsi="Times New Roman" w:cs="Times New Roman"/>
          <w:color w:val="auto"/>
          <w:sz w:val="20"/>
          <w:szCs w:val="20"/>
          <w:lang w:val="en-US" w:eastAsia="en-US"/>
        </w:rPr>
        <w:t xml:space="preserve"> </w:t>
      </w:r>
      <w:r>
        <w:rPr>
          <w:rFonts w:ascii="Times New Roman" w:hAnsi="Times New Roman" w:cs="Times New Roman"/>
          <w:color w:val="auto"/>
          <w:sz w:val="20"/>
          <w:szCs w:val="20"/>
          <w:lang w:val="en-US" w:eastAsia="en-US"/>
        </w:rPr>
        <w:t>These groups</w:t>
      </w:r>
      <w:r w:rsidR="00DB739A" w:rsidRPr="00A84130">
        <w:rPr>
          <w:rFonts w:ascii="Times New Roman" w:hAnsi="Times New Roman" w:cs="Times New Roman"/>
          <w:color w:val="auto"/>
          <w:sz w:val="20"/>
          <w:szCs w:val="20"/>
          <w:lang w:val="en-US" w:eastAsia="en-US"/>
        </w:rPr>
        <w:t xml:space="preserve"> have </w:t>
      </w:r>
      <w:r w:rsidR="004D3A8A" w:rsidRPr="00A84130">
        <w:rPr>
          <w:rFonts w:ascii="Times New Roman" w:hAnsi="Times New Roman" w:cs="Times New Roman"/>
          <w:color w:val="auto"/>
          <w:sz w:val="20"/>
          <w:szCs w:val="20"/>
          <w:lang w:val="en-US" w:eastAsia="en-US"/>
        </w:rPr>
        <w:t>limited access to productive resources including land and credit</w:t>
      </w:r>
      <w:r>
        <w:rPr>
          <w:rFonts w:ascii="Times New Roman" w:hAnsi="Times New Roman" w:cs="Times New Roman"/>
          <w:color w:val="auto"/>
          <w:sz w:val="20"/>
          <w:szCs w:val="20"/>
          <w:lang w:val="en-US" w:eastAsia="en-US"/>
        </w:rPr>
        <w:t>, and w</w:t>
      </w:r>
      <w:r w:rsidR="00DB739A" w:rsidRPr="00A84130">
        <w:rPr>
          <w:rFonts w:ascii="Times New Roman" w:hAnsi="Times New Roman" w:cs="Times New Roman"/>
          <w:color w:val="auto"/>
          <w:sz w:val="20"/>
          <w:szCs w:val="20"/>
          <w:lang w:val="en-US" w:eastAsia="en-US"/>
        </w:rPr>
        <w:t xml:space="preserve">orking </w:t>
      </w:r>
      <w:r w:rsidR="004D3A8A" w:rsidRPr="00A84130">
        <w:rPr>
          <w:rFonts w:ascii="Times New Roman" w:hAnsi="Times New Roman" w:cs="Times New Roman"/>
          <w:color w:val="auto"/>
          <w:sz w:val="20"/>
          <w:szCs w:val="20"/>
          <w:lang w:val="en-US" w:eastAsia="en-US"/>
        </w:rPr>
        <w:t xml:space="preserve">women, youth and </w:t>
      </w:r>
      <w:r w:rsidR="00DB739A" w:rsidRPr="00A84130">
        <w:rPr>
          <w:rFonts w:ascii="Times New Roman" w:hAnsi="Times New Roman" w:cs="Times New Roman"/>
          <w:color w:val="auto"/>
          <w:sz w:val="20"/>
          <w:szCs w:val="20"/>
          <w:lang w:val="en-US" w:eastAsia="en-US"/>
        </w:rPr>
        <w:t>people with disabilities</w:t>
      </w:r>
      <w:r w:rsidR="00C244A8" w:rsidRPr="00A84130">
        <w:rPr>
          <w:rFonts w:ascii="Times New Roman" w:hAnsi="Times New Roman" w:cs="Times New Roman"/>
          <w:color w:val="auto"/>
          <w:sz w:val="20"/>
          <w:szCs w:val="20"/>
          <w:lang w:val="en-US" w:eastAsia="en-US"/>
        </w:rPr>
        <w:t xml:space="preserve"> </w:t>
      </w:r>
      <w:r w:rsidR="004D3A8A" w:rsidRPr="00A84130">
        <w:rPr>
          <w:rFonts w:ascii="Times New Roman" w:hAnsi="Times New Roman" w:cs="Times New Roman"/>
          <w:color w:val="auto"/>
          <w:sz w:val="20"/>
          <w:szCs w:val="20"/>
          <w:lang w:val="en-US" w:eastAsia="en-US"/>
        </w:rPr>
        <w:t xml:space="preserve">are engaged in jobs in </w:t>
      </w:r>
      <w:r w:rsidR="00DB739A" w:rsidRPr="00A84130">
        <w:rPr>
          <w:rFonts w:ascii="Times New Roman" w:hAnsi="Times New Roman" w:cs="Times New Roman"/>
          <w:color w:val="auto"/>
          <w:sz w:val="20"/>
          <w:szCs w:val="20"/>
          <w:lang w:val="en-US" w:eastAsia="en-US"/>
        </w:rPr>
        <w:t xml:space="preserve">the </w:t>
      </w:r>
      <w:r w:rsidR="004D3A8A" w:rsidRPr="00A84130">
        <w:rPr>
          <w:rFonts w:ascii="Times New Roman" w:hAnsi="Times New Roman" w:cs="Times New Roman"/>
          <w:color w:val="auto"/>
          <w:sz w:val="20"/>
          <w:szCs w:val="20"/>
          <w:lang w:val="en-US" w:eastAsia="en-US"/>
        </w:rPr>
        <w:t>agriculture</w:t>
      </w:r>
      <w:r w:rsidR="00D374BB" w:rsidRPr="00C9769D">
        <w:rPr>
          <w:rStyle w:val="FootnoteReference"/>
          <w:rFonts w:ascii="Times New Roman" w:hAnsi="Times New Roman"/>
          <w:color w:val="auto"/>
          <w:sz w:val="20"/>
          <w:szCs w:val="20"/>
          <w:lang w:val="en-US" w:eastAsia="en-US"/>
        </w:rPr>
        <w:footnoteReference w:id="20"/>
      </w:r>
      <w:r w:rsidR="00D374BB" w:rsidRPr="00A84130">
        <w:rPr>
          <w:rFonts w:ascii="Times New Roman" w:hAnsi="Times New Roman" w:cs="Times New Roman"/>
          <w:color w:val="auto"/>
          <w:sz w:val="20"/>
          <w:szCs w:val="20"/>
          <w:lang w:val="en-US" w:eastAsia="en-US"/>
        </w:rPr>
        <w:t xml:space="preserve"> </w:t>
      </w:r>
      <w:r w:rsidR="004D3A8A" w:rsidRPr="00A84130">
        <w:rPr>
          <w:rFonts w:ascii="Times New Roman" w:hAnsi="Times New Roman" w:cs="Times New Roman"/>
          <w:color w:val="auto"/>
          <w:sz w:val="20"/>
          <w:szCs w:val="20"/>
          <w:lang w:val="en-US" w:eastAsia="en-US"/>
        </w:rPr>
        <w:t xml:space="preserve">and informal sectors </w:t>
      </w:r>
      <w:r w:rsidR="00DB739A" w:rsidRPr="00A84130">
        <w:rPr>
          <w:rFonts w:ascii="Times New Roman" w:hAnsi="Times New Roman" w:cs="Times New Roman"/>
          <w:color w:val="auto"/>
          <w:sz w:val="20"/>
          <w:szCs w:val="20"/>
          <w:lang w:val="en-US" w:eastAsia="en-US"/>
        </w:rPr>
        <w:t xml:space="preserve">where they do not have </w:t>
      </w:r>
      <w:r w:rsidR="004D3A8A" w:rsidRPr="00A84130">
        <w:rPr>
          <w:rFonts w:ascii="Times New Roman" w:hAnsi="Times New Roman" w:cs="Times New Roman"/>
          <w:color w:val="auto"/>
          <w:sz w:val="20"/>
          <w:szCs w:val="20"/>
          <w:lang w:val="en-US" w:eastAsia="en-US"/>
        </w:rPr>
        <w:t>stable income</w:t>
      </w:r>
      <w:r>
        <w:rPr>
          <w:rFonts w:ascii="Times New Roman" w:hAnsi="Times New Roman" w:cs="Times New Roman"/>
          <w:color w:val="auto"/>
          <w:sz w:val="20"/>
          <w:szCs w:val="20"/>
          <w:lang w:val="en-US" w:eastAsia="en-US"/>
        </w:rPr>
        <w:t>s</w:t>
      </w:r>
      <w:r w:rsidR="004D3A8A" w:rsidRPr="00A84130">
        <w:rPr>
          <w:rFonts w:ascii="Times New Roman" w:hAnsi="Times New Roman" w:cs="Times New Roman"/>
          <w:color w:val="auto"/>
          <w:sz w:val="20"/>
          <w:szCs w:val="20"/>
          <w:lang w:val="en-US" w:eastAsia="en-US"/>
        </w:rPr>
        <w:t xml:space="preserve"> </w:t>
      </w:r>
      <w:r w:rsidR="00DB739A" w:rsidRPr="00A84130">
        <w:rPr>
          <w:rFonts w:ascii="Times New Roman" w:hAnsi="Times New Roman" w:cs="Times New Roman"/>
          <w:color w:val="auto"/>
          <w:sz w:val="20"/>
          <w:szCs w:val="20"/>
          <w:lang w:val="en-US" w:eastAsia="en-US"/>
        </w:rPr>
        <w:t xml:space="preserve">or </w:t>
      </w:r>
      <w:r w:rsidR="004D3A8A" w:rsidRPr="00A84130">
        <w:rPr>
          <w:rFonts w:ascii="Times New Roman" w:hAnsi="Times New Roman" w:cs="Times New Roman"/>
          <w:color w:val="auto"/>
          <w:sz w:val="20"/>
          <w:szCs w:val="20"/>
          <w:lang w:val="en-US" w:eastAsia="en-US"/>
        </w:rPr>
        <w:t xml:space="preserve">social protection. </w:t>
      </w:r>
      <w:r w:rsidR="00DB739A" w:rsidRPr="00A84130">
        <w:rPr>
          <w:rFonts w:ascii="Times New Roman" w:hAnsi="Times New Roman" w:cs="Times New Roman"/>
          <w:color w:val="auto"/>
          <w:sz w:val="20"/>
          <w:szCs w:val="20"/>
          <w:lang w:val="en-US" w:eastAsia="en-US"/>
        </w:rPr>
        <w:t>Poor</w:t>
      </w:r>
      <w:r w:rsidR="004D3A8A" w:rsidRPr="00A84130">
        <w:rPr>
          <w:rFonts w:ascii="Times New Roman" w:hAnsi="Times New Roman" w:cs="Times New Roman"/>
          <w:color w:val="auto"/>
          <w:sz w:val="20"/>
          <w:szCs w:val="20"/>
          <w:lang w:val="en-US" w:eastAsia="en-US"/>
        </w:rPr>
        <w:t xml:space="preserve"> economic opportunities</w:t>
      </w:r>
      <w:r w:rsidR="00DB739A" w:rsidRPr="00A84130">
        <w:rPr>
          <w:rFonts w:ascii="Times New Roman" w:hAnsi="Times New Roman" w:cs="Times New Roman"/>
          <w:color w:val="auto"/>
          <w:sz w:val="20"/>
          <w:szCs w:val="20"/>
          <w:lang w:val="en-US" w:eastAsia="en-US"/>
        </w:rPr>
        <w:t xml:space="preserve"> and</w:t>
      </w:r>
      <w:r w:rsidR="004D3A8A" w:rsidRPr="00A84130">
        <w:rPr>
          <w:rFonts w:ascii="Times New Roman" w:hAnsi="Times New Roman" w:cs="Times New Roman"/>
          <w:color w:val="auto"/>
          <w:sz w:val="20"/>
          <w:szCs w:val="20"/>
          <w:lang w:val="en-US" w:eastAsia="en-US"/>
        </w:rPr>
        <w:t xml:space="preserve"> natural resource management</w:t>
      </w:r>
      <w:r w:rsidR="00DB739A" w:rsidRPr="00A84130">
        <w:rPr>
          <w:rFonts w:ascii="Times New Roman" w:hAnsi="Times New Roman" w:cs="Times New Roman"/>
          <w:color w:val="auto"/>
          <w:sz w:val="20"/>
          <w:szCs w:val="20"/>
          <w:lang w:val="en-US" w:eastAsia="en-US"/>
        </w:rPr>
        <w:t>,</w:t>
      </w:r>
      <w:r w:rsidR="004D3A8A" w:rsidRPr="00A84130">
        <w:rPr>
          <w:rFonts w:ascii="Times New Roman" w:hAnsi="Times New Roman" w:cs="Times New Roman"/>
          <w:color w:val="auto"/>
          <w:sz w:val="20"/>
          <w:szCs w:val="20"/>
          <w:lang w:val="en-US" w:eastAsia="en-US"/>
        </w:rPr>
        <w:t xml:space="preserve"> </w:t>
      </w:r>
      <w:r w:rsidR="00DB739A" w:rsidRPr="00A84130">
        <w:rPr>
          <w:rFonts w:ascii="Times New Roman" w:hAnsi="Times New Roman" w:cs="Times New Roman"/>
          <w:color w:val="auto"/>
          <w:sz w:val="20"/>
          <w:szCs w:val="20"/>
          <w:lang w:val="en-US" w:eastAsia="en-US"/>
        </w:rPr>
        <w:t xml:space="preserve">along with </w:t>
      </w:r>
      <w:r w:rsidR="004D3A8A" w:rsidRPr="00A84130">
        <w:rPr>
          <w:rFonts w:ascii="Times New Roman" w:hAnsi="Times New Roman" w:cs="Times New Roman"/>
          <w:color w:val="auto"/>
          <w:sz w:val="20"/>
          <w:szCs w:val="20"/>
          <w:lang w:val="en-US" w:eastAsia="en-US"/>
        </w:rPr>
        <w:t>environmental degradation</w:t>
      </w:r>
      <w:r>
        <w:rPr>
          <w:rFonts w:ascii="Times New Roman" w:hAnsi="Times New Roman" w:cs="Times New Roman"/>
          <w:color w:val="auto"/>
          <w:sz w:val="20"/>
          <w:szCs w:val="20"/>
          <w:lang w:val="en-US" w:eastAsia="en-US"/>
        </w:rPr>
        <w:t>,</w:t>
      </w:r>
      <w:r w:rsidR="004D3A8A" w:rsidRPr="00A84130">
        <w:rPr>
          <w:rFonts w:ascii="Times New Roman" w:hAnsi="Times New Roman" w:cs="Times New Roman"/>
          <w:color w:val="auto"/>
          <w:sz w:val="20"/>
          <w:szCs w:val="20"/>
          <w:lang w:val="en-US" w:eastAsia="en-US"/>
        </w:rPr>
        <w:t xml:space="preserve"> </w:t>
      </w:r>
      <w:r w:rsidR="00DB739A" w:rsidRPr="00A84130">
        <w:rPr>
          <w:rFonts w:ascii="Times New Roman" w:hAnsi="Times New Roman" w:cs="Times New Roman"/>
          <w:color w:val="auto"/>
          <w:sz w:val="20"/>
          <w:szCs w:val="20"/>
          <w:lang w:val="en-US" w:eastAsia="en-US"/>
        </w:rPr>
        <w:t>have led</w:t>
      </w:r>
      <w:r w:rsidR="004D3A8A" w:rsidRPr="00A84130">
        <w:rPr>
          <w:rFonts w:ascii="Times New Roman" w:hAnsi="Times New Roman" w:cs="Times New Roman"/>
          <w:color w:val="auto"/>
          <w:sz w:val="20"/>
          <w:szCs w:val="20"/>
          <w:lang w:val="en-US" w:eastAsia="en-US"/>
        </w:rPr>
        <w:t xml:space="preserve"> to </w:t>
      </w:r>
      <w:r w:rsidR="00DB739A" w:rsidRPr="00A84130">
        <w:rPr>
          <w:rFonts w:ascii="Times New Roman" w:hAnsi="Times New Roman" w:cs="Times New Roman"/>
          <w:color w:val="auto"/>
          <w:sz w:val="20"/>
          <w:szCs w:val="20"/>
          <w:lang w:val="en-US" w:eastAsia="en-US"/>
        </w:rPr>
        <w:t xml:space="preserve">a </w:t>
      </w:r>
      <w:r w:rsidR="004D3A8A" w:rsidRPr="00A84130">
        <w:rPr>
          <w:rFonts w:ascii="Times New Roman" w:hAnsi="Times New Roman" w:cs="Times New Roman"/>
          <w:color w:val="auto"/>
          <w:sz w:val="20"/>
          <w:szCs w:val="20"/>
          <w:lang w:val="en-US" w:eastAsia="en-US"/>
        </w:rPr>
        <w:t>rural exodus and massive emigration</w:t>
      </w:r>
      <w:r w:rsidR="00DB739A" w:rsidRPr="00A84130">
        <w:rPr>
          <w:rFonts w:ascii="Times New Roman" w:hAnsi="Times New Roman" w:cs="Times New Roman"/>
          <w:color w:val="auto"/>
          <w:sz w:val="20"/>
          <w:szCs w:val="20"/>
          <w:lang w:val="en-US" w:eastAsia="en-US"/>
        </w:rPr>
        <w:t xml:space="preserve"> of youth.</w:t>
      </w:r>
      <w:r w:rsidR="00D374BB" w:rsidRPr="00C9769D">
        <w:rPr>
          <w:rStyle w:val="FootnoteReference"/>
          <w:rFonts w:ascii="Times New Roman" w:hAnsi="Times New Roman"/>
          <w:color w:val="auto"/>
          <w:sz w:val="20"/>
          <w:szCs w:val="20"/>
          <w:lang w:val="en-US" w:eastAsia="en-US"/>
        </w:rPr>
        <w:footnoteReference w:id="21"/>
      </w:r>
      <w:r w:rsidR="003F5EF8" w:rsidRPr="00A84130">
        <w:rPr>
          <w:rFonts w:ascii="Times New Roman" w:hAnsi="Times New Roman" w:cs="Times New Roman"/>
          <w:color w:val="auto"/>
          <w:sz w:val="20"/>
          <w:szCs w:val="20"/>
          <w:lang w:val="en-US" w:eastAsia="en-US"/>
        </w:rPr>
        <w:t xml:space="preserve"> </w:t>
      </w:r>
      <w:r w:rsidR="00B80FE8" w:rsidRPr="00A84130">
        <w:rPr>
          <w:rFonts w:ascii="Times New Roman" w:hAnsi="Times New Roman" w:cs="Times New Roman"/>
          <w:color w:val="auto"/>
          <w:sz w:val="20"/>
          <w:szCs w:val="20"/>
          <w:lang w:val="en-US" w:eastAsia="en-US"/>
        </w:rPr>
        <w:t>Disenchanted</w:t>
      </w:r>
      <w:r w:rsidR="004D3A8A" w:rsidRPr="00A84130">
        <w:rPr>
          <w:rFonts w:ascii="Times New Roman" w:hAnsi="Times New Roman" w:cs="Times New Roman"/>
          <w:color w:val="auto"/>
          <w:sz w:val="20"/>
          <w:szCs w:val="20"/>
          <w:lang w:val="en-US" w:eastAsia="en-US"/>
        </w:rPr>
        <w:t xml:space="preserve"> youth </w:t>
      </w:r>
      <w:r w:rsidR="00877908" w:rsidRPr="00A84130">
        <w:rPr>
          <w:rFonts w:ascii="Times New Roman" w:hAnsi="Times New Roman" w:cs="Times New Roman"/>
          <w:color w:val="auto"/>
          <w:sz w:val="20"/>
          <w:szCs w:val="20"/>
          <w:lang w:val="en-US" w:eastAsia="en-US"/>
        </w:rPr>
        <w:t xml:space="preserve">radicalize </w:t>
      </w:r>
      <w:r w:rsidR="004D3A8A" w:rsidRPr="00A84130">
        <w:rPr>
          <w:rFonts w:ascii="Times New Roman" w:hAnsi="Times New Roman" w:cs="Times New Roman"/>
          <w:color w:val="auto"/>
          <w:sz w:val="20"/>
          <w:szCs w:val="20"/>
          <w:lang w:val="en-US" w:eastAsia="en-US"/>
        </w:rPr>
        <w:t xml:space="preserve">and </w:t>
      </w:r>
      <w:r w:rsidR="00877908" w:rsidRPr="00A84130">
        <w:rPr>
          <w:rFonts w:ascii="Times New Roman" w:hAnsi="Times New Roman" w:cs="Times New Roman"/>
          <w:color w:val="auto"/>
          <w:sz w:val="20"/>
          <w:szCs w:val="20"/>
          <w:lang w:val="en-US" w:eastAsia="en-US"/>
        </w:rPr>
        <w:t xml:space="preserve">adopt </w:t>
      </w:r>
      <w:r w:rsidR="004D3A8A" w:rsidRPr="00A84130">
        <w:rPr>
          <w:rFonts w:ascii="Times New Roman" w:hAnsi="Times New Roman" w:cs="Times New Roman"/>
          <w:color w:val="auto"/>
          <w:sz w:val="20"/>
          <w:szCs w:val="20"/>
          <w:lang w:val="en-US" w:eastAsia="en-US"/>
        </w:rPr>
        <w:t>extremis</w:t>
      </w:r>
      <w:r w:rsidR="00877908" w:rsidRPr="00A84130">
        <w:rPr>
          <w:rFonts w:ascii="Times New Roman" w:hAnsi="Times New Roman" w:cs="Times New Roman"/>
          <w:color w:val="auto"/>
          <w:sz w:val="20"/>
          <w:szCs w:val="20"/>
          <w:lang w:val="en-US" w:eastAsia="en-US"/>
        </w:rPr>
        <w:t>t views</w:t>
      </w:r>
      <w:r w:rsidR="00ED7FD8">
        <w:rPr>
          <w:rFonts w:ascii="Times New Roman" w:hAnsi="Times New Roman" w:cs="Times New Roman"/>
          <w:color w:val="auto"/>
          <w:sz w:val="20"/>
          <w:szCs w:val="20"/>
          <w:lang w:val="en-US" w:eastAsia="en-US"/>
        </w:rPr>
        <w:t xml:space="preserve"> easier than their peers</w:t>
      </w:r>
      <w:r w:rsidR="004D3A8A" w:rsidRPr="00A84130">
        <w:rPr>
          <w:rFonts w:ascii="Times New Roman" w:hAnsi="Times New Roman" w:cs="Times New Roman"/>
          <w:color w:val="auto"/>
          <w:sz w:val="20"/>
          <w:szCs w:val="20"/>
          <w:lang w:val="en-US" w:eastAsia="en-US"/>
        </w:rPr>
        <w:t>.</w:t>
      </w:r>
      <w:r w:rsidR="00D30642" w:rsidRPr="00A84130">
        <w:rPr>
          <w:rFonts w:ascii="Times New Roman" w:hAnsi="Times New Roman" w:cs="Times New Roman"/>
          <w:color w:val="auto"/>
          <w:sz w:val="20"/>
          <w:szCs w:val="20"/>
          <w:lang w:val="en-US" w:eastAsia="en-US"/>
        </w:rPr>
        <w:t xml:space="preserve"> </w:t>
      </w:r>
      <w:r w:rsidR="00B53809" w:rsidRPr="00A84130">
        <w:rPr>
          <w:rFonts w:ascii="Times New Roman" w:hAnsi="Times New Roman" w:cs="Times New Roman"/>
          <w:color w:val="auto"/>
          <w:sz w:val="20"/>
          <w:szCs w:val="20"/>
          <w:lang w:val="en-US" w:eastAsia="en-US"/>
        </w:rPr>
        <w:t xml:space="preserve">To meet these challenges the </w:t>
      </w:r>
      <w:r w:rsidR="00877908" w:rsidRPr="00A84130">
        <w:rPr>
          <w:rFonts w:ascii="Times New Roman" w:hAnsi="Times New Roman" w:cs="Times New Roman"/>
          <w:color w:val="auto"/>
          <w:sz w:val="20"/>
          <w:szCs w:val="20"/>
          <w:lang w:val="en-US" w:eastAsia="en-US"/>
        </w:rPr>
        <w:t>g</w:t>
      </w:r>
      <w:r w:rsidR="00B53809" w:rsidRPr="00A84130">
        <w:rPr>
          <w:rFonts w:ascii="Times New Roman" w:hAnsi="Times New Roman" w:cs="Times New Roman"/>
          <w:color w:val="auto"/>
          <w:sz w:val="20"/>
          <w:szCs w:val="20"/>
          <w:lang w:val="en-US" w:eastAsia="en-US"/>
        </w:rPr>
        <w:t xml:space="preserve">overnment developed, with </w:t>
      </w:r>
      <w:r w:rsidR="001F6CF5" w:rsidRPr="00A84130">
        <w:rPr>
          <w:rFonts w:ascii="Times New Roman" w:hAnsi="Times New Roman" w:cs="Times New Roman"/>
          <w:color w:val="auto"/>
          <w:sz w:val="20"/>
          <w:szCs w:val="20"/>
          <w:lang w:val="en-US" w:eastAsia="en-US"/>
        </w:rPr>
        <w:t xml:space="preserve">UNDP </w:t>
      </w:r>
      <w:r w:rsidR="00B53809" w:rsidRPr="00A84130">
        <w:rPr>
          <w:rFonts w:ascii="Times New Roman" w:hAnsi="Times New Roman" w:cs="Times New Roman"/>
          <w:color w:val="auto"/>
          <w:sz w:val="20"/>
          <w:szCs w:val="20"/>
          <w:lang w:val="en-US" w:eastAsia="en-US"/>
        </w:rPr>
        <w:t>support</w:t>
      </w:r>
      <w:r w:rsidR="001F6CF5" w:rsidRPr="00A84130">
        <w:rPr>
          <w:rFonts w:ascii="Times New Roman" w:hAnsi="Times New Roman" w:cs="Times New Roman"/>
          <w:color w:val="auto"/>
          <w:sz w:val="20"/>
          <w:szCs w:val="20"/>
          <w:lang w:val="en-US" w:eastAsia="en-US"/>
        </w:rPr>
        <w:t xml:space="preserve">, </w:t>
      </w:r>
      <w:r w:rsidR="00B53809" w:rsidRPr="00A84130">
        <w:rPr>
          <w:rFonts w:ascii="Times New Roman" w:hAnsi="Times New Roman" w:cs="Times New Roman"/>
          <w:color w:val="auto"/>
          <w:sz w:val="20"/>
          <w:szCs w:val="20"/>
          <w:lang w:val="en-US" w:eastAsia="en-US"/>
        </w:rPr>
        <w:t>a program for the socio-economic integration of you</w:t>
      </w:r>
      <w:r w:rsidR="001F6CF5" w:rsidRPr="00A84130">
        <w:rPr>
          <w:rFonts w:ascii="Times New Roman" w:hAnsi="Times New Roman" w:cs="Times New Roman"/>
          <w:color w:val="auto"/>
          <w:sz w:val="20"/>
          <w:szCs w:val="20"/>
          <w:lang w:val="en-US" w:eastAsia="en-US"/>
        </w:rPr>
        <w:t xml:space="preserve">th </w:t>
      </w:r>
      <w:r w:rsidR="00877908" w:rsidRPr="00A84130">
        <w:rPr>
          <w:rFonts w:ascii="Times New Roman" w:hAnsi="Times New Roman" w:cs="Times New Roman"/>
          <w:color w:val="auto"/>
          <w:sz w:val="20"/>
          <w:szCs w:val="20"/>
          <w:lang w:val="en-US" w:eastAsia="en-US"/>
        </w:rPr>
        <w:t>(</w:t>
      </w:r>
      <w:r w:rsidR="00B53809" w:rsidRPr="00A84130">
        <w:rPr>
          <w:rFonts w:ascii="Times New Roman" w:hAnsi="Times New Roman" w:cs="Times New Roman"/>
          <w:color w:val="auto"/>
          <w:sz w:val="20"/>
          <w:szCs w:val="20"/>
          <w:lang w:val="en-US" w:eastAsia="en-US"/>
        </w:rPr>
        <w:t>2016-2020</w:t>
      </w:r>
      <w:r w:rsidR="00877908" w:rsidRPr="00A84130">
        <w:rPr>
          <w:rFonts w:ascii="Times New Roman" w:hAnsi="Times New Roman" w:cs="Times New Roman"/>
          <w:color w:val="auto"/>
          <w:sz w:val="20"/>
          <w:szCs w:val="20"/>
          <w:lang w:val="en-US" w:eastAsia="en-US"/>
        </w:rPr>
        <w:t>), which</w:t>
      </w:r>
      <w:r w:rsidR="001A3DCA" w:rsidRPr="00A84130">
        <w:rPr>
          <w:rFonts w:ascii="Times New Roman" w:hAnsi="Times New Roman" w:cs="Times New Roman"/>
          <w:color w:val="auto"/>
          <w:sz w:val="20"/>
          <w:szCs w:val="20"/>
          <w:lang w:val="en-US" w:eastAsia="en-US"/>
        </w:rPr>
        <w:t xml:space="preserve"> </w:t>
      </w:r>
      <w:r w:rsidR="00877908" w:rsidRPr="00A84130">
        <w:rPr>
          <w:rFonts w:ascii="Times New Roman" w:hAnsi="Times New Roman" w:cs="Times New Roman"/>
          <w:color w:val="auto"/>
          <w:sz w:val="20"/>
          <w:szCs w:val="20"/>
          <w:lang w:val="en-US" w:eastAsia="en-US"/>
        </w:rPr>
        <w:t>requires</w:t>
      </w:r>
      <w:r w:rsidR="001A3DCA" w:rsidRPr="00A84130">
        <w:rPr>
          <w:rFonts w:ascii="Times New Roman" w:hAnsi="Times New Roman" w:cs="Times New Roman"/>
          <w:color w:val="auto"/>
          <w:sz w:val="20"/>
          <w:szCs w:val="20"/>
          <w:lang w:val="en-US" w:eastAsia="en-US"/>
        </w:rPr>
        <w:t xml:space="preserve"> </w:t>
      </w:r>
      <w:r w:rsidR="00416822">
        <w:rPr>
          <w:rFonts w:ascii="Times New Roman" w:hAnsi="Times New Roman" w:cs="Times New Roman"/>
          <w:color w:val="auto"/>
          <w:sz w:val="20"/>
          <w:szCs w:val="20"/>
          <w:lang w:val="en-US" w:eastAsia="en-US"/>
        </w:rPr>
        <w:t>partners’</w:t>
      </w:r>
      <w:r w:rsidR="00416822" w:rsidRPr="00A84130">
        <w:rPr>
          <w:rFonts w:ascii="Times New Roman" w:hAnsi="Times New Roman" w:cs="Times New Roman"/>
          <w:color w:val="auto"/>
          <w:sz w:val="20"/>
          <w:szCs w:val="20"/>
          <w:lang w:val="en-US" w:eastAsia="en-US"/>
        </w:rPr>
        <w:t xml:space="preserve"> </w:t>
      </w:r>
      <w:r w:rsidR="001A3DCA" w:rsidRPr="00A84130">
        <w:rPr>
          <w:rFonts w:ascii="Times New Roman" w:hAnsi="Times New Roman" w:cs="Times New Roman"/>
          <w:color w:val="auto"/>
          <w:sz w:val="20"/>
          <w:szCs w:val="20"/>
          <w:lang w:val="en-US" w:eastAsia="en-US"/>
        </w:rPr>
        <w:t>support.</w:t>
      </w:r>
    </w:p>
    <w:p w14:paraId="32409B41" w14:textId="19D46218" w:rsidR="00A84130" w:rsidRDefault="00097E99" w:rsidP="00047245">
      <w:pPr>
        <w:pStyle w:val="Default"/>
        <w:numPr>
          <w:ilvl w:val="0"/>
          <w:numId w:val="4"/>
        </w:numPr>
        <w:tabs>
          <w:tab w:val="left" w:pos="0"/>
          <w:tab w:val="left" w:pos="540"/>
          <w:tab w:val="left" w:pos="851"/>
          <w:tab w:val="left" w:pos="1080"/>
        </w:tabs>
        <w:spacing w:after="120"/>
        <w:ind w:left="810" w:right="1208" w:firstLine="0"/>
        <w:jc w:val="both"/>
        <w:rPr>
          <w:lang w:val="en-US"/>
        </w:rPr>
      </w:pPr>
      <w:r w:rsidRPr="00C9769D">
        <w:rPr>
          <w:rFonts w:ascii="Times New Roman" w:hAnsi="Times New Roman" w:cs="Times New Roman"/>
          <w:color w:val="auto"/>
          <w:sz w:val="20"/>
          <w:szCs w:val="20"/>
          <w:lang w:val="en-US" w:eastAsia="en-US"/>
        </w:rPr>
        <w:t>Environmental and natural resource management risk</w:t>
      </w:r>
      <w:r w:rsidR="00877908">
        <w:rPr>
          <w:rFonts w:ascii="Times New Roman" w:hAnsi="Times New Roman" w:cs="Times New Roman"/>
          <w:color w:val="auto"/>
          <w:sz w:val="20"/>
          <w:szCs w:val="20"/>
          <w:lang w:val="en-US" w:eastAsia="en-US"/>
        </w:rPr>
        <w:t xml:space="preserve"> factors</w:t>
      </w:r>
      <w:r w:rsidRPr="00C9769D">
        <w:rPr>
          <w:rFonts w:ascii="Times New Roman" w:hAnsi="Times New Roman" w:cs="Times New Roman"/>
          <w:color w:val="auto"/>
          <w:sz w:val="20"/>
          <w:szCs w:val="20"/>
          <w:lang w:val="en-US" w:eastAsia="en-US"/>
        </w:rPr>
        <w:t xml:space="preserve"> need to be addressed to reinforce </w:t>
      </w:r>
      <w:r w:rsidR="00877908">
        <w:rPr>
          <w:rFonts w:ascii="Times New Roman" w:hAnsi="Times New Roman" w:cs="Times New Roman"/>
          <w:color w:val="auto"/>
          <w:sz w:val="20"/>
          <w:szCs w:val="20"/>
          <w:lang w:val="en-US" w:eastAsia="en-US"/>
        </w:rPr>
        <w:t xml:space="preserve">community </w:t>
      </w:r>
      <w:r w:rsidRPr="00C9769D">
        <w:rPr>
          <w:rFonts w:ascii="Times New Roman" w:hAnsi="Times New Roman" w:cs="Times New Roman"/>
          <w:color w:val="auto"/>
          <w:sz w:val="20"/>
          <w:szCs w:val="20"/>
          <w:lang w:val="en-US" w:eastAsia="en-US"/>
        </w:rPr>
        <w:t>resilience to climate change shocks</w:t>
      </w:r>
      <w:r w:rsidR="004735E8">
        <w:rPr>
          <w:rFonts w:ascii="Times New Roman" w:hAnsi="Times New Roman" w:cs="Times New Roman"/>
          <w:color w:val="auto"/>
          <w:sz w:val="20"/>
          <w:szCs w:val="20"/>
          <w:lang w:val="en-US" w:eastAsia="en-US"/>
        </w:rPr>
        <w:t>,</w:t>
      </w:r>
      <w:r w:rsidRPr="00C9769D">
        <w:rPr>
          <w:rFonts w:ascii="Times New Roman" w:hAnsi="Times New Roman" w:cs="Times New Roman"/>
          <w:color w:val="auto"/>
          <w:sz w:val="20"/>
          <w:szCs w:val="20"/>
          <w:lang w:val="en-US" w:eastAsia="en-US"/>
        </w:rPr>
        <w:t xml:space="preserve"> and </w:t>
      </w:r>
      <w:r w:rsidR="00877908">
        <w:rPr>
          <w:rFonts w:ascii="Times New Roman" w:hAnsi="Times New Roman" w:cs="Times New Roman"/>
          <w:color w:val="auto"/>
          <w:sz w:val="20"/>
          <w:szCs w:val="20"/>
          <w:lang w:val="en-US" w:eastAsia="en-US"/>
        </w:rPr>
        <w:t>forge pathways to</w:t>
      </w:r>
      <w:r w:rsidR="00877908" w:rsidRPr="00C9769D">
        <w:rPr>
          <w:rFonts w:ascii="Times New Roman" w:hAnsi="Times New Roman" w:cs="Times New Roman"/>
          <w:color w:val="auto"/>
          <w:sz w:val="20"/>
          <w:szCs w:val="20"/>
          <w:lang w:val="en-US" w:eastAsia="en-US"/>
        </w:rPr>
        <w:t xml:space="preserve"> </w:t>
      </w:r>
      <w:r w:rsidR="00D374BB" w:rsidRPr="00C9769D">
        <w:rPr>
          <w:rFonts w:ascii="Times New Roman" w:hAnsi="Times New Roman" w:cs="Times New Roman"/>
          <w:color w:val="auto"/>
          <w:sz w:val="20"/>
          <w:szCs w:val="20"/>
          <w:lang w:val="en-US" w:eastAsia="en-US"/>
        </w:rPr>
        <w:t>economic growth</w:t>
      </w:r>
      <w:r w:rsidRPr="00C9769D">
        <w:rPr>
          <w:rFonts w:ascii="Times New Roman" w:hAnsi="Times New Roman" w:cs="Times New Roman"/>
          <w:color w:val="auto"/>
          <w:sz w:val="20"/>
          <w:szCs w:val="20"/>
          <w:lang w:val="en-US" w:eastAsia="en-US"/>
        </w:rPr>
        <w:t xml:space="preserve">. </w:t>
      </w:r>
      <w:r w:rsidR="00C96D4B" w:rsidRPr="00C9769D">
        <w:rPr>
          <w:rFonts w:ascii="Times New Roman" w:hAnsi="Times New Roman" w:cs="Times New Roman"/>
          <w:color w:val="auto"/>
          <w:sz w:val="20"/>
          <w:szCs w:val="20"/>
          <w:lang w:val="en-US" w:eastAsia="en-US"/>
        </w:rPr>
        <w:t>Guinean forests receded by 12</w:t>
      </w:r>
      <w:r w:rsidR="00877908">
        <w:rPr>
          <w:rFonts w:ascii="Times New Roman" w:hAnsi="Times New Roman" w:cs="Times New Roman"/>
          <w:color w:val="auto"/>
          <w:sz w:val="20"/>
          <w:szCs w:val="20"/>
          <w:lang w:val="en-US" w:eastAsia="en-US"/>
        </w:rPr>
        <w:t xml:space="preserve"> per cent</w:t>
      </w:r>
      <w:r w:rsidR="00C96D4B" w:rsidRPr="00C9769D">
        <w:rPr>
          <w:rFonts w:ascii="Times New Roman" w:hAnsi="Times New Roman" w:cs="Times New Roman"/>
          <w:color w:val="auto"/>
          <w:sz w:val="20"/>
          <w:szCs w:val="20"/>
          <w:lang w:val="en-US" w:eastAsia="en-US"/>
        </w:rPr>
        <w:t xml:space="preserve"> between 1990 and 2014</w:t>
      </w:r>
      <w:r w:rsidR="00877908">
        <w:rPr>
          <w:rFonts w:ascii="Times New Roman" w:hAnsi="Times New Roman" w:cs="Times New Roman"/>
          <w:color w:val="auto"/>
          <w:sz w:val="20"/>
          <w:szCs w:val="20"/>
          <w:lang w:val="en-US" w:eastAsia="en-US"/>
        </w:rPr>
        <w:t xml:space="preserve"> </w:t>
      </w:r>
      <w:r w:rsidR="00877908" w:rsidRPr="00C9769D">
        <w:rPr>
          <w:rFonts w:ascii="Times New Roman" w:hAnsi="Times New Roman" w:cs="Times New Roman"/>
          <w:color w:val="auto"/>
          <w:sz w:val="20"/>
          <w:szCs w:val="20"/>
          <w:lang w:val="en-US" w:eastAsia="en-US"/>
        </w:rPr>
        <w:t>due to inappropriate farming practices, poor exploitation of forest resources, open-pit mining</w:t>
      </w:r>
      <w:r w:rsidR="004735E8">
        <w:rPr>
          <w:rFonts w:ascii="Times New Roman" w:hAnsi="Times New Roman" w:cs="Times New Roman"/>
          <w:color w:val="auto"/>
          <w:sz w:val="20"/>
          <w:szCs w:val="20"/>
          <w:lang w:val="en-US" w:eastAsia="en-US"/>
        </w:rPr>
        <w:t>,</w:t>
      </w:r>
      <w:r w:rsidR="00877908" w:rsidRPr="00C9769D">
        <w:rPr>
          <w:rFonts w:ascii="Times New Roman" w:hAnsi="Times New Roman" w:cs="Times New Roman"/>
          <w:color w:val="auto"/>
          <w:sz w:val="20"/>
          <w:szCs w:val="20"/>
          <w:lang w:val="en-US" w:eastAsia="en-US"/>
        </w:rPr>
        <w:t xml:space="preserve"> and bush fires exacerbated by climate chang</w:t>
      </w:r>
      <w:r w:rsidR="00877908">
        <w:rPr>
          <w:rFonts w:ascii="Times New Roman" w:hAnsi="Times New Roman" w:cs="Times New Roman"/>
          <w:color w:val="auto"/>
          <w:sz w:val="20"/>
          <w:szCs w:val="20"/>
          <w:lang w:val="en-US" w:eastAsia="en-US"/>
        </w:rPr>
        <w:t>e.</w:t>
      </w:r>
      <w:r w:rsidR="00D374BB" w:rsidRPr="00C9769D">
        <w:rPr>
          <w:rStyle w:val="FootnoteReference"/>
          <w:rFonts w:ascii="Times New Roman" w:hAnsi="Times New Roman"/>
          <w:color w:val="auto"/>
          <w:sz w:val="20"/>
          <w:szCs w:val="20"/>
          <w:lang w:val="en-US" w:eastAsia="en-US"/>
        </w:rPr>
        <w:footnoteReference w:id="22"/>
      </w:r>
      <w:r w:rsidR="00C96D4B" w:rsidRPr="00C9769D">
        <w:rPr>
          <w:rFonts w:ascii="Times New Roman" w:hAnsi="Times New Roman" w:cs="Times New Roman"/>
          <w:color w:val="auto"/>
          <w:sz w:val="20"/>
          <w:szCs w:val="20"/>
          <w:lang w:val="en-US" w:eastAsia="en-US"/>
        </w:rPr>
        <w:t xml:space="preserve"> Mining operations </w:t>
      </w:r>
      <w:r w:rsidR="00DB0592">
        <w:rPr>
          <w:rFonts w:ascii="Times New Roman" w:hAnsi="Times New Roman" w:cs="Times New Roman"/>
          <w:color w:val="auto"/>
          <w:sz w:val="20"/>
          <w:szCs w:val="20"/>
          <w:lang w:val="en-US" w:eastAsia="en-US"/>
        </w:rPr>
        <w:t>create</w:t>
      </w:r>
      <w:r w:rsidR="00DB0592" w:rsidRPr="00C9769D">
        <w:rPr>
          <w:rFonts w:ascii="Times New Roman" w:hAnsi="Times New Roman" w:cs="Times New Roman"/>
          <w:color w:val="auto"/>
          <w:sz w:val="20"/>
          <w:szCs w:val="20"/>
          <w:lang w:val="en-US" w:eastAsia="en-US"/>
        </w:rPr>
        <w:t xml:space="preserve"> </w:t>
      </w:r>
      <w:r w:rsidR="00C96D4B" w:rsidRPr="00C9769D">
        <w:rPr>
          <w:rFonts w:ascii="Times New Roman" w:hAnsi="Times New Roman" w:cs="Times New Roman"/>
          <w:color w:val="auto"/>
          <w:sz w:val="20"/>
          <w:szCs w:val="20"/>
          <w:lang w:val="en-US" w:eastAsia="en-US"/>
        </w:rPr>
        <w:t>significant environmental impact</w:t>
      </w:r>
      <w:r w:rsidR="00DB0592">
        <w:rPr>
          <w:rFonts w:ascii="Times New Roman" w:hAnsi="Times New Roman" w:cs="Times New Roman"/>
          <w:color w:val="auto"/>
          <w:sz w:val="20"/>
          <w:szCs w:val="20"/>
          <w:lang w:val="en-US" w:eastAsia="en-US"/>
        </w:rPr>
        <w:t>s</w:t>
      </w:r>
      <w:r w:rsidR="00C96D4B" w:rsidRPr="00C9769D">
        <w:rPr>
          <w:rFonts w:ascii="Times New Roman" w:hAnsi="Times New Roman" w:cs="Times New Roman"/>
          <w:color w:val="auto"/>
          <w:sz w:val="20"/>
          <w:szCs w:val="20"/>
          <w:lang w:val="en-US" w:eastAsia="en-US"/>
        </w:rPr>
        <w:t xml:space="preserve"> and pose risks to </w:t>
      </w:r>
      <w:r w:rsidR="00DB0592">
        <w:rPr>
          <w:rFonts w:ascii="Times New Roman" w:hAnsi="Times New Roman" w:cs="Times New Roman"/>
          <w:color w:val="auto"/>
          <w:sz w:val="20"/>
          <w:szCs w:val="20"/>
          <w:lang w:val="en-US" w:eastAsia="en-US"/>
        </w:rPr>
        <w:t xml:space="preserve">social </w:t>
      </w:r>
      <w:r w:rsidR="00C96D4B" w:rsidRPr="00C9769D">
        <w:rPr>
          <w:rFonts w:ascii="Times New Roman" w:hAnsi="Times New Roman" w:cs="Times New Roman"/>
          <w:color w:val="auto"/>
          <w:sz w:val="20"/>
          <w:szCs w:val="20"/>
          <w:lang w:val="en-US" w:eastAsia="en-US"/>
        </w:rPr>
        <w:t>security</w:t>
      </w:r>
      <w:r w:rsidR="00DB0592">
        <w:rPr>
          <w:rFonts w:ascii="Times New Roman" w:hAnsi="Times New Roman" w:cs="Times New Roman"/>
          <w:color w:val="auto"/>
          <w:sz w:val="20"/>
          <w:szCs w:val="20"/>
          <w:lang w:val="en-US" w:eastAsia="en-US"/>
        </w:rPr>
        <w:t xml:space="preserve"> and </w:t>
      </w:r>
      <w:r w:rsidR="00C96D4B" w:rsidRPr="00C9769D">
        <w:rPr>
          <w:rFonts w:ascii="Times New Roman" w:hAnsi="Times New Roman" w:cs="Times New Roman"/>
          <w:color w:val="auto"/>
          <w:sz w:val="20"/>
          <w:szCs w:val="20"/>
          <w:lang w:val="en-US" w:eastAsia="en-US"/>
        </w:rPr>
        <w:t xml:space="preserve">health. Corporate </w:t>
      </w:r>
      <w:r w:rsidR="00DB0592">
        <w:rPr>
          <w:rFonts w:ascii="Times New Roman" w:hAnsi="Times New Roman" w:cs="Times New Roman"/>
          <w:color w:val="auto"/>
          <w:sz w:val="20"/>
          <w:szCs w:val="20"/>
          <w:lang w:val="en-US" w:eastAsia="en-US"/>
        </w:rPr>
        <w:t>s</w:t>
      </w:r>
      <w:r w:rsidR="00C96D4B" w:rsidRPr="00C9769D">
        <w:rPr>
          <w:rFonts w:ascii="Times New Roman" w:hAnsi="Times New Roman" w:cs="Times New Roman"/>
          <w:color w:val="auto"/>
          <w:sz w:val="20"/>
          <w:szCs w:val="20"/>
          <w:lang w:val="en-US" w:eastAsia="en-US"/>
        </w:rPr>
        <w:t xml:space="preserve">ocial </w:t>
      </w:r>
      <w:r w:rsidR="00DB0592">
        <w:rPr>
          <w:rFonts w:ascii="Times New Roman" w:hAnsi="Times New Roman" w:cs="Times New Roman"/>
          <w:color w:val="auto"/>
          <w:sz w:val="20"/>
          <w:szCs w:val="20"/>
          <w:lang w:val="en-US" w:eastAsia="en-US"/>
        </w:rPr>
        <w:t>r</w:t>
      </w:r>
      <w:r w:rsidR="00C96D4B" w:rsidRPr="00C9769D">
        <w:rPr>
          <w:rFonts w:ascii="Times New Roman" w:hAnsi="Times New Roman" w:cs="Times New Roman"/>
          <w:color w:val="auto"/>
          <w:sz w:val="20"/>
          <w:szCs w:val="20"/>
          <w:lang w:val="en-US" w:eastAsia="en-US"/>
        </w:rPr>
        <w:t xml:space="preserve">esponsibility policies are not </w:t>
      </w:r>
      <w:r w:rsidR="008C22C4">
        <w:rPr>
          <w:rFonts w:ascii="Times New Roman" w:hAnsi="Times New Roman" w:cs="Times New Roman"/>
          <w:color w:val="auto"/>
          <w:sz w:val="20"/>
          <w:szCs w:val="20"/>
          <w:lang w:val="en-US" w:eastAsia="en-US"/>
        </w:rPr>
        <w:t xml:space="preserve">well </w:t>
      </w:r>
      <w:r w:rsidR="00C96D4B" w:rsidRPr="00C9769D">
        <w:rPr>
          <w:rFonts w:ascii="Times New Roman" w:hAnsi="Times New Roman" w:cs="Times New Roman"/>
          <w:color w:val="auto"/>
          <w:sz w:val="20"/>
          <w:szCs w:val="20"/>
          <w:lang w:val="en-US" w:eastAsia="en-US"/>
        </w:rPr>
        <w:t>applied</w:t>
      </w:r>
      <w:r w:rsidR="00DB0592">
        <w:rPr>
          <w:rFonts w:ascii="Times New Roman" w:hAnsi="Times New Roman" w:cs="Times New Roman"/>
          <w:color w:val="auto"/>
          <w:sz w:val="20"/>
          <w:szCs w:val="20"/>
          <w:lang w:val="en-US" w:eastAsia="en-US"/>
        </w:rPr>
        <w:t xml:space="preserve"> </w:t>
      </w:r>
      <w:r w:rsidR="00C96D4B" w:rsidRPr="00C9769D">
        <w:rPr>
          <w:rFonts w:ascii="Times New Roman" w:hAnsi="Times New Roman" w:cs="Times New Roman"/>
          <w:color w:val="auto"/>
          <w:sz w:val="20"/>
          <w:szCs w:val="20"/>
          <w:lang w:val="en-US" w:eastAsia="en-US"/>
        </w:rPr>
        <w:t xml:space="preserve">in areas affected by mining operations </w:t>
      </w:r>
      <w:r w:rsidR="00DB0592">
        <w:rPr>
          <w:rFonts w:ascii="Times New Roman" w:hAnsi="Times New Roman" w:cs="Times New Roman"/>
          <w:color w:val="auto"/>
          <w:sz w:val="20"/>
          <w:szCs w:val="20"/>
          <w:lang w:val="en-US" w:eastAsia="en-US"/>
        </w:rPr>
        <w:t>while</w:t>
      </w:r>
      <w:r w:rsidR="00DB0592" w:rsidRPr="00C9769D">
        <w:rPr>
          <w:rFonts w:ascii="Times New Roman" w:hAnsi="Times New Roman" w:cs="Times New Roman"/>
          <w:color w:val="auto"/>
          <w:sz w:val="20"/>
          <w:szCs w:val="20"/>
          <w:lang w:val="en-US" w:eastAsia="en-US"/>
        </w:rPr>
        <w:t xml:space="preserve"> </w:t>
      </w:r>
      <w:r w:rsidR="00C96D4B" w:rsidRPr="00C9769D">
        <w:rPr>
          <w:rFonts w:ascii="Times New Roman" w:hAnsi="Times New Roman" w:cs="Times New Roman"/>
          <w:color w:val="auto"/>
          <w:sz w:val="20"/>
          <w:szCs w:val="20"/>
          <w:lang w:val="en-US" w:eastAsia="en-US"/>
        </w:rPr>
        <w:t>the governance process could be more transparent and inclusive.</w:t>
      </w:r>
      <w:r w:rsidR="00416822">
        <w:rPr>
          <w:rFonts w:ascii="Times New Roman" w:hAnsi="Times New Roman" w:cs="Times New Roman"/>
          <w:color w:val="auto"/>
          <w:sz w:val="20"/>
          <w:szCs w:val="20"/>
          <w:lang w:val="en-US" w:eastAsia="en-US"/>
        </w:rPr>
        <w:t xml:space="preserve"> D</w:t>
      </w:r>
      <w:r w:rsidR="00C96D4B" w:rsidRPr="00C9769D">
        <w:rPr>
          <w:rFonts w:ascii="Times New Roman" w:hAnsi="Times New Roman" w:cs="Times New Roman"/>
          <w:color w:val="auto"/>
          <w:sz w:val="20"/>
          <w:szCs w:val="20"/>
          <w:lang w:val="en-US" w:eastAsia="en-US"/>
        </w:rPr>
        <w:t xml:space="preserve">roughts, floods, storms, extreme temperatures and coastal erosion </w:t>
      </w:r>
      <w:r w:rsidR="008C22C4">
        <w:rPr>
          <w:rFonts w:ascii="Times New Roman" w:hAnsi="Times New Roman" w:cs="Times New Roman"/>
          <w:color w:val="auto"/>
          <w:sz w:val="20"/>
          <w:szCs w:val="20"/>
          <w:lang w:val="en-US" w:eastAsia="en-US"/>
        </w:rPr>
        <w:t>affect</w:t>
      </w:r>
      <w:r w:rsidR="00C96D4B" w:rsidRPr="00C9769D">
        <w:rPr>
          <w:rFonts w:ascii="Times New Roman" w:hAnsi="Times New Roman" w:cs="Times New Roman"/>
          <w:color w:val="auto"/>
          <w:sz w:val="20"/>
          <w:szCs w:val="20"/>
          <w:lang w:val="en-US" w:eastAsia="en-US"/>
        </w:rPr>
        <w:t xml:space="preserve"> the country’s long-term development</w:t>
      </w:r>
      <w:r w:rsidR="001A4B05" w:rsidRPr="00C9769D">
        <w:rPr>
          <w:rFonts w:ascii="Times New Roman" w:hAnsi="Times New Roman" w:cs="Times New Roman"/>
          <w:color w:val="auto"/>
          <w:sz w:val="20"/>
          <w:szCs w:val="20"/>
          <w:lang w:val="en-US" w:eastAsia="en-US"/>
        </w:rPr>
        <w:t xml:space="preserve"> </w:t>
      </w:r>
      <w:r w:rsidR="00DB0592">
        <w:rPr>
          <w:rFonts w:ascii="Times New Roman" w:hAnsi="Times New Roman" w:cs="Times New Roman"/>
          <w:color w:val="auto"/>
          <w:sz w:val="20"/>
          <w:szCs w:val="20"/>
          <w:lang w:val="en-US" w:eastAsia="en-US"/>
        </w:rPr>
        <w:t>and</w:t>
      </w:r>
      <w:r w:rsidR="001A4B05" w:rsidRPr="00C9769D">
        <w:rPr>
          <w:rFonts w:ascii="Times New Roman" w:hAnsi="Times New Roman" w:cs="Times New Roman"/>
          <w:color w:val="auto"/>
          <w:sz w:val="20"/>
          <w:szCs w:val="20"/>
          <w:lang w:val="en-US" w:eastAsia="en-US"/>
        </w:rPr>
        <w:t xml:space="preserve"> require</w:t>
      </w:r>
      <w:r w:rsidR="00D82FBC" w:rsidRPr="00C9769D">
        <w:rPr>
          <w:rFonts w:ascii="Times New Roman" w:hAnsi="Times New Roman" w:cs="Times New Roman"/>
          <w:color w:val="auto"/>
          <w:sz w:val="20"/>
          <w:szCs w:val="20"/>
          <w:lang w:val="en-US" w:eastAsia="en-US"/>
        </w:rPr>
        <w:t xml:space="preserve"> </w:t>
      </w:r>
      <w:r w:rsidR="00494F91" w:rsidRPr="00C9769D">
        <w:rPr>
          <w:rFonts w:ascii="Times New Roman" w:hAnsi="Times New Roman" w:cs="Times New Roman"/>
          <w:color w:val="auto"/>
          <w:sz w:val="20"/>
          <w:szCs w:val="20"/>
          <w:lang w:val="en-US" w:eastAsia="en-US"/>
        </w:rPr>
        <w:t xml:space="preserve">special attention </w:t>
      </w:r>
      <w:r w:rsidR="00DB0592">
        <w:rPr>
          <w:rFonts w:ascii="Times New Roman" w:hAnsi="Times New Roman" w:cs="Times New Roman"/>
          <w:color w:val="auto"/>
          <w:sz w:val="20"/>
          <w:szCs w:val="20"/>
          <w:lang w:val="en-US" w:eastAsia="en-US"/>
        </w:rPr>
        <w:t>when</w:t>
      </w:r>
      <w:r w:rsidR="00DB0592" w:rsidRPr="00C9769D">
        <w:rPr>
          <w:rFonts w:ascii="Times New Roman" w:hAnsi="Times New Roman" w:cs="Times New Roman"/>
          <w:color w:val="auto"/>
          <w:sz w:val="20"/>
          <w:szCs w:val="20"/>
          <w:lang w:val="en-US" w:eastAsia="en-US"/>
        </w:rPr>
        <w:t xml:space="preserve"> </w:t>
      </w:r>
      <w:r w:rsidR="00494F91" w:rsidRPr="00C9769D">
        <w:rPr>
          <w:rFonts w:ascii="Times New Roman" w:hAnsi="Times New Roman" w:cs="Times New Roman"/>
          <w:color w:val="auto"/>
          <w:sz w:val="20"/>
          <w:szCs w:val="20"/>
          <w:lang w:val="en-US" w:eastAsia="en-US"/>
        </w:rPr>
        <w:t xml:space="preserve">building </w:t>
      </w:r>
      <w:r w:rsidR="00DB0592">
        <w:rPr>
          <w:rFonts w:ascii="Times New Roman" w:hAnsi="Times New Roman" w:cs="Times New Roman"/>
          <w:color w:val="auto"/>
          <w:sz w:val="20"/>
          <w:szCs w:val="20"/>
          <w:lang w:val="en-US" w:eastAsia="en-US"/>
        </w:rPr>
        <w:t xml:space="preserve">resilience </w:t>
      </w:r>
      <w:r w:rsidR="00494F91" w:rsidRPr="00C9769D">
        <w:rPr>
          <w:rFonts w:ascii="Times New Roman" w:hAnsi="Times New Roman" w:cs="Times New Roman"/>
          <w:color w:val="auto"/>
          <w:sz w:val="20"/>
          <w:szCs w:val="20"/>
          <w:lang w:val="en-US" w:eastAsia="en-US"/>
        </w:rPr>
        <w:t>of the economy and population.</w:t>
      </w:r>
    </w:p>
    <w:p w14:paraId="75C8DDE3" w14:textId="53E8FF3D" w:rsidR="00A84130" w:rsidRDefault="008C22C4" w:rsidP="00047245">
      <w:pPr>
        <w:pStyle w:val="Default"/>
        <w:numPr>
          <w:ilvl w:val="0"/>
          <w:numId w:val="4"/>
        </w:numPr>
        <w:tabs>
          <w:tab w:val="left" w:pos="0"/>
          <w:tab w:val="left" w:pos="540"/>
          <w:tab w:val="left" w:pos="851"/>
          <w:tab w:val="left" w:pos="1080"/>
        </w:tabs>
        <w:spacing w:after="120"/>
        <w:ind w:left="810" w:right="1208" w:firstLine="0"/>
        <w:jc w:val="both"/>
        <w:rPr>
          <w:lang w:val="en-US"/>
        </w:rPr>
      </w:pPr>
      <w:r>
        <w:rPr>
          <w:rFonts w:ascii="Times New Roman" w:hAnsi="Times New Roman" w:cs="Times New Roman"/>
          <w:color w:val="auto"/>
          <w:sz w:val="20"/>
          <w:szCs w:val="20"/>
          <w:lang w:val="en-US" w:eastAsia="en-US"/>
        </w:rPr>
        <w:t>Responses are</w:t>
      </w:r>
      <w:r w:rsidR="00D65338" w:rsidRPr="00A84130">
        <w:rPr>
          <w:rFonts w:ascii="Times New Roman" w:hAnsi="Times New Roman" w:cs="Times New Roman"/>
          <w:color w:val="auto"/>
          <w:sz w:val="20"/>
          <w:szCs w:val="20"/>
          <w:lang w:val="en-US" w:eastAsia="en-US"/>
        </w:rPr>
        <w:t xml:space="preserve"> constrained by weak institutional capacit</w:t>
      </w:r>
      <w:r w:rsidR="00DB0592" w:rsidRPr="00A84130">
        <w:rPr>
          <w:rFonts w:ascii="Times New Roman" w:hAnsi="Times New Roman" w:cs="Times New Roman"/>
          <w:color w:val="auto"/>
          <w:sz w:val="20"/>
          <w:szCs w:val="20"/>
          <w:lang w:val="en-US" w:eastAsia="en-US"/>
        </w:rPr>
        <w:t>ies</w:t>
      </w:r>
      <w:r w:rsidR="00D65338" w:rsidRPr="00A84130">
        <w:rPr>
          <w:rFonts w:ascii="Times New Roman" w:hAnsi="Times New Roman" w:cs="Times New Roman"/>
          <w:color w:val="auto"/>
          <w:sz w:val="20"/>
          <w:szCs w:val="20"/>
          <w:lang w:val="en-US" w:eastAsia="en-US"/>
        </w:rPr>
        <w:t xml:space="preserve"> </w:t>
      </w:r>
      <w:r w:rsidR="00732311">
        <w:rPr>
          <w:rFonts w:ascii="Times New Roman" w:hAnsi="Times New Roman" w:cs="Times New Roman"/>
          <w:color w:val="auto"/>
          <w:sz w:val="20"/>
          <w:szCs w:val="20"/>
          <w:lang w:val="en-US" w:eastAsia="en-US"/>
        </w:rPr>
        <w:t>across</w:t>
      </w:r>
      <w:r w:rsidR="00DB0592" w:rsidRPr="00A84130">
        <w:rPr>
          <w:rFonts w:ascii="Times New Roman" w:hAnsi="Times New Roman" w:cs="Times New Roman"/>
          <w:color w:val="auto"/>
          <w:sz w:val="20"/>
          <w:szCs w:val="20"/>
          <w:lang w:val="en-US" w:eastAsia="en-US"/>
        </w:rPr>
        <w:t xml:space="preserve"> </w:t>
      </w:r>
      <w:r w:rsidR="00D65338" w:rsidRPr="00A84130">
        <w:rPr>
          <w:rFonts w:ascii="Times New Roman" w:hAnsi="Times New Roman" w:cs="Times New Roman"/>
          <w:color w:val="auto"/>
          <w:sz w:val="20"/>
          <w:szCs w:val="20"/>
          <w:lang w:val="en-US" w:eastAsia="en-US"/>
        </w:rPr>
        <w:t xml:space="preserve">sectors. </w:t>
      </w:r>
      <w:r w:rsidR="006E49BD" w:rsidRPr="00A84130">
        <w:rPr>
          <w:rFonts w:ascii="Times New Roman" w:hAnsi="Times New Roman" w:cs="Times New Roman"/>
          <w:color w:val="auto"/>
          <w:sz w:val="20"/>
          <w:szCs w:val="20"/>
          <w:lang w:val="en-US" w:eastAsia="en-US"/>
        </w:rPr>
        <w:t>L</w:t>
      </w:r>
      <w:r w:rsidR="00D65338" w:rsidRPr="00A84130">
        <w:rPr>
          <w:rFonts w:ascii="Times New Roman" w:hAnsi="Times New Roman" w:cs="Times New Roman"/>
          <w:color w:val="auto"/>
          <w:sz w:val="20"/>
          <w:szCs w:val="20"/>
          <w:lang w:val="en-US" w:eastAsia="en-US"/>
        </w:rPr>
        <w:t>ow level</w:t>
      </w:r>
      <w:r w:rsidR="00DB0592" w:rsidRPr="00A84130">
        <w:rPr>
          <w:rFonts w:ascii="Times New Roman" w:hAnsi="Times New Roman" w:cs="Times New Roman"/>
          <w:color w:val="auto"/>
          <w:sz w:val="20"/>
          <w:szCs w:val="20"/>
          <w:lang w:val="en-US" w:eastAsia="en-US"/>
        </w:rPr>
        <w:t>s</w:t>
      </w:r>
      <w:r w:rsidR="00D65338" w:rsidRPr="00A84130">
        <w:rPr>
          <w:rFonts w:ascii="Times New Roman" w:hAnsi="Times New Roman" w:cs="Times New Roman"/>
          <w:color w:val="auto"/>
          <w:sz w:val="20"/>
          <w:szCs w:val="20"/>
          <w:lang w:val="en-US" w:eastAsia="en-US"/>
        </w:rPr>
        <w:t xml:space="preserve"> of decentralization limits </w:t>
      </w:r>
      <w:r w:rsidR="00C244A8" w:rsidRPr="00A84130">
        <w:rPr>
          <w:rFonts w:ascii="Times New Roman" w:hAnsi="Times New Roman" w:cs="Times New Roman"/>
          <w:color w:val="auto"/>
          <w:sz w:val="20"/>
          <w:szCs w:val="20"/>
          <w:lang w:val="en-US" w:eastAsia="en-US"/>
        </w:rPr>
        <w:t xml:space="preserve">public </w:t>
      </w:r>
      <w:r w:rsidR="00D65338" w:rsidRPr="00A84130">
        <w:rPr>
          <w:rFonts w:ascii="Times New Roman" w:hAnsi="Times New Roman" w:cs="Times New Roman"/>
          <w:color w:val="auto"/>
          <w:sz w:val="20"/>
          <w:szCs w:val="20"/>
          <w:lang w:val="en-US" w:eastAsia="en-US"/>
        </w:rPr>
        <w:t xml:space="preserve">access to services, particularly </w:t>
      </w:r>
      <w:r w:rsidR="00D374BB" w:rsidRPr="00A84130">
        <w:rPr>
          <w:rFonts w:ascii="Times New Roman" w:hAnsi="Times New Roman" w:cs="Times New Roman"/>
          <w:color w:val="auto"/>
          <w:sz w:val="20"/>
          <w:szCs w:val="20"/>
          <w:lang w:val="en-US" w:eastAsia="en-US"/>
        </w:rPr>
        <w:t xml:space="preserve">in </w:t>
      </w:r>
      <w:r w:rsidR="00D65338" w:rsidRPr="00A84130">
        <w:rPr>
          <w:rFonts w:ascii="Times New Roman" w:hAnsi="Times New Roman" w:cs="Times New Roman"/>
          <w:color w:val="auto"/>
          <w:sz w:val="20"/>
          <w:szCs w:val="20"/>
          <w:lang w:val="en-US" w:eastAsia="en-US"/>
        </w:rPr>
        <w:t xml:space="preserve">remote </w:t>
      </w:r>
      <w:r w:rsidR="00D374BB" w:rsidRPr="00A84130">
        <w:rPr>
          <w:rFonts w:ascii="Times New Roman" w:hAnsi="Times New Roman" w:cs="Times New Roman"/>
          <w:color w:val="auto"/>
          <w:sz w:val="20"/>
          <w:szCs w:val="20"/>
          <w:lang w:val="en-US" w:eastAsia="en-US"/>
        </w:rPr>
        <w:t>areas</w:t>
      </w:r>
      <w:r w:rsidR="00D65338" w:rsidRPr="00A84130">
        <w:rPr>
          <w:rFonts w:ascii="Times New Roman" w:hAnsi="Times New Roman" w:cs="Times New Roman"/>
          <w:color w:val="auto"/>
          <w:sz w:val="20"/>
          <w:szCs w:val="20"/>
          <w:lang w:val="en-US" w:eastAsia="en-US"/>
        </w:rPr>
        <w:t xml:space="preserve">. </w:t>
      </w:r>
      <w:r w:rsidR="00E14F3E" w:rsidRPr="00A84130">
        <w:rPr>
          <w:rFonts w:ascii="Times New Roman" w:hAnsi="Times New Roman" w:cs="Times New Roman"/>
          <w:color w:val="auto"/>
          <w:sz w:val="20"/>
          <w:szCs w:val="20"/>
          <w:lang w:val="en-US" w:eastAsia="en-US"/>
        </w:rPr>
        <w:t>T</w:t>
      </w:r>
      <w:r w:rsidR="00D65338" w:rsidRPr="00A84130">
        <w:rPr>
          <w:rFonts w:ascii="Times New Roman" w:hAnsi="Times New Roman" w:cs="Times New Roman"/>
          <w:color w:val="auto"/>
          <w:sz w:val="20"/>
          <w:szCs w:val="20"/>
          <w:lang w:val="en-US" w:eastAsia="en-US"/>
        </w:rPr>
        <w:t xml:space="preserve">he </w:t>
      </w:r>
      <w:r w:rsidR="00C96D4B" w:rsidRPr="00A84130">
        <w:rPr>
          <w:rFonts w:ascii="Times New Roman" w:hAnsi="Times New Roman" w:cs="Times New Roman"/>
          <w:color w:val="auto"/>
          <w:sz w:val="20"/>
          <w:szCs w:val="20"/>
          <w:lang w:val="en-US" w:eastAsia="en-US"/>
        </w:rPr>
        <w:t>lessons learned</w:t>
      </w:r>
      <w:r w:rsidR="00D65338" w:rsidRPr="00A84130">
        <w:rPr>
          <w:rFonts w:ascii="Times New Roman" w:hAnsi="Times New Roman" w:cs="Times New Roman"/>
          <w:color w:val="auto"/>
          <w:sz w:val="20"/>
          <w:szCs w:val="20"/>
          <w:lang w:val="en-US" w:eastAsia="en-US"/>
        </w:rPr>
        <w:t xml:space="preserve"> report</w:t>
      </w:r>
      <w:r w:rsidR="00DB0592" w:rsidRPr="00A84130">
        <w:rPr>
          <w:rFonts w:ascii="Times New Roman" w:hAnsi="Times New Roman" w:cs="Times New Roman"/>
          <w:color w:val="auto"/>
          <w:sz w:val="20"/>
          <w:szCs w:val="20"/>
          <w:lang w:val="en-US" w:eastAsia="en-US"/>
        </w:rPr>
        <w:t xml:space="preserve"> on Ebola</w:t>
      </w:r>
      <w:r w:rsidR="00D65338" w:rsidRPr="00C9769D">
        <w:rPr>
          <w:rStyle w:val="FootnoteReference"/>
          <w:rFonts w:ascii="Times New Roman" w:hAnsi="Times New Roman"/>
          <w:color w:val="auto"/>
          <w:sz w:val="20"/>
          <w:szCs w:val="20"/>
          <w:lang w:val="en-US" w:eastAsia="en-US"/>
        </w:rPr>
        <w:footnoteReference w:id="23"/>
      </w:r>
      <w:r w:rsidR="00E14F3E" w:rsidRPr="00A84130">
        <w:rPr>
          <w:rFonts w:ascii="Times New Roman" w:hAnsi="Times New Roman" w:cs="Times New Roman"/>
          <w:color w:val="auto"/>
          <w:sz w:val="20"/>
          <w:szCs w:val="20"/>
          <w:lang w:val="en-US" w:eastAsia="en-US"/>
        </w:rPr>
        <w:t xml:space="preserve"> revealed </w:t>
      </w:r>
      <w:r w:rsidR="00C96D4B" w:rsidRPr="00A84130">
        <w:rPr>
          <w:rFonts w:ascii="Times New Roman" w:hAnsi="Times New Roman" w:cs="Times New Roman"/>
          <w:color w:val="auto"/>
          <w:sz w:val="20"/>
          <w:szCs w:val="20"/>
          <w:lang w:val="en-US" w:eastAsia="en-US"/>
        </w:rPr>
        <w:t>the low resilience of public institutions</w:t>
      </w:r>
      <w:r w:rsidR="00D65338" w:rsidRPr="00A84130">
        <w:rPr>
          <w:rFonts w:ascii="Times New Roman" w:hAnsi="Times New Roman" w:cs="Times New Roman"/>
          <w:color w:val="auto"/>
          <w:sz w:val="20"/>
          <w:szCs w:val="20"/>
          <w:lang w:val="en-US" w:eastAsia="en-US"/>
        </w:rPr>
        <w:t xml:space="preserve"> </w:t>
      </w:r>
      <w:r w:rsidR="00C96D4B" w:rsidRPr="00A84130">
        <w:rPr>
          <w:rFonts w:ascii="Times New Roman" w:hAnsi="Times New Roman" w:cs="Times New Roman"/>
          <w:color w:val="auto"/>
          <w:sz w:val="20"/>
          <w:szCs w:val="20"/>
          <w:lang w:val="en-US" w:eastAsia="en-US"/>
        </w:rPr>
        <w:t>and need to invest at sub</w:t>
      </w:r>
      <w:r w:rsidR="00C166D7" w:rsidRPr="00A84130">
        <w:rPr>
          <w:rFonts w:ascii="Times New Roman" w:hAnsi="Times New Roman" w:cs="Times New Roman"/>
          <w:color w:val="auto"/>
          <w:sz w:val="20"/>
          <w:szCs w:val="20"/>
          <w:lang w:val="en-US" w:eastAsia="en-US"/>
        </w:rPr>
        <w:t>-</w:t>
      </w:r>
      <w:r w:rsidR="00C96D4B" w:rsidRPr="00A84130">
        <w:rPr>
          <w:rFonts w:ascii="Times New Roman" w:hAnsi="Times New Roman" w:cs="Times New Roman"/>
          <w:color w:val="auto"/>
          <w:sz w:val="20"/>
          <w:szCs w:val="20"/>
          <w:lang w:val="en-US" w:eastAsia="en-US"/>
        </w:rPr>
        <w:t>national and community level</w:t>
      </w:r>
      <w:r w:rsidR="00C166D7" w:rsidRPr="00A84130">
        <w:rPr>
          <w:rFonts w:ascii="Times New Roman" w:hAnsi="Times New Roman" w:cs="Times New Roman"/>
          <w:color w:val="auto"/>
          <w:sz w:val="20"/>
          <w:szCs w:val="20"/>
          <w:lang w:val="en-US" w:eastAsia="en-US"/>
        </w:rPr>
        <w:t>s</w:t>
      </w:r>
      <w:r w:rsidR="00C96D4B" w:rsidRPr="00A84130">
        <w:rPr>
          <w:rFonts w:ascii="Times New Roman" w:hAnsi="Times New Roman" w:cs="Times New Roman"/>
          <w:color w:val="auto"/>
          <w:sz w:val="20"/>
          <w:szCs w:val="20"/>
          <w:lang w:val="en-US" w:eastAsia="en-US"/>
        </w:rPr>
        <w:t xml:space="preserve">. </w:t>
      </w:r>
      <w:r w:rsidR="00C166D7" w:rsidRPr="00A84130">
        <w:rPr>
          <w:rFonts w:ascii="Times New Roman" w:hAnsi="Times New Roman" w:cs="Times New Roman"/>
          <w:color w:val="auto"/>
          <w:sz w:val="20"/>
          <w:szCs w:val="20"/>
          <w:lang w:val="en-US" w:eastAsia="en-US"/>
        </w:rPr>
        <w:t>The g</w:t>
      </w:r>
      <w:r w:rsidR="00C96D4B" w:rsidRPr="00A84130">
        <w:rPr>
          <w:rFonts w:ascii="Times New Roman" w:hAnsi="Times New Roman" w:cs="Times New Roman"/>
          <w:color w:val="auto"/>
          <w:sz w:val="20"/>
          <w:szCs w:val="20"/>
          <w:lang w:val="en-US" w:eastAsia="en-US"/>
        </w:rPr>
        <w:t xml:space="preserve">overnment </w:t>
      </w:r>
      <w:r w:rsidR="00C166D7" w:rsidRPr="00A84130">
        <w:rPr>
          <w:rFonts w:ascii="Times New Roman" w:hAnsi="Times New Roman" w:cs="Times New Roman"/>
          <w:color w:val="auto"/>
          <w:sz w:val="20"/>
          <w:szCs w:val="20"/>
          <w:lang w:val="en-US" w:eastAsia="en-US"/>
        </w:rPr>
        <w:t>is</w:t>
      </w:r>
      <w:r w:rsidR="00C96D4B" w:rsidRPr="00A84130">
        <w:rPr>
          <w:rFonts w:ascii="Times New Roman" w:hAnsi="Times New Roman" w:cs="Times New Roman"/>
          <w:color w:val="auto"/>
          <w:sz w:val="20"/>
          <w:szCs w:val="20"/>
          <w:lang w:val="en-US" w:eastAsia="en-US"/>
        </w:rPr>
        <w:t xml:space="preserve"> strengthen</w:t>
      </w:r>
      <w:r w:rsidR="00C166D7" w:rsidRPr="00A84130">
        <w:rPr>
          <w:rFonts w:ascii="Times New Roman" w:hAnsi="Times New Roman" w:cs="Times New Roman"/>
          <w:color w:val="auto"/>
          <w:sz w:val="20"/>
          <w:szCs w:val="20"/>
          <w:lang w:val="en-US" w:eastAsia="en-US"/>
        </w:rPr>
        <w:t xml:space="preserve">ing </w:t>
      </w:r>
      <w:r w:rsidR="00C96D4B" w:rsidRPr="00A84130">
        <w:rPr>
          <w:rFonts w:ascii="Times New Roman" w:hAnsi="Times New Roman" w:cs="Times New Roman"/>
          <w:color w:val="auto"/>
          <w:sz w:val="20"/>
          <w:szCs w:val="20"/>
          <w:lang w:val="en-US" w:eastAsia="en-US"/>
        </w:rPr>
        <w:t xml:space="preserve">decentralization </w:t>
      </w:r>
      <w:r w:rsidR="00D65338" w:rsidRPr="00A84130">
        <w:rPr>
          <w:rFonts w:ascii="Times New Roman" w:hAnsi="Times New Roman" w:cs="Times New Roman"/>
          <w:color w:val="auto"/>
          <w:sz w:val="20"/>
          <w:szCs w:val="20"/>
          <w:lang w:val="en-US" w:eastAsia="en-US"/>
        </w:rPr>
        <w:t xml:space="preserve">through </w:t>
      </w:r>
      <w:r w:rsidR="00C166D7" w:rsidRPr="00A84130">
        <w:rPr>
          <w:rFonts w:ascii="Times New Roman" w:hAnsi="Times New Roman" w:cs="Times New Roman"/>
          <w:color w:val="auto"/>
          <w:sz w:val="20"/>
          <w:szCs w:val="20"/>
          <w:lang w:val="en-US" w:eastAsia="en-US"/>
        </w:rPr>
        <w:t xml:space="preserve">the </w:t>
      </w:r>
      <w:r w:rsidR="00D65338" w:rsidRPr="00A84130">
        <w:rPr>
          <w:rFonts w:ascii="Times New Roman" w:hAnsi="Times New Roman" w:cs="Times New Roman"/>
          <w:color w:val="auto"/>
          <w:sz w:val="20"/>
          <w:szCs w:val="20"/>
          <w:lang w:val="en-US" w:eastAsia="en-US"/>
        </w:rPr>
        <w:t>creation of regional development zones</w:t>
      </w:r>
      <w:r w:rsidR="00C166D7" w:rsidRPr="00A84130">
        <w:rPr>
          <w:rFonts w:ascii="Times New Roman" w:hAnsi="Times New Roman" w:cs="Times New Roman"/>
          <w:color w:val="auto"/>
          <w:sz w:val="20"/>
          <w:szCs w:val="20"/>
          <w:lang w:val="en-US" w:eastAsia="en-US"/>
        </w:rPr>
        <w:t xml:space="preserve"> that </w:t>
      </w:r>
      <w:r w:rsidR="00C96D4B" w:rsidRPr="00A84130">
        <w:rPr>
          <w:rFonts w:ascii="Times New Roman" w:hAnsi="Times New Roman" w:cs="Times New Roman"/>
          <w:color w:val="auto"/>
          <w:sz w:val="20"/>
          <w:szCs w:val="20"/>
          <w:lang w:val="en-US" w:eastAsia="en-US"/>
        </w:rPr>
        <w:t xml:space="preserve">will help build local resilience. </w:t>
      </w:r>
      <w:r w:rsidR="00C166D7" w:rsidRPr="00A84130">
        <w:rPr>
          <w:rFonts w:ascii="Times New Roman" w:hAnsi="Times New Roman" w:cs="Times New Roman"/>
          <w:color w:val="auto"/>
          <w:sz w:val="20"/>
          <w:szCs w:val="20"/>
          <w:lang w:val="en-US" w:eastAsia="en-US"/>
        </w:rPr>
        <w:t>T</w:t>
      </w:r>
      <w:r w:rsidR="00D65338" w:rsidRPr="00A84130">
        <w:rPr>
          <w:rFonts w:ascii="Times New Roman" w:hAnsi="Times New Roman" w:cs="Times New Roman"/>
          <w:color w:val="auto"/>
          <w:sz w:val="20"/>
          <w:szCs w:val="20"/>
          <w:lang w:val="en-US" w:eastAsia="en-US"/>
        </w:rPr>
        <w:t xml:space="preserve">he </w:t>
      </w:r>
      <w:r w:rsidR="00C96D4B" w:rsidRPr="00A84130">
        <w:rPr>
          <w:rFonts w:ascii="Times New Roman" w:hAnsi="Times New Roman" w:cs="Times New Roman"/>
          <w:color w:val="auto"/>
          <w:sz w:val="20"/>
          <w:szCs w:val="20"/>
          <w:lang w:val="en-US" w:eastAsia="en-US"/>
        </w:rPr>
        <w:t xml:space="preserve">operationalization </w:t>
      </w:r>
      <w:r w:rsidR="00D65338" w:rsidRPr="00A84130">
        <w:rPr>
          <w:rFonts w:ascii="Times New Roman" w:hAnsi="Times New Roman" w:cs="Times New Roman"/>
          <w:color w:val="auto"/>
          <w:sz w:val="20"/>
          <w:szCs w:val="20"/>
          <w:lang w:val="en-US" w:eastAsia="en-US"/>
        </w:rPr>
        <w:t xml:space="preserve">of these zones </w:t>
      </w:r>
      <w:r w:rsidR="009819BE" w:rsidRPr="00A84130">
        <w:rPr>
          <w:rFonts w:ascii="Times New Roman" w:hAnsi="Times New Roman" w:cs="Times New Roman"/>
          <w:color w:val="auto"/>
          <w:sz w:val="20"/>
          <w:szCs w:val="20"/>
          <w:lang w:val="en-US" w:eastAsia="en-US"/>
        </w:rPr>
        <w:t xml:space="preserve">is a priority </w:t>
      </w:r>
      <w:r w:rsidR="00C96D4B" w:rsidRPr="00A84130">
        <w:rPr>
          <w:rFonts w:ascii="Times New Roman" w:hAnsi="Times New Roman" w:cs="Times New Roman"/>
          <w:color w:val="auto"/>
          <w:sz w:val="20"/>
          <w:szCs w:val="20"/>
          <w:lang w:val="en-US" w:eastAsia="en-US"/>
        </w:rPr>
        <w:t>for effective coordination, provision of services and development of supply chains in sectors such as agriculture and extractive industries</w:t>
      </w:r>
      <w:r w:rsidR="00C166D7" w:rsidRPr="00A84130">
        <w:rPr>
          <w:rFonts w:ascii="Times New Roman" w:hAnsi="Times New Roman" w:cs="Times New Roman"/>
          <w:color w:val="auto"/>
          <w:sz w:val="20"/>
          <w:szCs w:val="20"/>
          <w:lang w:val="en-US" w:eastAsia="en-US"/>
        </w:rPr>
        <w:t>, but s</w:t>
      </w:r>
      <w:r w:rsidR="009819BE" w:rsidRPr="00A84130">
        <w:rPr>
          <w:rFonts w:ascii="Times New Roman" w:hAnsi="Times New Roman" w:cs="Times New Roman"/>
          <w:color w:val="auto"/>
          <w:sz w:val="20"/>
          <w:szCs w:val="20"/>
          <w:lang w:val="en-US" w:eastAsia="en-US"/>
        </w:rPr>
        <w:t>u</w:t>
      </w:r>
      <w:r w:rsidR="007D77BE" w:rsidRPr="00A84130">
        <w:rPr>
          <w:rFonts w:ascii="Times New Roman" w:hAnsi="Times New Roman" w:cs="Times New Roman"/>
          <w:color w:val="auto"/>
          <w:sz w:val="20"/>
          <w:szCs w:val="20"/>
          <w:lang w:val="en-US" w:eastAsia="en-US"/>
        </w:rPr>
        <w:t>ch reforms can only succeed if the country has</w:t>
      </w:r>
      <w:r w:rsidR="009819BE" w:rsidRPr="00A84130">
        <w:rPr>
          <w:rFonts w:ascii="Times New Roman" w:hAnsi="Times New Roman" w:cs="Times New Roman"/>
          <w:color w:val="auto"/>
          <w:sz w:val="20"/>
          <w:szCs w:val="20"/>
          <w:lang w:val="en-US" w:eastAsia="en-US"/>
        </w:rPr>
        <w:t xml:space="preserve"> sufficient </w:t>
      </w:r>
      <w:r w:rsidR="007D77BE" w:rsidRPr="00A84130">
        <w:rPr>
          <w:rFonts w:ascii="Times New Roman" w:hAnsi="Times New Roman" w:cs="Times New Roman"/>
          <w:color w:val="auto"/>
          <w:sz w:val="20"/>
          <w:szCs w:val="20"/>
          <w:lang w:val="en-US" w:eastAsia="en-US"/>
        </w:rPr>
        <w:t xml:space="preserve">coordination and </w:t>
      </w:r>
      <w:r w:rsidR="00B80FE8" w:rsidRPr="00A84130">
        <w:rPr>
          <w:rFonts w:ascii="Times New Roman" w:hAnsi="Times New Roman" w:cs="Times New Roman"/>
          <w:color w:val="auto"/>
          <w:sz w:val="20"/>
          <w:szCs w:val="20"/>
          <w:lang w:val="en-US" w:eastAsia="en-US"/>
        </w:rPr>
        <w:t>monitoring</w:t>
      </w:r>
      <w:r w:rsidR="007D77BE" w:rsidRPr="00A84130">
        <w:rPr>
          <w:rFonts w:ascii="Times New Roman" w:hAnsi="Times New Roman" w:cs="Times New Roman"/>
          <w:color w:val="auto"/>
          <w:sz w:val="20"/>
          <w:szCs w:val="20"/>
          <w:lang w:val="en-US" w:eastAsia="en-US"/>
        </w:rPr>
        <w:t xml:space="preserve"> capacit</w:t>
      </w:r>
      <w:r w:rsidR="00D84971" w:rsidRPr="00A84130">
        <w:rPr>
          <w:rFonts w:ascii="Times New Roman" w:hAnsi="Times New Roman" w:cs="Times New Roman"/>
          <w:color w:val="auto"/>
          <w:sz w:val="20"/>
          <w:szCs w:val="20"/>
          <w:lang w:val="en-US" w:eastAsia="en-US"/>
        </w:rPr>
        <w:t>ies</w:t>
      </w:r>
      <w:r w:rsidR="009819BE" w:rsidRPr="00A84130">
        <w:rPr>
          <w:rFonts w:ascii="Times New Roman" w:hAnsi="Times New Roman" w:cs="Times New Roman"/>
          <w:color w:val="auto"/>
          <w:sz w:val="20"/>
          <w:szCs w:val="20"/>
          <w:lang w:val="en-US" w:eastAsia="en-US"/>
        </w:rPr>
        <w:t>.</w:t>
      </w:r>
      <w:r w:rsidR="00C96D4B" w:rsidRPr="00A84130">
        <w:rPr>
          <w:rFonts w:ascii="Times New Roman" w:hAnsi="Times New Roman" w:cs="Times New Roman"/>
          <w:color w:val="auto"/>
          <w:sz w:val="20"/>
          <w:szCs w:val="20"/>
          <w:lang w:val="en-US" w:eastAsia="en-US"/>
        </w:rPr>
        <w:t xml:space="preserve"> Support to aid coordination </w:t>
      </w:r>
      <w:r w:rsidR="007D77BE" w:rsidRPr="00A84130">
        <w:rPr>
          <w:rFonts w:ascii="Times New Roman" w:hAnsi="Times New Roman" w:cs="Times New Roman"/>
          <w:color w:val="auto"/>
          <w:sz w:val="20"/>
          <w:szCs w:val="20"/>
          <w:lang w:val="en-US" w:eastAsia="en-US"/>
        </w:rPr>
        <w:t xml:space="preserve">frameworks </w:t>
      </w:r>
      <w:r w:rsidR="00C96D4B" w:rsidRPr="00A84130">
        <w:rPr>
          <w:rFonts w:ascii="Times New Roman" w:hAnsi="Times New Roman" w:cs="Times New Roman"/>
          <w:color w:val="auto"/>
          <w:sz w:val="20"/>
          <w:szCs w:val="20"/>
          <w:lang w:val="en-US" w:eastAsia="en-US"/>
        </w:rPr>
        <w:t xml:space="preserve">is a priority </w:t>
      </w:r>
      <w:r w:rsidR="00C166D7" w:rsidRPr="00A84130">
        <w:rPr>
          <w:rFonts w:ascii="Times New Roman" w:hAnsi="Times New Roman" w:cs="Times New Roman"/>
          <w:color w:val="auto"/>
          <w:sz w:val="20"/>
          <w:szCs w:val="20"/>
          <w:lang w:val="en-US" w:eastAsia="en-US"/>
        </w:rPr>
        <w:t>in g</w:t>
      </w:r>
      <w:r w:rsidR="00C96D4B" w:rsidRPr="00A84130">
        <w:rPr>
          <w:rFonts w:ascii="Times New Roman" w:hAnsi="Times New Roman" w:cs="Times New Roman"/>
          <w:color w:val="auto"/>
          <w:sz w:val="20"/>
          <w:szCs w:val="20"/>
          <w:lang w:val="en-US" w:eastAsia="en-US"/>
        </w:rPr>
        <w:t>overnment</w:t>
      </w:r>
      <w:r w:rsidR="00C166D7" w:rsidRPr="00A84130">
        <w:rPr>
          <w:rFonts w:ascii="Times New Roman" w:hAnsi="Times New Roman" w:cs="Times New Roman"/>
          <w:color w:val="auto"/>
          <w:sz w:val="20"/>
          <w:szCs w:val="20"/>
          <w:lang w:val="en-US" w:eastAsia="en-US"/>
        </w:rPr>
        <w:t>al</w:t>
      </w:r>
      <w:r w:rsidR="00C96D4B" w:rsidRPr="00A84130">
        <w:rPr>
          <w:rFonts w:ascii="Times New Roman" w:hAnsi="Times New Roman" w:cs="Times New Roman"/>
          <w:color w:val="auto"/>
          <w:sz w:val="20"/>
          <w:szCs w:val="20"/>
          <w:lang w:val="en-US" w:eastAsia="en-US"/>
        </w:rPr>
        <w:t xml:space="preserve"> resource mobilization</w:t>
      </w:r>
      <w:r w:rsidR="00906803" w:rsidRPr="00A84130">
        <w:rPr>
          <w:rFonts w:ascii="Times New Roman" w:hAnsi="Times New Roman" w:cs="Times New Roman"/>
          <w:color w:val="auto"/>
          <w:sz w:val="20"/>
          <w:szCs w:val="20"/>
          <w:lang w:val="en-US" w:eastAsia="en-US"/>
        </w:rPr>
        <w:t>.</w:t>
      </w:r>
      <w:r w:rsidR="00202EBB" w:rsidRPr="00A84130">
        <w:rPr>
          <w:rFonts w:ascii="Times New Roman" w:hAnsi="Times New Roman" w:cs="Times New Roman"/>
          <w:color w:val="auto"/>
          <w:sz w:val="20"/>
          <w:szCs w:val="20"/>
          <w:lang w:val="en-US" w:eastAsia="en-US"/>
        </w:rPr>
        <w:t xml:space="preserve"> </w:t>
      </w:r>
      <w:r w:rsidR="003B1B4A">
        <w:rPr>
          <w:rFonts w:ascii="Times New Roman" w:hAnsi="Times New Roman" w:cs="Times New Roman"/>
          <w:color w:val="auto"/>
          <w:sz w:val="20"/>
          <w:szCs w:val="20"/>
          <w:lang w:val="en-US" w:eastAsia="en-US"/>
        </w:rPr>
        <w:t>T</w:t>
      </w:r>
      <w:r w:rsidR="00202EBB" w:rsidRPr="00A84130">
        <w:rPr>
          <w:rFonts w:ascii="Times New Roman" w:hAnsi="Times New Roman" w:cs="Times New Roman"/>
          <w:color w:val="auto"/>
          <w:sz w:val="20"/>
          <w:szCs w:val="20"/>
          <w:lang w:val="en-US" w:eastAsia="en-US"/>
        </w:rPr>
        <w:t>he Common Country Assessment</w:t>
      </w:r>
      <w:r w:rsidR="00202EBB" w:rsidRPr="00C9769D">
        <w:rPr>
          <w:rStyle w:val="FootnoteReference"/>
          <w:rFonts w:ascii="Times New Roman" w:hAnsi="Times New Roman"/>
          <w:color w:val="auto"/>
          <w:sz w:val="20"/>
          <w:szCs w:val="20"/>
          <w:lang w:val="en-US" w:eastAsia="en-US"/>
        </w:rPr>
        <w:footnoteReference w:id="24"/>
      </w:r>
      <w:r w:rsidR="00202EBB" w:rsidRPr="00A84130">
        <w:rPr>
          <w:rFonts w:ascii="Times New Roman" w:hAnsi="Times New Roman" w:cs="Times New Roman"/>
          <w:color w:val="auto"/>
          <w:sz w:val="20"/>
          <w:szCs w:val="20"/>
          <w:lang w:val="en-US" w:eastAsia="en-US"/>
        </w:rPr>
        <w:t xml:space="preserve"> highlighted the country’s weak capacity in data collection, analysis and dissemination</w:t>
      </w:r>
      <w:r w:rsidR="00202EBB">
        <w:rPr>
          <w:rFonts w:ascii="Times New Roman" w:hAnsi="Times New Roman" w:cs="Times New Roman"/>
          <w:color w:val="auto"/>
          <w:sz w:val="20"/>
          <w:szCs w:val="20"/>
          <w:lang w:val="en-US" w:eastAsia="en-US"/>
        </w:rPr>
        <w:t>,</w:t>
      </w:r>
      <w:r w:rsidR="00202EBB" w:rsidRPr="00A84130">
        <w:rPr>
          <w:rFonts w:ascii="Times New Roman" w:hAnsi="Times New Roman" w:cs="Times New Roman"/>
          <w:color w:val="auto"/>
          <w:sz w:val="20"/>
          <w:szCs w:val="20"/>
          <w:lang w:val="en-US" w:eastAsia="en-US"/>
        </w:rPr>
        <w:t xml:space="preserve"> </w:t>
      </w:r>
      <w:r w:rsidR="00202EBB">
        <w:rPr>
          <w:rFonts w:ascii="Times New Roman" w:hAnsi="Times New Roman" w:cs="Times New Roman"/>
          <w:color w:val="auto"/>
          <w:sz w:val="20"/>
          <w:szCs w:val="20"/>
          <w:lang w:val="en-US" w:eastAsia="en-US"/>
        </w:rPr>
        <w:t>and</w:t>
      </w:r>
      <w:r w:rsidR="00202EBB" w:rsidRPr="00A84130">
        <w:rPr>
          <w:rFonts w:ascii="Times New Roman" w:hAnsi="Times New Roman" w:cs="Times New Roman"/>
          <w:color w:val="auto"/>
          <w:sz w:val="20"/>
          <w:szCs w:val="20"/>
          <w:lang w:val="en-US" w:eastAsia="en-US"/>
        </w:rPr>
        <w:t xml:space="preserve"> the dysfunction of the statistical system. </w:t>
      </w:r>
      <w:r w:rsidR="00C166D7" w:rsidRPr="00A84130">
        <w:rPr>
          <w:rFonts w:ascii="Times New Roman" w:hAnsi="Times New Roman" w:cs="Times New Roman"/>
          <w:color w:val="auto"/>
          <w:sz w:val="20"/>
          <w:szCs w:val="20"/>
          <w:lang w:val="en-US" w:eastAsia="en-US"/>
        </w:rPr>
        <w:t xml:space="preserve">All of this </w:t>
      </w:r>
      <w:r w:rsidR="00D9062D" w:rsidRPr="00A84130">
        <w:rPr>
          <w:rFonts w:ascii="Times New Roman" w:hAnsi="Times New Roman" w:cs="Times New Roman"/>
          <w:color w:val="auto"/>
          <w:sz w:val="20"/>
          <w:szCs w:val="20"/>
          <w:lang w:val="en-US" w:eastAsia="en-US"/>
        </w:rPr>
        <w:t xml:space="preserve">hampers the formulation and effective monitoring of national and sectoral development policies. </w:t>
      </w:r>
      <w:r w:rsidR="00C166D7" w:rsidRPr="00A84130">
        <w:rPr>
          <w:rFonts w:ascii="Times New Roman" w:hAnsi="Times New Roman" w:cs="Times New Roman"/>
          <w:color w:val="auto"/>
          <w:sz w:val="20"/>
          <w:szCs w:val="20"/>
          <w:lang w:val="en-US" w:eastAsia="en-US"/>
        </w:rPr>
        <w:t xml:space="preserve">Additionally, poor </w:t>
      </w:r>
      <w:r w:rsidR="00A85D13" w:rsidRPr="00A84130">
        <w:rPr>
          <w:rFonts w:ascii="Times New Roman" w:hAnsi="Times New Roman" w:cs="Times New Roman"/>
          <w:color w:val="auto"/>
          <w:sz w:val="20"/>
          <w:szCs w:val="20"/>
          <w:lang w:val="en-US" w:eastAsia="en-US"/>
        </w:rPr>
        <w:t xml:space="preserve">coordination among actors, </w:t>
      </w:r>
      <w:r w:rsidR="00C166D7" w:rsidRPr="00A84130">
        <w:rPr>
          <w:rFonts w:ascii="Times New Roman" w:hAnsi="Times New Roman" w:cs="Times New Roman"/>
          <w:color w:val="auto"/>
          <w:sz w:val="20"/>
          <w:szCs w:val="20"/>
          <w:lang w:val="en-US" w:eastAsia="en-US"/>
        </w:rPr>
        <w:t xml:space="preserve">weak </w:t>
      </w:r>
      <w:r w:rsidR="00A85D13" w:rsidRPr="00A84130">
        <w:rPr>
          <w:rFonts w:ascii="Times New Roman" w:hAnsi="Times New Roman" w:cs="Times New Roman"/>
          <w:color w:val="auto"/>
          <w:sz w:val="20"/>
          <w:szCs w:val="20"/>
          <w:lang w:val="en-US" w:eastAsia="en-US"/>
        </w:rPr>
        <w:t>planning and programming processes</w:t>
      </w:r>
      <w:r w:rsidR="001C79EB" w:rsidRPr="00A84130">
        <w:rPr>
          <w:rFonts w:ascii="Times New Roman" w:hAnsi="Times New Roman" w:cs="Times New Roman"/>
          <w:color w:val="auto"/>
          <w:sz w:val="20"/>
          <w:szCs w:val="20"/>
          <w:lang w:val="en-US" w:eastAsia="en-US"/>
        </w:rPr>
        <w:t>,</w:t>
      </w:r>
      <w:r w:rsidR="00A85D13" w:rsidRPr="00A84130">
        <w:rPr>
          <w:rFonts w:ascii="Times New Roman" w:hAnsi="Times New Roman" w:cs="Times New Roman"/>
          <w:color w:val="auto"/>
          <w:sz w:val="20"/>
          <w:szCs w:val="20"/>
          <w:lang w:val="en-US" w:eastAsia="en-US"/>
        </w:rPr>
        <w:t xml:space="preserve"> and </w:t>
      </w:r>
      <w:r w:rsidR="001C79EB" w:rsidRPr="00A84130">
        <w:rPr>
          <w:rFonts w:ascii="Times New Roman" w:hAnsi="Times New Roman" w:cs="Times New Roman"/>
          <w:color w:val="auto"/>
          <w:sz w:val="20"/>
          <w:szCs w:val="20"/>
          <w:lang w:val="en-US" w:eastAsia="en-US"/>
        </w:rPr>
        <w:t>little</w:t>
      </w:r>
      <w:r w:rsidR="00A85D13" w:rsidRPr="00A84130">
        <w:rPr>
          <w:rFonts w:ascii="Times New Roman" w:hAnsi="Times New Roman" w:cs="Times New Roman"/>
          <w:color w:val="auto"/>
          <w:sz w:val="20"/>
          <w:szCs w:val="20"/>
          <w:lang w:val="en-US" w:eastAsia="en-US"/>
        </w:rPr>
        <w:t xml:space="preserve"> public involvement limit </w:t>
      </w:r>
      <w:r w:rsidR="00C166D7" w:rsidRPr="00A84130">
        <w:rPr>
          <w:rFonts w:ascii="Times New Roman" w:hAnsi="Times New Roman" w:cs="Times New Roman"/>
          <w:color w:val="auto"/>
          <w:sz w:val="20"/>
          <w:szCs w:val="20"/>
          <w:lang w:val="en-US" w:eastAsia="en-US"/>
        </w:rPr>
        <w:t xml:space="preserve">the </w:t>
      </w:r>
      <w:r w:rsidR="00A85D13" w:rsidRPr="00A84130">
        <w:rPr>
          <w:rFonts w:ascii="Times New Roman" w:hAnsi="Times New Roman" w:cs="Times New Roman"/>
          <w:color w:val="auto"/>
          <w:sz w:val="20"/>
          <w:szCs w:val="20"/>
          <w:lang w:val="en-US" w:eastAsia="en-US"/>
        </w:rPr>
        <w:t>degree of public support for government policies</w:t>
      </w:r>
      <w:r w:rsidR="00872BF3" w:rsidRPr="00A84130">
        <w:rPr>
          <w:rFonts w:ascii="Times New Roman" w:hAnsi="Times New Roman" w:cs="Times New Roman"/>
          <w:color w:val="auto"/>
          <w:sz w:val="20"/>
          <w:szCs w:val="20"/>
          <w:lang w:val="en-US" w:eastAsia="en-US"/>
        </w:rPr>
        <w:t xml:space="preserve">, and </w:t>
      </w:r>
      <w:r w:rsidR="00A85D13" w:rsidRPr="00A84130">
        <w:rPr>
          <w:rFonts w:ascii="Times New Roman" w:hAnsi="Times New Roman" w:cs="Times New Roman"/>
          <w:color w:val="auto"/>
          <w:sz w:val="20"/>
          <w:szCs w:val="20"/>
          <w:lang w:val="en-US" w:eastAsia="en-US"/>
        </w:rPr>
        <w:t xml:space="preserve">reduce the impact and sustainability of development programs. </w:t>
      </w:r>
    </w:p>
    <w:p w14:paraId="662CAAA8" w14:textId="204F9D27" w:rsidR="00A84130" w:rsidRDefault="00903BE4" w:rsidP="00047245">
      <w:pPr>
        <w:pStyle w:val="Default"/>
        <w:numPr>
          <w:ilvl w:val="0"/>
          <w:numId w:val="4"/>
        </w:numPr>
        <w:tabs>
          <w:tab w:val="left" w:pos="0"/>
          <w:tab w:val="left" w:pos="540"/>
          <w:tab w:val="left" w:pos="851"/>
          <w:tab w:val="left" w:pos="1080"/>
        </w:tabs>
        <w:spacing w:after="120"/>
        <w:ind w:left="810" w:right="1208" w:firstLine="0"/>
        <w:jc w:val="both"/>
        <w:rPr>
          <w:lang w:val="en-US"/>
        </w:rPr>
      </w:pPr>
      <w:r w:rsidRPr="00A84130">
        <w:rPr>
          <w:rFonts w:ascii="Times New Roman" w:hAnsi="Times New Roman" w:cs="Times New Roman"/>
          <w:color w:val="auto"/>
          <w:sz w:val="20"/>
          <w:szCs w:val="20"/>
          <w:lang w:val="en-US" w:eastAsia="en-US"/>
        </w:rPr>
        <w:t>T</w:t>
      </w:r>
      <w:r w:rsidR="00C96D4B" w:rsidRPr="00A84130">
        <w:rPr>
          <w:rFonts w:ascii="Times New Roman" w:hAnsi="Times New Roman" w:cs="Times New Roman"/>
          <w:color w:val="auto"/>
          <w:sz w:val="20"/>
          <w:szCs w:val="20"/>
          <w:lang w:val="en-US" w:eastAsia="en-US"/>
        </w:rPr>
        <w:t>o unlock Guinea’s potential</w:t>
      </w:r>
      <w:r w:rsidR="008A2A0D" w:rsidRPr="00A84130">
        <w:rPr>
          <w:rFonts w:ascii="Times New Roman" w:hAnsi="Times New Roman" w:cs="Times New Roman"/>
          <w:color w:val="auto"/>
          <w:sz w:val="20"/>
          <w:szCs w:val="20"/>
          <w:lang w:val="en-US" w:eastAsia="en-US"/>
        </w:rPr>
        <w:t>,</w:t>
      </w:r>
      <w:r w:rsidR="00C96D4B" w:rsidRPr="00A84130">
        <w:rPr>
          <w:rFonts w:ascii="Times New Roman" w:hAnsi="Times New Roman" w:cs="Times New Roman"/>
          <w:color w:val="auto"/>
          <w:sz w:val="20"/>
          <w:szCs w:val="20"/>
          <w:lang w:val="en-US" w:eastAsia="en-US"/>
        </w:rPr>
        <w:t xml:space="preserve"> ensure prosperity </w:t>
      </w:r>
      <w:r w:rsidR="008A2A0D" w:rsidRPr="00A84130">
        <w:rPr>
          <w:rFonts w:ascii="Times New Roman" w:hAnsi="Times New Roman" w:cs="Times New Roman"/>
          <w:color w:val="auto"/>
          <w:sz w:val="20"/>
          <w:szCs w:val="20"/>
          <w:lang w:val="en-US" w:eastAsia="en-US"/>
        </w:rPr>
        <w:t>and</w:t>
      </w:r>
      <w:r w:rsidR="00C96D4B" w:rsidRPr="00A84130">
        <w:rPr>
          <w:rFonts w:ascii="Times New Roman" w:hAnsi="Times New Roman" w:cs="Times New Roman"/>
          <w:color w:val="auto"/>
          <w:sz w:val="20"/>
          <w:szCs w:val="20"/>
          <w:lang w:val="en-US" w:eastAsia="en-US"/>
        </w:rPr>
        <w:t xml:space="preserve"> equitable distribution of revenue, the government is committed to tackling</w:t>
      </w:r>
      <w:r w:rsidR="001C79EB" w:rsidRPr="00A84130">
        <w:rPr>
          <w:rFonts w:ascii="Times New Roman" w:hAnsi="Times New Roman" w:cs="Times New Roman"/>
          <w:color w:val="auto"/>
          <w:sz w:val="20"/>
          <w:szCs w:val="20"/>
          <w:lang w:val="en-US" w:eastAsia="en-US"/>
        </w:rPr>
        <w:t xml:space="preserve"> the</w:t>
      </w:r>
      <w:r w:rsidR="00C96D4B" w:rsidRPr="00A84130">
        <w:rPr>
          <w:rFonts w:ascii="Times New Roman" w:hAnsi="Times New Roman" w:cs="Times New Roman"/>
          <w:color w:val="auto"/>
          <w:sz w:val="20"/>
          <w:szCs w:val="20"/>
          <w:lang w:val="en-US" w:eastAsia="en-US"/>
        </w:rPr>
        <w:t xml:space="preserve"> root causes of</w:t>
      </w:r>
      <w:r w:rsidR="00906803" w:rsidRPr="00A84130">
        <w:rPr>
          <w:rFonts w:ascii="Times New Roman" w:hAnsi="Times New Roman" w:cs="Times New Roman"/>
          <w:color w:val="auto"/>
          <w:sz w:val="20"/>
          <w:szCs w:val="20"/>
          <w:lang w:val="en-US" w:eastAsia="en-US"/>
        </w:rPr>
        <w:t xml:space="preserve"> poverty through its</w:t>
      </w:r>
      <w:r w:rsidR="00C96D4B" w:rsidRPr="00A84130">
        <w:rPr>
          <w:rFonts w:ascii="Times New Roman" w:hAnsi="Times New Roman" w:cs="Times New Roman"/>
          <w:color w:val="auto"/>
          <w:sz w:val="20"/>
          <w:szCs w:val="20"/>
          <w:lang w:val="en-US" w:eastAsia="en-US"/>
        </w:rPr>
        <w:t xml:space="preserve"> long-term vision</w:t>
      </w:r>
      <w:r w:rsidRPr="00C9769D">
        <w:rPr>
          <w:rStyle w:val="FootnoteReference"/>
          <w:rFonts w:ascii="Times New Roman" w:hAnsi="Times New Roman"/>
          <w:color w:val="auto"/>
          <w:sz w:val="20"/>
          <w:szCs w:val="20"/>
          <w:lang w:val="en-US" w:eastAsia="en-US"/>
        </w:rPr>
        <w:footnoteReference w:id="25"/>
      </w:r>
      <w:r w:rsidR="002A20B2" w:rsidRPr="00A84130">
        <w:rPr>
          <w:rFonts w:ascii="Times New Roman" w:hAnsi="Times New Roman" w:cs="Times New Roman"/>
          <w:color w:val="auto"/>
          <w:sz w:val="20"/>
          <w:szCs w:val="20"/>
          <w:lang w:val="en-US" w:eastAsia="en-US"/>
        </w:rPr>
        <w:t xml:space="preserve"> </w:t>
      </w:r>
      <w:r w:rsidR="001C79EB" w:rsidRPr="00A84130">
        <w:rPr>
          <w:rFonts w:ascii="Times New Roman" w:hAnsi="Times New Roman" w:cs="Times New Roman"/>
          <w:color w:val="auto"/>
          <w:sz w:val="20"/>
          <w:szCs w:val="20"/>
          <w:lang w:val="en-US" w:eastAsia="en-US"/>
        </w:rPr>
        <w:t xml:space="preserve">for </w:t>
      </w:r>
      <w:r w:rsidR="00C96D4B" w:rsidRPr="00A84130">
        <w:rPr>
          <w:rFonts w:ascii="Times New Roman" w:hAnsi="Times New Roman" w:cs="Times New Roman"/>
          <w:color w:val="auto"/>
          <w:sz w:val="20"/>
          <w:szCs w:val="20"/>
          <w:lang w:val="en-US" w:eastAsia="en-US"/>
        </w:rPr>
        <w:t>a prosperous, emerging Guinea by 2040</w:t>
      </w:r>
      <w:r w:rsidR="001C79EB" w:rsidRPr="00A84130">
        <w:rPr>
          <w:rFonts w:ascii="Times New Roman" w:hAnsi="Times New Roman" w:cs="Times New Roman"/>
          <w:color w:val="auto"/>
          <w:sz w:val="20"/>
          <w:szCs w:val="20"/>
          <w:lang w:val="en-US" w:eastAsia="en-US"/>
        </w:rPr>
        <w:t>. This vision is</w:t>
      </w:r>
      <w:r w:rsidR="008A2A0D" w:rsidRPr="00A84130">
        <w:rPr>
          <w:rFonts w:ascii="Times New Roman" w:hAnsi="Times New Roman" w:cs="Times New Roman"/>
          <w:color w:val="auto"/>
          <w:sz w:val="20"/>
          <w:szCs w:val="20"/>
          <w:lang w:val="en-US" w:eastAsia="en-US"/>
        </w:rPr>
        <w:t xml:space="preserve"> linked to Agenda 2030 and the African Union Agenda 2063</w:t>
      </w:r>
      <w:r w:rsidR="001C79EB" w:rsidRPr="00A84130">
        <w:rPr>
          <w:rFonts w:ascii="Times New Roman" w:hAnsi="Times New Roman" w:cs="Times New Roman"/>
          <w:color w:val="auto"/>
          <w:sz w:val="20"/>
          <w:szCs w:val="20"/>
          <w:lang w:val="en-US" w:eastAsia="en-US"/>
        </w:rPr>
        <w:t xml:space="preserve">, and will </w:t>
      </w:r>
      <w:r w:rsidR="00C96D4B" w:rsidRPr="00A84130">
        <w:rPr>
          <w:rFonts w:ascii="Times New Roman" w:hAnsi="Times New Roman" w:cs="Times New Roman"/>
          <w:color w:val="auto"/>
          <w:sz w:val="20"/>
          <w:szCs w:val="20"/>
          <w:lang w:val="en-US" w:eastAsia="en-US"/>
        </w:rPr>
        <w:t xml:space="preserve">be operationalized through four strategic priority areas </w:t>
      </w:r>
      <w:r w:rsidR="001C79EB" w:rsidRPr="00A84130">
        <w:rPr>
          <w:rFonts w:ascii="Times New Roman" w:hAnsi="Times New Roman" w:cs="Times New Roman"/>
          <w:color w:val="auto"/>
          <w:sz w:val="20"/>
          <w:szCs w:val="20"/>
          <w:lang w:val="en-US" w:eastAsia="en-US"/>
        </w:rPr>
        <w:t xml:space="preserve">in </w:t>
      </w:r>
      <w:r w:rsidR="000A68E1" w:rsidRPr="00A84130">
        <w:rPr>
          <w:rFonts w:ascii="Times New Roman" w:hAnsi="Times New Roman" w:cs="Times New Roman"/>
          <w:color w:val="auto"/>
          <w:sz w:val="20"/>
          <w:szCs w:val="20"/>
          <w:lang w:val="en-US" w:eastAsia="en-US"/>
        </w:rPr>
        <w:t>the National Plan for Economic and Social Development</w:t>
      </w:r>
      <w:r w:rsidR="004A6607">
        <w:rPr>
          <w:rFonts w:ascii="Times New Roman" w:hAnsi="Times New Roman" w:cs="Times New Roman"/>
          <w:color w:val="auto"/>
          <w:sz w:val="20"/>
          <w:szCs w:val="20"/>
          <w:lang w:val="en-US" w:eastAsia="en-US"/>
        </w:rPr>
        <w:t>:</w:t>
      </w:r>
      <w:r w:rsidR="000A68E1" w:rsidRPr="00A84130">
        <w:rPr>
          <w:rFonts w:ascii="Times New Roman" w:hAnsi="Times New Roman" w:cs="Times New Roman"/>
          <w:color w:val="auto"/>
          <w:sz w:val="20"/>
          <w:szCs w:val="20"/>
          <w:lang w:val="en-US" w:eastAsia="en-US"/>
        </w:rPr>
        <w:t xml:space="preserve"> </w:t>
      </w:r>
      <w:r w:rsidR="00C96D4B" w:rsidRPr="00A84130">
        <w:rPr>
          <w:rFonts w:ascii="Times New Roman" w:hAnsi="Times New Roman" w:cs="Times New Roman"/>
          <w:color w:val="auto"/>
          <w:sz w:val="20"/>
          <w:szCs w:val="20"/>
          <w:lang w:val="en-US" w:eastAsia="en-US"/>
        </w:rPr>
        <w:t>(i) promotion of good governance for sustainable development; (ii) sustainable and inclusive economic transformation; (iii) inclusive development of human capital</w:t>
      </w:r>
      <w:r w:rsidR="001C79EB" w:rsidRPr="00A84130">
        <w:rPr>
          <w:rFonts w:ascii="Times New Roman" w:hAnsi="Times New Roman" w:cs="Times New Roman"/>
          <w:color w:val="auto"/>
          <w:sz w:val="20"/>
          <w:szCs w:val="20"/>
          <w:lang w:val="en-US" w:eastAsia="en-US"/>
        </w:rPr>
        <w:t>,</w:t>
      </w:r>
      <w:r w:rsidR="00C96D4B" w:rsidRPr="00A84130">
        <w:rPr>
          <w:rFonts w:ascii="Times New Roman" w:hAnsi="Times New Roman" w:cs="Times New Roman"/>
          <w:color w:val="auto"/>
          <w:sz w:val="20"/>
          <w:szCs w:val="20"/>
          <w:lang w:val="en-US" w:eastAsia="en-US"/>
        </w:rPr>
        <w:t xml:space="preserve"> and (iv</w:t>
      </w:r>
      <w:r w:rsidR="000A68E1" w:rsidRPr="00A84130">
        <w:rPr>
          <w:rFonts w:ascii="Times New Roman" w:hAnsi="Times New Roman" w:cs="Times New Roman"/>
          <w:color w:val="auto"/>
          <w:sz w:val="20"/>
          <w:szCs w:val="20"/>
          <w:lang w:val="en-US" w:eastAsia="en-US"/>
        </w:rPr>
        <w:t>)</w:t>
      </w:r>
      <w:r w:rsidR="00DB4DD4" w:rsidRPr="00A84130">
        <w:rPr>
          <w:rFonts w:ascii="Times New Roman" w:hAnsi="Times New Roman" w:cs="Times New Roman"/>
          <w:color w:val="auto"/>
          <w:sz w:val="20"/>
          <w:szCs w:val="20"/>
          <w:lang w:val="en-US" w:eastAsia="en-US"/>
        </w:rPr>
        <w:t xml:space="preserve"> </w:t>
      </w:r>
      <w:r w:rsidR="00C96D4B" w:rsidRPr="00A84130">
        <w:rPr>
          <w:rFonts w:ascii="Times New Roman" w:hAnsi="Times New Roman" w:cs="Times New Roman"/>
          <w:color w:val="auto"/>
          <w:sz w:val="20"/>
          <w:szCs w:val="20"/>
          <w:lang w:val="en-US" w:eastAsia="en-US"/>
        </w:rPr>
        <w:t>sustainable management of natural capital.</w:t>
      </w:r>
    </w:p>
    <w:p w14:paraId="11AB4AA7" w14:textId="33D466AF" w:rsidR="00A84130" w:rsidRDefault="00C96D4B" w:rsidP="00047245">
      <w:pPr>
        <w:pStyle w:val="Default"/>
        <w:numPr>
          <w:ilvl w:val="0"/>
          <w:numId w:val="4"/>
        </w:numPr>
        <w:tabs>
          <w:tab w:val="left" w:pos="0"/>
          <w:tab w:val="left" w:pos="142"/>
          <w:tab w:val="left" w:pos="540"/>
          <w:tab w:val="left" w:pos="1080"/>
        </w:tabs>
        <w:spacing w:after="120"/>
        <w:ind w:left="810" w:right="1208" w:firstLine="0"/>
        <w:jc w:val="both"/>
        <w:rPr>
          <w:lang w:val="en-US"/>
        </w:rPr>
      </w:pPr>
      <w:r w:rsidRPr="00A84130">
        <w:rPr>
          <w:rFonts w:ascii="Times New Roman" w:hAnsi="Times New Roman" w:cs="Times New Roman"/>
          <w:color w:val="auto"/>
          <w:sz w:val="20"/>
          <w:szCs w:val="20"/>
          <w:lang w:val="en-US" w:eastAsia="en-US"/>
        </w:rPr>
        <w:t xml:space="preserve">UNDP is well positioned as a multilateral </w:t>
      </w:r>
      <w:r w:rsidR="00324CD4" w:rsidRPr="00A84130">
        <w:rPr>
          <w:rFonts w:ascii="Times New Roman" w:hAnsi="Times New Roman" w:cs="Times New Roman"/>
          <w:color w:val="auto"/>
          <w:sz w:val="20"/>
          <w:szCs w:val="20"/>
          <w:lang w:val="en-US" w:eastAsia="en-US"/>
        </w:rPr>
        <w:t>organization</w:t>
      </w:r>
      <w:r w:rsidR="000A68E1" w:rsidRPr="00A84130">
        <w:rPr>
          <w:rFonts w:ascii="Times New Roman" w:hAnsi="Times New Roman" w:cs="Times New Roman"/>
          <w:color w:val="auto"/>
          <w:sz w:val="20"/>
          <w:szCs w:val="20"/>
          <w:lang w:val="en-US" w:eastAsia="en-US"/>
        </w:rPr>
        <w:t xml:space="preserve"> in</w:t>
      </w:r>
      <w:r w:rsidR="000B329C">
        <w:rPr>
          <w:rFonts w:ascii="Times New Roman" w:hAnsi="Times New Roman" w:cs="Times New Roman"/>
          <w:color w:val="auto"/>
          <w:sz w:val="20"/>
          <w:szCs w:val="20"/>
          <w:lang w:val="en-US" w:eastAsia="en-US"/>
        </w:rPr>
        <w:t xml:space="preserve"> supporting </w:t>
      </w:r>
      <w:r w:rsidR="000A68E1" w:rsidRPr="00A84130">
        <w:rPr>
          <w:rFonts w:ascii="Times New Roman" w:hAnsi="Times New Roman" w:cs="Times New Roman"/>
          <w:color w:val="auto"/>
          <w:sz w:val="20"/>
          <w:szCs w:val="20"/>
          <w:lang w:val="en-US" w:eastAsia="en-US"/>
        </w:rPr>
        <w:t xml:space="preserve">the </w:t>
      </w:r>
      <w:r w:rsidRPr="00A84130">
        <w:rPr>
          <w:rFonts w:ascii="Times New Roman" w:hAnsi="Times New Roman" w:cs="Times New Roman"/>
          <w:color w:val="auto"/>
          <w:sz w:val="20"/>
          <w:szCs w:val="20"/>
          <w:lang w:val="en-US" w:eastAsia="en-US"/>
        </w:rPr>
        <w:t>implement</w:t>
      </w:r>
      <w:r w:rsidR="000A68E1" w:rsidRPr="00A84130">
        <w:rPr>
          <w:rFonts w:ascii="Times New Roman" w:hAnsi="Times New Roman" w:cs="Times New Roman"/>
          <w:color w:val="auto"/>
          <w:sz w:val="20"/>
          <w:szCs w:val="20"/>
          <w:lang w:val="en-US" w:eastAsia="en-US"/>
        </w:rPr>
        <w:t xml:space="preserve">ation of this </w:t>
      </w:r>
      <w:r w:rsidRPr="00A84130">
        <w:rPr>
          <w:rFonts w:ascii="Times New Roman" w:hAnsi="Times New Roman" w:cs="Times New Roman"/>
          <w:color w:val="auto"/>
          <w:sz w:val="20"/>
          <w:szCs w:val="20"/>
          <w:lang w:val="en-US" w:eastAsia="en-US"/>
        </w:rPr>
        <w:t xml:space="preserve">vision. </w:t>
      </w:r>
      <w:r w:rsidR="00903BE4" w:rsidRPr="00A84130">
        <w:rPr>
          <w:rFonts w:ascii="Times New Roman" w:hAnsi="Times New Roman" w:cs="Times New Roman"/>
          <w:color w:val="auto"/>
          <w:sz w:val="20"/>
          <w:szCs w:val="20"/>
          <w:lang w:val="en-US" w:eastAsia="en-US"/>
        </w:rPr>
        <w:t xml:space="preserve">UNDP </w:t>
      </w:r>
      <w:r w:rsidRPr="00A84130">
        <w:rPr>
          <w:rFonts w:ascii="Times New Roman" w:hAnsi="Times New Roman" w:cs="Times New Roman"/>
          <w:color w:val="auto"/>
          <w:sz w:val="20"/>
          <w:szCs w:val="20"/>
          <w:lang w:val="en-US" w:eastAsia="en-US"/>
        </w:rPr>
        <w:t>has partner</w:t>
      </w:r>
      <w:r w:rsidR="001C79EB" w:rsidRPr="00A84130">
        <w:rPr>
          <w:rFonts w:ascii="Times New Roman" w:hAnsi="Times New Roman" w:cs="Times New Roman"/>
          <w:color w:val="auto"/>
          <w:sz w:val="20"/>
          <w:szCs w:val="20"/>
          <w:lang w:val="en-US" w:eastAsia="en-US"/>
        </w:rPr>
        <w:t>ed with the government</w:t>
      </w:r>
      <w:r w:rsidRPr="00A84130">
        <w:rPr>
          <w:rFonts w:ascii="Times New Roman" w:hAnsi="Times New Roman" w:cs="Times New Roman"/>
          <w:color w:val="auto"/>
          <w:sz w:val="20"/>
          <w:szCs w:val="20"/>
          <w:lang w:val="en-US" w:eastAsia="en-US"/>
        </w:rPr>
        <w:t xml:space="preserve"> </w:t>
      </w:r>
      <w:r w:rsidR="000A68E1" w:rsidRPr="00A84130">
        <w:rPr>
          <w:rFonts w:ascii="Times New Roman" w:hAnsi="Times New Roman" w:cs="Times New Roman"/>
          <w:color w:val="auto"/>
          <w:sz w:val="20"/>
          <w:szCs w:val="20"/>
          <w:lang w:val="en-US" w:eastAsia="en-US"/>
        </w:rPr>
        <w:t xml:space="preserve">in </w:t>
      </w:r>
      <w:r w:rsidR="00CE63EA" w:rsidRPr="00A84130">
        <w:rPr>
          <w:rFonts w:ascii="Times New Roman" w:hAnsi="Times New Roman" w:cs="Times New Roman"/>
          <w:color w:val="auto"/>
          <w:sz w:val="20"/>
          <w:szCs w:val="20"/>
          <w:lang w:val="en-US" w:eastAsia="en-US"/>
        </w:rPr>
        <w:t>three</w:t>
      </w:r>
      <w:r w:rsidR="000A68E1" w:rsidRPr="00A84130">
        <w:rPr>
          <w:rFonts w:ascii="Times New Roman" w:hAnsi="Times New Roman" w:cs="Times New Roman"/>
          <w:color w:val="auto"/>
          <w:sz w:val="20"/>
          <w:szCs w:val="20"/>
          <w:lang w:val="en-US" w:eastAsia="en-US"/>
        </w:rPr>
        <w:t xml:space="preserve"> areas</w:t>
      </w:r>
      <w:r w:rsidR="00C75861" w:rsidRPr="00A84130">
        <w:rPr>
          <w:rFonts w:ascii="Times New Roman" w:hAnsi="Times New Roman" w:cs="Times New Roman"/>
          <w:color w:val="auto"/>
          <w:sz w:val="20"/>
          <w:szCs w:val="20"/>
          <w:lang w:val="en-US" w:eastAsia="en-US"/>
        </w:rPr>
        <w:t>:</w:t>
      </w:r>
      <w:r w:rsidR="00D74B35" w:rsidRPr="00A84130">
        <w:rPr>
          <w:rFonts w:ascii="Times New Roman" w:hAnsi="Times New Roman" w:cs="Times New Roman"/>
          <w:color w:val="auto"/>
          <w:sz w:val="20"/>
          <w:szCs w:val="20"/>
          <w:lang w:val="en-US" w:eastAsia="en-US"/>
        </w:rPr>
        <w:t xml:space="preserve"> </w:t>
      </w:r>
      <w:r w:rsidR="001C79EB" w:rsidRPr="00047245">
        <w:rPr>
          <w:rFonts w:ascii="Times New Roman" w:hAnsi="Times New Roman" w:cs="Times New Roman"/>
          <w:color w:val="auto"/>
          <w:sz w:val="20"/>
          <w:szCs w:val="20"/>
          <w:lang w:val="en-US" w:eastAsia="en-US"/>
        </w:rPr>
        <w:t>g</w:t>
      </w:r>
      <w:r w:rsidR="00D74B35" w:rsidRPr="00047245">
        <w:rPr>
          <w:rFonts w:ascii="Times New Roman" w:hAnsi="Times New Roman" w:cs="Times New Roman"/>
          <w:color w:val="auto"/>
          <w:sz w:val="20"/>
          <w:szCs w:val="20"/>
          <w:lang w:val="en-US" w:eastAsia="en-US"/>
        </w:rPr>
        <w:t>overnance</w:t>
      </w:r>
      <w:r w:rsidR="00D74B35" w:rsidRPr="00A84130">
        <w:rPr>
          <w:rFonts w:ascii="Times New Roman" w:hAnsi="Times New Roman" w:cs="Times New Roman"/>
          <w:color w:val="auto"/>
          <w:sz w:val="20"/>
          <w:szCs w:val="20"/>
          <w:lang w:val="en-US" w:eastAsia="en-US"/>
        </w:rPr>
        <w:t xml:space="preserve">, </w:t>
      </w:r>
      <w:r w:rsidR="000A68E1" w:rsidRPr="00A84130">
        <w:rPr>
          <w:rFonts w:ascii="Times New Roman" w:hAnsi="Times New Roman" w:cs="Times New Roman"/>
          <w:color w:val="auto"/>
          <w:sz w:val="20"/>
          <w:szCs w:val="20"/>
          <w:lang w:val="en-US" w:eastAsia="en-US"/>
        </w:rPr>
        <w:t xml:space="preserve">building </w:t>
      </w:r>
      <w:r w:rsidR="00D74B35" w:rsidRPr="00A84130">
        <w:rPr>
          <w:rFonts w:ascii="Times New Roman" w:hAnsi="Times New Roman" w:cs="Times New Roman"/>
          <w:color w:val="auto"/>
          <w:sz w:val="20"/>
          <w:szCs w:val="20"/>
          <w:lang w:val="en-US" w:eastAsia="en-US"/>
        </w:rPr>
        <w:t>institutional capacity</w:t>
      </w:r>
      <w:r w:rsidR="001C79EB" w:rsidRPr="00A84130">
        <w:rPr>
          <w:rFonts w:ascii="Times New Roman" w:hAnsi="Times New Roman" w:cs="Times New Roman"/>
          <w:color w:val="auto"/>
          <w:sz w:val="20"/>
          <w:szCs w:val="20"/>
          <w:lang w:val="en-US" w:eastAsia="en-US"/>
        </w:rPr>
        <w:t>,</w:t>
      </w:r>
      <w:r w:rsidR="00D74B35" w:rsidRPr="00A84130">
        <w:rPr>
          <w:rFonts w:ascii="Times New Roman" w:hAnsi="Times New Roman" w:cs="Times New Roman"/>
          <w:color w:val="auto"/>
          <w:sz w:val="20"/>
          <w:szCs w:val="20"/>
          <w:lang w:val="en-US" w:eastAsia="en-US"/>
        </w:rPr>
        <w:t xml:space="preserve"> and support</w:t>
      </w:r>
      <w:r w:rsidR="001C79EB" w:rsidRPr="00A84130">
        <w:rPr>
          <w:rFonts w:ascii="Times New Roman" w:hAnsi="Times New Roman" w:cs="Times New Roman"/>
          <w:color w:val="auto"/>
          <w:sz w:val="20"/>
          <w:szCs w:val="20"/>
          <w:lang w:val="en-US" w:eastAsia="en-US"/>
        </w:rPr>
        <w:t>ing</w:t>
      </w:r>
      <w:r w:rsidR="00D74B35" w:rsidRPr="00A84130">
        <w:rPr>
          <w:rFonts w:ascii="Times New Roman" w:hAnsi="Times New Roman" w:cs="Times New Roman"/>
          <w:color w:val="auto"/>
          <w:sz w:val="20"/>
          <w:szCs w:val="20"/>
          <w:lang w:val="en-US" w:eastAsia="en-US"/>
        </w:rPr>
        <w:t xml:space="preserve"> legal and regulatory reforms. </w:t>
      </w:r>
      <w:r w:rsidR="001C79EB" w:rsidRPr="00A84130">
        <w:rPr>
          <w:rFonts w:ascii="Times New Roman" w:hAnsi="Times New Roman" w:cs="Times New Roman"/>
          <w:color w:val="auto"/>
          <w:sz w:val="20"/>
          <w:szCs w:val="20"/>
          <w:lang w:val="en-US" w:eastAsia="en-US"/>
        </w:rPr>
        <w:t>Good practices</w:t>
      </w:r>
      <w:r w:rsidR="00D74B35" w:rsidRPr="00A84130">
        <w:rPr>
          <w:rFonts w:ascii="Times New Roman" w:hAnsi="Times New Roman" w:cs="Times New Roman"/>
          <w:color w:val="auto"/>
          <w:sz w:val="20"/>
          <w:szCs w:val="20"/>
          <w:lang w:val="en-US" w:eastAsia="en-US"/>
        </w:rPr>
        <w:t xml:space="preserve"> </w:t>
      </w:r>
      <w:r w:rsidR="000A68E1" w:rsidRPr="00A84130">
        <w:rPr>
          <w:rFonts w:ascii="Times New Roman" w:hAnsi="Times New Roman" w:cs="Times New Roman"/>
          <w:color w:val="auto"/>
          <w:sz w:val="20"/>
          <w:szCs w:val="20"/>
          <w:lang w:val="en-US" w:eastAsia="en-US"/>
        </w:rPr>
        <w:t>includ</w:t>
      </w:r>
      <w:r w:rsidR="00D74B35" w:rsidRPr="00A84130">
        <w:rPr>
          <w:rFonts w:ascii="Times New Roman" w:hAnsi="Times New Roman" w:cs="Times New Roman"/>
          <w:color w:val="auto"/>
          <w:sz w:val="20"/>
          <w:szCs w:val="20"/>
          <w:lang w:val="en-US" w:eastAsia="en-US"/>
        </w:rPr>
        <w:t xml:space="preserve">e: </w:t>
      </w:r>
      <w:r w:rsidR="00CE78A9" w:rsidRPr="00A84130">
        <w:rPr>
          <w:rFonts w:ascii="Times New Roman" w:hAnsi="Times New Roman" w:cs="Times New Roman"/>
          <w:color w:val="auto"/>
          <w:sz w:val="20"/>
          <w:szCs w:val="20"/>
          <w:lang w:val="en-US" w:eastAsia="en-US"/>
        </w:rPr>
        <w:t xml:space="preserve">(i) </w:t>
      </w:r>
      <w:r w:rsidR="00CE63EA" w:rsidRPr="00A84130">
        <w:rPr>
          <w:rFonts w:ascii="Times New Roman" w:hAnsi="Times New Roman" w:cs="Times New Roman"/>
          <w:color w:val="auto"/>
          <w:sz w:val="20"/>
          <w:szCs w:val="20"/>
          <w:lang w:val="en-US" w:eastAsia="en-US"/>
        </w:rPr>
        <w:t>knowledge products</w:t>
      </w:r>
      <w:r w:rsidR="001C79EB" w:rsidRPr="00A84130">
        <w:rPr>
          <w:rFonts w:ascii="Times New Roman" w:hAnsi="Times New Roman" w:cs="Times New Roman"/>
          <w:color w:val="auto"/>
          <w:sz w:val="20"/>
          <w:szCs w:val="20"/>
          <w:lang w:val="en-US" w:eastAsia="en-US"/>
        </w:rPr>
        <w:t>;</w:t>
      </w:r>
      <w:r w:rsidR="00903BE4" w:rsidRPr="00C9769D">
        <w:rPr>
          <w:rStyle w:val="FootnoteReference"/>
          <w:rFonts w:ascii="Times New Roman" w:hAnsi="Times New Roman"/>
          <w:color w:val="auto"/>
          <w:sz w:val="20"/>
          <w:szCs w:val="20"/>
          <w:lang w:val="en-US" w:eastAsia="en-US"/>
        </w:rPr>
        <w:footnoteReference w:id="26"/>
      </w:r>
      <w:r w:rsidR="00D74B35" w:rsidRPr="00A84130">
        <w:rPr>
          <w:rFonts w:ascii="Times New Roman" w:hAnsi="Times New Roman" w:cs="Times New Roman"/>
          <w:color w:val="auto"/>
          <w:sz w:val="20"/>
          <w:szCs w:val="20"/>
          <w:lang w:val="en-US" w:eastAsia="en-US"/>
        </w:rPr>
        <w:t xml:space="preserve"> </w:t>
      </w:r>
      <w:r w:rsidR="00CE78A9" w:rsidRPr="00A84130">
        <w:rPr>
          <w:rFonts w:ascii="Times New Roman" w:hAnsi="Times New Roman" w:cs="Times New Roman"/>
          <w:color w:val="auto"/>
          <w:sz w:val="20"/>
          <w:szCs w:val="20"/>
          <w:lang w:val="en-US" w:eastAsia="en-US"/>
        </w:rPr>
        <w:t xml:space="preserve">(ii) </w:t>
      </w:r>
      <w:r w:rsidRPr="00A84130">
        <w:rPr>
          <w:rFonts w:ascii="Times New Roman" w:hAnsi="Times New Roman" w:cs="Times New Roman"/>
          <w:color w:val="auto"/>
          <w:sz w:val="20"/>
          <w:szCs w:val="20"/>
          <w:lang w:val="en-US" w:eastAsia="en-US"/>
        </w:rPr>
        <w:t xml:space="preserve">strategic documents </w:t>
      </w:r>
      <w:r w:rsidR="001C79EB" w:rsidRPr="00A84130">
        <w:rPr>
          <w:rFonts w:ascii="Times New Roman" w:hAnsi="Times New Roman" w:cs="Times New Roman"/>
          <w:color w:val="auto"/>
          <w:sz w:val="20"/>
          <w:szCs w:val="20"/>
          <w:lang w:val="en-US" w:eastAsia="en-US"/>
        </w:rPr>
        <w:t>like</w:t>
      </w:r>
      <w:r w:rsidRPr="00A84130">
        <w:rPr>
          <w:rFonts w:ascii="Times New Roman" w:hAnsi="Times New Roman" w:cs="Times New Roman"/>
          <w:color w:val="auto"/>
          <w:sz w:val="20"/>
          <w:szCs w:val="20"/>
          <w:lang w:val="en-US" w:eastAsia="en-US"/>
        </w:rPr>
        <w:t xml:space="preserve"> the </w:t>
      </w:r>
      <w:r w:rsidR="004A6607">
        <w:rPr>
          <w:rFonts w:ascii="Times New Roman" w:hAnsi="Times New Roman" w:cs="Times New Roman"/>
          <w:color w:val="auto"/>
          <w:sz w:val="20"/>
          <w:szCs w:val="20"/>
          <w:lang w:val="en-US" w:eastAsia="en-US"/>
        </w:rPr>
        <w:t>national plan</w:t>
      </w:r>
      <w:r w:rsidR="004A6607" w:rsidRPr="00A84130">
        <w:rPr>
          <w:rFonts w:ascii="Times New Roman" w:hAnsi="Times New Roman" w:cs="Times New Roman"/>
          <w:color w:val="auto"/>
          <w:sz w:val="20"/>
          <w:szCs w:val="20"/>
          <w:lang w:val="en-US" w:eastAsia="en-US"/>
        </w:rPr>
        <w:t xml:space="preserve"> </w:t>
      </w:r>
      <w:r w:rsidR="00D74B35" w:rsidRPr="00A84130">
        <w:rPr>
          <w:rFonts w:ascii="Times New Roman" w:hAnsi="Times New Roman" w:cs="Times New Roman"/>
          <w:color w:val="auto"/>
          <w:sz w:val="20"/>
          <w:szCs w:val="20"/>
          <w:lang w:val="en-US" w:eastAsia="en-US"/>
        </w:rPr>
        <w:t xml:space="preserve">with </w:t>
      </w:r>
      <w:r w:rsidR="004A6607">
        <w:rPr>
          <w:rFonts w:ascii="Times New Roman" w:hAnsi="Times New Roman" w:cs="Times New Roman"/>
          <w:color w:val="auto"/>
          <w:sz w:val="20"/>
          <w:szCs w:val="20"/>
          <w:lang w:val="en-US" w:eastAsia="en-US"/>
        </w:rPr>
        <w:t xml:space="preserve">an </w:t>
      </w:r>
      <w:r w:rsidR="00D74B35" w:rsidRPr="00A84130">
        <w:rPr>
          <w:rFonts w:ascii="Times New Roman" w:hAnsi="Times New Roman" w:cs="Times New Roman"/>
          <w:color w:val="auto"/>
          <w:sz w:val="20"/>
          <w:szCs w:val="20"/>
          <w:lang w:val="en-US" w:eastAsia="en-US"/>
        </w:rPr>
        <w:t xml:space="preserve">emphasis on </w:t>
      </w:r>
      <w:r w:rsidR="00CE63EA" w:rsidRPr="00A84130">
        <w:rPr>
          <w:rFonts w:ascii="Times New Roman" w:hAnsi="Times New Roman" w:cs="Times New Roman"/>
          <w:color w:val="auto"/>
          <w:sz w:val="20"/>
          <w:szCs w:val="20"/>
          <w:lang w:val="en-US" w:eastAsia="en-US"/>
        </w:rPr>
        <w:t xml:space="preserve">the integration </w:t>
      </w:r>
      <w:r w:rsidR="00C36450" w:rsidRPr="00A84130">
        <w:rPr>
          <w:rFonts w:ascii="Times New Roman" w:hAnsi="Times New Roman" w:cs="Times New Roman"/>
          <w:color w:val="auto"/>
          <w:sz w:val="20"/>
          <w:szCs w:val="20"/>
          <w:lang w:val="en-US" w:eastAsia="en-US"/>
        </w:rPr>
        <w:t xml:space="preserve">of </w:t>
      </w:r>
      <w:r w:rsidR="001C79EB" w:rsidRPr="00A84130">
        <w:rPr>
          <w:rFonts w:ascii="Times New Roman" w:hAnsi="Times New Roman" w:cs="Times New Roman"/>
          <w:color w:val="auto"/>
          <w:sz w:val="20"/>
          <w:szCs w:val="20"/>
          <w:lang w:val="en-US" w:eastAsia="en-US"/>
        </w:rPr>
        <w:t>the Sustainable Development Goals (</w:t>
      </w:r>
      <w:r w:rsidR="00C36450" w:rsidRPr="00A84130">
        <w:rPr>
          <w:rFonts w:ascii="Times New Roman" w:hAnsi="Times New Roman" w:cs="Times New Roman"/>
          <w:color w:val="auto"/>
          <w:sz w:val="20"/>
          <w:szCs w:val="20"/>
          <w:lang w:val="en-US" w:eastAsia="en-US"/>
        </w:rPr>
        <w:t>SDGs</w:t>
      </w:r>
      <w:r w:rsidR="001C79EB" w:rsidRPr="00A84130">
        <w:rPr>
          <w:rFonts w:ascii="Times New Roman" w:hAnsi="Times New Roman" w:cs="Times New Roman"/>
          <w:color w:val="auto"/>
          <w:sz w:val="20"/>
          <w:szCs w:val="20"/>
          <w:lang w:val="en-US" w:eastAsia="en-US"/>
        </w:rPr>
        <w:t>) and</w:t>
      </w:r>
      <w:r w:rsidR="00C36450" w:rsidRPr="00A84130">
        <w:rPr>
          <w:rFonts w:ascii="Times New Roman" w:hAnsi="Times New Roman" w:cs="Times New Roman"/>
          <w:color w:val="auto"/>
          <w:sz w:val="20"/>
          <w:szCs w:val="20"/>
          <w:lang w:val="en-US" w:eastAsia="en-US"/>
        </w:rPr>
        <w:t xml:space="preserve"> </w:t>
      </w:r>
      <w:r w:rsidR="00CE63EA" w:rsidRPr="00A84130">
        <w:rPr>
          <w:rFonts w:ascii="Times New Roman" w:hAnsi="Times New Roman" w:cs="Times New Roman"/>
          <w:color w:val="auto"/>
          <w:sz w:val="20"/>
          <w:szCs w:val="20"/>
          <w:lang w:val="en-US" w:eastAsia="en-US"/>
        </w:rPr>
        <w:t xml:space="preserve">based on the </w:t>
      </w:r>
      <w:r w:rsidRPr="00A84130">
        <w:rPr>
          <w:rFonts w:ascii="Times New Roman" w:hAnsi="Times New Roman" w:cs="Times New Roman"/>
          <w:color w:val="auto"/>
          <w:sz w:val="20"/>
          <w:szCs w:val="20"/>
          <w:lang w:val="en-US" w:eastAsia="en-US"/>
        </w:rPr>
        <w:t>fragility</w:t>
      </w:r>
      <w:r w:rsidR="00CE63EA" w:rsidRPr="00A84130">
        <w:rPr>
          <w:rFonts w:ascii="Times New Roman" w:hAnsi="Times New Roman" w:cs="Times New Roman"/>
          <w:color w:val="auto"/>
          <w:sz w:val="20"/>
          <w:szCs w:val="20"/>
          <w:lang w:val="en-US" w:eastAsia="en-US"/>
        </w:rPr>
        <w:t xml:space="preserve"> assessment </w:t>
      </w:r>
      <w:r w:rsidR="001C79EB" w:rsidRPr="00A84130">
        <w:rPr>
          <w:rFonts w:ascii="Times New Roman" w:hAnsi="Times New Roman" w:cs="Times New Roman"/>
          <w:color w:val="auto"/>
          <w:sz w:val="20"/>
          <w:szCs w:val="20"/>
          <w:lang w:val="en-US" w:eastAsia="en-US"/>
        </w:rPr>
        <w:t xml:space="preserve">that </w:t>
      </w:r>
      <w:r w:rsidR="00C36450" w:rsidRPr="00A84130">
        <w:rPr>
          <w:rFonts w:ascii="Times New Roman" w:hAnsi="Times New Roman" w:cs="Times New Roman"/>
          <w:color w:val="auto"/>
          <w:sz w:val="20"/>
          <w:szCs w:val="20"/>
          <w:lang w:val="en-US" w:eastAsia="en-US"/>
        </w:rPr>
        <w:t xml:space="preserve">facilitated </w:t>
      </w:r>
      <w:r w:rsidR="00D74B35" w:rsidRPr="00A84130">
        <w:rPr>
          <w:rFonts w:ascii="Times New Roman" w:hAnsi="Times New Roman" w:cs="Times New Roman"/>
          <w:color w:val="auto"/>
          <w:sz w:val="20"/>
          <w:szCs w:val="20"/>
          <w:lang w:val="en-US" w:eastAsia="en-US"/>
        </w:rPr>
        <w:t>th</w:t>
      </w:r>
      <w:r w:rsidR="00C36450" w:rsidRPr="00A84130">
        <w:rPr>
          <w:rFonts w:ascii="Times New Roman" w:hAnsi="Times New Roman" w:cs="Times New Roman"/>
          <w:color w:val="auto"/>
          <w:sz w:val="20"/>
          <w:szCs w:val="20"/>
          <w:lang w:val="en-US" w:eastAsia="en-US"/>
        </w:rPr>
        <w:t xml:space="preserve">e identification of </w:t>
      </w:r>
      <w:r w:rsidRPr="00A84130">
        <w:rPr>
          <w:rFonts w:ascii="Times New Roman" w:hAnsi="Times New Roman" w:cs="Times New Roman"/>
          <w:color w:val="auto"/>
          <w:sz w:val="20"/>
          <w:szCs w:val="20"/>
          <w:lang w:val="en-US" w:eastAsia="en-US"/>
        </w:rPr>
        <w:t xml:space="preserve">accelerators </w:t>
      </w:r>
      <w:r w:rsidR="00C75861" w:rsidRPr="00A84130">
        <w:rPr>
          <w:rFonts w:ascii="Times New Roman" w:hAnsi="Times New Roman" w:cs="Times New Roman"/>
          <w:color w:val="auto"/>
          <w:sz w:val="20"/>
          <w:szCs w:val="20"/>
          <w:lang w:val="en-US" w:eastAsia="en-US"/>
        </w:rPr>
        <w:t xml:space="preserve">of </w:t>
      </w:r>
      <w:r w:rsidRPr="00A84130">
        <w:rPr>
          <w:rFonts w:ascii="Times New Roman" w:hAnsi="Times New Roman" w:cs="Times New Roman"/>
          <w:color w:val="auto"/>
          <w:sz w:val="20"/>
          <w:szCs w:val="20"/>
          <w:lang w:val="en-US" w:eastAsia="en-US"/>
        </w:rPr>
        <w:t xml:space="preserve">inclusive and sustainable </w:t>
      </w:r>
      <w:r w:rsidRPr="00A84130">
        <w:rPr>
          <w:rFonts w:ascii="Times New Roman" w:hAnsi="Times New Roman" w:cs="Times New Roman"/>
          <w:color w:val="auto"/>
          <w:sz w:val="20"/>
          <w:szCs w:val="20"/>
          <w:lang w:val="en-US" w:eastAsia="en-US"/>
        </w:rPr>
        <w:lastRenderedPageBreak/>
        <w:t>development</w:t>
      </w:r>
      <w:r w:rsidR="00C36450" w:rsidRPr="00A84130">
        <w:rPr>
          <w:rFonts w:ascii="Times New Roman" w:hAnsi="Times New Roman" w:cs="Times New Roman"/>
          <w:color w:val="auto"/>
          <w:sz w:val="20"/>
          <w:szCs w:val="20"/>
          <w:lang w:val="en-US" w:eastAsia="en-US"/>
        </w:rPr>
        <w:t xml:space="preserve">; </w:t>
      </w:r>
      <w:r w:rsidR="00D74B35" w:rsidRPr="00A84130">
        <w:rPr>
          <w:rFonts w:ascii="Times New Roman" w:hAnsi="Times New Roman" w:cs="Times New Roman"/>
          <w:color w:val="auto"/>
          <w:sz w:val="20"/>
          <w:szCs w:val="20"/>
          <w:lang w:val="en-US" w:eastAsia="en-US"/>
        </w:rPr>
        <w:t xml:space="preserve">(iii) </w:t>
      </w:r>
      <w:r w:rsidRPr="00A84130">
        <w:rPr>
          <w:rFonts w:ascii="Times New Roman" w:hAnsi="Times New Roman" w:cs="Times New Roman"/>
          <w:color w:val="auto"/>
          <w:sz w:val="20"/>
          <w:szCs w:val="20"/>
          <w:lang w:val="en-US" w:eastAsia="en-US"/>
        </w:rPr>
        <w:t>strengthe</w:t>
      </w:r>
      <w:r w:rsidR="00C75861" w:rsidRPr="00A84130">
        <w:rPr>
          <w:rFonts w:ascii="Times New Roman" w:hAnsi="Times New Roman" w:cs="Times New Roman"/>
          <w:color w:val="auto"/>
          <w:sz w:val="20"/>
          <w:szCs w:val="20"/>
          <w:lang w:val="en-US" w:eastAsia="en-US"/>
        </w:rPr>
        <w:t>ne</w:t>
      </w:r>
      <w:r w:rsidR="00D74B35" w:rsidRPr="00A84130">
        <w:rPr>
          <w:rFonts w:ascii="Times New Roman" w:hAnsi="Times New Roman" w:cs="Times New Roman"/>
          <w:color w:val="auto"/>
          <w:sz w:val="20"/>
          <w:szCs w:val="20"/>
          <w:lang w:val="en-US" w:eastAsia="en-US"/>
        </w:rPr>
        <w:t>d</w:t>
      </w:r>
      <w:r w:rsidRPr="00A84130">
        <w:rPr>
          <w:rFonts w:ascii="Times New Roman" w:hAnsi="Times New Roman" w:cs="Times New Roman"/>
          <w:color w:val="auto"/>
          <w:sz w:val="20"/>
          <w:szCs w:val="20"/>
          <w:lang w:val="en-US" w:eastAsia="en-US"/>
        </w:rPr>
        <w:t xml:space="preserve"> </w:t>
      </w:r>
      <w:r w:rsidR="001C79EB" w:rsidRPr="00A84130">
        <w:rPr>
          <w:rFonts w:ascii="Times New Roman" w:hAnsi="Times New Roman" w:cs="Times New Roman"/>
          <w:color w:val="auto"/>
          <w:sz w:val="20"/>
          <w:szCs w:val="20"/>
          <w:lang w:val="en-US" w:eastAsia="en-US"/>
        </w:rPr>
        <w:t xml:space="preserve">electoral and justice </w:t>
      </w:r>
      <w:r w:rsidRPr="00A84130">
        <w:rPr>
          <w:rFonts w:ascii="Times New Roman" w:hAnsi="Times New Roman" w:cs="Times New Roman"/>
          <w:color w:val="auto"/>
          <w:sz w:val="20"/>
          <w:szCs w:val="20"/>
          <w:lang w:val="en-US" w:eastAsia="en-US"/>
        </w:rPr>
        <w:t xml:space="preserve">institutions, </w:t>
      </w:r>
      <w:r w:rsidR="00CE78A9" w:rsidRPr="00A84130">
        <w:rPr>
          <w:rFonts w:ascii="Times New Roman" w:hAnsi="Times New Roman" w:cs="Times New Roman"/>
          <w:color w:val="auto"/>
          <w:sz w:val="20"/>
          <w:szCs w:val="20"/>
          <w:lang w:val="en-US" w:eastAsia="en-US"/>
        </w:rPr>
        <w:t>and</w:t>
      </w:r>
      <w:r w:rsidR="00305965" w:rsidRPr="00A84130">
        <w:rPr>
          <w:rFonts w:ascii="Times New Roman" w:hAnsi="Times New Roman" w:cs="Times New Roman"/>
          <w:color w:val="auto"/>
          <w:sz w:val="20"/>
          <w:szCs w:val="20"/>
          <w:lang w:val="en-US" w:eastAsia="en-US"/>
        </w:rPr>
        <w:t xml:space="preserve"> (iv) revised </w:t>
      </w:r>
      <w:r w:rsidRPr="00A84130">
        <w:rPr>
          <w:rFonts w:ascii="Times New Roman" w:hAnsi="Times New Roman" w:cs="Times New Roman"/>
          <w:color w:val="auto"/>
          <w:sz w:val="20"/>
          <w:szCs w:val="20"/>
          <w:lang w:val="en-US" w:eastAsia="en-US"/>
        </w:rPr>
        <w:t>legal and regulatory framework</w:t>
      </w:r>
      <w:r w:rsidR="001C79EB" w:rsidRPr="00A84130">
        <w:rPr>
          <w:rFonts w:ascii="Times New Roman" w:hAnsi="Times New Roman" w:cs="Times New Roman"/>
          <w:color w:val="auto"/>
          <w:sz w:val="20"/>
          <w:szCs w:val="20"/>
          <w:lang w:val="en-US" w:eastAsia="en-US"/>
        </w:rPr>
        <w:t>s</w:t>
      </w:r>
      <w:r w:rsidRPr="00A84130">
        <w:rPr>
          <w:rFonts w:ascii="Times New Roman" w:hAnsi="Times New Roman" w:cs="Times New Roman"/>
          <w:color w:val="auto"/>
          <w:sz w:val="20"/>
          <w:szCs w:val="20"/>
          <w:lang w:val="en-US" w:eastAsia="en-US"/>
        </w:rPr>
        <w:t xml:space="preserve"> </w:t>
      </w:r>
      <w:r w:rsidR="001C79EB" w:rsidRPr="00A84130">
        <w:rPr>
          <w:rFonts w:ascii="Times New Roman" w:hAnsi="Times New Roman" w:cs="Times New Roman"/>
          <w:color w:val="auto"/>
          <w:sz w:val="20"/>
          <w:szCs w:val="20"/>
          <w:lang w:val="en-US" w:eastAsia="en-US"/>
        </w:rPr>
        <w:t xml:space="preserve">that </w:t>
      </w:r>
      <w:r w:rsidRPr="00A84130">
        <w:rPr>
          <w:rFonts w:ascii="Times New Roman" w:hAnsi="Times New Roman" w:cs="Times New Roman"/>
          <w:color w:val="auto"/>
          <w:sz w:val="20"/>
          <w:szCs w:val="20"/>
          <w:lang w:val="en-US" w:eastAsia="en-US"/>
        </w:rPr>
        <w:t xml:space="preserve">incorporate provisions </w:t>
      </w:r>
      <w:r w:rsidR="001C79EB" w:rsidRPr="00A84130">
        <w:rPr>
          <w:rFonts w:ascii="Times New Roman" w:hAnsi="Times New Roman" w:cs="Times New Roman"/>
          <w:color w:val="auto"/>
          <w:sz w:val="20"/>
          <w:szCs w:val="20"/>
          <w:lang w:val="en-US" w:eastAsia="en-US"/>
        </w:rPr>
        <w:t xml:space="preserve">from </w:t>
      </w:r>
      <w:r w:rsidRPr="00A84130">
        <w:rPr>
          <w:rFonts w:ascii="Times New Roman" w:hAnsi="Times New Roman" w:cs="Times New Roman"/>
          <w:color w:val="auto"/>
          <w:sz w:val="20"/>
          <w:szCs w:val="20"/>
          <w:lang w:val="en-US" w:eastAsia="en-US"/>
        </w:rPr>
        <w:t xml:space="preserve">international conventions and </w:t>
      </w:r>
      <w:r w:rsidR="00925FCE">
        <w:rPr>
          <w:rFonts w:ascii="Times New Roman" w:hAnsi="Times New Roman" w:cs="Times New Roman"/>
          <w:color w:val="auto"/>
          <w:sz w:val="20"/>
          <w:szCs w:val="20"/>
          <w:lang w:val="en-US" w:eastAsia="en-US"/>
        </w:rPr>
        <w:t>have</w:t>
      </w:r>
      <w:r w:rsidR="00925FCE" w:rsidRPr="00A84130">
        <w:rPr>
          <w:rFonts w:ascii="Times New Roman" w:hAnsi="Times New Roman" w:cs="Times New Roman"/>
          <w:color w:val="auto"/>
          <w:sz w:val="20"/>
          <w:szCs w:val="20"/>
          <w:lang w:val="en-US" w:eastAsia="en-US"/>
        </w:rPr>
        <w:t xml:space="preserve"> </w:t>
      </w:r>
      <w:r w:rsidRPr="00A84130">
        <w:rPr>
          <w:rFonts w:ascii="Times New Roman" w:hAnsi="Times New Roman" w:cs="Times New Roman"/>
          <w:color w:val="auto"/>
          <w:sz w:val="20"/>
          <w:szCs w:val="20"/>
          <w:lang w:val="en-US" w:eastAsia="en-US"/>
        </w:rPr>
        <w:t xml:space="preserve">made significant </w:t>
      </w:r>
      <w:r w:rsidR="00925FCE">
        <w:rPr>
          <w:rFonts w:ascii="Times New Roman" w:hAnsi="Times New Roman" w:cs="Times New Roman"/>
          <w:color w:val="auto"/>
          <w:sz w:val="20"/>
          <w:szCs w:val="20"/>
          <w:lang w:val="en-US" w:eastAsia="en-US"/>
        </w:rPr>
        <w:t xml:space="preserve">institutional </w:t>
      </w:r>
      <w:r w:rsidRPr="00A84130">
        <w:rPr>
          <w:rFonts w:ascii="Times New Roman" w:hAnsi="Times New Roman" w:cs="Times New Roman"/>
          <w:color w:val="auto"/>
          <w:sz w:val="20"/>
          <w:szCs w:val="20"/>
          <w:lang w:val="en-US" w:eastAsia="en-US"/>
        </w:rPr>
        <w:t xml:space="preserve">contributions. </w:t>
      </w:r>
      <w:r w:rsidR="00300F7E" w:rsidRPr="00A84130">
        <w:rPr>
          <w:rFonts w:ascii="Times New Roman" w:hAnsi="Times New Roman" w:cs="Times New Roman"/>
          <w:color w:val="auto"/>
          <w:sz w:val="20"/>
          <w:szCs w:val="20"/>
          <w:lang w:val="en-US" w:eastAsia="en-US"/>
        </w:rPr>
        <w:t>The evaluation of the Second Priority Plan</w:t>
      </w:r>
      <w:r w:rsidR="001C79EB" w:rsidRPr="00A84130">
        <w:rPr>
          <w:rFonts w:ascii="Times New Roman" w:hAnsi="Times New Roman" w:cs="Times New Roman"/>
          <w:color w:val="auto"/>
          <w:sz w:val="20"/>
          <w:szCs w:val="20"/>
          <w:lang w:val="en-US" w:eastAsia="en-US"/>
        </w:rPr>
        <w:t>,</w:t>
      </w:r>
      <w:r w:rsidR="00300F7E" w:rsidRPr="00A84130">
        <w:rPr>
          <w:rFonts w:ascii="Times New Roman" w:hAnsi="Times New Roman" w:cs="Times New Roman"/>
          <w:color w:val="auto"/>
          <w:sz w:val="20"/>
          <w:szCs w:val="20"/>
          <w:lang w:val="en-US" w:eastAsia="en-US"/>
        </w:rPr>
        <w:t xml:space="preserve"> financed by the P</w:t>
      </w:r>
      <w:r w:rsidR="00CE78A9" w:rsidRPr="00A84130">
        <w:rPr>
          <w:rFonts w:ascii="Times New Roman" w:hAnsi="Times New Roman" w:cs="Times New Roman"/>
          <w:color w:val="auto"/>
          <w:sz w:val="20"/>
          <w:szCs w:val="20"/>
          <w:lang w:val="en-US" w:eastAsia="en-US"/>
        </w:rPr>
        <w:t>eace</w:t>
      </w:r>
      <w:r w:rsidR="001C79EB" w:rsidRPr="00A84130">
        <w:rPr>
          <w:rFonts w:ascii="Times New Roman" w:hAnsi="Times New Roman" w:cs="Times New Roman"/>
          <w:color w:val="auto"/>
          <w:sz w:val="20"/>
          <w:szCs w:val="20"/>
          <w:lang w:val="en-US" w:eastAsia="en-US"/>
        </w:rPr>
        <w:t>b</w:t>
      </w:r>
      <w:r w:rsidR="00CE78A9" w:rsidRPr="00A84130">
        <w:rPr>
          <w:rFonts w:ascii="Times New Roman" w:hAnsi="Times New Roman" w:cs="Times New Roman"/>
          <w:color w:val="auto"/>
          <w:sz w:val="20"/>
          <w:szCs w:val="20"/>
          <w:lang w:val="en-US" w:eastAsia="en-US"/>
        </w:rPr>
        <w:t xml:space="preserve">uilding </w:t>
      </w:r>
      <w:r w:rsidR="00300F7E" w:rsidRPr="00A84130">
        <w:rPr>
          <w:rFonts w:ascii="Times New Roman" w:hAnsi="Times New Roman" w:cs="Times New Roman"/>
          <w:color w:val="auto"/>
          <w:sz w:val="20"/>
          <w:szCs w:val="20"/>
          <w:lang w:val="en-US" w:eastAsia="en-US"/>
        </w:rPr>
        <w:t>F</w:t>
      </w:r>
      <w:r w:rsidR="00CE78A9" w:rsidRPr="00A84130">
        <w:rPr>
          <w:rFonts w:ascii="Times New Roman" w:hAnsi="Times New Roman" w:cs="Times New Roman"/>
          <w:color w:val="auto"/>
          <w:sz w:val="20"/>
          <w:szCs w:val="20"/>
          <w:lang w:val="en-US" w:eastAsia="en-US"/>
        </w:rPr>
        <w:t>und</w:t>
      </w:r>
      <w:r w:rsidR="001C79EB" w:rsidRPr="00A84130">
        <w:rPr>
          <w:rFonts w:ascii="Times New Roman" w:hAnsi="Times New Roman" w:cs="Times New Roman"/>
          <w:color w:val="auto"/>
          <w:sz w:val="20"/>
          <w:szCs w:val="20"/>
          <w:lang w:val="en-US" w:eastAsia="en-US"/>
        </w:rPr>
        <w:t>,</w:t>
      </w:r>
      <w:r w:rsidR="00300F7E" w:rsidRPr="00A84130">
        <w:rPr>
          <w:rFonts w:ascii="Times New Roman" w:hAnsi="Times New Roman" w:cs="Times New Roman"/>
          <w:color w:val="auto"/>
          <w:sz w:val="20"/>
          <w:szCs w:val="20"/>
          <w:lang w:val="en-US" w:eastAsia="en-US"/>
        </w:rPr>
        <w:t xml:space="preserve"> for 2013</w:t>
      </w:r>
      <w:r w:rsidR="001C79EB" w:rsidRPr="00A84130">
        <w:rPr>
          <w:rFonts w:ascii="Times New Roman" w:hAnsi="Times New Roman" w:cs="Times New Roman"/>
          <w:color w:val="auto"/>
          <w:sz w:val="20"/>
          <w:szCs w:val="20"/>
          <w:lang w:val="en-US" w:eastAsia="en-US"/>
        </w:rPr>
        <w:t xml:space="preserve"> to </w:t>
      </w:r>
      <w:r w:rsidR="00300F7E" w:rsidRPr="00A84130">
        <w:rPr>
          <w:rFonts w:ascii="Times New Roman" w:hAnsi="Times New Roman" w:cs="Times New Roman"/>
          <w:color w:val="auto"/>
          <w:sz w:val="20"/>
          <w:szCs w:val="20"/>
          <w:lang w:val="en-US" w:eastAsia="en-US"/>
        </w:rPr>
        <w:t xml:space="preserve">2017 revealed significant progress has been made in improving relations between </w:t>
      </w:r>
      <w:r w:rsidR="00CE78A9" w:rsidRPr="00A84130">
        <w:rPr>
          <w:rFonts w:ascii="Times New Roman" w:hAnsi="Times New Roman" w:cs="Times New Roman"/>
          <w:color w:val="auto"/>
          <w:sz w:val="20"/>
          <w:szCs w:val="20"/>
          <w:lang w:val="en-US" w:eastAsia="en-US"/>
        </w:rPr>
        <w:t xml:space="preserve">citizens and </w:t>
      </w:r>
      <w:r w:rsidR="00300F7E" w:rsidRPr="00A84130">
        <w:rPr>
          <w:rFonts w:ascii="Times New Roman" w:hAnsi="Times New Roman" w:cs="Times New Roman"/>
          <w:color w:val="auto"/>
          <w:sz w:val="20"/>
          <w:szCs w:val="20"/>
          <w:lang w:val="en-US" w:eastAsia="en-US"/>
        </w:rPr>
        <w:t xml:space="preserve">national defense forces, thereby consolidating peace and security. </w:t>
      </w:r>
      <w:r w:rsidR="001C79EB" w:rsidRPr="00A84130">
        <w:rPr>
          <w:rFonts w:ascii="Times New Roman" w:hAnsi="Times New Roman" w:cs="Times New Roman"/>
          <w:color w:val="auto"/>
          <w:sz w:val="20"/>
          <w:szCs w:val="20"/>
          <w:lang w:val="en-US" w:eastAsia="en-US"/>
        </w:rPr>
        <w:t>F</w:t>
      </w:r>
      <w:r w:rsidR="00300F7E" w:rsidRPr="00A84130">
        <w:rPr>
          <w:rFonts w:ascii="Times New Roman" w:hAnsi="Times New Roman" w:cs="Times New Roman"/>
          <w:color w:val="auto"/>
          <w:sz w:val="20"/>
          <w:szCs w:val="20"/>
          <w:lang w:val="en-US" w:eastAsia="en-US"/>
        </w:rPr>
        <w:t xml:space="preserve">indings </w:t>
      </w:r>
      <w:r w:rsidR="00872BF3" w:rsidRPr="00A84130">
        <w:rPr>
          <w:rFonts w:ascii="Times New Roman" w:hAnsi="Times New Roman" w:cs="Times New Roman"/>
          <w:color w:val="auto"/>
          <w:sz w:val="20"/>
          <w:szCs w:val="20"/>
          <w:lang w:val="en-US" w:eastAsia="en-US"/>
        </w:rPr>
        <w:t xml:space="preserve">indicated </w:t>
      </w:r>
      <w:r w:rsidR="00300F7E" w:rsidRPr="00A84130">
        <w:rPr>
          <w:rFonts w:ascii="Times New Roman" w:hAnsi="Times New Roman" w:cs="Times New Roman"/>
          <w:color w:val="auto"/>
          <w:sz w:val="20"/>
          <w:szCs w:val="20"/>
          <w:lang w:val="en-US" w:eastAsia="en-US"/>
        </w:rPr>
        <w:t xml:space="preserve">gaps </w:t>
      </w:r>
      <w:r w:rsidR="00872BF3" w:rsidRPr="00A84130">
        <w:rPr>
          <w:rFonts w:ascii="Times New Roman" w:hAnsi="Times New Roman" w:cs="Times New Roman"/>
          <w:color w:val="auto"/>
          <w:sz w:val="20"/>
          <w:szCs w:val="20"/>
          <w:lang w:val="en-US" w:eastAsia="en-US"/>
        </w:rPr>
        <w:t xml:space="preserve">between </w:t>
      </w:r>
      <w:r w:rsidR="00300F7E" w:rsidRPr="00A84130">
        <w:rPr>
          <w:rFonts w:ascii="Times New Roman" w:hAnsi="Times New Roman" w:cs="Times New Roman"/>
          <w:color w:val="auto"/>
          <w:sz w:val="20"/>
          <w:szCs w:val="20"/>
          <w:lang w:val="en-US" w:eastAsia="en-US"/>
        </w:rPr>
        <w:t>police and justice sectors.</w:t>
      </w:r>
    </w:p>
    <w:p w14:paraId="03FE84C2" w14:textId="767406BC" w:rsidR="00A84130" w:rsidRPr="001D3FBF" w:rsidRDefault="00C96D4B" w:rsidP="00047245">
      <w:pPr>
        <w:pStyle w:val="Default"/>
        <w:numPr>
          <w:ilvl w:val="0"/>
          <w:numId w:val="4"/>
        </w:numPr>
        <w:tabs>
          <w:tab w:val="left" w:pos="0"/>
          <w:tab w:val="left" w:pos="142"/>
          <w:tab w:val="left" w:pos="540"/>
          <w:tab w:val="left" w:pos="1080"/>
        </w:tabs>
        <w:spacing w:after="120"/>
        <w:ind w:left="810" w:right="1208" w:firstLine="0"/>
        <w:jc w:val="both"/>
        <w:rPr>
          <w:lang w:val="en-US"/>
        </w:rPr>
      </w:pPr>
      <w:r w:rsidRPr="00A84130">
        <w:rPr>
          <w:rFonts w:ascii="Times New Roman" w:hAnsi="Times New Roman" w:cs="Times New Roman"/>
          <w:color w:val="auto"/>
          <w:sz w:val="20"/>
          <w:szCs w:val="20"/>
          <w:lang w:val="en-US" w:eastAsia="en-US"/>
        </w:rPr>
        <w:t xml:space="preserve">UNDP </w:t>
      </w:r>
      <w:r w:rsidR="00305965" w:rsidRPr="00A84130">
        <w:rPr>
          <w:rFonts w:ascii="Times New Roman" w:hAnsi="Times New Roman" w:cs="Times New Roman"/>
          <w:color w:val="auto"/>
          <w:sz w:val="20"/>
          <w:szCs w:val="20"/>
          <w:lang w:val="en-US" w:eastAsia="en-US"/>
        </w:rPr>
        <w:t>focused on youth and women</w:t>
      </w:r>
      <w:r w:rsidR="003A39D9" w:rsidRPr="00A84130">
        <w:rPr>
          <w:rFonts w:ascii="Times New Roman" w:hAnsi="Times New Roman" w:cs="Times New Roman"/>
          <w:color w:val="auto"/>
          <w:sz w:val="20"/>
          <w:szCs w:val="20"/>
          <w:lang w:val="en-US" w:eastAsia="en-US"/>
        </w:rPr>
        <w:t>’s</w:t>
      </w:r>
      <w:r w:rsidR="00305965" w:rsidRPr="00A84130">
        <w:rPr>
          <w:rFonts w:ascii="Times New Roman" w:hAnsi="Times New Roman" w:cs="Times New Roman"/>
          <w:color w:val="auto"/>
          <w:sz w:val="20"/>
          <w:szCs w:val="20"/>
          <w:lang w:val="en-US" w:eastAsia="en-US"/>
        </w:rPr>
        <w:t xml:space="preserve"> empowerment</w:t>
      </w:r>
      <w:r w:rsidR="004C3135" w:rsidRPr="00A84130">
        <w:rPr>
          <w:rFonts w:ascii="Times New Roman" w:hAnsi="Times New Roman" w:cs="Times New Roman"/>
          <w:color w:val="auto"/>
          <w:sz w:val="20"/>
          <w:szCs w:val="14"/>
          <w:lang w:val="en-US" w:eastAsia="en-US"/>
        </w:rPr>
        <w:t xml:space="preserve"> </w:t>
      </w:r>
      <w:r w:rsidR="00B80FE8" w:rsidRPr="00A84130">
        <w:rPr>
          <w:rFonts w:ascii="Times New Roman" w:hAnsi="Times New Roman" w:cs="Times New Roman"/>
          <w:color w:val="auto"/>
          <w:sz w:val="20"/>
          <w:szCs w:val="14"/>
          <w:lang w:val="en-US" w:eastAsia="en-US"/>
        </w:rPr>
        <w:t>to provide</w:t>
      </w:r>
      <w:r w:rsidRPr="00A84130">
        <w:rPr>
          <w:rFonts w:ascii="Times New Roman" w:hAnsi="Times New Roman" w:cs="Times New Roman"/>
          <w:color w:val="auto"/>
          <w:sz w:val="20"/>
          <w:szCs w:val="14"/>
          <w:lang w:val="en-US" w:eastAsia="en-US"/>
        </w:rPr>
        <w:t xml:space="preserve"> skill development and employment opportunities to more than 400,000 </w:t>
      </w:r>
      <w:r w:rsidR="003A39D9" w:rsidRPr="00A84130">
        <w:rPr>
          <w:rFonts w:ascii="Times New Roman" w:hAnsi="Times New Roman" w:cs="Times New Roman"/>
          <w:color w:val="auto"/>
          <w:sz w:val="20"/>
          <w:szCs w:val="14"/>
          <w:lang w:val="en-US" w:eastAsia="en-US"/>
        </w:rPr>
        <w:t xml:space="preserve">young people </w:t>
      </w:r>
      <w:r w:rsidRPr="00A84130">
        <w:rPr>
          <w:rFonts w:ascii="Times New Roman" w:hAnsi="Times New Roman" w:cs="Times New Roman"/>
          <w:color w:val="auto"/>
          <w:sz w:val="20"/>
          <w:szCs w:val="14"/>
          <w:lang w:val="en-US" w:eastAsia="en-US"/>
        </w:rPr>
        <w:t>(48.5</w:t>
      </w:r>
      <w:r w:rsidR="003A39D9" w:rsidRPr="00A84130">
        <w:rPr>
          <w:rFonts w:ascii="Times New Roman" w:hAnsi="Times New Roman" w:cs="Times New Roman"/>
          <w:color w:val="auto"/>
          <w:sz w:val="20"/>
          <w:szCs w:val="14"/>
          <w:lang w:val="en-US" w:eastAsia="en-US"/>
        </w:rPr>
        <w:t xml:space="preserve"> per cent</w:t>
      </w:r>
      <w:r w:rsidRPr="00A84130">
        <w:rPr>
          <w:rFonts w:ascii="Times New Roman" w:hAnsi="Times New Roman" w:cs="Times New Roman"/>
          <w:color w:val="auto"/>
          <w:sz w:val="20"/>
          <w:szCs w:val="14"/>
          <w:lang w:val="en-US" w:eastAsia="en-US"/>
        </w:rPr>
        <w:t xml:space="preserve"> girls)</w:t>
      </w:r>
      <w:r w:rsidR="00305965" w:rsidRPr="00A84130">
        <w:rPr>
          <w:rFonts w:ascii="Times New Roman" w:hAnsi="Times New Roman" w:cs="Times New Roman"/>
          <w:color w:val="auto"/>
          <w:sz w:val="20"/>
          <w:szCs w:val="14"/>
          <w:lang w:val="en-US" w:eastAsia="en-US"/>
        </w:rPr>
        <w:t xml:space="preserve">. </w:t>
      </w:r>
      <w:r w:rsidR="003A39D9" w:rsidRPr="00A84130">
        <w:rPr>
          <w:rFonts w:ascii="Times New Roman" w:hAnsi="Times New Roman" w:cs="Times New Roman"/>
          <w:color w:val="auto"/>
          <w:sz w:val="20"/>
          <w:szCs w:val="14"/>
          <w:lang w:val="en-US" w:eastAsia="en-US"/>
        </w:rPr>
        <w:t>Efforts to generate inclusive growth led to the economic and social empowerment of over</w:t>
      </w:r>
      <w:r w:rsidRPr="00A84130">
        <w:rPr>
          <w:rFonts w:ascii="Times New Roman" w:hAnsi="Times New Roman" w:cs="Times New Roman"/>
          <w:color w:val="auto"/>
          <w:sz w:val="20"/>
          <w:szCs w:val="14"/>
          <w:lang w:val="en-US" w:eastAsia="en-US"/>
        </w:rPr>
        <w:t xml:space="preserve"> 100 rural women’s groups (2,000 women) through business, organizational and management skill building and multifunctional</w:t>
      </w:r>
      <w:r w:rsidR="00AF2D8F" w:rsidRPr="00A84130">
        <w:rPr>
          <w:rFonts w:ascii="Times New Roman" w:hAnsi="Times New Roman" w:cs="Times New Roman"/>
          <w:color w:val="auto"/>
          <w:sz w:val="20"/>
          <w:szCs w:val="14"/>
          <w:lang w:val="en-US" w:eastAsia="en-US"/>
        </w:rPr>
        <w:t xml:space="preserve"> platform</w:t>
      </w:r>
      <w:r w:rsidR="000E2422" w:rsidRPr="00A84130">
        <w:rPr>
          <w:rFonts w:ascii="Times New Roman" w:hAnsi="Times New Roman" w:cs="Times New Roman"/>
          <w:color w:val="auto"/>
          <w:sz w:val="20"/>
          <w:szCs w:val="14"/>
          <w:lang w:val="en-US" w:eastAsia="en-US"/>
        </w:rPr>
        <w:t>s.</w:t>
      </w:r>
      <w:r w:rsidR="00AF2D8F" w:rsidRPr="00A84130">
        <w:rPr>
          <w:rFonts w:ascii="Times New Roman" w:hAnsi="Times New Roman" w:cs="Times New Roman"/>
          <w:color w:val="auto"/>
          <w:sz w:val="20"/>
          <w:szCs w:val="14"/>
          <w:lang w:val="en-US" w:eastAsia="en-US"/>
        </w:rPr>
        <w:t xml:space="preserve"> </w:t>
      </w:r>
      <w:r w:rsidR="003A39D9" w:rsidRPr="00A84130">
        <w:rPr>
          <w:rFonts w:ascii="Times New Roman" w:hAnsi="Times New Roman" w:cs="Times New Roman"/>
          <w:color w:val="auto"/>
          <w:sz w:val="20"/>
          <w:szCs w:val="14"/>
          <w:lang w:val="en-US" w:eastAsia="en-US"/>
        </w:rPr>
        <w:t xml:space="preserve">Such </w:t>
      </w:r>
      <w:r w:rsidR="00746B8F" w:rsidRPr="00A84130">
        <w:rPr>
          <w:rFonts w:ascii="Times New Roman" w:hAnsi="Times New Roman" w:cs="Times New Roman"/>
          <w:color w:val="auto"/>
          <w:sz w:val="20"/>
          <w:szCs w:val="14"/>
          <w:lang w:val="en-US" w:eastAsia="en-US"/>
        </w:rPr>
        <w:t>integrated approach</w:t>
      </w:r>
      <w:r w:rsidR="003A39D9" w:rsidRPr="00A84130">
        <w:rPr>
          <w:rFonts w:ascii="Times New Roman" w:hAnsi="Times New Roman" w:cs="Times New Roman"/>
          <w:color w:val="auto"/>
          <w:sz w:val="20"/>
          <w:szCs w:val="14"/>
          <w:lang w:val="en-US" w:eastAsia="en-US"/>
        </w:rPr>
        <w:t>es</w:t>
      </w:r>
      <w:r w:rsidR="00746B8F" w:rsidRPr="00A84130">
        <w:rPr>
          <w:rFonts w:ascii="Times New Roman" w:hAnsi="Times New Roman" w:cs="Times New Roman"/>
          <w:color w:val="auto"/>
          <w:sz w:val="20"/>
          <w:szCs w:val="14"/>
          <w:lang w:val="en-US" w:eastAsia="en-US"/>
        </w:rPr>
        <w:t xml:space="preserve"> </w:t>
      </w:r>
      <w:r w:rsidR="003A39D9" w:rsidRPr="00A84130">
        <w:rPr>
          <w:rFonts w:ascii="Times New Roman" w:hAnsi="Times New Roman" w:cs="Times New Roman"/>
          <w:color w:val="auto"/>
          <w:sz w:val="20"/>
          <w:szCs w:val="14"/>
          <w:lang w:val="en-US" w:eastAsia="en-US"/>
        </w:rPr>
        <w:t>are</w:t>
      </w:r>
      <w:r w:rsidR="00746B8F" w:rsidRPr="00A84130">
        <w:rPr>
          <w:rFonts w:ascii="Times New Roman" w:hAnsi="Times New Roman" w:cs="Times New Roman"/>
          <w:color w:val="auto"/>
          <w:sz w:val="20"/>
          <w:szCs w:val="14"/>
          <w:lang w:val="en-US" w:eastAsia="en-US"/>
        </w:rPr>
        <w:t xml:space="preserve"> gaining popularity among</w:t>
      </w:r>
      <w:r w:rsidR="003A39D9" w:rsidRPr="00A84130">
        <w:rPr>
          <w:rFonts w:ascii="Times New Roman" w:hAnsi="Times New Roman" w:cs="Times New Roman"/>
          <w:color w:val="auto"/>
          <w:sz w:val="20"/>
          <w:szCs w:val="14"/>
          <w:lang w:val="en-US" w:eastAsia="en-US"/>
        </w:rPr>
        <w:t xml:space="preserve"> communities</w:t>
      </w:r>
      <w:r w:rsidR="00746B8F" w:rsidRPr="00A84130">
        <w:rPr>
          <w:rFonts w:ascii="Times New Roman" w:hAnsi="Times New Roman" w:cs="Times New Roman"/>
          <w:color w:val="auto"/>
          <w:sz w:val="20"/>
          <w:szCs w:val="14"/>
          <w:lang w:val="en-US" w:eastAsia="en-US"/>
        </w:rPr>
        <w:t xml:space="preserve"> and generate high demand from </w:t>
      </w:r>
      <w:r w:rsidR="003A39D9" w:rsidRPr="00A84130">
        <w:rPr>
          <w:rFonts w:ascii="Times New Roman" w:hAnsi="Times New Roman" w:cs="Times New Roman"/>
          <w:color w:val="auto"/>
          <w:sz w:val="20"/>
          <w:szCs w:val="14"/>
          <w:lang w:val="en-US" w:eastAsia="en-US"/>
        </w:rPr>
        <w:t xml:space="preserve">regions not yet </w:t>
      </w:r>
      <w:r w:rsidR="00746B8F" w:rsidRPr="00A84130">
        <w:rPr>
          <w:rFonts w:ascii="Times New Roman" w:hAnsi="Times New Roman" w:cs="Times New Roman"/>
          <w:color w:val="auto"/>
          <w:sz w:val="20"/>
          <w:szCs w:val="14"/>
          <w:lang w:val="en-US" w:eastAsia="en-US"/>
        </w:rPr>
        <w:t xml:space="preserve">covered in </w:t>
      </w:r>
      <w:r w:rsidR="003A39D9" w:rsidRPr="00A84130">
        <w:rPr>
          <w:rFonts w:ascii="Times New Roman" w:hAnsi="Times New Roman" w:cs="Times New Roman"/>
          <w:color w:val="auto"/>
          <w:sz w:val="20"/>
          <w:szCs w:val="14"/>
          <w:lang w:val="en-US" w:eastAsia="en-US"/>
        </w:rPr>
        <w:t>the current country programme document (</w:t>
      </w:r>
      <w:r w:rsidR="00746B8F" w:rsidRPr="00A84130">
        <w:rPr>
          <w:rFonts w:ascii="Times New Roman" w:hAnsi="Times New Roman" w:cs="Times New Roman"/>
          <w:color w:val="auto"/>
          <w:sz w:val="20"/>
          <w:szCs w:val="14"/>
          <w:lang w:val="en-US" w:eastAsia="en-US"/>
        </w:rPr>
        <w:t>CPD</w:t>
      </w:r>
      <w:r w:rsidR="003A39D9" w:rsidRPr="00A84130">
        <w:rPr>
          <w:rFonts w:ascii="Times New Roman" w:hAnsi="Times New Roman" w:cs="Times New Roman"/>
          <w:color w:val="auto"/>
          <w:sz w:val="20"/>
          <w:szCs w:val="14"/>
          <w:lang w:val="en-US" w:eastAsia="en-US"/>
        </w:rPr>
        <w:t>)</w:t>
      </w:r>
      <w:r w:rsidR="00746B8F" w:rsidRPr="00A84130">
        <w:rPr>
          <w:rFonts w:ascii="Times New Roman" w:hAnsi="Times New Roman" w:cs="Times New Roman"/>
          <w:color w:val="auto"/>
          <w:sz w:val="20"/>
          <w:szCs w:val="14"/>
          <w:lang w:val="en-US" w:eastAsia="en-US"/>
        </w:rPr>
        <w:t>.</w:t>
      </w:r>
    </w:p>
    <w:p w14:paraId="33AAC477" w14:textId="60DB2B45" w:rsidR="00A84130" w:rsidRPr="001D3FBF" w:rsidRDefault="003A39D9" w:rsidP="001D3FBF">
      <w:pPr>
        <w:pStyle w:val="Default"/>
        <w:numPr>
          <w:ilvl w:val="0"/>
          <w:numId w:val="4"/>
        </w:numPr>
        <w:tabs>
          <w:tab w:val="left" w:pos="0"/>
          <w:tab w:val="left" w:pos="142"/>
          <w:tab w:val="left" w:pos="540"/>
          <w:tab w:val="left" w:pos="1170"/>
        </w:tabs>
        <w:spacing w:after="120"/>
        <w:ind w:left="810" w:right="1208" w:firstLine="0"/>
        <w:jc w:val="both"/>
        <w:rPr>
          <w:lang w:val="en-US"/>
        </w:rPr>
      </w:pPr>
      <w:r w:rsidRPr="001D3FBF">
        <w:rPr>
          <w:rFonts w:ascii="Times New Roman" w:hAnsi="Times New Roman" w:cs="Times New Roman"/>
          <w:color w:val="auto"/>
          <w:sz w:val="20"/>
          <w:szCs w:val="14"/>
          <w:lang w:val="en-US" w:eastAsia="en-US"/>
        </w:rPr>
        <w:t xml:space="preserve">With regards </w:t>
      </w:r>
      <w:r w:rsidR="00C96D4B" w:rsidRPr="001D3FBF">
        <w:rPr>
          <w:rFonts w:ascii="Times New Roman" w:hAnsi="Times New Roman" w:cs="Times New Roman"/>
          <w:color w:val="auto"/>
          <w:sz w:val="20"/>
          <w:szCs w:val="20"/>
          <w:lang w:val="en-US" w:eastAsia="en-US"/>
        </w:rPr>
        <w:t xml:space="preserve">adaptation to climate change, </w:t>
      </w:r>
      <w:r w:rsidRPr="001D3FBF">
        <w:rPr>
          <w:rFonts w:ascii="Times New Roman" w:hAnsi="Times New Roman" w:cs="Times New Roman"/>
          <w:color w:val="auto"/>
          <w:sz w:val="20"/>
          <w:szCs w:val="20"/>
          <w:lang w:val="en-US" w:eastAsia="en-US"/>
        </w:rPr>
        <w:t xml:space="preserve">the </w:t>
      </w:r>
      <w:r w:rsidR="00C96D4B" w:rsidRPr="001D3FBF">
        <w:rPr>
          <w:rFonts w:ascii="Times New Roman" w:hAnsi="Times New Roman" w:cs="Times New Roman"/>
          <w:color w:val="auto"/>
          <w:sz w:val="20"/>
          <w:szCs w:val="20"/>
          <w:lang w:val="en-US" w:eastAsia="en-US"/>
        </w:rPr>
        <w:t xml:space="preserve">UNDP </w:t>
      </w:r>
      <w:r w:rsidR="00803DC7" w:rsidRPr="001D3FBF">
        <w:rPr>
          <w:rFonts w:ascii="Times New Roman" w:hAnsi="Times New Roman" w:cs="Times New Roman"/>
          <w:color w:val="auto"/>
          <w:sz w:val="20"/>
          <w:szCs w:val="20"/>
          <w:lang w:val="en-US" w:eastAsia="en-US"/>
        </w:rPr>
        <w:t xml:space="preserve">contribution </w:t>
      </w:r>
      <w:r w:rsidR="00B74863" w:rsidRPr="001D3FBF">
        <w:rPr>
          <w:rFonts w:ascii="Times New Roman" w:hAnsi="Times New Roman" w:cs="Times New Roman"/>
          <w:color w:val="auto"/>
          <w:sz w:val="20"/>
          <w:szCs w:val="20"/>
          <w:lang w:val="en-US" w:eastAsia="en-US"/>
        </w:rPr>
        <w:t xml:space="preserve">includes </w:t>
      </w:r>
      <w:r w:rsidR="00C96D4B" w:rsidRPr="001D3FBF">
        <w:rPr>
          <w:rFonts w:ascii="Times New Roman" w:hAnsi="Times New Roman" w:cs="Times New Roman"/>
          <w:color w:val="auto"/>
          <w:sz w:val="20"/>
          <w:szCs w:val="20"/>
          <w:lang w:val="en-US" w:eastAsia="en-US"/>
        </w:rPr>
        <w:t xml:space="preserve">the development of </w:t>
      </w:r>
      <w:r w:rsidRPr="001D3FBF">
        <w:rPr>
          <w:rFonts w:ascii="Times New Roman" w:hAnsi="Times New Roman" w:cs="Times New Roman"/>
          <w:color w:val="auto"/>
          <w:sz w:val="20"/>
          <w:szCs w:val="20"/>
          <w:lang w:val="en-US" w:eastAsia="en-US"/>
        </w:rPr>
        <w:t xml:space="preserve">a </w:t>
      </w:r>
      <w:r w:rsidR="00C96D4B" w:rsidRPr="001D3FBF">
        <w:rPr>
          <w:rFonts w:ascii="Times New Roman" w:hAnsi="Times New Roman" w:cs="Times New Roman"/>
          <w:color w:val="auto"/>
          <w:sz w:val="20"/>
          <w:szCs w:val="20"/>
          <w:lang w:val="en-US" w:eastAsia="en-US"/>
        </w:rPr>
        <w:t xml:space="preserve">policy framework for </w:t>
      </w:r>
      <w:r w:rsidRPr="001D3FBF">
        <w:rPr>
          <w:rFonts w:ascii="Times New Roman" w:hAnsi="Times New Roman" w:cs="Times New Roman"/>
          <w:color w:val="auto"/>
          <w:sz w:val="20"/>
          <w:szCs w:val="20"/>
          <w:lang w:val="en-US" w:eastAsia="en-US"/>
        </w:rPr>
        <w:t>e</w:t>
      </w:r>
      <w:r w:rsidR="00C96D4B" w:rsidRPr="001D3FBF">
        <w:rPr>
          <w:rFonts w:ascii="Times New Roman" w:hAnsi="Times New Roman" w:cs="Times New Roman"/>
          <w:color w:val="auto"/>
          <w:sz w:val="20"/>
          <w:szCs w:val="20"/>
          <w:lang w:val="en-US" w:eastAsia="en-US"/>
        </w:rPr>
        <w:t>nvironment</w:t>
      </w:r>
      <w:r w:rsidR="00872BF3" w:rsidRPr="001D3FBF">
        <w:rPr>
          <w:rFonts w:ascii="Times New Roman" w:hAnsi="Times New Roman" w:cs="Times New Roman"/>
          <w:color w:val="auto"/>
          <w:sz w:val="20"/>
          <w:szCs w:val="20"/>
          <w:lang w:val="en-US" w:eastAsia="en-US"/>
        </w:rPr>
        <w:t>al</w:t>
      </w:r>
      <w:r w:rsidR="00C96D4B" w:rsidRPr="001D3FBF">
        <w:rPr>
          <w:rFonts w:ascii="Times New Roman" w:hAnsi="Times New Roman" w:cs="Times New Roman"/>
          <w:color w:val="auto"/>
          <w:sz w:val="20"/>
          <w:szCs w:val="20"/>
          <w:lang w:val="en-US" w:eastAsia="en-US"/>
        </w:rPr>
        <w:t xml:space="preserve"> </w:t>
      </w:r>
      <w:r w:rsidRPr="001D3FBF">
        <w:rPr>
          <w:rFonts w:ascii="Times New Roman" w:hAnsi="Times New Roman" w:cs="Times New Roman"/>
          <w:color w:val="auto"/>
          <w:sz w:val="20"/>
          <w:szCs w:val="20"/>
          <w:lang w:val="en-US" w:eastAsia="en-US"/>
        </w:rPr>
        <w:t>s</w:t>
      </w:r>
      <w:r w:rsidR="00C96D4B" w:rsidRPr="001D3FBF">
        <w:rPr>
          <w:rFonts w:ascii="Times New Roman" w:hAnsi="Times New Roman" w:cs="Times New Roman"/>
          <w:color w:val="auto"/>
          <w:sz w:val="20"/>
          <w:szCs w:val="20"/>
          <w:lang w:val="en-US" w:eastAsia="en-US"/>
        </w:rPr>
        <w:t xml:space="preserve">ector </w:t>
      </w:r>
      <w:r w:rsidRPr="001D3FBF">
        <w:rPr>
          <w:rFonts w:ascii="Times New Roman" w:hAnsi="Times New Roman" w:cs="Times New Roman"/>
          <w:color w:val="auto"/>
          <w:sz w:val="20"/>
          <w:szCs w:val="20"/>
          <w:lang w:val="en-US" w:eastAsia="en-US"/>
        </w:rPr>
        <w:t>m</w:t>
      </w:r>
      <w:r w:rsidR="00C96D4B" w:rsidRPr="001D3FBF">
        <w:rPr>
          <w:rFonts w:ascii="Times New Roman" w:hAnsi="Times New Roman" w:cs="Times New Roman"/>
          <w:color w:val="auto"/>
          <w:sz w:val="20"/>
          <w:szCs w:val="20"/>
          <w:lang w:val="en-US" w:eastAsia="en-US"/>
        </w:rPr>
        <w:t>anagement</w:t>
      </w:r>
      <w:r w:rsidR="00B74863" w:rsidRPr="001D3FBF">
        <w:rPr>
          <w:rFonts w:ascii="Times New Roman" w:hAnsi="Times New Roman" w:cs="Times New Roman"/>
          <w:color w:val="auto"/>
          <w:sz w:val="20"/>
          <w:szCs w:val="20"/>
          <w:lang w:val="en-US" w:eastAsia="en-US"/>
        </w:rPr>
        <w:t>,</w:t>
      </w:r>
      <w:r w:rsidR="00803DC7" w:rsidRPr="001D3FBF">
        <w:rPr>
          <w:rFonts w:ascii="Times New Roman" w:hAnsi="Times New Roman" w:cs="Times New Roman"/>
          <w:color w:val="auto"/>
          <w:sz w:val="20"/>
          <w:szCs w:val="20"/>
          <w:lang w:val="en-US" w:eastAsia="en-US"/>
        </w:rPr>
        <w:t xml:space="preserve"> </w:t>
      </w:r>
      <w:r w:rsidR="00202EBB" w:rsidRPr="001D3FBF">
        <w:rPr>
          <w:rFonts w:ascii="Times New Roman" w:hAnsi="Times New Roman" w:cs="Times New Roman"/>
          <w:color w:val="auto"/>
          <w:sz w:val="20"/>
          <w:szCs w:val="20"/>
          <w:lang w:val="en-US" w:eastAsia="en-US"/>
        </w:rPr>
        <w:t>identifying</w:t>
      </w:r>
      <w:r w:rsidR="00803DC7" w:rsidRPr="001D3FBF">
        <w:rPr>
          <w:rFonts w:ascii="Times New Roman" w:hAnsi="Times New Roman" w:cs="Times New Roman"/>
          <w:color w:val="auto"/>
          <w:sz w:val="20"/>
          <w:szCs w:val="20"/>
          <w:lang w:val="en-US" w:eastAsia="en-US"/>
        </w:rPr>
        <w:t xml:space="preserve"> </w:t>
      </w:r>
      <w:r w:rsidR="00C96D4B" w:rsidRPr="001D3FBF">
        <w:rPr>
          <w:rFonts w:ascii="Times New Roman" w:hAnsi="Times New Roman" w:cs="Times New Roman"/>
          <w:color w:val="auto"/>
          <w:sz w:val="20"/>
          <w:szCs w:val="20"/>
          <w:lang w:val="en-US" w:eastAsia="en-US"/>
        </w:rPr>
        <w:t>the mos</w:t>
      </w:r>
      <w:r w:rsidR="00AF2D8F" w:rsidRPr="001D3FBF">
        <w:rPr>
          <w:rFonts w:ascii="Times New Roman" w:hAnsi="Times New Roman" w:cs="Times New Roman"/>
          <w:color w:val="auto"/>
          <w:sz w:val="20"/>
          <w:szCs w:val="20"/>
          <w:lang w:val="en-US" w:eastAsia="en-US"/>
        </w:rPr>
        <w:t>t</w:t>
      </w:r>
      <w:r w:rsidR="009C1FAA" w:rsidRPr="001D3FBF">
        <w:rPr>
          <w:rFonts w:ascii="Times New Roman" w:hAnsi="Times New Roman" w:cs="Times New Roman"/>
          <w:color w:val="auto"/>
          <w:sz w:val="20"/>
          <w:szCs w:val="20"/>
          <w:lang w:val="en-US" w:eastAsia="en-US"/>
        </w:rPr>
        <w:t xml:space="preserve"> vulnerable </w:t>
      </w:r>
      <w:r w:rsidR="00D556DD" w:rsidRPr="001D3FBF">
        <w:rPr>
          <w:rFonts w:ascii="Times New Roman" w:hAnsi="Times New Roman" w:cs="Times New Roman"/>
          <w:color w:val="auto"/>
          <w:sz w:val="20"/>
          <w:szCs w:val="20"/>
          <w:lang w:val="en-US" w:eastAsia="en-US"/>
        </w:rPr>
        <w:t xml:space="preserve">geographical </w:t>
      </w:r>
      <w:r w:rsidR="009C1FAA" w:rsidRPr="001D3FBF">
        <w:rPr>
          <w:rFonts w:ascii="Times New Roman" w:hAnsi="Times New Roman" w:cs="Times New Roman"/>
          <w:color w:val="auto"/>
          <w:sz w:val="20"/>
          <w:szCs w:val="20"/>
          <w:lang w:val="en-US" w:eastAsia="en-US"/>
        </w:rPr>
        <w:t>areas</w:t>
      </w:r>
      <w:r w:rsidR="00AF2D8F" w:rsidRPr="001D3FBF">
        <w:rPr>
          <w:rFonts w:ascii="Times New Roman" w:hAnsi="Times New Roman" w:cs="Times New Roman"/>
          <w:color w:val="auto"/>
          <w:sz w:val="20"/>
          <w:szCs w:val="20"/>
          <w:lang w:val="en-US" w:eastAsia="en-US"/>
        </w:rPr>
        <w:t xml:space="preserve"> </w:t>
      </w:r>
      <w:r w:rsidR="009C1FAA" w:rsidRPr="001D3FBF">
        <w:rPr>
          <w:rFonts w:ascii="Times New Roman" w:hAnsi="Times New Roman" w:cs="Times New Roman"/>
          <w:color w:val="auto"/>
          <w:sz w:val="20"/>
          <w:szCs w:val="20"/>
          <w:lang w:val="en-US" w:eastAsia="en-US"/>
        </w:rPr>
        <w:t xml:space="preserve">to </w:t>
      </w:r>
      <w:r w:rsidR="00C96D4B" w:rsidRPr="001D3FBF">
        <w:rPr>
          <w:rFonts w:ascii="Times New Roman" w:hAnsi="Times New Roman" w:cs="Times New Roman"/>
          <w:color w:val="auto"/>
          <w:sz w:val="20"/>
          <w:szCs w:val="20"/>
          <w:lang w:val="en-US" w:eastAsia="en-US"/>
        </w:rPr>
        <w:t>support the implementation of climate change adaptation initiatives</w:t>
      </w:r>
      <w:r w:rsidRPr="001D3FBF">
        <w:rPr>
          <w:rFonts w:ascii="Times New Roman" w:hAnsi="Times New Roman" w:cs="Times New Roman"/>
          <w:color w:val="auto"/>
          <w:sz w:val="20"/>
          <w:szCs w:val="20"/>
          <w:lang w:val="en-US" w:eastAsia="en-US"/>
        </w:rPr>
        <w:t>,</w:t>
      </w:r>
      <w:r w:rsidR="00C96D4B" w:rsidRPr="001D3FBF">
        <w:rPr>
          <w:rFonts w:ascii="Times New Roman" w:hAnsi="Times New Roman" w:cs="Times New Roman"/>
          <w:color w:val="auto"/>
          <w:sz w:val="20"/>
          <w:szCs w:val="20"/>
          <w:lang w:val="en-US" w:eastAsia="en-US"/>
        </w:rPr>
        <w:t xml:space="preserve"> and </w:t>
      </w:r>
      <w:r w:rsidRPr="001D3FBF">
        <w:rPr>
          <w:rFonts w:ascii="Times New Roman" w:hAnsi="Times New Roman" w:cs="Times New Roman"/>
          <w:color w:val="auto"/>
          <w:sz w:val="20"/>
          <w:szCs w:val="20"/>
          <w:lang w:val="en-US" w:eastAsia="en-US"/>
        </w:rPr>
        <w:t xml:space="preserve">the </w:t>
      </w:r>
      <w:r w:rsidR="00C96D4B" w:rsidRPr="001D3FBF">
        <w:rPr>
          <w:rFonts w:ascii="Times New Roman" w:hAnsi="Times New Roman" w:cs="Times New Roman"/>
          <w:color w:val="auto"/>
          <w:sz w:val="20"/>
          <w:szCs w:val="20"/>
          <w:lang w:val="en-US" w:eastAsia="en-US"/>
        </w:rPr>
        <w:t>formulati</w:t>
      </w:r>
      <w:r w:rsidR="00B74863" w:rsidRPr="001D3FBF">
        <w:rPr>
          <w:rFonts w:ascii="Times New Roman" w:hAnsi="Times New Roman" w:cs="Times New Roman"/>
          <w:color w:val="auto"/>
          <w:sz w:val="20"/>
          <w:szCs w:val="20"/>
          <w:lang w:val="en-US" w:eastAsia="en-US"/>
        </w:rPr>
        <w:t>o</w:t>
      </w:r>
      <w:r w:rsidR="00C96D4B" w:rsidRPr="001D3FBF">
        <w:rPr>
          <w:rFonts w:ascii="Times New Roman" w:hAnsi="Times New Roman" w:cs="Times New Roman"/>
          <w:color w:val="auto"/>
          <w:sz w:val="20"/>
          <w:szCs w:val="20"/>
          <w:lang w:val="en-US" w:eastAsia="en-US"/>
        </w:rPr>
        <w:t xml:space="preserve">n </w:t>
      </w:r>
      <w:r w:rsidR="004E6D0A" w:rsidRPr="001D3FBF">
        <w:rPr>
          <w:rFonts w:ascii="Times New Roman" w:hAnsi="Times New Roman" w:cs="Times New Roman"/>
          <w:color w:val="auto"/>
          <w:sz w:val="20"/>
          <w:szCs w:val="20"/>
          <w:lang w:val="en-US" w:eastAsia="en-US"/>
        </w:rPr>
        <w:t xml:space="preserve">of </w:t>
      </w:r>
      <w:r w:rsidRPr="001D3FBF">
        <w:rPr>
          <w:rFonts w:ascii="Times New Roman" w:hAnsi="Times New Roman" w:cs="Times New Roman"/>
          <w:color w:val="auto"/>
          <w:sz w:val="20"/>
          <w:szCs w:val="20"/>
          <w:lang w:val="en-US" w:eastAsia="en-US"/>
        </w:rPr>
        <w:t xml:space="preserve">a </w:t>
      </w:r>
      <w:r w:rsidR="00C96D4B" w:rsidRPr="001D3FBF">
        <w:rPr>
          <w:rFonts w:ascii="Times New Roman" w:hAnsi="Times New Roman" w:cs="Times New Roman"/>
          <w:color w:val="auto"/>
          <w:sz w:val="20"/>
          <w:szCs w:val="20"/>
          <w:lang w:val="en-US" w:eastAsia="en-US"/>
        </w:rPr>
        <w:t xml:space="preserve">national adaptation plan </w:t>
      </w:r>
      <w:r w:rsidR="004E6D0A" w:rsidRPr="001D3FBF">
        <w:rPr>
          <w:rFonts w:ascii="Times New Roman" w:hAnsi="Times New Roman" w:cs="Times New Roman"/>
          <w:color w:val="auto"/>
          <w:sz w:val="20"/>
          <w:szCs w:val="20"/>
          <w:lang w:val="en-US" w:eastAsia="en-US"/>
        </w:rPr>
        <w:t xml:space="preserve">to </w:t>
      </w:r>
      <w:r w:rsidR="00C96D4B" w:rsidRPr="001D3FBF">
        <w:rPr>
          <w:rFonts w:ascii="Times New Roman" w:hAnsi="Times New Roman" w:cs="Times New Roman"/>
          <w:color w:val="auto"/>
          <w:sz w:val="20"/>
          <w:szCs w:val="20"/>
          <w:lang w:val="en-US" w:eastAsia="en-US"/>
        </w:rPr>
        <w:t>support</w:t>
      </w:r>
      <w:r w:rsidR="004E6D0A" w:rsidRPr="001D3FBF">
        <w:rPr>
          <w:rFonts w:ascii="Times New Roman" w:hAnsi="Times New Roman" w:cs="Times New Roman"/>
          <w:color w:val="auto"/>
          <w:sz w:val="20"/>
          <w:szCs w:val="20"/>
          <w:lang w:val="en-US" w:eastAsia="en-US"/>
        </w:rPr>
        <w:t xml:space="preserve"> </w:t>
      </w:r>
      <w:r w:rsidR="00C96D4B" w:rsidRPr="001D3FBF">
        <w:rPr>
          <w:rFonts w:ascii="Times New Roman" w:hAnsi="Times New Roman" w:cs="Times New Roman"/>
          <w:color w:val="auto"/>
          <w:sz w:val="20"/>
          <w:szCs w:val="20"/>
          <w:lang w:val="en-US" w:eastAsia="en-US"/>
        </w:rPr>
        <w:t xml:space="preserve">rural communities </w:t>
      </w:r>
      <w:r w:rsidRPr="001D3FBF">
        <w:rPr>
          <w:rFonts w:ascii="Times New Roman" w:hAnsi="Times New Roman" w:cs="Times New Roman"/>
          <w:color w:val="auto"/>
          <w:sz w:val="20"/>
          <w:szCs w:val="20"/>
          <w:lang w:val="en-US" w:eastAsia="en-US"/>
        </w:rPr>
        <w:t xml:space="preserve">and </w:t>
      </w:r>
      <w:r w:rsidR="00C96D4B" w:rsidRPr="001D3FBF">
        <w:rPr>
          <w:rFonts w:ascii="Times New Roman" w:hAnsi="Times New Roman" w:cs="Times New Roman"/>
          <w:color w:val="auto"/>
          <w:sz w:val="20"/>
          <w:szCs w:val="20"/>
          <w:lang w:val="en-US" w:eastAsia="en-US"/>
        </w:rPr>
        <w:t xml:space="preserve">increase resilience through </w:t>
      </w:r>
      <w:r w:rsidRPr="001D3FBF">
        <w:rPr>
          <w:rFonts w:ascii="Times New Roman" w:hAnsi="Times New Roman" w:cs="Times New Roman"/>
          <w:color w:val="auto"/>
          <w:sz w:val="20"/>
          <w:szCs w:val="20"/>
          <w:lang w:val="en-US" w:eastAsia="en-US"/>
        </w:rPr>
        <w:t>‘</w:t>
      </w:r>
      <w:r w:rsidR="00C96D4B" w:rsidRPr="001D3FBF">
        <w:rPr>
          <w:rFonts w:ascii="Times New Roman" w:hAnsi="Times New Roman" w:cs="Times New Roman"/>
          <w:color w:val="auto"/>
          <w:sz w:val="20"/>
          <w:szCs w:val="20"/>
          <w:lang w:val="en-US" w:eastAsia="en-US"/>
        </w:rPr>
        <w:t>green jobs</w:t>
      </w:r>
      <w:r w:rsidRPr="001D3FBF">
        <w:rPr>
          <w:rFonts w:ascii="Times New Roman" w:hAnsi="Times New Roman" w:cs="Times New Roman"/>
          <w:color w:val="auto"/>
          <w:sz w:val="20"/>
          <w:szCs w:val="20"/>
          <w:lang w:val="en-US" w:eastAsia="en-US"/>
        </w:rPr>
        <w:t>’</w:t>
      </w:r>
      <w:r w:rsidR="00C96D4B" w:rsidRPr="001D3FBF">
        <w:rPr>
          <w:rFonts w:ascii="Times New Roman" w:hAnsi="Times New Roman" w:cs="Times New Roman"/>
          <w:color w:val="auto"/>
          <w:sz w:val="20"/>
          <w:szCs w:val="20"/>
          <w:lang w:val="en-US" w:eastAsia="en-US"/>
        </w:rPr>
        <w:t xml:space="preserve"> creation. </w:t>
      </w:r>
    </w:p>
    <w:p w14:paraId="14624614" w14:textId="4BCF67D9" w:rsidR="00B53220" w:rsidRDefault="004A6607" w:rsidP="00047245">
      <w:pPr>
        <w:pStyle w:val="Default"/>
        <w:numPr>
          <w:ilvl w:val="0"/>
          <w:numId w:val="4"/>
        </w:numPr>
        <w:tabs>
          <w:tab w:val="left" w:pos="0"/>
          <w:tab w:val="left" w:pos="142"/>
          <w:tab w:val="left" w:pos="540"/>
          <w:tab w:val="left" w:pos="1080"/>
        </w:tabs>
        <w:spacing w:after="200"/>
        <w:ind w:left="810" w:right="1208" w:firstLine="0"/>
        <w:jc w:val="both"/>
        <w:rPr>
          <w:lang w:val="en-US"/>
        </w:rPr>
      </w:pPr>
      <w:r>
        <w:rPr>
          <w:rFonts w:ascii="Times New Roman" w:hAnsi="Times New Roman" w:cs="Times New Roman"/>
          <w:color w:val="auto"/>
          <w:sz w:val="20"/>
          <w:szCs w:val="20"/>
          <w:lang w:val="en-US" w:eastAsia="en-US"/>
        </w:rPr>
        <w:t>T</w:t>
      </w:r>
      <w:r w:rsidR="008F53B1" w:rsidRPr="00A84130">
        <w:rPr>
          <w:rFonts w:ascii="Times New Roman" w:hAnsi="Times New Roman" w:cs="Times New Roman"/>
          <w:color w:val="auto"/>
          <w:sz w:val="20"/>
          <w:szCs w:val="20"/>
          <w:lang w:val="en-US" w:eastAsia="en-US"/>
        </w:rPr>
        <w:t xml:space="preserve">he </w:t>
      </w:r>
      <w:r w:rsidR="00753E23" w:rsidRPr="00A84130">
        <w:rPr>
          <w:rFonts w:ascii="Times New Roman" w:hAnsi="Times New Roman" w:cs="Times New Roman"/>
          <w:color w:val="auto"/>
          <w:sz w:val="20"/>
          <w:szCs w:val="20"/>
          <w:lang w:val="en-US" w:eastAsia="en-US"/>
        </w:rPr>
        <w:t xml:space="preserve">2013-2017 CPD </w:t>
      </w:r>
      <w:r>
        <w:rPr>
          <w:rFonts w:ascii="Times New Roman" w:hAnsi="Times New Roman" w:cs="Times New Roman"/>
          <w:color w:val="auto"/>
          <w:sz w:val="20"/>
          <w:szCs w:val="20"/>
          <w:lang w:val="en-US" w:eastAsia="en-US"/>
        </w:rPr>
        <w:t xml:space="preserve">evaluation </w:t>
      </w:r>
      <w:r w:rsidR="003A39D9" w:rsidRPr="00A84130">
        <w:rPr>
          <w:rFonts w:ascii="Times New Roman" w:hAnsi="Times New Roman" w:cs="Times New Roman"/>
          <w:color w:val="auto"/>
          <w:sz w:val="20"/>
          <w:szCs w:val="20"/>
          <w:lang w:val="en-US" w:eastAsia="en-US"/>
        </w:rPr>
        <w:t>showed</w:t>
      </w:r>
      <w:r w:rsidR="00753E23" w:rsidRPr="00A84130">
        <w:rPr>
          <w:rFonts w:ascii="Times New Roman" w:hAnsi="Times New Roman" w:cs="Times New Roman"/>
          <w:color w:val="auto"/>
          <w:sz w:val="20"/>
          <w:szCs w:val="20"/>
          <w:lang w:val="en-US" w:eastAsia="en-US"/>
        </w:rPr>
        <w:t xml:space="preserve"> </w:t>
      </w:r>
      <w:r w:rsidR="003A39D9" w:rsidRPr="00A84130">
        <w:rPr>
          <w:rFonts w:ascii="Times New Roman" w:hAnsi="Times New Roman" w:cs="Times New Roman"/>
          <w:color w:val="auto"/>
          <w:sz w:val="20"/>
          <w:szCs w:val="20"/>
          <w:lang w:val="en-US" w:eastAsia="en-US"/>
        </w:rPr>
        <w:t>UNDP was quick to adapt and respond to socio-economic and health crises, such as Ebola outbreak through community development support projects</w:t>
      </w:r>
      <w:r w:rsidR="0055350B">
        <w:rPr>
          <w:rFonts w:ascii="Times New Roman" w:hAnsi="Times New Roman" w:cs="Times New Roman"/>
          <w:color w:val="auto"/>
          <w:sz w:val="20"/>
          <w:szCs w:val="20"/>
          <w:lang w:val="en-US" w:eastAsia="en-US"/>
        </w:rPr>
        <w:t xml:space="preserve">. It also </w:t>
      </w:r>
      <w:r w:rsidR="003A39D9" w:rsidRPr="00A84130">
        <w:rPr>
          <w:rFonts w:ascii="Times New Roman" w:hAnsi="Times New Roman" w:cs="Times New Roman"/>
          <w:color w:val="auto"/>
          <w:sz w:val="20"/>
          <w:szCs w:val="20"/>
          <w:lang w:val="en-US" w:eastAsia="en-US"/>
        </w:rPr>
        <w:t>revealed organizational</w:t>
      </w:r>
      <w:r w:rsidR="008E749B" w:rsidRPr="00A84130">
        <w:rPr>
          <w:rFonts w:ascii="Times New Roman" w:hAnsi="Times New Roman" w:cs="Times New Roman"/>
          <w:color w:val="auto"/>
          <w:sz w:val="20"/>
          <w:szCs w:val="20"/>
          <w:lang w:val="en-US" w:eastAsia="en-US"/>
        </w:rPr>
        <w:t xml:space="preserve"> </w:t>
      </w:r>
      <w:r w:rsidR="00753E23" w:rsidRPr="00A84130">
        <w:rPr>
          <w:rFonts w:ascii="Times New Roman" w:hAnsi="Times New Roman" w:cs="Times New Roman"/>
          <w:color w:val="auto"/>
          <w:sz w:val="20"/>
          <w:szCs w:val="20"/>
          <w:lang w:val="en-US" w:eastAsia="en-US"/>
        </w:rPr>
        <w:t>intervention</w:t>
      </w:r>
      <w:r w:rsidR="00D820FA" w:rsidRPr="00A84130">
        <w:rPr>
          <w:rFonts w:ascii="Times New Roman" w:hAnsi="Times New Roman" w:cs="Times New Roman"/>
          <w:color w:val="auto"/>
          <w:sz w:val="20"/>
          <w:szCs w:val="20"/>
          <w:lang w:val="en-US" w:eastAsia="en-US"/>
        </w:rPr>
        <w:t>s</w:t>
      </w:r>
      <w:r w:rsidR="00753E23" w:rsidRPr="00A84130">
        <w:rPr>
          <w:rFonts w:ascii="Times New Roman" w:hAnsi="Times New Roman" w:cs="Times New Roman"/>
          <w:color w:val="auto"/>
          <w:sz w:val="20"/>
          <w:szCs w:val="20"/>
          <w:lang w:val="en-US" w:eastAsia="en-US"/>
        </w:rPr>
        <w:t xml:space="preserve"> w</w:t>
      </w:r>
      <w:r w:rsidR="00D820FA" w:rsidRPr="00A84130">
        <w:rPr>
          <w:rFonts w:ascii="Times New Roman" w:hAnsi="Times New Roman" w:cs="Times New Roman"/>
          <w:color w:val="auto"/>
          <w:sz w:val="20"/>
          <w:szCs w:val="20"/>
          <w:lang w:val="en-US" w:eastAsia="en-US"/>
        </w:rPr>
        <w:t>ere</w:t>
      </w:r>
      <w:r w:rsidR="008F53B1" w:rsidRPr="00A84130">
        <w:rPr>
          <w:rFonts w:ascii="Times New Roman" w:hAnsi="Times New Roman" w:cs="Times New Roman"/>
          <w:color w:val="auto"/>
          <w:sz w:val="20"/>
          <w:szCs w:val="20"/>
          <w:lang w:val="en-US" w:eastAsia="en-US"/>
        </w:rPr>
        <w:t xml:space="preserve"> fragmented. </w:t>
      </w:r>
      <w:r w:rsidR="003A39D9" w:rsidRPr="00A84130">
        <w:rPr>
          <w:rFonts w:ascii="Times New Roman" w:hAnsi="Times New Roman" w:cs="Times New Roman"/>
          <w:color w:val="auto"/>
          <w:sz w:val="20"/>
          <w:szCs w:val="20"/>
          <w:lang w:val="en-US" w:eastAsia="en-US"/>
        </w:rPr>
        <w:t>The</w:t>
      </w:r>
      <w:r w:rsidR="00B72FFE" w:rsidRPr="00A84130">
        <w:rPr>
          <w:rFonts w:ascii="Times New Roman" w:hAnsi="Times New Roman" w:cs="Times New Roman"/>
          <w:color w:val="auto"/>
          <w:sz w:val="20"/>
          <w:szCs w:val="20"/>
          <w:lang w:val="en-US" w:eastAsia="en-US"/>
        </w:rPr>
        <w:t xml:space="preserve"> consolidation of </w:t>
      </w:r>
      <w:r w:rsidR="003A39D9" w:rsidRPr="00A84130">
        <w:rPr>
          <w:rFonts w:ascii="Times New Roman" w:hAnsi="Times New Roman" w:cs="Times New Roman"/>
          <w:color w:val="auto"/>
          <w:sz w:val="20"/>
          <w:szCs w:val="20"/>
          <w:lang w:val="en-US" w:eastAsia="en-US"/>
        </w:rPr>
        <w:t xml:space="preserve">UNDP </w:t>
      </w:r>
      <w:r w:rsidR="00B72FFE" w:rsidRPr="00A84130">
        <w:rPr>
          <w:rFonts w:ascii="Times New Roman" w:hAnsi="Times New Roman" w:cs="Times New Roman"/>
          <w:color w:val="auto"/>
          <w:sz w:val="20"/>
          <w:szCs w:val="20"/>
          <w:lang w:val="en-US" w:eastAsia="en-US"/>
        </w:rPr>
        <w:t xml:space="preserve">achievements in </w:t>
      </w:r>
      <w:r w:rsidR="003A39D9" w:rsidRPr="00A84130">
        <w:rPr>
          <w:rFonts w:ascii="Times New Roman" w:hAnsi="Times New Roman" w:cs="Times New Roman"/>
          <w:color w:val="auto"/>
          <w:sz w:val="20"/>
          <w:szCs w:val="20"/>
          <w:lang w:val="en-US" w:eastAsia="en-US"/>
        </w:rPr>
        <w:t>Guinea</w:t>
      </w:r>
      <w:r w:rsidR="00B72FFE" w:rsidRPr="00A84130">
        <w:rPr>
          <w:rFonts w:ascii="Times New Roman" w:hAnsi="Times New Roman" w:cs="Times New Roman"/>
          <w:color w:val="auto"/>
          <w:sz w:val="20"/>
          <w:szCs w:val="20"/>
          <w:lang w:val="en-US" w:eastAsia="en-US"/>
        </w:rPr>
        <w:t xml:space="preserve"> will be the guiding principle for the proposed program</w:t>
      </w:r>
      <w:r w:rsidR="003A39D9" w:rsidRPr="00A84130">
        <w:rPr>
          <w:rFonts w:ascii="Times New Roman" w:hAnsi="Times New Roman" w:cs="Times New Roman"/>
          <w:color w:val="auto"/>
          <w:sz w:val="20"/>
          <w:szCs w:val="20"/>
          <w:lang w:val="en-US" w:eastAsia="en-US"/>
        </w:rPr>
        <w:t xml:space="preserve"> with </w:t>
      </w:r>
      <w:r w:rsidR="008F53B1" w:rsidRPr="00A84130">
        <w:rPr>
          <w:rFonts w:ascii="Times New Roman" w:hAnsi="Times New Roman" w:cs="Times New Roman"/>
          <w:color w:val="auto"/>
          <w:sz w:val="20"/>
          <w:szCs w:val="20"/>
          <w:lang w:val="en-US" w:eastAsia="en-US"/>
        </w:rPr>
        <w:t>weakness</w:t>
      </w:r>
      <w:r w:rsidR="009302A0" w:rsidRPr="00A84130">
        <w:rPr>
          <w:rFonts w:ascii="Times New Roman" w:hAnsi="Times New Roman" w:cs="Times New Roman"/>
          <w:color w:val="auto"/>
          <w:sz w:val="20"/>
          <w:szCs w:val="20"/>
          <w:lang w:val="en-US" w:eastAsia="en-US"/>
        </w:rPr>
        <w:t>es</w:t>
      </w:r>
      <w:r w:rsidR="008F53B1" w:rsidRPr="00A84130">
        <w:rPr>
          <w:rFonts w:ascii="Times New Roman" w:hAnsi="Times New Roman" w:cs="Times New Roman"/>
          <w:color w:val="auto"/>
          <w:sz w:val="20"/>
          <w:szCs w:val="20"/>
          <w:lang w:val="en-US" w:eastAsia="en-US"/>
        </w:rPr>
        <w:t xml:space="preserve"> addressed </w:t>
      </w:r>
      <w:r w:rsidR="003A39D9" w:rsidRPr="00A84130">
        <w:rPr>
          <w:rFonts w:ascii="Times New Roman" w:hAnsi="Times New Roman" w:cs="Times New Roman"/>
          <w:color w:val="auto"/>
          <w:sz w:val="20"/>
          <w:szCs w:val="20"/>
          <w:lang w:val="en-US" w:eastAsia="en-US"/>
        </w:rPr>
        <w:t xml:space="preserve">through </w:t>
      </w:r>
      <w:r w:rsidR="008F53B1" w:rsidRPr="00A84130">
        <w:rPr>
          <w:rFonts w:ascii="Times New Roman" w:hAnsi="Times New Roman" w:cs="Times New Roman"/>
          <w:color w:val="auto"/>
          <w:sz w:val="20"/>
          <w:szCs w:val="20"/>
          <w:lang w:val="en-US" w:eastAsia="en-US"/>
        </w:rPr>
        <w:t>focused scale up</w:t>
      </w:r>
      <w:r w:rsidR="00D221E8">
        <w:rPr>
          <w:rFonts w:ascii="Times New Roman" w:hAnsi="Times New Roman" w:cs="Times New Roman"/>
          <w:color w:val="auto"/>
          <w:sz w:val="20"/>
          <w:szCs w:val="20"/>
          <w:lang w:val="en-US" w:eastAsia="en-US"/>
        </w:rPr>
        <w:t xml:space="preserve"> and</w:t>
      </w:r>
      <w:r w:rsidR="009302A0" w:rsidRPr="00A84130">
        <w:rPr>
          <w:rFonts w:ascii="Times New Roman" w:hAnsi="Times New Roman" w:cs="Times New Roman"/>
          <w:color w:val="auto"/>
          <w:sz w:val="20"/>
          <w:szCs w:val="20"/>
          <w:lang w:val="en-US" w:eastAsia="en-US"/>
        </w:rPr>
        <w:t xml:space="preserve"> strengt</w:t>
      </w:r>
      <w:r w:rsidR="003A39D9" w:rsidRPr="00A84130">
        <w:rPr>
          <w:rFonts w:ascii="Times New Roman" w:hAnsi="Times New Roman" w:cs="Times New Roman"/>
          <w:color w:val="auto"/>
          <w:sz w:val="20"/>
          <w:szCs w:val="20"/>
          <w:lang w:val="en-US" w:eastAsia="en-US"/>
        </w:rPr>
        <w:t>hened</w:t>
      </w:r>
      <w:r w:rsidR="009302A0" w:rsidRPr="00A84130">
        <w:rPr>
          <w:rFonts w:ascii="Times New Roman" w:hAnsi="Times New Roman" w:cs="Times New Roman"/>
          <w:color w:val="auto"/>
          <w:sz w:val="20"/>
          <w:szCs w:val="20"/>
          <w:lang w:val="en-US" w:eastAsia="en-US"/>
        </w:rPr>
        <w:t xml:space="preserve"> partnership</w:t>
      </w:r>
      <w:r w:rsidR="003A39D9" w:rsidRPr="00A84130">
        <w:rPr>
          <w:rFonts w:ascii="Times New Roman" w:hAnsi="Times New Roman" w:cs="Times New Roman"/>
          <w:color w:val="auto"/>
          <w:sz w:val="20"/>
          <w:szCs w:val="20"/>
          <w:lang w:val="en-US" w:eastAsia="en-US"/>
        </w:rPr>
        <w:t>s</w:t>
      </w:r>
      <w:r w:rsidR="009302A0" w:rsidRPr="00A84130">
        <w:rPr>
          <w:rFonts w:ascii="Times New Roman" w:hAnsi="Times New Roman" w:cs="Times New Roman"/>
          <w:color w:val="auto"/>
          <w:sz w:val="20"/>
          <w:szCs w:val="20"/>
          <w:lang w:val="en-US" w:eastAsia="en-US"/>
        </w:rPr>
        <w:t xml:space="preserve"> </w:t>
      </w:r>
      <w:r w:rsidR="003A39D9" w:rsidRPr="00A84130">
        <w:rPr>
          <w:rFonts w:ascii="Times New Roman" w:hAnsi="Times New Roman" w:cs="Times New Roman"/>
          <w:color w:val="auto"/>
          <w:sz w:val="20"/>
          <w:szCs w:val="20"/>
          <w:lang w:val="en-US" w:eastAsia="en-US"/>
        </w:rPr>
        <w:t xml:space="preserve">Leading </w:t>
      </w:r>
      <w:r w:rsidR="00D820FA" w:rsidRPr="00A84130">
        <w:rPr>
          <w:rFonts w:ascii="Times New Roman" w:hAnsi="Times New Roman" w:cs="Times New Roman"/>
          <w:color w:val="auto"/>
          <w:sz w:val="20"/>
          <w:szCs w:val="20"/>
          <w:lang w:val="en-US" w:eastAsia="en-US"/>
        </w:rPr>
        <w:t>partners are the World Bank</w:t>
      </w:r>
      <w:r w:rsidR="00C244A8" w:rsidRPr="00A84130">
        <w:rPr>
          <w:rFonts w:ascii="Times New Roman" w:hAnsi="Times New Roman" w:cs="Times New Roman"/>
          <w:color w:val="auto"/>
          <w:sz w:val="20"/>
          <w:szCs w:val="20"/>
          <w:lang w:val="en-US" w:eastAsia="en-US"/>
        </w:rPr>
        <w:t xml:space="preserve"> (WB)</w:t>
      </w:r>
      <w:r w:rsidR="00D820FA" w:rsidRPr="00A84130">
        <w:rPr>
          <w:rFonts w:ascii="Times New Roman" w:hAnsi="Times New Roman" w:cs="Times New Roman"/>
          <w:color w:val="auto"/>
          <w:sz w:val="20"/>
          <w:szCs w:val="20"/>
          <w:lang w:val="en-US" w:eastAsia="en-US"/>
        </w:rPr>
        <w:t>, European Union</w:t>
      </w:r>
      <w:r w:rsidR="00C244A8" w:rsidRPr="00A84130">
        <w:rPr>
          <w:rFonts w:ascii="Times New Roman" w:hAnsi="Times New Roman" w:cs="Times New Roman"/>
          <w:color w:val="auto"/>
          <w:sz w:val="20"/>
          <w:szCs w:val="20"/>
          <w:lang w:val="en-US" w:eastAsia="en-US"/>
        </w:rPr>
        <w:t xml:space="preserve"> (EU)</w:t>
      </w:r>
      <w:r w:rsidR="00D820FA" w:rsidRPr="00A84130">
        <w:rPr>
          <w:rFonts w:ascii="Times New Roman" w:hAnsi="Times New Roman" w:cs="Times New Roman"/>
          <w:color w:val="auto"/>
          <w:sz w:val="20"/>
          <w:szCs w:val="20"/>
          <w:lang w:val="en-US" w:eastAsia="en-US"/>
        </w:rPr>
        <w:t>, Islamic Development Bank</w:t>
      </w:r>
      <w:r w:rsidR="00C244A8" w:rsidRPr="00A84130">
        <w:rPr>
          <w:rFonts w:ascii="Times New Roman" w:hAnsi="Times New Roman" w:cs="Times New Roman"/>
          <w:color w:val="auto"/>
          <w:sz w:val="20"/>
          <w:szCs w:val="20"/>
          <w:lang w:val="en-US" w:eastAsia="en-US"/>
        </w:rPr>
        <w:t xml:space="preserve"> (I</w:t>
      </w:r>
      <w:r w:rsidR="003A39D9" w:rsidRPr="00A84130">
        <w:rPr>
          <w:rFonts w:ascii="Times New Roman" w:hAnsi="Times New Roman" w:cs="Times New Roman"/>
          <w:color w:val="auto"/>
          <w:sz w:val="20"/>
          <w:szCs w:val="20"/>
          <w:lang w:val="en-US" w:eastAsia="en-US"/>
        </w:rPr>
        <w:t>S</w:t>
      </w:r>
      <w:r w:rsidR="00C244A8" w:rsidRPr="00A84130">
        <w:rPr>
          <w:rFonts w:ascii="Times New Roman" w:hAnsi="Times New Roman" w:cs="Times New Roman"/>
          <w:color w:val="auto"/>
          <w:sz w:val="20"/>
          <w:szCs w:val="20"/>
          <w:lang w:val="en-US" w:eastAsia="en-US"/>
        </w:rPr>
        <w:t>DB)</w:t>
      </w:r>
      <w:r w:rsidR="00D820FA" w:rsidRPr="00A84130">
        <w:rPr>
          <w:rFonts w:ascii="Times New Roman" w:hAnsi="Times New Roman" w:cs="Times New Roman"/>
          <w:color w:val="auto"/>
          <w:sz w:val="20"/>
          <w:szCs w:val="20"/>
          <w:lang w:val="en-US" w:eastAsia="en-US"/>
        </w:rPr>
        <w:t xml:space="preserve">, French Agency for Cooperation (AFD), </w:t>
      </w:r>
      <w:r w:rsidR="003A39D9" w:rsidRPr="00A84130">
        <w:rPr>
          <w:rFonts w:ascii="Times New Roman" w:hAnsi="Times New Roman" w:cs="Times New Roman"/>
          <w:color w:val="auto"/>
          <w:sz w:val="20"/>
          <w:szCs w:val="20"/>
          <w:lang w:val="en-US" w:eastAsia="en-US"/>
        </w:rPr>
        <w:t xml:space="preserve">the Government of the People’s Republic of </w:t>
      </w:r>
      <w:r w:rsidR="00D820FA" w:rsidRPr="00A84130">
        <w:rPr>
          <w:rFonts w:ascii="Times New Roman" w:hAnsi="Times New Roman" w:cs="Times New Roman"/>
          <w:color w:val="auto"/>
          <w:sz w:val="20"/>
          <w:szCs w:val="20"/>
          <w:lang w:val="en-US" w:eastAsia="en-US"/>
        </w:rPr>
        <w:t>China</w:t>
      </w:r>
      <w:r w:rsidR="0074048B" w:rsidRPr="00A84130">
        <w:rPr>
          <w:rFonts w:ascii="Times New Roman" w:hAnsi="Times New Roman" w:cs="Times New Roman"/>
          <w:color w:val="auto"/>
          <w:sz w:val="20"/>
          <w:szCs w:val="20"/>
          <w:lang w:val="en-US" w:eastAsia="en-US"/>
        </w:rPr>
        <w:t>,</w:t>
      </w:r>
      <w:r w:rsidR="00D820FA" w:rsidRPr="00A84130">
        <w:rPr>
          <w:rFonts w:ascii="Times New Roman" w:hAnsi="Times New Roman" w:cs="Times New Roman"/>
          <w:color w:val="auto"/>
          <w:sz w:val="20"/>
          <w:szCs w:val="20"/>
          <w:lang w:val="en-US" w:eastAsia="en-US"/>
        </w:rPr>
        <w:t xml:space="preserve"> United States</w:t>
      </w:r>
      <w:r w:rsidR="00F1321C" w:rsidRPr="00A84130">
        <w:rPr>
          <w:rFonts w:ascii="Times New Roman" w:hAnsi="Times New Roman" w:cs="Times New Roman"/>
          <w:color w:val="auto"/>
          <w:sz w:val="20"/>
          <w:szCs w:val="20"/>
          <w:lang w:val="en-US" w:eastAsia="en-US"/>
        </w:rPr>
        <w:t xml:space="preserve"> Agency for International Development (USAID),</w:t>
      </w:r>
      <w:r w:rsidR="00C11467" w:rsidRPr="00A84130">
        <w:rPr>
          <w:rFonts w:ascii="Times New Roman" w:hAnsi="Times New Roman" w:cs="Times New Roman"/>
          <w:color w:val="auto"/>
          <w:sz w:val="20"/>
          <w:szCs w:val="20"/>
          <w:lang w:val="en-US" w:eastAsia="en-US"/>
        </w:rPr>
        <w:t xml:space="preserve"> and </w:t>
      </w:r>
      <w:r w:rsidR="003A39D9" w:rsidRPr="00A84130">
        <w:rPr>
          <w:rFonts w:ascii="Times New Roman" w:hAnsi="Times New Roman" w:cs="Times New Roman"/>
          <w:color w:val="auto"/>
          <w:sz w:val="20"/>
          <w:szCs w:val="20"/>
          <w:lang w:val="en-US" w:eastAsia="en-US"/>
        </w:rPr>
        <w:t>various non-governmental organizations (</w:t>
      </w:r>
      <w:r w:rsidR="00C11467" w:rsidRPr="00A84130">
        <w:rPr>
          <w:rFonts w:ascii="Times New Roman" w:hAnsi="Times New Roman" w:cs="Times New Roman"/>
          <w:color w:val="auto"/>
          <w:sz w:val="20"/>
          <w:szCs w:val="20"/>
          <w:lang w:val="en-US" w:eastAsia="en-US"/>
        </w:rPr>
        <w:t>NGOs</w:t>
      </w:r>
      <w:r w:rsidR="003A39D9" w:rsidRPr="00A84130">
        <w:rPr>
          <w:rFonts w:ascii="Times New Roman" w:hAnsi="Times New Roman" w:cs="Times New Roman"/>
          <w:color w:val="auto"/>
          <w:sz w:val="20"/>
          <w:szCs w:val="20"/>
          <w:lang w:val="en-US" w:eastAsia="en-US"/>
        </w:rPr>
        <w:t>)</w:t>
      </w:r>
      <w:r w:rsidR="00D820FA" w:rsidRPr="00A84130">
        <w:rPr>
          <w:rFonts w:ascii="Times New Roman" w:hAnsi="Times New Roman" w:cs="Times New Roman"/>
          <w:color w:val="auto"/>
          <w:sz w:val="20"/>
          <w:szCs w:val="20"/>
          <w:lang w:val="en-US" w:eastAsia="en-US"/>
        </w:rPr>
        <w:t xml:space="preserve">. Priority areas selected by multilateral partners and </w:t>
      </w:r>
      <w:r w:rsidR="00F1321C" w:rsidRPr="00A84130">
        <w:rPr>
          <w:rFonts w:ascii="Times New Roman" w:hAnsi="Times New Roman" w:cs="Times New Roman"/>
          <w:color w:val="auto"/>
          <w:sz w:val="20"/>
          <w:szCs w:val="20"/>
          <w:lang w:val="en-US" w:eastAsia="en-US"/>
        </w:rPr>
        <w:t xml:space="preserve">the Government of </w:t>
      </w:r>
      <w:r w:rsidR="00D820FA" w:rsidRPr="00A84130">
        <w:rPr>
          <w:rFonts w:ascii="Times New Roman" w:hAnsi="Times New Roman" w:cs="Times New Roman"/>
          <w:color w:val="auto"/>
          <w:sz w:val="20"/>
          <w:szCs w:val="20"/>
          <w:lang w:val="en-US" w:eastAsia="en-US"/>
        </w:rPr>
        <w:t xml:space="preserve">China include infrastructure, governance and capacity building in public administration. </w:t>
      </w:r>
      <w:r w:rsidR="00B61DA7" w:rsidRPr="00A84130">
        <w:rPr>
          <w:rFonts w:ascii="Times New Roman" w:hAnsi="Times New Roman" w:cs="Times New Roman"/>
          <w:color w:val="auto"/>
          <w:sz w:val="20"/>
          <w:szCs w:val="20"/>
          <w:lang w:val="en-US" w:eastAsia="en-US"/>
        </w:rPr>
        <w:t xml:space="preserve">The main </w:t>
      </w:r>
      <w:r w:rsidR="00D820FA" w:rsidRPr="00A84130">
        <w:rPr>
          <w:rFonts w:ascii="Times New Roman" w:hAnsi="Times New Roman" w:cs="Times New Roman"/>
          <w:color w:val="auto"/>
          <w:sz w:val="20"/>
          <w:szCs w:val="20"/>
          <w:lang w:val="en-US" w:eastAsia="en-US"/>
        </w:rPr>
        <w:t xml:space="preserve">bilateral </w:t>
      </w:r>
      <w:r w:rsidR="00B61DA7" w:rsidRPr="00A84130">
        <w:rPr>
          <w:rFonts w:ascii="Times New Roman" w:hAnsi="Times New Roman" w:cs="Times New Roman"/>
          <w:color w:val="auto"/>
          <w:sz w:val="20"/>
          <w:szCs w:val="20"/>
          <w:lang w:val="en-US" w:eastAsia="en-US"/>
        </w:rPr>
        <w:t xml:space="preserve">contributors (USAID </w:t>
      </w:r>
      <w:r w:rsidR="00F1321C" w:rsidRPr="00A84130">
        <w:rPr>
          <w:rFonts w:ascii="Times New Roman" w:hAnsi="Times New Roman" w:cs="Times New Roman"/>
          <w:color w:val="auto"/>
          <w:sz w:val="20"/>
          <w:szCs w:val="20"/>
          <w:lang w:val="en-US" w:eastAsia="en-US"/>
        </w:rPr>
        <w:t xml:space="preserve">and </w:t>
      </w:r>
      <w:r w:rsidR="000B329C">
        <w:rPr>
          <w:rFonts w:ascii="Times New Roman" w:hAnsi="Times New Roman" w:cs="Times New Roman"/>
          <w:color w:val="auto"/>
          <w:sz w:val="20"/>
          <w:szCs w:val="20"/>
          <w:lang w:val="en-US" w:eastAsia="en-US"/>
        </w:rPr>
        <w:t xml:space="preserve">French </w:t>
      </w:r>
      <w:r w:rsidR="00CA7CA9">
        <w:rPr>
          <w:rFonts w:ascii="Times New Roman" w:hAnsi="Times New Roman" w:cs="Times New Roman"/>
          <w:color w:val="auto"/>
          <w:sz w:val="20"/>
          <w:szCs w:val="20"/>
          <w:lang w:val="en-US" w:eastAsia="en-US"/>
        </w:rPr>
        <w:t>g</w:t>
      </w:r>
      <w:r w:rsidR="000B329C" w:rsidRPr="00A84130">
        <w:rPr>
          <w:rFonts w:ascii="Times New Roman" w:hAnsi="Times New Roman" w:cs="Times New Roman"/>
          <w:color w:val="auto"/>
          <w:sz w:val="20"/>
          <w:szCs w:val="20"/>
          <w:lang w:val="en-US" w:eastAsia="en-US"/>
        </w:rPr>
        <w:t>overnment)</w:t>
      </w:r>
      <w:r w:rsidR="00D820FA" w:rsidRPr="00A84130">
        <w:rPr>
          <w:rFonts w:ascii="Times New Roman" w:hAnsi="Times New Roman" w:cs="Times New Roman"/>
          <w:color w:val="auto"/>
          <w:sz w:val="20"/>
          <w:szCs w:val="20"/>
          <w:lang w:val="en-US" w:eastAsia="en-US"/>
        </w:rPr>
        <w:t xml:space="preserve"> are focused on governance and the social sector (</w:t>
      </w:r>
      <w:r w:rsidR="00F1321C" w:rsidRPr="00A84130">
        <w:rPr>
          <w:rFonts w:ascii="Times New Roman" w:hAnsi="Times New Roman" w:cs="Times New Roman"/>
          <w:color w:val="auto"/>
          <w:sz w:val="20"/>
          <w:szCs w:val="20"/>
          <w:lang w:val="en-US" w:eastAsia="en-US"/>
        </w:rPr>
        <w:t xml:space="preserve">e.g. </w:t>
      </w:r>
      <w:r w:rsidR="00D820FA" w:rsidRPr="00A84130">
        <w:rPr>
          <w:rFonts w:ascii="Times New Roman" w:hAnsi="Times New Roman" w:cs="Times New Roman"/>
          <w:color w:val="auto"/>
          <w:sz w:val="20"/>
          <w:szCs w:val="20"/>
          <w:lang w:val="en-US" w:eastAsia="en-US"/>
        </w:rPr>
        <w:t xml:space="preserve">water, health and education). </w:t>
      </w:r>
      <w:r w:rsidR="00774F76">
        <w:rPr>
          <w:rFonts w:ascii="Times New Roman" w:hAnsi="Times New Roman" w:cs="Times New Roman"/>
          <w:color w:val="auto"/>
          <w:sz w:val="20"/>
          <w:szCs w:val="20"/>
          <w:lang w:val="en-US" w:eastAsia="en-US"/>
        </w:rPr>
        <w:t xml:space="preserve">UNDP </w:t>
      </w:r>
      <w:r w:rsidR="00774F76" w:rsidRPr="00A84130">
        <w:rPr>
          <w:rFonts w:ascii="Times New Roman" w:hAnsi="Times New Roman" w:cs="Times New Roman"/>
          <w:color w:val="auto"/>
          <w:sz w:val="20"/>
          <w:szCs w:val="20"/>
          <w:lang w:val="en-US" w:eastAsia="en-US"/>
        </w:rPr>
        <w:t xml:space="preserve">will </w:t>
      </w:r>
      <w:r w:rsidR="00774F76">
        <w:rPr>
          <w:rFonts w:ascii="Times New Roman" w:hAnsi="Times New Roman" w:cs="Times New Roman"/>
          <w:color w:val="auto"/>
          <w:sz w:val="20"/>
          <w:szCs w:val="20"/>
          <w:lang w:val="en-US" w:eastAsia="en-US"/>
        </w:rPr>
        <w:t xml:space="preserve">rely on its comparative advantage and the lessons learned to </w:t>
      </w:r>
      <w:r w:rsidR="00774F76" w:rsidRPr="00A84130">
        <w:rPr>
          <w:rFonts w:ascii="Times New Roman" w:hAnsi="Times New Roman" w:cs="Times New Roman"/>
          <w:color w:val="auto"/>
          <w:sz w:val="20"/>
          <w:szCs w:val="20"/>
          <w:lang w:val="en-US" w:eastAsia="en-US"/>
        </w:rPr>
        <w:t xml:space="preserve">consolidate support </w:t>
      </w:r>
      <w:r w:rsidR="00774F76">
        <w:rPr>
          <w:rFonts w:ascii="Times New Roman" w:hAnsi="Times New Roman" w:cs="Times New Roman"/>
          <w:color w:val="auto"/>
          <w:sz w:val="20"/>
          <w:szCs w:val="20"/>
          <w:lang w:val="en-US" w:eastAsia="en-US"/>
        </w:rPr>
        <w:t>and</w:t>
      </w:r>
      <w:r w:rsidR="00774F76" w:rsidRPr="00A84130">
        <w:rPr>
          <w:rFonts w:ascii="Times New Roman" w:hAnsi="Times New Roman" w:cs="Times New Roman"/>
          <w:color w:val="auto"/>
          <w:sz w:val="20"/>
          <w:szCs w:val="20"/>
          <w:lang w:val="en-US" w:eastAsia="en-US"/>
        </w:rPr>
        <w:t xml:space="preserve"> build accountable national institutions, promote job creation for vulnerable groups (particularly youth, women and people with disabilities), and reinforce local communities’ resilience to shocks. </w:t>
      </w:r>
      <w:r w:rsidR="00CA7CA9">
        <w:rPr>
          <w:rFonts w:ascii="Times New Roman" w:hAnsi="Times New Roman" w:cs="Times New Roman"/>
          <w:color w:val="auto"/>
          <w:sz w:val="20"/>
          <w:szCs w:val="20"/>
          <w:lang w:val="en-US" w:eastAsia="en-US"/>
        </w:rPr>
        <w:t>E</w:t>
      </w:r>
      <w:r w:rsidR="008854ED" w:rsidRPr="00A84130">
        <w:rPr>
          <w:rFonts w:ascii="Times New Roman" w:hAnsi="Times New Roman" w:cs="Times New Roman"/>
          <w:color w:val="auto"/>
          <w:sz w:val="20"/>
          <w:szCs w:val="20"/>
          <w:lang w:val="en-US" w:eastAsia="en-US"/>
        </w:rPr>
        <w:t xml:space="preserve">fforts </w:t>
      </w:r>
      <w:r w:rsidR="00CA7CA9">
        <w:rPr>
          <w:rFonts w:ascii="Times New Roman" w:hAnsi="Times New Roman" w:cs="Times New Roman"/>
          <w:color w:val="auto"/>
          <w:sz w:val="20"/>
          <w:szCs w:val="20"/>
          <w:lang w:val="en-US" w:eastAsia="en-US"/>
        </w:rPr>
        <w:t>are</w:t>
      </w:r>
      <w:r w:rsidR="00CA7CA9" w:rsidRPr="00A84130">
        <w:rPr>
          <w:rFonts w:ascii="Times New Roman" w:hAnsi="Times New Roman" w:cs="Times New Roman"/>
          <w:color w:val="auto"/>
          <w:sz w:val="20"/>
          <w:szCs w:val="20"/>
          <w:lang w:val="en-US" w:eastAsia="en-US"/>
        </w:rPr>
        <w:t xml:space="preserve"> </w:t>
      </w:r>
      <w:r w:rsidR="008854ED" w:rsidRPr="00A84130">
        <w:rPr>
          <w:rFonts w:ascii="Times New Roman" w:hAnsi="Times New Roman" w:cs="Times New Roman"/>
          <w:color w:val="auto"/>
          <w:sz w:val="20"/>
          <w:szCs w:val="20"/>
          <w:lang w:val="en-US" w:eastAsia="en-US"/>
        </w:rPr>
        <w:t>inspired by an approach focused on inclusive participation, gender empowerment, local skills and knowledge</w:t>
      </w:r>
      <w:r w:rsidR="00F1321C" w:rsidRPr="00A84130">
        <w:rPr>
          <w:rFonts w:ascii="Times New Roman" w:hAnsi="Times New Roman" w:cs="Times New Roman"/>
          <w:color w:val="auto"/>
          <w:sz w:val="20"/>
          <w:szCs w:val="20"/>
          <w:lang w:val="en-US" w:eastAsia="en-US"/>
        </w:rPr>
        <w:t>,</w:t>
      </w:r>
      <w:r w:rsidR="008854ED" w:rsidRPr="00A84130">
        <w:rPr>
          <w:rFonts w:ascii="Times New Roman" w:hAnsi="Times New Roman" w:cs="Times New Roman"/>
          <w:color w:val="auto"/>
          <w:sz w:val="20"/>
          <w:szCs w:val="20"/>
          <w:lang w:val="en-US" w:eastAsia="en-US"/>
        </w:rPr>
        <w:t xml:space="preserve"> and </w:t>
      </w:r>
      <w:r w:rsidR="0074048B" w:rsidRPr="00A84130">
        <w:rPr>
          <w:rFonts w:ascii="Times New Roman" w:hAnsi="Times New Roman" w:cs="Times New Roman"/>
          <w:color w:val="auto"/>
          <w:sz w:val="20"/>
          <w:szCs w:val="20"/>
          <w:lang w:val="en-US" w:eastAsia="en-US"/>
        </w:rPr>
        <w:t>S</w:t>
      </w:r>
      <w:r w:rsidR="008854ED" w:rsidRPr="00A84130">
        <w:rPr>
          <w:rFonts w:ascii="Times New Roman" w:hAnsi="Times New Roman" w:cs="Times New Roman"/>
          <w:color w:val="auto"/>
          <w:sz w:val="20"/>
          <w:szCs w:val="20"/>
          <w:lang w:val="en-US" w:eastAsia="en-US"/>
        </w:rPr>
        <w:t>outh</w:t>
      </w:r>
      <w:r w:rsidR="0074048B" w:rsidRPr="00A84130">
        <w:rPr>
          <w:rFonts w:ascii="Times New Roman" w:hAnsi="Times New Roman" w:cs="Times New Roman"/>
          <w:color w:val="auto"/>
          <w:sz w:val="20"/>
          <w:szCs w:val="20"/>
          <w:lang w:val="en-US" w:eastAsia="en-US"/>
        </w:rPr>
        <w:t>-S</w:t>
      </w:r>
      <w:r w:rsidR="008854ED" w:rsidRPr="00A84130">
        <w:rPr>
          <w:rFonts w:ascii="Times New Roman" w:hAnsi="Times New Roman" w:cs="Times New Roman"/>
          <w:color w:val="auto"/>
          <w:sz w:val="20"/>
          <w:szCs w:val="20"/>
          <w:lang w:val="en-US" w:eastAsia="en-US"/>
        </w:rPr>
        <w:t xml:space="preserve">outh cooperation. </w:t>
      </w:r>
      <w:r w:rsidR="00105CC3" w:rsidRPr="00A84130">
        <w:rPr>
          <w:rFonts w:ascii="Times New Roman" w:hAnsi="Times New Roman" w:cs="Times New Roman"/>
          <w:color w:val="auto"/>
          <w:sz w:val="20"/>
          <w:szCs w:val="20"/>
          <w:lang w:val="en-US" w:eastAsia="en-US"/>
        </w:rPr>
        <w:t>Inter-</w:t>
      </w:r>
      <w:r w:rsidR="002902A5">
        <w:rPr>
          <w:rFonts w:ascii="Times New Roman" w:hAnsi="Times New Roman" w:cs="Times New Roman"/>
          <w:color w:val="auto"/>
          <w:sz w:val="20"/>
          <w:szCs w:val="20"/>
          <w:lang w:val="en-US" w:eastAsia="en-US"/>
        </w:rPr>
        <w:t>organizational</w:t>
      </w:r>
      <w:r w:rsidR="00105CC3" w:rsidRPr="00A84130">
        <w:rPr>
          <w:rFonts w:ascii="Times New Roman" w:hAnsi="Times New Roman" w:cs="Times New Roman"/>
          <w:color w:val="auto"/>
          <w:sz w:val="20"/>
          <w:szCs w:val="20"/>
          <w:lang w:val="en-US" w:eastAsia="en-US"/>
        </w:rPr>
        <w:t xml:space="preserve"> coordination will be </w:t>
      </w:r>
      <w:r w:rsidR="00202EBB">
        <w:rPr>
          <w:rFonts w:ascii="Times New Roman" w:hAnsi="Times New Roman" w:cs="Times New Roman"/>
          <w:color w:val="auto"/>
          <w:sz w:val="20"/>
          <w:szCs w:val="20"/>
          <w:lang w:val="en-US" w:eastAsia="en-US"/>
        </w:rPr>
        <w:t>consolidated</w:t>
      </w:r>
      <w:r w:rsidR="00F1321C" w:rsidRPr="00A84130">
        <w:rPr>
          <w:rFonts w:ascii="Times New Roman" w:hAnsi="Times New Roman" w:cs="Times New Roman"/>
          <w:color w:val="auto"/>
          <w:sz w:val="20"/>
          <w:szCs w:val="20"/>
          <w:lang w:val="en-US" w:eastAsia="en-US"/>
        </w:rPr>
        <w:t xml:space="preserve"> </w:t>
      </w:r>
      <w:r w:rsidR="00105CC3" w:rsidRPr="00A84130">
        <w:rPr>
          <w:rFonts w:ascii="Times New Roman" w:hAnsi="Times New Roman" w:cs="Times New Roman"/>
          <w:color w:val="auto"/>
          <w:sz w:val="20"/>
          <w:szCs w:val="20"/>
          <w:lang w:val="en-US" w:eastAsia="en-US"/>
        </w:rPr>
        <w:t xml:space="preserve">through </w:t>
      </w:r>
      <w:r w:rsidR="00F1321C" w:rsidRPr="00A84130">
        <w:rPr>
          <w:rFonts w:ascii="Times New Roman" w:hAnsi="Times New Roman" w:cs="Times New Roman"/>
          <w:color w:val="auto"/>
          <w:sz w:val="20"/>
          <w:szCs w:val="20"/>
          <w:lang w:val="en-US" w:eastAsia="en-US"/>
        </w:rPr>
        <w:t>Delivering as One (</w:t>
      </w:r>
      <w:r w:rsidR="00105CC3" w:rsidRPr="00A84130">
        <w:rPr>
          <w:rFonts w:ascii="Times New Roman" w:hAnsi="Times New Roman" w:cs="Times New Roman"/>
          <w:color w:val="auto"/>
          <w:sz w:val="20"/>
          <w:szCs w:val="20"/>
          <w:lang w:val="en-US" w:eastAsia="en-US"/>
        </w:rPr>
        <w:t>DaO</w:t>
      </w:r>
      <w:r w:rsidR="00F1321C" w:rsidRPr="00A84130">
        <w:rPr>
          <w:rFonts w:ascii="Times New Roman" w:hAnsi="Times New Roman" w:cs="Times New Roman"/>
          <w:color w:val="auto"/>
          <w:sz w:val="20"/>
          <w:szCs w:val="20"/>
          <w:lang w:val="en-US" w:eastAsia="en-US"/>
        </w:rPr>
        <w:t>)</w:t>
      </w:r>
      <w:r w:rsidR="00105CC3" w:rsidRPr="00A84130">
        <w:rPr>
          <w:rFonts w:ascii="Times New Roman" w:hAnsi="Times New Roman" w:cs="Times New Roman"/>
          <w:color w:val="auto"/>
          <w:sz w:val="20"/>
          <w:szCs w:val="20"/>
          <w:lang w:val="en-US" w:eastAsia="en-US"/>
        </w:rPr>
        <w:t xml:space="preserve"> initiatives </w:t>
      </w:r>
      <w:r w:rsidR="0074048B" w:rsidRPr="00A84130">
        <w:rPr>
          <w:rFonts w:ascii="Times New Roman" w:hAnsi="Times New Roman" w:cs="Times New Roman"/>
          <w:color w:val="auto"/>
          <w:sz w:val="20"/>
          <w:szCs w:val="20"/>
          <w:lang w:val="en-US" w:eastAsia="en-US"/>
        </w:rPr>
        <w:t xml:space="preserve">and </w:t>
      </w:r>
      <w:r w:rsidR="00105CC3" w:rsidRPr="00A84130">
        <w:rPr>
          <w:rFonts w:ascii="Times New Roman" w:hAnsi="Times New Roman" w:cs="Times New Roman"/>
          <w:color w:val="auto"/>
          <w:sz w:val="20"/>
          <w:szCs w:val="20"/>
          <w:lang w:val="en-US" w:eastAsia="en-US"/>
        </w:rPr>
        <w:t xml:space="preserve">implementation of </w:t>
      </w:r>
      <w:r w:rsidR="00F1321C" w:rsidRPr="00A84130">
        <w:rPr>
          <w:rFonts w:ascii="Times New Roman" w:hAnsi="Times New Roman" w:cs="Times New Roman"/>
          <w:color w:val="auto"/>
          <w:sz w:val="20"/>
          <w:szCs w:val="20"/>
          <w:lang w:val="en-US" w:eastAsia="en-US"/>
        </w:rPr>
        <w:t xml:space="preserve">the </w:t>
      </w:r>
      <w:r w:rsidR="00105CC3" w:rsidRPr="00A84130">
        <w:rPr>
          <w:rFonts w:ascii="Times New Roman" w:hAnsi="Times New Roman" w:cs="Times New Roman"/>
          <w:color w:val="auto"/>
          <w:sz w:val="20"/>
          <w:szCs w:val="20"/>
          <w:lang w:val="en-US" w:eastAsia="en-US"/>
        </w:rPr>
        <w:t xml:space="preserve">2018-2022 </w:t>
      </w:r>
      <w:r w:rsidR="00F1321C" w:rsidRPr="00A84130">
        <w:rPr>
          <w:rFonts w:ascii="Times New Roman" w:hAnsi="Times New Roman" w:cs="Times New Roman"/>
          <w:color w:val="auto"/>
          <w:sz w:val="20"/>
          <w:szCs w:val="20"/>
          <w:lang w:val="en-US" w:eastAsia="en-US"/>
        </w:rPr>
        <w:t>United Nations Development Assistance Framework (</w:t>
      </w:r>
      <w:r w:rsidR="00105CC3" w:rsidRPr="00A84130">
        <w:rPr>
          <w:rFonts w:ascii="Times New Roman" w:hAnsi="Times New Roman" w:cs="Times New Roman"/>
          <w:color w:val="auto"/>
          <w:sz w:val="20"/>
          <w:szCs w:val="20"/>
          <w:lang w:val="en-US" w:eastAsia="en-US"/>
        </w:rPr>
        <w:t>UNDAF</w:t>
      </w:r>
      <w:r w:rsidR="00F1321C" w:rsidRPr="00A84130">
        <w:rPr>
          <w:rFonts w:ascii="Times New Roman" w:hAnsi="Times New Roman" w:cs="Times New Roman"/>
          <w:color w:val="auto"/>
          <w:sz w:val="20"/>
          <w:szCs w:val="20"/>
          <w:lang w:val="en-US" w:eastAsia="en-US"/>
        </w:rPr>
        <w:t>)</w:t>
      </w:r>
      <w:r w:rsidR="00105CC3" w:rsidRPr="00A84130">
        <w:rPr>
          <w:rFonts w:ascii="Times New Roman" w:hAnsi="Times New Roman" w:cs="Times New Roman"/>
          <w:color w:val="auto"/>
          <w:sz w:val="20"/>
          <w:szCs w:val="20"/>
          <w:lang w:val="en-US" w:eastAsia="en-US"/>
        </w:rPr>
        <w:t>.</w:t>
      </w:r>
    </w:p>
    <w:p w14:paraId="19272371" w14:textId="23978D0F" w:rsidR="00B53220" w:rsidRPr="00C9769D" w:rsidRDefault="00DB4DD4" w:rsidP="00047245">
      <w:pPr>
        <w:pStyle w:val="Heading2"/>
        <w:numPr>
          <w:ilvl w:val="0"/>
          <w:numId w:val="44"/>
        </w:numPr>
        <w:tabs>
          <w:tab w:val="left" w:pos="0"/>
        </w:tabs>
        <w:ind w:left="810" w:right="1208" w:hanging="450"/>
        <w:jc w:val="both"/>
        <w:rPr>
          <w:rFonts w:ascii="Times New Roman" w:hAnsi="Times New Roman"/>
          <w:bCs/>
          <w:color w:val="000000"/>
          <w:sz w:val="24"/>
          <w:szCs w:val="24"/>
        </w:rPr>
      </w:pPr>
      <w:r>
        <w:rPr>
          <w:rFonts w:ascii="Times New Roman" w:hAnsi="Times New Roman"/>
          <w:bCs/>
          <w:color w:val="000000"/>
          <w:sz w:val="24"/>
          <w:szCs w:val="24"/>
        </w:rPr>
        <w:t>Programme p</w:t>
      </w:r>
      <w:r w:rsidR="00B53220" w:rsidRPr="00C9769D">
        <w:rPr>
          <w:rFonts w:ascii="Times New Roman" w:hAnsi="Times New Roman"/>
          <w:bCs/>
          <w:color w:val="000000"/>
          <w:sz w:val="24"/>
          <w:szCs w:val="24"/>
        </w:rPr>
        <w:t xml:space="preserve">riorities and </w:t>
      </w:r>
      <w:r>
        <w:rPr>
          <w:rFonts w:ascii="Times New Roman" w:hAnsi="Times New Roman"/>
          <w:bCs/>
          <w:color w:val="000000"/>
          <w:sz w:val="24"/>
          <w:szCs w:val="24"/>
        </w:rPr>
        <w:t>p</w:t>
      </w:r>
      <w:r w:rsidR="00B53220" w:rsidRPr="00C9769D">
        <w:rPr>
          <w:rFonts w:ascii="Times New Roman" w:hAnsi="Times New Roman"/>
          <w:bCs/>
          <w:color w:val="000000"/>
          <w:sz w:val="24"/>
          <w:szCs w:val="24"/>
        </w:rPr>
        <w:t>artnerships</w:t>
      </w:r>
    </w:p>
    <w:p w14:paraId="0D87660B" w14:textId="77777777" w:rsidR="00B53220" w:rsidRPr="00C9769D" w:rsidRDefault="00B53220" w:rsidP="00A84130">
      <w:pPr>
        <w:pStyle w:val="Default"/>
        <w:tabs>
          <w:tab w:val="left" w:pos="0"/>
        </w:tabs>
        <w:ind w:left="1440" w:right="1208"/>
        <w:jc w:val="both"/>
        <w:rPr>
          <w:rFonts w:ascii="Times New Roman" w:hAnsi="Times New Roman" w:cs="Times New Roman"/>
          <w:sz w:val="20"/>
          <w:lang w:val="en-US"/>
        </w:rPr>
      </w:pPr>
    </w:p>
    <w:p w14:paraId="5E9E4447" w14:textId="6ECFD44F" w:rsidR="00A84130" w:rsidRPr="00A84130" w:rsidRDefault="00673B1F" w:rsidP="00047245">
      <w:pPr>
        <w:pStyle w:val="Default"/>
        <w:numPr>
          <w:ilvl w:val="0"/>
          <w:numId w:val="4"/>
        </w:numPr>
        <w:tabs>
          <w:tab w:val="left" w:pos="0"/>
          <w:tab w:val="left" w:pos="851"/>
          <w:tab w:val="left" w:pos="1170"/>
        </w:tabs>
        <w:spacing w:after="120"/>
        <w:ind w:left="810" w:right="1208" w:firstLine="0"/>
        <w:jc w:val="both"/>
        <w:rPr>
          <w:rFonts w:ascii="Times New Roman" w:hAnsi="Times New Roman" w:cs="Times New Roman"/>
          <w:sz w:val="20"/>
          <w:lang w:val="en-US"/>
        </w:rPr>
      </w:pPr>
      <w:r w:rsidRPr="00C9769D">
        <w:rPr>
          <w:rFonts w:ascii="Times New Roman" w:hAnsi="Times New Roman" w:cs="Times New Roman"/>
          <w:sz w:val="20"/>
          <w:lang w:val="en-US" w:eastAsia="en-ZA"/>
        </w:rPr>
        <w:t xml:space="preserve"> </w:t>
      </w:r>
      <w:r w:rsidR="00B861FD">
        <w:rPr>
          <w:rFonts w:ascii="Times New Roman" w:hAnsi="Times New Roman" w:cs="Times New Roman"/>
          <w:b/>
          <w:sz w:val="20"/>
          <w:lang w:val="en-US" w:eastAsia="en-ZA"/>
        </w:rPr>
        <w:t>T</w:t>
      </w:r>
      <w:r w:rsidR="00FB52D4" w:rsidRPr="00C9769D">
        <w:rPr>
          <w:rFonts w:ascii="Times New Roman" w:hAnsi="Times New Roman" w:cs="Times New Roman"/>
          <w:b/>
          <w:sz w:val="20"/>
          <w:lang w:val="en-US" w:eastAsia="en-ZA"/>
        </w:rPr>
        <w:t xml:space="preserve">he </w:t>
      </w:r>
      <w:r w:rsidR="00B80FE8" w:rsidRPr="00C9769D">
        <w:rPr>
          <w:rFonts w:ascii="Times New Roman" w:hAnsi="Times New Roman" w:cs="Times New Roman"/>
          <w:b/>
          <w:sz w:val="20"/>
          <w:lang w:val="en-US" w:eastAsia="en-ZA"/>
        </w:rPr>
        <w:t>overarching</w:t>
      </w:r>
      <w:r w:rsidR="00FB52D4" w:rsidRPr="00C9769D">
        <w:rPr>
          <w:rFonts w:ascii="Times New Roman" w:hAnsi="Times New Roman" w:cs="Times New Roman"/>
          <w:b/>
          <w:sz w:val="20"/>
          <w:lang w:val="en-US" w:eastAsia="en-ZA"/>
        </w:rPr>
        <w:t xml:space="preserve"> objective of </w:t>
      </w:r>
      <w:r w:rsidR="00F1321C">
        <w:rPr>
          <w:rFonts w:ascii="Times New Roman" w:hAnsi="Times New Roman" w:cs="Times New Roman"/>
          <w:b/>
          <w:sz w:val="20"/>
          <w:lang w:val="en-US" w:eastAsia="en-ZA"/>
        </w:rPr>
        <w:t xml:space="preserve">the </w:t>
      </w:r>
      <w:r w:rsidR="00FB52D4" w:rsidRPr="00C9769D">
        <w:rPr>
          <w:rFonts w:ascii="Times New Roman" w:hAnsi="Times New Roman" w:cs="Times New Roman"/>
          <w:b/>
          <w:sz w:val="20"/>
          <w:lang w:val="en-US" w:eastAsia="en-ZA"/>
        </w:rPr>
        <w:t xml:space="preserve">CPD is to </w:t>
      </w:r>
      <w:r w:rsidR="00DB36EE">
        <w:rPr>
          <w:rFonts w:ascii="Times New Roman" w:hAnsi="Times New Roman" w:cs="Times New Roman"/>
          <w:b/>
          <w:sz w:val="20"/>
          <w:lang w:val="en-US" w:eastAsia="en-ZA"/>
        </w:rPr>
        <w:t>assist</w:t>
      </w:r>
      <w:r w:rsidR="00DB36EE" w:rsidRPr="00C9769D">
        <w:rPr>
          <w:rFonts w:ascii="Times New Roman" w:hAnsi="Times New Roman" w:cs="Times New Roman"/>
          <w:b/>
          <w:sz w:val="20"/>
          <w:lang w:val="en-US" w:eastAsia="en-ZA"/>
        </w:rPr>
        <w:t xml:space="preserve"> </w:t>
      </w:r>
      <w:r w:rsidR="00FB52D4" w:rsidRPr="00C9769D">
        <w:rPr>
          <w:rFonts w:ascii="Times New Roman" w:hAnsi="Times New Roman" w:cs="Times New Roman"/>
          <w:b/>
          <w:sz w:val="20"/>
          <w:lang w:val="en-US" w:eastAsia="en-ZA"/>
        </w:rPr>
        <w:t xml:space="preserve">Guinea </w:t>
      </w:r>
      <w:r w:rsidR="00DB36EE">
        <w:rPr>
          <w:rFonts w:ascii="Times New Roman" w:hAnsi="Times New Roman" w:cs="Times New Roman"/>
          <w:b/>
          <w:sz w:val="20"/>
          <w:lang w:val="en-US" w:eastAsia="en-ZA"/>
        </w:rPr>
        <w:t>in creating</w:t>
      </w:r>
      <w:r w:rsidR="007D43B7" w:rsidRPr="00C9769D">
        <w:rPr>
          <w:rFonts w:ascii="Times New Roman" w:hAnsi="Times New Roman" w:cs="Times New Roman"/>
          <w:b/>
          <w:sz w:val="20"/>
          <w:lang w:val="en-US" w:eastAsia="en-ZA"/>
        </w:rPr>
        <w:t xml:space="preserve"> conditions for sustainable inclusive growth </w:t>
      </w:r>
      <w:r w:rsidR="00F1321C">
        <w:rPr>
          <w:rFonts w:ascii="Times New Roman" w:hAnsi="Times New Roman" w:cs="Times New Roman"/>
          <w:b/>
          <w:sz w:val="20"/>
          <w:lang w:val="en-US" w:eastAsia="en-ZA"/>
        </w:rPr>
        <w:t>by building</w:t>
      </w:r>
      <w:r w:rsidR="007D43B7" w:rsidRPr="00C9769D">
        <w:rPr>
          <w:rFonts w:ascii="Times New Roman" w:hAnsi="Times New Roman" w:cs="Times New Roman"/>
          <w:b/>
          <w:sz w:val="20"/>
          <w:lang w:val="en-US" w:eastAsia="en-ZA"/>
        </w:rPr>
        <w:t xml:space="preserve"> </w:t>
      </w:r>
      <w:r w:rsidR="00FB52D4" w:rsidRPr="00C9769D">
        <w:rPr>
          <w:rFonts w:ascii="Times New Roman" w:hAnsi="Times New Roman" w:cs="Times New Roman"/>
          <w:b/>
          <w:sz w:val="20"/>
          <w:lang w:val="en-US" w:eastAsia="en-ZA"/>
        </w:rPr>
        <w:t xml:space="preserve">strong and responsible public institutions </w:t>
      </w:r>
      <w:r w:rsidR="00F1321C">
        <w:rPr>
          <w:rFonts w:ascii="Times New Roman" w:hAnsi="Times New Roman" w:cs="Times New Roman"/>
          <w:b/>
          <w:sz w:val="20"/>
          <w:lang w:val="en-US" w:eastAsia="en-ZA"/>
        </w:rPr>
        <w:t>that are accountable to</w:t>
      </w:r>
      <w:r w:rsidR="00F1321C" w:rsidRPr="00C9769D">
        <w:rPr>
          <w:rFonts w:ascii="Times New Roman" w:hAnsi="Times New Roman" w:cs="Times New Roman"/>
          <w:b/>
          <w:sz w:val="20"/>
          <w:lang w:val="en-US" w:eastAsia="en-ZA"/>
        </w:rPr>
        <w:t xml:space="preserve"> </w:t>
      </w:r>
      <w:r w:rsidR="00FB52D4" w:rsidRPr="00C9769D">
        <w:rPr>
          <w:rFonts w:ascii="Times New Roman" w:hAnsi="Times New Roman" w:cs="Times New Roman"/>
          <w:b/>
          <w:sz w:val="20"/>
          <w:lang w:val="en-US" w:eastAsia="en-ZA"/>
        </w:rPr>
        <w:t>civil society</w:t>
      </w:r>
      <w:r w:rsidR="007D43B7" w:rsidRPr="00C9769D">
        <w:rPr>
          <w:rFonts w:ascii="Times New Roman" w:hAnsi="Times New Roman" w:cs="Times New Roman"/>
          <w:sz w:val="20"/>
          <w:lang w:val="en-US" w:eastAsia="en-ZA"/>
        </w:rPr>
        <w:t xml:space="preserve">. </w:t>
      </w:r>
      <w:r w:rsidRPr="00C9769D">
        <w:rPr>
          <w:rFonts w:ascii="Times New Roman" w:hAnsi="Times New Roman" w:cs="Times New Roman"/>
          <w:sz w:val="20"/>
          <w:lang w:val="en-US" w:eastAsia="en-ZA"/>
        </w:rPr>
        <w:t>The development pathways that le</w:t>
      </w:r>
      <w:r w:rsidR="00B861FD">
        <w:rPr>
          <w:rFonts w:ascii="Times New Roman" w:hAnsi="Times New Roman" w:cs="Times New Roman"/>
          <w:sz w:val="20"/>
          <w:lang w:val="en-US" w:eastAsia="en-ZA"/>
        </w:rPr>
        <w:t>a</w:t>
      </w:r>
      <w:r w:rsidRPr="00C9769D">
        <w:rPr>
          <w:rFonts w:ascii="Times New Roman" w:hAnsi="Times New Roman" w:cs="Times New Roman"/>
          <w:sz w:val="20"/>
          <w:lang w:val="en-US" w:eastAsia="en-ZA"/>
        </w:rPr>
        <w:t xml:space="preserve">d to this objective </w:t>
      </w:r>
      <w:r w:rsidRPr="00F1321C">
        <w:rPr>
          <w:rFonts w:ascii="Times New Roman" w:hAnsi="Times New Roman" w:cs="Times New Roman"/>
          <w:sz w:val="20"/>
          <w:lang w:val="en-US" w:eastAsia="en-ZA"/>
        </w:rPr>
        <w:t xml:space="preserve">include </w:t>
      </w:r>
      <w:r w:rsidR="00F1321C">
        <w:rPr>
          <w:rFonts w:ascii="Times New Roman" w:hAnsi="Times New Roman" w:cs="Times New Roman"/>
          <w:sz w:val="20"/>
          <w:lang w:val="en-US" w:eastAsia="en-ZA"/>
        </w:rPr>
        <w:t>p</w:t>
      </w:r>
      <w:r w:rsidRPr="000B329C">
        <w:rPr>
          <w:rFonts w:ascii="Times New Roman" w:hAnsi="Times New Roman" w:cs="Times New Roman"/>
          <w:sz w:val="20"/>
          <w:lang w:val="en-US" w:eastAsia="en-ZA"/>
        </w:rPr>
        <w:t>romoting good governance for sustainable development</w:t>
      </w:r>
      <w:r w:rsidRPr="00C9769D">
        <w:rPr>
          <w:rFonts w:ascii="Times New Roman" w:hAnsi="Times New Roman" w:cs="Times New Roman"/>
          <w:sz w:val="20"/>
          <w:lang w:val="en-US" w:eastAsia="en-ZA"/>
        </w:rPr>
        <w:t xml:space="preserve"> at the national, regional, and community level</w:t>
      </w:r>
      <w:r w:rsidR="001266E9" w:rsidRPr="00C9769D">
        <w:rPr>
          <w:rFonts w:ascii="Times New Roman" w:hAnsi="Times New Roman" w:cs="Times New Roman"/>
          <w:sz w:val="20"/>
          <w:lang w:val="en-US" w:eastAsia="en-ZA"/>
        </w:rPr>
        <w:t>s</w:t>
      </w:r>
      <w:r w:rsidR="00F1321C">
        <w:rPr>
          <w:rFonts w:ascii="Times New Roman" w:hAnsi="Times New Roman" w:cs="Times New Roman"/>
          <w:sz w:val="20"/>
          <w:lang w:val="en-US" w:eastAsia="en-ZA"/>
        </w:rPr>
        <w:t>,</w:t>
      </w:r>
      <w:r w:rsidR="00DE1881" w:rsidRPr="00C9769D">
        <w:rPr>
          <w:rFonts w:ascii="Times New Roman" w:hAnsi="Times New Roman" w:cs="Times New Roman"/>
          <w:sz w:val="20"/>
          <w:lang w:val="en-US" w:eastAsia="en-ZA"/>
        </w:rPr>
        <w:t xml:space="preserve"> </w:t>
      </w:r>
      <w:r w:rsidRPr="00C9769D">
        <w:rPr>
          <w:rFonts w:ascii="Times New Roman" w:hAnsi="Times New Roman" w:cs="Times New Roman"/>
          <w:sz w:val="20"/>
          <w:lang w:val="en-US" w:eastAsia="en-ZA"/>
        </w:rPr>
        <w:t xml:space="preserve">combined with investments in </w:t>
      </w:r>
      <w:r w:rsidR="00F1321C">
        <w:rPr>
          <w:rFonts w:ascii="Times New Roman" w:hAnsi="Times New Roman" w:cs="Times New Roman"/>
          <w:sz w:val="20"/>
          <w:lang w:val="en-US" w:eastAsia="en-ZA"/>
        </w:rPr>
        <w:t>e</w:t>
      </w:r>
      <w:r w:rsidRPr="000B329C">
        <w:rPr>
          <w:rFonts w:ascii="Times New Roman" w:hAnsi="Times New Roman" w:cs="Times New Roman"/>
          <w:sz w:val="20"/>
          <w:lang w:val="en-US" w:eastAsia="en-ZA"/>
        </w:rPr>
        <w:t>conomic transformation and sustainable management of natural capital</w:t>
      </w:r>
      <w:r w:rsidR="00DE1881" w:rsidRPr="000B329C">
        <w:rPr>
          <w:rFonts w:ascii="Times New Roman" w:hAnsi="Times New Roman" w:cs="Times New Roman"/>
          <w:sz w:val="20"/>
          <w:lang w:val="en-US" w:eastAsia="en-ZA"/>
        </w:rPr>
        <w:t>.</w:t>
      </w:r>
      <w:r w:rsidR="00DE1881" w:rsidRPr="00C9769D">
        <w:rPr>
          <w:rFonts w:ascii="Times New Roman" w:hAnsi="Times New Roman" w:cs="Times New Roman"/>
          <w:b/>
          <w:sz w:val="20"/>
          <w:lang w:val="en-US" w:eastAsia="en-ZA"/>
        </w:rPr>
        <w:t xml:space="preserve"> </w:t>
      </w:r>
    </w:p>
    <w:p w14:paraId="40C72B85" w14:textId="72E308C0" w:rsidR="003F027F" w:rsidRPr="003F027F" w:rsidRDefault="00DE1881" w:rsidP="00047245">
      <w:pPr>
        <w:pStyle w:val="Default"/>
        <w:numPr>
          <w:ilvl w:val="0"/>
          <w:numId w:val="4"/>
        </w:numPr>
        <w:tabs>
          <w:tab w:val="left" w:pos="0"/>
          <w:tab w:val="left" w:pos="851"/>
          <w:tab w:val="left" w:pos="1170"/>
        </w:tabs>
        <w:spacing w:after="120"/>
        <w:ind w:left="810" w:right="1208" w:firstLine="0"/>
        <w:jc w:val="both"/>
        <w:rPr>
          <w:rFonts w:ascii="Times New Roman" w:hAnsi="Times New Roman" w:cs="Times New Roman"/>
          <w:sz w:val="20"/>
          <w:szCs w:val="20"/>
          <w:lang w:val="en-US"/>
        </w:rPr>
      </w:pPr>
      <w:r w:rsidRPr="005034B9">
        <w:rPr>
          <w:rFonts w:ascii="Times New Roman" w:hAnsi="Times New Roman" w:cs="Times New Roman"/>
          <w:sz w:val="20"/>
          <w:szCs w:val="20"/>
          <w:lang w:val="en-US"/>
        </w:rPr>
        <w:t>The</w:t>
      </w:r>
      <w:r w:rsidRPr="005034B9">
        <w:rPr>
          <w:rFonts w:ascii="Times New Roman" w:hAnsi="Times New Roman" w:cs="Times New Roman"/>
          <w:sz w:val="20"/>
          <w:szCs w:val="20"/>
          <w:lang w:val="en-US" w:eastAsia="en-ZA"/>
        </w:rPr>
        <w:t xml:space="preserve"> programmatic strategy depend</w:t>
      </w:r>
      <w:r w:rsidR="00050A40" w:rsidRPr="005034B9">
        <w:rPr>
          <w:rFonts w:ascii="Times New Roman" w:hAnsi="Times New Roman" w:cs="Times New Roman"/>
          <w:sz w:val="20"/>
          <w:szCs w:val="20"/>
          <w:lang w:val="en-US" w:eastAsia="en-ZA"/>
        </w:rPr>
        <w:t>s</w:t>
      </w:r>
      <w:r w:rsidRPr="005034B9">
        <w:rPr>
          <w:rFonts w:ascii="Times New Roman" w:hAnsi="Times New Roman" w:cs="Times New Roman"/>
          <w:sz w:val="20"/>
          <w:szCs w:val="20"/>
          <w:lang w:val="en-US" w:eastAsia="en-ZA"/>
        </w:rPr>
        <w:t xml:space="preserve"> on </w:t>
      </w:r>
      <w:r w:rsidR="00F1321C" w:rsidRPr="005034B9">
        <w:rPr>
          <w:rFonts w:ascii="Times New Roman" w:hAnsi="Times New Roman" w:cs="Times New Roman"/>
          <w:sz w:val="20"/>
          <w:szCs w:val="20"/>
          <w:lang w:val="en-US" w:eastAsia="en-ZA"/>
        </w:rPr>
        <w:t xml:space="preserve">creating links between, </w:t>
      </w:r>
      <w:r w:rsidR="00B51EC9" w:rsidRPr="005034B9">
        <w:rPr>
          <w:rFonts w:ascii="Times New Roman" w:hAnsi="Times New Roman" w:cs="Times New Roman"/>
          <w:sz w:val="20"/>
          <w:szCs w:val="20"/>
          <w:lang w:val="en-US" w:eastAsia="en-ZA"/>
        </w:rPr>
        <w:t xml:space="preserve">and </w:t>
      </w:r>
      <w:r w:rsidR="00B51EC9" w:rsidRPr="005034B9">
        <w:rPr>
          <w:rFonts w:ascii="Times New Roman" w:hAnsi="Times New Roman" w:cs="Times New Roman"/>
          <w:sz w:val="20"/>
          <w:szCs w:val="20"/>
          <w:lang w:val="en-US"/>
        </w:rPr>
        <w:t>mutually strengthening</w:t>
      </w:r>
      <w:r w:rsidR="00F1321C" w:rsidRPr="005034B9">
        <w:rPr>
          <w:rFonts w:ascii="Times New Roman" w:hAnsi="Times New Roman" w:cs="Times New Roman"/>
          <w:sz w:val="20"/>
          <w:szCs w:val="20"/>
          <w:lang w:val="en-US"/>
        </w:rPr>
        <w:t>,</w:t>
      </w:r>
      <w:r w:rsidR="00B51EC9" w:rsidRPr="005034B9">
        <w:rPr>
          <w:rFonts w:ascii="Times New Roman" w:hAnsi="Times New Roman" w:cs="Times New Roman"/>
          <w:sz w:val="20"/>
          <w:szCs w:val="20"/>
          <w:lang w:val="en-US" w:eastAsia="en-ZA"/>
        </w:rPr>
        <w:t xml:space="preserve"> </w:t>
      </w:r>
      <w:r w:rsidRPr="005034B9">
        <w:rPr>
          <w:rFonts w:ascii="Times New Roman" w:hAnsi="Times New Roman" w:cs="Times New Roman"/>
          <w:sz w:val="20"/>
          <w:szCs w:val="20"/>
          <w:lang w:val="en-US" w:eastAsia="en-ZA"/>
        </w:rPr>
        <w:t>the two pillars of the</w:t>
      </w:r>
      <w:r w:rsidR="00F1321C" w:rsidRPr="005034B9">
        <w:rPr>
          <w:rFonts w:ascii="Times New Roman" w:hAnsi="Times New Roman" w:cs="Times New Roman"/>
          <w:sz w:val="20"/>
          <w:szCs w:val="20"/>
          <w:lang w:val="en-US" w:eastAsia="en-ZA"/>
        </w:rPr>
        <w:t xml:space="preserve"> UNDP</w:t>
      </w:r>
      <w:r w:rsidRPr="005034B9">
        <w:rPr>
          <w:rFonts w:ascii="Times New Roman" w:hAnsi="Times New Roman" w:cs="Times New Roman"/>
          <w:sz w:val="20"/>
          <w:szCs w:val="20"/>
          <w:lang w:val="en-US" w:eastAsia="en-ZA"/>
        </w:rPr>
        <w:t xml:space="preserve"> programme</w:t>
      </w:r>
      <w:r w:rsidR="00B51EC9" w:rsidRPr="005034B9">
        <w:rPr>
          <w:rFonts w:ascii="Times New Roman" w:hAnsi="Times New Roman" w:cs="Times New Roman"/>
          <w:sz w:val="20"/>
          <w:szCs w:val="20"/>
          <w:lang w:val="en-US" w:eastAsia="en-ZA"/>
        </w:rPr>
        <w:t>.</w:t>
      </w:r>
      <w:r w:rsidR="00A263F5" w:rsidRPr="005034B9">
        <w:rPr>
          <w:rFonts w:ascii="Times New Roman" w:hAnsi="Times New Roman" w:cs="Times New Roman"/>
          <w:sz w:val="20"/>
          <w:szCs w:val="20"/>
          <w:lang w:val="en-US" w:eastAsia="en-ZA"/>
        </w:rPr>
        <w:t xml:space="preserve"> </w:t>
      </w:r>
      <w:r w:rsidR="0038791C" w:rsidRPr="005034B9">
        <w:rPr>
          <w:rFonts w:ascii="Times New Roman" w:hAnsi="Times New Roman" w:cs="Times New Roman"/>
          <w:sz w:val="20"/>
          <w:szCs w:val="20"/>
          <w:lang w:val="en-US" w:eastAsia="en-ZA"/>
        </w:rPr>
        <w:t>T</w:t>
      </w:r>
      <w:r w:rsidRPr="005034B9">
        <w:rPr>
          <w:rFonts w:ascii="Times New Roman" w:hAnsi="Times New Roman" w:cs="Times New Roman"/>
          <w:sz w:val="20"/>
          <w:szCs w:val="20"/>
          <w:lang w:val="en-US" w:eastAsia="en-ZA"/>
        </w:rPr>
        <w:t>o ensure gains in economic growth</w:t>
      </w:r>
      <w:r w:rsidR="00F1321C" w:rsidRPr="005034B9">
        <w:rPr>
          <w:rFonts w:ascii="Times New Roman" w:hAnsi="Times New Roman" w:cs="Times New Roman"/>
          <w:sz w:val="20"/>
          <w:szCs w:val="20"/>
          <w:lang w:val="en-US" w:eastAsia="en-ZA"/>
        </w:rPr>
        <w:t xml:space="preserve"> </w:t>
      </w:r>
      <w:r w:rsidR="002D0F69" w:rsidRPr="005034B9">
        <w:rPr>
          <w:rFonts w:ascii="Times New Roman" w:hAnsi="Times New Roman" w:cs="Times New Roman"/>
          <w:sz w:val="20"/>
          <w:szCs w:val="20"/>
          <w:lang w:val="en-US" w:eastAsia="en-ZA"/>
        </w:rPr>
        <w:t>are</w:t>
      </w:r>
      <w:r w:rsidRPr="005034B9">
        <w:rPr>
          <w:rFonts w:ascii="Times New Roman" w:hAnsi="Times New Roman" w:cs="Times New Roman"/>
          <w:sz w:val="20"/>
          <w:szCs w:val="20"/>
          <w:lang w:val="en-US" w:eastAsia="en-ZA"/>
        </w:rPr>
        <w:t xml:space="preserve"> inc</w:t>
      </w:r>
      <w:r w:rsidR="00F91618" w:rsidRPr="005034B9">
        <w:rPr>
          <w:rFonts w:ascii="Times New Roman" w:hAnsi="Times New Roman" w:cs="Times New Roman"/>
          <w:sz w:val="20"/>
          <w:szCs w:val="20"/>
          <w:lang w:val="en-US" w:eastAsia="en-ZA"/>
        </w:rPr>
        <w:t>l</w:t>
      </w:r>
      <w:r w:rsidRPr="005034B9">
        <w:rPr>
          <w:rFonts w:ascii="Times New Roman" w:hAnsi="Times New Roman" w:cs="Times New Roman"/>
          <w:sz w:val="20"/>
          <w:szCs w:val="20"/>
          <w:lang w:val="en-US" w:eastAsia="en-ZA"/>
        </w:rPr>
        <w:t>usive and not eroded by political instability</w:t>
      </w:r>
      <w:r w:rsidR="002D0F69" w:rsidRPr="005034B9">
        <w:rPr>
          <w:rFonts w:ascii="Times New Roman" w:hAnsi="Times New Roman" w:cs="Times New Roman"/>
          <w:sz w:val="20"/>
          <w:szCs w:val="20"/>
          <w:lang w:val="en-US" w:eastAsia="en-ZA"/>
        </w:rPr>
        <w:t>,</w:t>
      </w:r>
      <w:r w:rsidR="00353390" w:rsidRPr="005034B9">
        <w:rPr>
          <w:rFonts w:ascii="Times New Roman" w:hAnsi="Times New Roman" w:cs="Times New Roman"/>
          <w:sz w:val="20"/>
          <w:szCs w:val="20"/>
          <w:lang w:val="en-US" w:eastAsia="en-ZA"/>
        </w:rPr>
        <w:t xml:space="preserve"> </w:t>
      </w:r>
      <w:r w:rsidR="00F1321C" w:rsidRPr="005034B9">
        <w:rPr>
          <w:rFonts w:ascii="Times New Roman" w:hAnsi="Times New Roman" w:cs="Times New Roman"/>
          <w:sz w:val="20"/>
          <w:szCs w:val="20"/>
          <w:lang w:val="en-US" w:eastAsia="en-ZA"/>
        </w:rPr>
        <w:t>a widening of</w:t>
      </w:r>
      <w:r w:rsidR="00353390" w:rsidRPr="005034B9">
        <w:rPr>
          <w:rFonts w:ascii="Times New Roman" w:hAnsi="Times New Roman" w:cs="Times New Roman"/>
          <w:sz w:val="20"/>
          <w:szCs w:val="20"/>
          <w:lang w:val="en-US" w:eastAsia="en-ZA"/>
        </w:rPr>
        <w:t xml:space="preserve"> democratic space </w:t>
      </w:r>
      <w:r w:rsidR="00F1321C" w:rsidRPr="005034B9">
        <w:rPr>
          <w:rFonts w:ascii="Times New Roman" w:hAnsi="Times New Roman" w:cs="Times New Roman"/>
          <w:sz w:val="20"/>
          <w:szCs w:val="20"/>
          <w:lang w:val="en-US" w:eastAsia="en-ZA"/>
        </w:rPr>
        <w:t xml:space="preserve">is required—mainly </w:t>
      </w:r>
      <w:r w:rsidR="00353390" w:rsidRPr="005034B9">
        <w:rPr>
          <w:rFonts w:ascii="Times New Roman" w:hAnsi="Times New Roman" w:cs="Times New Roman"/>
          <w:sz w:val="20"/>
          <w:szCs w:val="20"/>
          <w:lang w:val="en-US" w:eastAsia="en-ZA"/>
        </w:rPr>
        <w:t xml:space="preserve">through the </w:t>
      </w:r>
      <w:r w:rsidR="00F1321C" w:rsidRPr="005034B9">
        <w:rPr>
          <w:rFonts w:ascii="Times New Roman" w:hAnsi="Times New Roman" w:cs="Times New Roman"/>
          <w:sz w:val="20"/>
          <w:szCs w:val="20"/>
          <w:lang w:val="en-US" w:eastAsia="en-ZA"/>
        </w:rPr>
        <w:t xml:space="preserve">pursuit of </w:t>
      </w:r>
      <w:r w:rsidR="00353390" w:rsidRPr="005034B9">
        <w:rPr>
          <w:rFonts w:ascii="Times New Roman" w:hAnsi="Times New Roman" w:cs="Times New Roman"/>
          <w:sz w:val="20"/>
          <w:szCs w:val="20"/>
          <w:lang w:val="en-US" w:eastAsia="en-ZA"/>
        </w:rPr>
        <w:t>inclusive participation of communities, especially vulnerable group</w:t>
      </w:r>
      <w:r w:rsidR="0041018E" w:rsidRPr="005034B9">
        <w:rPr>
          <w:rFonts w:ascii="Times New Roman" w:hAnsi="Times New Roman" w:cs="Times New Roman"/>
          <w:sz w:val="20"/>
          <w:szCs w:val="20"/>
          <w:lang w:val="en-US" w:eastAsia="en-ZA"/>
        </w:rPr>
        <w:t>s</w:t>
      </w:r>
      <w:r w:rsidR="0068306C" w:rsidRPr="005034B9">
        <w:rPr>
          <w:rFonts w:ascii="Times New Roman" w:hAnsi="Times New Roman" w:cs="Times New Roman"/>
          <w:sz w:val="20"/>
          <w:szCs w:val="20"/>
          <w:lang w:val="en-US" w:eastAsia="en-ZA"/>
        </w:rPr>
        <w:t xml:space="preserve">. </w:t>
      </w:r>
      <w:r w:rsidR="00F1321C" w:rsidRPr="005034B9">
        <w:rPr>
          <w:rFonts w:ascii="Times New Roman" w:hAnsi="Times New Roman" w:cs="Times New Roman"/>
          <w:sz w:val="20"/>
          <w:szCs w:val="20"/>
          <w:lang w:val="en-US" w:eastAsia="en-ZA"/>
        </w:rPr>
        <w:t>L</w:t>
      </w:r>
      <w:r w:rsidR="00353390" w:rsidRPr="005034B9">
        <w:rPr>
          <w:rFonts w:ascii="Times New Roman" w:hAnsi="Times New Roman" w:cs="Times New Roman"/>
          <w:sz w:val="20"/>
          <w:szCs w:val="20"/>
          <w:lang w:val="en-US" w:eastAsia="en-ZA"/>
        </w:rPr>
        <w:t>ong-term political stability is</w:t>
      </w:r>
      <w:r w:rsidR="00F91618" w:rsidRPr="005034B9">
        <w:rPr>
          <w:rFonts w:ascii="Times New Roman" w:hAnsi="Times New Roman" w:cs="Times New Roman"/>
          <w:sz w:val="20"/>
          <w:szCs w:val="20"/>
          <w:lang w:val="en-US" w:eastAsia="en-ZA"/>
        </w:rPr>
        <w:t xml:space="preserve"> </w:t>
      </w:r>
      <w:r w:rsidR="007A3EED" w:rsidRPr="005034B9">
        <w:rPr>
          <w:rFonts w:ascii="Times New Roman" w:hAnsi="Times New Roman" w:cs="Times New Roman"/>
          <w:sz w:val="20"/>
          <w:szCs w:val="20"/>
          <w:lang w:val="en-US" w:eastAsia="en-ZA"/>
        </w:rPr>
        <w:t>protected</w:t>
      </w:r>
      <w:r w:rsidR="00353390" w:rsidRPr="005034B9">
        <w:rPr>
          <w:rFonts w:ascii="Times New Roman" w:hAnsi="Times New Roman" w:cs="Times New Roman"/>
          <w:sz w:val="20"/>
          <w:szCs w:val="20"/>
          <w:lang w:val="en-US" w:eastAsia="en-ZA"/>
        </w:rPr>
        <w:t xml:space="preserve"> by inclusive</w:t>
      </w:r>
      <w:r w:rsidR="00F1321C" w:rsidRPr="005034B9">
        <w:rPr>
          <w:rFonts w:ascii="Times New Roman" w:hAnsi="Times New Roman" w:cs="Times New Roman"/>
          <w:sz w:val="20"/>
          <w:szCs w:val="20"/>
          <w:lang w:val="en-US" w:eastAsia="en-ZA"/>
        </w:rPr>
        <w:t xml:space="preserve"> and</w:t>
      </w:r>
      <w:r w:rsidR="00F91618" w:rsidRPr="005034B9">
        <w:rPr>
          <w:rFonts w:ascii="Times New Roman" w:hAnsi="Times New Roman" w:cs="Times New Roman"/>
          <w:sz w:val="20"/>
          <w:szCs w:val="20"/>
          <w:lang w:val="en-US" w:eastAsia="en-ZA"/>
        </w:rPr>
        <w:t xml:space="preserve"> sustainable</w:t>
      </w:r>
      <w:r w:rsidR="00353390" w:rsidRPr="005034B9">
        <w:rPr>
          <w:rFonts w:ascii="Times New Roman" w:hAnsi="Times New Roman" w:cs="Times New Roman"/>
          <w:sz w:val="20"/>
          <w:szCs w:val="20"/>
          <w:lang w:val="en-US" w:eastAsia="en-ZA"/>
        </w:rPr>
        <w:t xml:space="preserve"> economic growth that produces jobs.</w:t>
      </w:r>
      <w:r w:rsidR="00F91618" w:rsidRPr="005034B9">
        <w:rPr>
          <w:rFonts w:ascii="Times New Roman" w:hAnsi="Times New Roman" w:cs="Times New Roman"/>
          <w:sz w:val="20"/>
          <w:szCs w:val="20"/>
          <w:lang w:val="en-US" w:eastAsia="en-ZA"/>
        </w:rPr>
        <w:t xml:space="preserve"> </w:t>
      </w:r>
      <w:r w:rsidR="00F1321C" w:rsidRPr="005034B9">
        <w:rPr>
          <w:rFonts w:ascii="Times New Roman" w:hAnsi="Times New Roman" w:cs="Times New Roman"/>
          <w:sz w:val="20"/>
          <w:szCs w:val="20"/>
          <w:lang w:val="en-US" w:eastAsia="en-ZA"/>
        </w:rPr>
        <w:t xml:space="preserve">Since </w:t>
      </w:r>
      <w:r w:rsidR="00F91618" w:rsidRPr="005034B9">
        <w:rPr>
          <w:rFonts w:ascii="Times New Roman" w:hAnsi="Times New Roman" w:cs="Times New Roman"/>
          <w:sz w:val="20"/>
          <w:szCs w:val="20"/>
          <w:lang w:val="en-US" w:eastAsia="en-ZA"/>
        </w:rPr>
        <w:t>agriculture</w:t>
      </w:r>
      <w:r w:rsidR="00F1321C" w:rsidRPr="005034B9">
        <w:rPr>
          <w:rFonts w:ascii="Times New Roman" w:hAnsi="Times New Roman" w:cs="Times New Roman"/>
          <w:sz w:val="20"/>
          <w:szCs w:val="20"/>
          <w:lang w:val="en-US" w:eastAsia="en-ZA"/>
        </w:rPr>
        <w:t xml:space="preserve">, </w:t>
      </w:r>
      <w:r w:rsidR="00127D46" w:rsidRPr="005034B9">
        <w:rPr>
          <w:rFonts w:ascii="Times New Roman" w:hAnsi="Times New Roman" w:cs="Times New Roman"/>
          <w:sz w:val="20"/>
          <w:szCs w:val="20"/>
          <w:lang w:val="en-US" w:eastAsia="en-ZA"/>
        </w:rPr>
        <w:t>fisheries</w:t>
      </w:r>
      <w:r w:rsidR="006D477F" w:rsidRPr="005034B9">
        <w:rPr>
          <w:rFonts w:ascii="Times New Roman" w:hAnsi="Times New Roman" w:cs="Times New Roman"/>
          <w:sz w:val="20"/>
          <w:szCs w:val="20"/>
          <w:lang w:val="en-US" w:eastAsia="en-ZA"/>
        </w:rPr>
        <w:t>, livestock and forestry</w:t>
      </w:r>
      <w:r w:rsidR="00F1321C" w:rsidRPr="005034B9">
        <w:rPr>
          <w:rFonts w:ascii="Times New Roman" w:hAnsi="Times New Roman" w:cs="Times New Roman"/>
          <w:sz w:val="20"/>
          <w:szCs w:val="20"/>
          <w:lang w:val="en-US" w:eastAsia="en-ZA"/>
        </w:rPr>
        <w:t xml:space="preserve"> industries are</w:t>
      </w:r>
      <w:r w:rsidR="00127D46" w:rsidRPr="005034B9">
        <w:rPr>
          <w:rFonts w:ascii="Times New Roman" w:hAnsi="Times New Roman" w:cs="Times New Roman"/>
          <w:sz w:val="20"/>
          <w:szCs w:val="20"/>
          <w:lang w:val="en-US" w:eastAsia="en-ZA"/>
        </w:rPr>
        <w:t xml:space="preserve"> </w:t>
      </w:r>
      <w:r w:rsidR="00F91618" w:rsidRPr="005034B9">
        <w:rPr>
          <w:rFonts w:ascii="Times New Roman" w:hAnsi="Times New Roman" w:cs="Times New Roman"/>
          <w:sz w:val="20"/>
          <w:szCs w:val="20"/>
          <w:lang w:val="en-US" w:eastAsia="en-ZA"/>
        </w:rPr>
        <w:t>the main sources of income for more than 70 per</w:t>
      </w:r>
      <w:r w:rsidR="00F1321C" w:rsidRPr="005034B9">
        <w:rPr>
          <w:rFonts w:ascii="Times New Roman" w:hAnsi="Times New Roman" w:cs="Times New Roman"/>
          <w:sz w:val="20"/>
          <w:szCs w:val="20"/>
          <w:lang w:val="en-US" w:eastAsia="en-ZA"/>
        </w:rPr>
        <w:t xml:space="preserve"> </w:t>
      </w:r>
      <w:r w:rsidR="00F91618" w:rsidRPr="005034B9">
        <w:rPr>
          <w:rFonts w:ascii="Times New Roman" w:hAnsi="Times New Roman" w:cs="Times New Roman"/>
          <w:sz w:val="20"/>
          <w:szCs w:val="20"/>
          <w:lang w:val="en-US" w:eastAsia="en-ZA"/>
        </w:rPr>
        <w:t xml:space="preserve">cent of the population, sustainable management of natural capital is </w:t>
      </w:r>
      <w:r w:rsidR="004A6607" w:rsidRPr="005034B9">
        <w:rPr>
          <w:rFonts w:ascii="Times New Roman" w:hAnsi="Times New Roman" w:cs="Times New Roman"/>
          <w:sz w:val="20"/>
          <w:szCs w:val="20"/>
          <w:lang w:val="en-US" w:eastAsia="en-ZA"/>
        </w:rPr>
        <w:t xml:space="preserve">needed </w:t>
      </w:r>
      <w:r w:rsidR="00F91618" w:rsidRPr="005034B9">
        <w:rPr>
          <w:rFonts w:ascii="Times New Roman" w:hAnsi="Times New Roman" w:cs="Times New Roman"/>
          <w:sz w:val="20"/>
          <w:szCs w:val="20"/>
          <w:lang w:val="en-US" w:eastAsia="en-ZA"/>
        </w:rPr>
        <w:t>to mitigate the effects of shocks on the population</w:t>
      </w:r>
      <w:r w:rsidR="00970D3F" w:rsidRPr="005034B9">
        <w:rPr>
          <w:rFonts w:ascii="Times New Roman" w:hAnsi="Times New Roman" w:cs="Times New Roman"/>
          <w:sz w:val="20"/>
          <w:szCs w:val="20"/>
          <w:lang w:val="en-US" w:eastAsia="en-ZA"/>
        </w:rPr>
        <w:t xml:space="preserve"> </w:t>
      </w:r>
      <w:r w:rsidR="00EF2CC1" w:rsidRPr="005034B9">
        <w:rPr>
          <w:rFonts w:ascii="Times New Roman" w:hAnsi="Times New Roman" w:cs="Times New Roman"/>
          <w:sz w:val="20"/>
          <w:szCs w:val="20"/>
          <w:lang w:val="en-US" w:eastAsia="en-ZA"/>
        </w:rPr>
        <w:t xml:space="preserve">and </w:t>
      </w:r>
      <w:r w:rsidR="009E5E86">
        <w:rPr>
          <w:rFonts w:ascii="Times New Roman" w:hAnsi="Times New Roman" w:cs="Times New Roman"/>
          <w:sz w:val="20"/>
          <w:szCs w:val="20"/>
          <w:lang w:val="en-US" w:eastAsia="en-ZA"/>
        </w:rPr>
        <w:t>should</w:t>
      </w:r>
      <w:r w:rsidR="00F1321C" w:rsidRPr="005034B9">
        <w:rPr>
          <w:rFonts w:ascii="Times New Roman" w:hAnsi="Times New Roman" w:cs="Times New Roman"/>
          <w:sz w:val="20"/>
          <w:szCs w:val="20"/>
          <w:lang w:val="en-US" w:eastAsia="en-ZA"/>
        </w:rPr>
        <w:t xml:space="preserve"> be </w:t>
      </w:r>
      <w:r w:rsidR="007A3EED" w:rsidRPr="005034B9">
        <w:rPr>
          <w:rFonts w:ascii="Times New Roman" w:hAnsi="Times New Roman" w:cs="Times New Roman"/>
          <w:sz w:val="20"/>
          <w:szCs w:val="20"/>
          <w:lang w:val="en-US" w:eastAsia="en-ZA"/>
        </w:rPr>
        <w:t>mainstreamed</w:t>
      </w:r>
      <w:r w:rsidR="00970D3F" w:rsidRPr="005034B9">
        <w:rPr>
          <w:rFonts w:ascii="Times New Roman" w:hAnsi="Times New Roman" w:cs="Times New Roman"/>
          <w:sz w:val="20"/>
          <w:szCs w:val="20"/>
          <w:lang w:val="en-US" w:eastAsia="en-ZA"/>
        </w:rPr>
        <w:t xml:space="preserve"> within</w:t>
      </w:r>
      <w:r w:rsidR="00EE4053" w:rsidRPr="005034B9">
        <w:rPr>
          <w:rFonts w:ascii="Times New Roman" w:hAnsi="Times New Roman" w:cs="Times New Roman"/>
          <w:sz w:val="20"/>
          <w:szCs w:val="20"/>
          <w:lang w:val="en-US" w:eastAsia="en-ZA"/>
        </w:rPr>
        <w:t xml:space="preserve"> the two</w:t>
      </w:r>
      <w:r w:rsidR="00970D3F" w:rsidRPr="005034B9">
        <w:rPr>
          <w:rFonts w:ascii="Times New Roman" w:hAnsi="Times New Roman" w:cs="Times New Roman"/>
          <w:sz w:val="20"/>
          <w:szCs w:val="20"/>
          <w:lang w:val="en-US" w:eastAsia="en-ZA"/>
        </w:rPr>
        <w:t xml:space="preserve"> </w:t>
      </w:r>
      <w:r w:rsidR="00EB4986" w:rsidRPr="005034B9">
        <w:rPr>
          <w:rFonts w:ascii="Times New Roman" w:hAnsi="Times New Roman" w:cs="Times New Roman"/>
          <w:sz w:val="20"/>
          <w:szCs w:val="20"/>
          <w:lang w:val="en-US" w:eastAsia="en-ZA"/>
        </w:rPr>
        <w:t>pillars</w:t>
      </w:r>
      <w:r w:rsidR="006D477F" w:rsidRPr="005034B9">
        <w:rPr>
          <w:rFonts w:ascii="Times New Roman" w:hAnsi="Times New Roman" w:cs="Times New Roman"/>
          <w:sz w:val="20"/>
          <w:szCs w:val="20"/>
          <w:lang w:val="en-US" w:eastAsia="en-ZA"/>
        </w:rPr>
        <w:t xml:space="preserve">. </w:t>
      </w:r>
    </w:p>
    <w:p w14:paraId="1026358A" w14:textId="6DDAEFD8" w:rsidR="00673B1F" w:rsidRPr="003F027F" w:rsidRDefault="00F1321C" w:rsidP="00047245">
      <w:pPr>
        <w:pStyle w:val="Default"/>
        <w:numPr>
          <w:ilvl w:val="0"/>
          <w:numId w:val="4"/>
        </w:numPr>
        <w:tabs>
          <w:tab w:val="left" w:pos="0"/>
          <w:tab w:val="left" w:pos="851"/>
          <w:tab w:val="left" w:pos="1170"/>
        </w:tabs>
        <w:spacing w:after="120"/>
        <w:ind w:left="810" w:right="1208" w:firstLine="0"/>
        <w:jc w:val="both"/>
        <w:rPr>
          <w:rFonts w:ascii="Times New Roman" w:hAnsi="Times New Roman" w:cs="Times New Roman"/>
          <w:sz w:val="20"/>
          <w:szCs w:val="20"/>
          <w:lang w:val="en-US"/>
        </w:rPr>
      </w:pPr>
      <w:r w:rsidRPr="00E4179D">
        <w:rPr>
          <w:rFonts w:ascii="Times New Roman" w:hAnsi="Times New Roman" w:cs="Times New Roman"/>
          <w:sz w:val="20"/>
          <w:szCs w:val="20"/>
          <w:lang w:val="en-US"/>
        </w:rPr>
        <w:lastRenderedPageBreak/>
        <w:t xml:space="preserve">The </w:t>
      </w:r>
      <w:r w:rsidR="00975AF8" w:rsidRPr="00E4179D">
        <w:rPr>
          <w:rFonts w:ascii="Times New Roman" w:hAnsi="Times New Roman" w:cs="Times New Roman"/>
          <w:sz w:val="20"/>
          <w:szCs w:val="20"/>
          <w:lang w:val="en-US"/>
        </w:rPr>
        <w:t xml:space="preserve">CPD </w:t>
      </w:r>
      <w:r w:rsidRPr="00E4179D">
        <w:rPr>
          <w:rFonts w:ascii="Times New Roman" w:hAnsi="Times New Roman" w:cs="Times New Roman"/>
          <w:sz w:val="20"/>
          <w:szCs w:val="20"/>
          <w:lang w:val="en-US"/>
        </w:rPr>
        <w:t>was</w:t>
      </w:r>
      <w:r w:rsidR="00850608" w:rsidRPr="00E4179D">
        <w:rPr>
          <w:rFonts w:ascii="Times New Roman" w:hAnsi="Times New Roman" w:cs="Times New Roman"/>
          <w:sz w:val="20"/>
          <w:szCs w:val="20"/>
          <w:lang w:val="en-US"/>
        </w:rPr>
        <w:t xml:space="preserve"> </w:t>
      </w:r>
      <w:r w:rsidR="00850608" w:rsidRPr="003F027F">
        <w:rPr>
          <w:rFonts w:ascii="Times New Roman" w:hAnsi="Times New Roman" w:cs="Times New Roman"/>
          <w:sz w:val="20"/>
          <w:szCs w:val="20"/>
          <w:lang w:val="en-GB"/>
        </w:rPr>
        <w:t xml:space="preserve">developed in consultation with the </w:t>
      </w:r>
      <w:r w:rsidR="000A217C">
        <w:rPr>
          <w:rFonts w:ascii="Times New Roman" w:hAnsi="Times New Roman" w:cs="Times New Roman"/>
          <w:sz w:val="20"/>
          <w:szCs w:val="20"/>
          <w:lang w:val="en-GB"/>
        </w:rPr>
        <w:t>g</w:t>
      </w:r>
      <w:r w:rsidR="00850608" w:rsidRPr="003F027F">
        <w:rPr>
          <w:rFonts w:ascii="Times New Roman" w:hAnsi="Times New Roman" w:cs="Times New Roman"/>
          <w:sz w:val="20"/>
          <w:szCs w:val="20"/>
          <w:lang w:val="en-GB"/>
        </w:rPr>
        <w:t>overnment, national stakeholders, civil society, development partners and U</w:t>
      </w:r>
      <w:r w:rsidR="000A217C">
        <w:rPr>
          <w:rFonts w:ascii="Times New Roman" w:hAnsi="Times New Roman" w:cs="Times New Roman"/>
          <w:sz w:val="20"/>
          <w:szCs w:val="20"/>
          <w:lang w:val="en-GB"/>
        </w:rPr>
        <w:t xml:space="preserve">nited </w:t>
      </w:r>
      <w:r w:rsidR="00850608" w:rsidRPr="003F027F">
        <w:rPr>
          <w:rFonts w:ascii="Times New Roman" w:hAnsi="Times New Roman" w:cs="Times New Roman"/>
          <w:sz w:val="20"/>
          <w:szCs w:val="20"/>
          <w:lang w:val="en-GB"/>
        </w:rPr>
        <w:t>N</w:t>
      </w:r>
      <w:r w:rsidR="000A217C">
        <w:rPr>
          <w:rFonts w:ascii="Times New Roman" w:hAnsi="Times New Roman" w:cs="Times New Roman"/>
          <w:sz w:val="20"/>
          <w:szCs w:val="20"/>
          <w:lang w:val="en-GB"/>
        </w:rPr>
        <w:t>ations</w:t>
      </w:r>
      <w:r w:rsidR="00850608" w:rsidRPr="003F027F">
        <w:rPr>
          <w:rFonts w:ascii="Times New Roman" w:hAnsi="Times New Roman" w:cs="Times New Roman"/>
          <w:sz w:val="20"/>
          <w:szCs w:val="20"/>
          <w:lang w:val="en-GB"/>
        </w:rPr>
        <w:t xml:space="preserve"> </w:t>
      </w:r>
      <w:r w:rsidR="000A217C">
        <w:rPr>
          <w:rFonts w:ascii="Times New Roman" w:hAnsi="Times New Roman" w:cs="Times New Roman"/>
          <w:sz w:val="20"/>
          <w:szCs w:val="20"/>
          <w:lang w:val="en-GB"/>
        </w:rPr>
        <w:t>organizations</w:t>
      </w:r>
      <w:r w:rsidR="00975AF8" w:rsidRPr="00E4179D">
        <w:rPr>
          <w:rFonts w:ascii="Times New Roman" w:hAnsi="Times New Roman" w:cs="Times New Roman"/>
          <w:sz w:val="20"/>
          <w:szCs w:val="20"/>
          <w:lang w:val="en-US"/>
        </w:rPr>
        <w:t xml:space="preserve">. </w:t>
      </w:r>
      <w:r w:rsidR="009E5E86">
        <w:rPr>
          <w:rFonts w:ascii="Times New Roman" w:hAnsi="Times New Roman" w:cs="Times New Roman"/>
          <w:sz w:val="20"/>
          <w:szCs w:val="20"/>
          <w:lang w:val="en-US"/>
        </w:rPr>
        <w:t>F</w:t>
      </w:r>
      <w:r w:rsidR="006D477F" w:rsidRPr="00E4179D">
        <w:rPr>
          <w:rFonts w:ascii="Times New Roman" w:hAnsi="Times New Roman" w:cs="Times New Roman"/>
          <w:sz w:val="20"/>
          <w:szCs w:val="20"/>
          <w:lang w:val="en-US"/>
        </w:rPr>
        <w:t xml:space="preserve">ocus areas are in line with </w:t>
      </w:r>
      <w:r w:rsidR="004A6607" w:rsidRPr="00E4179D">
        <w:rPr>
          <w:rFonts w:ascii="Times New Roman" w:hAnsi="Times New Roman" w:cs="Times New Roman"/>
          <w:sz w:val="20"/>
          <w:szCs w:val="20"/>
          <w:lang w:val="en-US"/>
        </w:rPr>
        <w:t xml:space="preserve">national plan </w:t>
      </w:r>
      <w:r w:rsidR="006D477F" w:rsidRPr="00E4179D">
        <w:rPr>
          <w:rFonts w:ascii="Times New Roman" w:hAnsi="Times New Roman" w:cs="Times New Roman"/>
          <w:sz w:val="20"/>
          <w:szCs w:val="20"/>
          <w:lang w:val="en-US"/>
        </w:rPr>
        <w:t xml:space="preserve">priorities, anchored in the UNDAF 2018-2022, </w:t>
      </w:r>
      <w:r w:rsidR="000A217C" w:rsidRPr="00E4179D">
        <w:rPr>
          <w:rFonts w:ascii="Times New Roman" w:hAnsi="Times New Roman" w:cs="Times New Roman"/>
          <w:sz w:val="20"/>
          <w:szCs w:val="20"/>
          <w:lang w:val="en-US"/>
        </w:rPr>
        <w:t xml:space="preserve">and </w:t>
      </w:r>
      <w:r w:rsidR="006D477F" w:rsidRPr="00E4179D">
        <w:rPr>
          <w:rFonts w:ascii="Times New Roman" w:hAnsi="Times New Roman" w:cs="Times New Roman"/>
          <w:sz w:val="20"/>
          <w:szCs w:val="20"/>
          <w:lang w:val="en-US"/>
        </w:rPr>
        <w:t xml:space="preserve">aligned with outcomes of the UNDP Strategic Plan 2014-2017. The programme will support Guinea in the implementation of Agenda 2030, the African Union Agenda 2063 and the roadmap for the Istanbul Plan of Action for Least Developed Countries. </w:t>
      </w:r>
      <w:r w:rsidR="00975AF8" w:rsidRPr="00E4179D">
        <w:rPr>
          <w:rFonts w:ascii="Times New Roman" w:hAnsi="Times New Roman" w:cs="Times New Roman"/>
          <w:sz w:val="20"/>
          <w:szCs w:val="20"/>
          <w:lang w:val="en-US"/>
        </w:rPr>
        <w:t>The CPD will fo</w:t>
      </w:r>
      <w:r w:rsidR="00EE4053" w:rsidRPr="00E4179D">
        <w:rPr>
          <w:rFonts w:ascii="Times New Roman" w:hAnsi="Times New Roman" w:cs="Times New Roman"/>
          <w:sz w:val="20"/>
          <w:szCs w:val="20"/>
          <w:lang w:val="en-US"/>
        </w:rPr>
        <w:t xml:space="preserve">cus support </w:t>
      </w:r>
      <w:r w:rsidR="000A217C" w:rsidRPr="00E4179D">
        <w:rPr>
          <w:rFonts w:ascii="Times New Roman" w:hAnsi="Times New Roman" w:cs="Times New Roman"/>
          <w:sz w:val="20"/>
          <w:szCs w:val="20"/>
          <w:lang w:val="en-US"/>
        </w:rPr>
        <w:t>on</w:t>
      </w:r>
      <w:r w:rsidR="00FE4577" w:rsidRPr="00E4179D">
        <w:rPr>
          <w:rFonts w:ascii="Times New Roman" w:hAnsi="Times New Roman" w:cs="Times New Roman"/>
          <w:sz w:val="20"/>
          <w:szCs w:val="20"/>
          <w:lang w:val="en-US"/>
        </w:rPr>
        <w:t xml:space="preserve"> </w:t>
      </w:r>
      <w:r w:rsidR="00EE4053" w:rsidRPr="00E4179D">
        <w:rPr>
          <w:rFonts w:ascii="Times New Roman" w:hAnsi="Times New Roman" w:cs="Times New Roman"/>
          <w:sz w:val="20"/>
          <w:szCs w:val="20"/>
          <w:lang w:val="en-US"/>
        </w:rPr>
        <w:t>achiev</w:t>
      </w:r>
      <w:r w:rsidR="00FE4577" w:rsidRPr="00E4179D">
        <w:rPr>
          <w:rFonts w:ascii="Times New Roman" w:hAnsi="Times New Roman" w:cs="Times New Roman"/>
          <w:sz w:val="20"/>
          <w:szCs w:val="20"/>
          <w:lang w:val="en-US"/>
        </w:rPr>
        <w:t>ing</w:t>
      </w:r>
      <w:r w:rsidR="00EE4053" w:rsidRPr="00E4179D">
        <w:rPr>
          <w:rFonts w:ascii="Times New Roman" w:hAnsi="Times New Roman" w:cs="Times New Roman"/>
          <w:sz w:val="20"/>
          <w:szCs w:val="20"/>
          <w:lang w:val="en-US"/>
        </w:rPr>
        <w:t xml:space="preserve"> 10 of the 17 SDGs</w:t>
      </w:r>
      <w:r w:rsidR="006879E0" w:rsidRPr="00E4179D">
        <w:rPr>
          <w:rFonts w:ascii="Times New Roman" w:hAnsi="Times New Roman" w:cs="Times New Roman"/>
          <w:sz w:val="20"/>
          <w:szCs w:val="20"/>
          <w:lang w:val="en-US"/>
        </w:rPr>
        <w:t xml:space="preserve"> (</w:t>
      </w:r>
      <w:r w:rsidR="009E5E86">
        <w:rPr>
          <w:rFonts w:ascii="Times New Roman" w:hAnsi="Times New Roman" w:cs="Times New Roman"/>
          <w:sz w:val="20"/>
          <w:szCs w:val="20"/>
          <w:lang w:val="en-US"/>
        </w:rPr>
        <w:t xml:space="preserve">e.g. </w:t>
      </w:r>
      <w:r w:rsidR="006D477F" w:rsidRPr="00E4179D">
        <w:rPr>
          <w:rFonts w:ascii="Times New Roman" w:hAnsi="Times New Roman" w:cs="Times New Roman"/>
          <w:sz w:val="20"/>
          <w:szCs w:val="20"/>
          <w:lang w:val="en-US"/>
        </w:rPr>
        <w:t>SDGs 1, 5, 6,</w:t>
      </w:r>
      <w:r w:rsidR="00105CC3" w:rsidRPr="00E4179D">
        <w:rPr>
          <w:rFonts w:ascii="Times New Roman" w:hAnsi="Times New Roman" w:cs="Times New Roman"/>
          <w:sz w:val="20"/>
          <w:szCs w:val="20"/>
          <w:lang w:val="en-US"/>
        </w:rPr>
        <w:t xml:space="preserve"> </w:t>
      </w:r>
      <w:r w:rsidR="006D477F" w:rsidRPr="00E4179D">
        <w:rPr>
          <w:rFonts w:ascii="Times New Roman" w:hAnsi="Times New Roman" w:cs="Times New Roman"/>
          <w:sz w:val="20"/>
          <w:szCs w:val="20"/>
          <w:lang w:val="en-US"/>
        </w:rPr>
        <w:t>7, 8, 10, 11, 13, 15 and 16</w:t>
      </w:r>
      <w:r w:rsidR="006879E0" w:rsidRPr="00E4179D">
        <w:rPr>
          <w:rFonts w:ascii="Times New Roman" w:hAnsi="Times New Roman" w:cs="Times New Roman"/>
          <w:sz w:val="20"/>
          <w:szCs w:val="20"/>
          <w:lang w:val="en-US"/>
        </w:rPr>
        <w:t>).</w:t>
      </w:r>
    </w:p>
    <w:p w14:paraId="24E0A05D" w14:textId="75DAFE80" w:rsidR="00C365B9" w:rsidRPr="003F027F" w:rsidRDefault="001545FC" w:rsidP="00047245">
      <w:pPr>
        <w:pStyle w:val="Listecouleur-Accent11"/>
        <w:tabs>
          <w:tab w:val="left" w:pos="0"/>
          <w:tab w:val="left" w:pos="1170"/>
          <w:tab w:val="left" w:pos="1800"/>
        </w:tabs>
        <w:spacing w:before="120" w:after="120"/>
        <w:ind w:left="810" w:right="1208"/>
        <w:jc w:val="both"/>
      </w:pPr>
      <w:r w:rsidRPr="003F027F">
        <w:rPr>
          <w:b/>
        </w:rPr>
        <w:t>Pillar One: Promoting good governance for sustainable development</w:t>
      </w:r>
      <w:r w:rsidRPr="003F027F">
        <w:t xml:space="preserve"> </w:t>
      </w:r>
    </w:p>
    <w:p w14:paraId="5874D039" w14:textId="01976689" w:rsidR="00C9769D" w:rsidRDefault="00D773C3" w:rsidP="00047245">
      <w:pPr>
        <w:numPr>
          <w:ilvl w:val="0"/>
          <w:numId w:val="4"/>
        </w:numPr>
        <w:tabs>
          <w:tab w:val="left" w:pos="0"/>
          <w:tab w:val="left" w:pos="851"/>
          <w:tab w:val="left" w:pos="1170"/>
        </w:tabs>
        <w:spacing w:after="120"/>
        <w:ind w:left="810" w:right="1208" w:firstLine="0"/>
        <w:contextualSpacing/>
        <w:jc w:val="both"/>
      </w:pPr>
      <w:r w:rsidRPr="00C9769D">
        <w:t xml:space="preserve">This pillar </w:t>
      </w:r>
      <w:r w:rsidRPr="00620604">
        <w:rPr>
          <w:b/>
        </w:rPr>
        <w:t>strengthen</w:t>
      </w:r>
      <w:r w:rsidR="004A6607">
        <w:rPr>
          <w:b/>
        </w:rPr>
        <w:t>s</w:t>
      </w:r>
      <w:r w:rsidRPr="00620604">
        <w:rPr>
          <w:b/>
        </w:rPr>
        <w:t xml:space="preserve"> government capacity to improve political and economic management, promote economic governance through strengthened public institution</w:t>
      </w:r>
      <w:r w:rsidR="005B1391" w:rsidRPr="00620604">
        <w:rPr>
          <w:b/>
        </w:rPr>
        <w:t xml:space="preserve">s, </w:t>
      </w:r>
      <w:r w:rsidR="000A217C" w:rsidRPr="00304230">
        <w:rPr>
          <w:b/>
        </w:rPr>
        <w:t>and increase</w:t>
      </w:r>
      <w:r w:rsidR="000A217C" w:rsidRPr="00620604">
        <w:rPr>
          <w:b/>
        </w:rPr>
        <w:t xml:space="preserve"> </w:t>
      </w:r>
      <w:r w:rsidR="006B170C" w:rsidRPr="00620604">
        <w:rPr>
          <w:b/>
        </w:rPr>
        <w:t>civil society</w:t>
      </w:r>
      <w:r w:rsidR="000A217C" w:rsidRPr="000B329C">
        <w:rPr>
          <w:b/>
        </w:rPr>
        <w:t xml:space="preserve"> involvement</w:t>
      </w:r>
      <w:r w:rsidR="006B170C" w:rsidRPr="000B329C">
        <w:t xml:space="preserve"> in decision-</w:t>
      </w:r>
      <w:r w:rsidRPr="000B329C">
        <w:t>making</w:t>
      </w:r>
      <w:r w:rsidR="005B1391" w:rsidRPr="000B329C">
        <w:t xml:space="preserve"> and citizen control </w:t>
      </w:r>
      <w:r w:rsidR="000A217C">
        <w:t>in</w:t>
      </w:r>
      <w:r w:rsidR="000A217C" w:rsidRPr="000B329C">
        <w:t xml:space="preserve"> </w:t>
      </w:r>
      <w:r w:rsidR="005B1391" w:rsidRPr="000B329C">
        <w:t>fight</w:t>
      </w:r>
      <w:r w:rsidR="000A217C">
        <w:t>ing</w:t>
      </w:r>
      <w:r w:rsidR="005B1391" w:rsidRPr="000B329C">
        <w:t xml:space="preserve"> corruption</w:t>
      </w:r>
      <w:r w:rsidRPr="000A217C">
        <w:t>.</w:t>
      </w:r>
      <w:r w:rsidRPr="00C9769D">
        <w:t xml:space="preserve"> </w:t>
      </w:r>
      <w:r w:rsidR="000A217C">
        <w:t>D</w:t>
      </w:r>
      <w:r w:rsidRPr="00C9769D">
        <w:t>isaggregated data</w:t>
      </w:r>
      <w:r w:rsidR="000A217C">
        <w:t xml:space="preserve"> will be mined</w:t>
      </w:r>
      <w:r w:rsidRPr="00C9769D">
        <w:t xml:space="preserve">, especially </w:t>
      </w:r>
      <w:r w:rsidR="005B1391" w:rsidRPr="00C9769D">
        <w:t>regarding</w:t>
      </w:r>
      <w:r w:rsidRPr="00C9769D">
        <w:t xml:space="preserve"> gender, </w:t>
      </w:r>
      <w:r w:rsidR="000A217C">
        <w:t>so</w:t>
      </w:r>
      <w:r w:rsidRPr="00C9769D">
        <w:t xml:space="preserve"> specific issues </w:t>
      </w:r>
      <w:r w:rsidR="000A217C">
        <w:t>can be taken more</w:t>
      </w:r>
      <w:r w:rsidR="000A217C" w:rsidRPr="00C9769D">
        <w:t xml:space="preserve"> </w:t>
      </w:r>
      <w:r w:rsidRPr="00C9769D">
        <w:t xml:space="preserve">closely into account </w:t>
      </w:r>
      <w:r w:rsidR="000A217C">
        <w:t>when</w:t>
      </w:r>
      <w:r w:rsidRPr="00C9769D">
        <w:t xml:space="preserve"> monitoring </w:t>
      </w:r>
      <w:r w:rsidR="000A217C">
        <w:t>the</w:t>
      </w:r>
      <w:r w:rsidR="000A217C" w:rsidRPr="00C9769D">
        <w:t xml:space="preserve"> </w:t>
      </w:r>
      <w:r w:rsidRPr="00C9769D">
        <w:t>SDG pathway.</w:t>
      </w:r>
      <w:r w:rsidR="00217A85" w:rsidRPr="00C9769D">
        <w:t xml:space="preserve"> </w:t>
      </w:r>
      <w:r w:rsidRPr="00C9769D">
        <w:t xml:space="preserve">UNDP will continue </w:t>
      </w:r>
      <w:r w:rsidR="000A217C">
        <w:t>supporting the</w:t>
      </w:r>
      <w:r w:rsidRPr="00C9769D">
        <w:t xml:space="preserve"> </w:t>
      </w:r>
      <w:r w:rsidR="00566C1B" w:rsidRPr="00C9769D">
        <w:t>harmoniz</w:t>
      </w:r>
      <w:r w:rsidRPr="00C9769D">
        <w:t>ation and dissemination of</w:t>
      </w:r>
      <w:r w:rsidR="00566C1B" w:rsidRPr="00C9769D">
        <w:t xml:space="preserve"> legal and regulatory framework</w:t>
      </w:r>
      <w:r w:rsidR="000A217C">
        <w:t>s</w:t>
      </w:r>
      <w:r w:rsidR="00566C1B" w:rsidRPr="00C9769D">
        <w:t xml:space="preserve"> to ensure </w:t>
      </w:r>
      <w:r w:rsidR="000A217C">
        <w:t xml:space="preserve">local </w:t>
      </w:r>
      <w:r w:rsidR="00566C1B" w:rsidRPr="00C9769D">
        <w:t>ownership and improve institut</w:t>
      </w:r>
      <w:r w:rsidR="00A2601D" w:rsidRPr="00C9769D">
        <w:t>ional performance</w:t>
      </w:r>
      <w:r w:rsidR="000A217C">
        <w:t>, as well as</w:t>
      </w:r>
      <w:r w:rsidR="00A2601D" w:rsidRPr="00C9769D">
        <w:t xml:space="preserve"> support m</w:t>
      </w:r>
      <w:r w:rsidR="00566C1B" w:rsidRPr="00C9769D">
        <w:t xml:space="preserve">inistries and </w:t>
      </w:r>
      <w:r w:rsidR="00A2601D" w:rsidRPr="00C9769D">
        <w:t>i</w:t>
      </w:r>
      <w:r w:rsidR="00566C1B" w:rsidRPr="00C9769D">
        <w:t>nstitutions</w:t>
      </w:r>
      <w:r w:rsidR="00566C1B" w:rsidRPr="00C9769D">
        <w:rPr>
          <w:vertAlign w:val="superscript"/>
        </w:rPr>
        <w:t xml:space="preserve"> </w:t>
      </w:r>
      <w:r w:rsidR="004A6607">
        <w:t>in</w:t>
      </w:r>
      <w:r w:rsidR="004A6607" w:rsidRPr="00C9769D">
        <w:t xml:space="preserve"> </w:t>
      </w:r>
      <w:r w:rsidR="00566C1B" w:rsidRPr="00C9769D">
        <w:t>address</w:t>
      </w:r>
      <w:r w:rsidR="004A6607">
        <w:t>ing</w:t>
      </w:r>
      <w:r w:rsidR="00566C1B" w:rsidRPr="00C9769D">
        <w:t xml:space="preserve"> gaps</w:t>
      </w:r>
      <w:r w:rsidR="005D140F" w:rsidRPr="00C9769D">
        <w:t>,</w:t>
      </w:r>
      <w:r w:rsidR="00566C1B" w:rsidRPr="00C9769D">
        <w:t xml:space="preserve"> </w:t>
      </w:r>
      <w:r w:rsidR="000A217C">
        <w:t>identify</w:t>
      </w:r>
      <w:r w:rsidR="004A6607">
        <w:t>ing</w:t>
      </w:r>
      <w:r w:rsidR="000A217C">
        <w:t xml:space="preserve"> </w:t>
      </w:r>
      <w:r w:rsidR="00566C1B" w:rsidRPr="00C9769D">
        <w:t xml:space="preserve">contradictions </w:t>
      </w:r>
      <w:r w:rsidR="00897574">
        <w:t>in</w:t>
      </w:r>
      <w:r w:rsidR="00897574" w:rsidRPr="00C9769D">
        <w:t xml:space="preserve"> </w:t>
      </w:r>
      <w:r w:rsidR="00566C1B" w:rsidRPr="00C9769D">
        <w:t>new laws, decrees, codes</w:t>
      </w:r>
      <w:r w:rsidR="005D140F" w:rsidRPr="00C9769D">
        <w:t>,</w:t>
      </w:r>
      <w:r w:rsidR="00566C1B" w:rsidRPr="00C9769D">
        <w:t xml:space="preserve"> regulations</w:t>
      </w:r>
      <w:r w:rsidR="000A217C">
        <w:t>,</w:t>
      </w:r>
      <w:r w:rsidR="00566C1B" w:rsidRPr="00C9769D">
        <w:t xml:space="preserve"> and ensur</w:t>
      </w:r>
      <w:r w:rsidR="004A6607">
        <w:t>ing national</w:t>
      </w:r>
      <w:r w:rsidR="00566C1B" w:rsidRPr="00C9769D">
        <w:t xml:space="preserve"> compliance with international obligations and standards. UNDP will continue</w:t>
      </w:r>
      <w:r w:rsidR="000A217C">
        <w:t xml:space="preserve"> to</w:t>
      </w:r>
      <w:r w:rsidR="00566C1B" w:rsidRPr="00C9769D">
        <w:t xml:space="preserve"> support </w:t>
      </w:r>
      <w:r w:rsidR="000A217C">
        <w:t>s</w:t>
      </w:r>
      <w:r w:rsidR="001C3D36" w:rsidRPr="00C9769D">
        <w:t xml:space="preserve">ecurity </w:t>
      </w:r>
      <w:r w:rsidR="000A217C">
        <w:t>s</w:t>
      </w:r>
      <w:r w:rsidR="00566C1B" w:rsidRPr="00C9769D">
        <w:t>ector reforms</w:t>
      </w:r>
      <w:r w:rsidR="001C3D36" w:rsidRPr="00C9769D">
        <w:t>,</w:t>
      </w:r>
      <w:r w:rsidR="00566C1B" w:rsidRPr="00C9769D">
        <w:t xml:space="preserve"> </w:t>
      </w:r>
      <w:r w:rsidR="00BE17C7" w:rsidRPr="00C9769D">
        <w:t>rule of law</w:t>
      </w:r>
      <w:r w:rsidR="00566C1B" w:rsidRPr="00C9769D">
        <w:t xml:space="preserve"> and </w:t>
      </w:r>
      <w:r w:rsidR="00897574">
        <w:t xml:space="preserve">the </w:t>
      </w:r>
      <w:r w:rsidR="00566C1B" w:rsidRPr="00C9769D">
        <w:t xml:space="preserve">implementation of </w:t>
      </w:r>
      <w:r w:rsidR="000A217C">
        <w:t>critical</w:t>
      </w:r>
      <w:r w:rsidR="000A217C" w:rsidRPr="00C9769D">
        <w:t xml:space="preserve"> </w:t>
      </w:r>
      <w:r w:rsidR="00566C1B" w:rsidRPr="00C9769D">
        <w:t>laws through advocacy, enforcement and monitoring</w:t>
      </w:r>
      <w:r w:rsidR="000A217C">
        <w:t xml:space="preserve"> practices</w:t>
      </w:r>
      <w:r w:rsidR="00566C1B" w:rsidRPr="00C9769D">
        <w:t xml:space="preserve">. </w:t>
      </w:r>
      <w:r w:rsidR="000A217C">
        <w:t>Plans are in place to improve the</w:t>
      </w:r>
      <w:r w:rsidR="000A217C" w:rsidRPr="00C9769D">
        <w:t xml:space="preserve"> </w:t>
      </w:r>
      <w:r w:rsidR="00536EA6" w:rsidRPr="00C9769D">
        <w:t xml:space="preserve">participation </w:t>
      </w:r>
      <w:r w:rsidR="00566C1B" w:rsidRPr="00C9769D">
        <w:t xml:space="preserve">of civil society organizations, women, youth and </w:t>
      </w:r>
      <w:r w:rsidR="000A217C">
        <w:t>people with disabilities</w:t>
      </w:r>
      <w:r w:rsidR="000A217C" w:rsidRPr="00C9769D">
        <w:t xml:space="preserve"> </w:t>
      </w:r>
      <w:r w:rsidR="00536EA6" w:rsidRPr="00C9769D">
        <w:t>in</w:t>
      </w:r>
      <w:r w:rsidR="00566C1B" w:rsidRPr="00C9769D">
        <w:t xml:space="preserve"> </w:t>
      </w:r>
      <w:r w:rsidR="00536EA6" w:rsidRPr="00C9769D">
        <w:t xml:space="preserve">political, economic and social </w:t>
      </w:r>
      <w:r w:rsidR="00566C1B" w:rsidRPr="00C9769D">
        <w:t>decision-making</w:t>
      </w:r>
      <w:r w:rsidR="001C3D36" w:rsidRPr="00C9769D">
        <w:t xml:space="preserve"> </w:t>
      </w:r>
      <w:r w:rsidR="000A217C">
        <w:t>spheres. UNDP will help</w:t>
      </w:r>
      <w:r w:rsidR="00566C1B" w:rsidRPr="00C9769D">
        <w:t xml:space="preserve"> build </w:t>
      </w:r>
      <w:r w:rsidR="00C6301D">
        <w:t>community</w:t>
      </w:r>
      <w:r w:rsidR="00C6301D" w:rsidRPr="00C9769D">
        <w:t xml:space="preserve"> </w:t>
      </w:r>
      <w:r w:rsidR="00566C1B" w:rsidRPr="00C9769D">
        <w:t>capacity</w:t>
      </w:r>
      <w:r w:rsidR="00B415CF">
        <w:t>,</w:t>
      </w:r>
      <w:r w:rsidR="00566C1B" w:rsidRPr="00C9769D">
        <w:t xml:space="preserve"> and advoca</w:t>
      </w:r>
      <w:r w:rsidR="008372A2" w:rsidRPr="00C9769D">
        <w:t xml:space="preserve">te </w:t>
      </w:r>
      <w:r w:rsidR="00566C1B" w:rsidRPr="00C9769D">
        <w:t xml:space="preserve">for increased </w:t>
      </w:r>
      <w:r w:rsidR="000A217C">
        <w:t>female</w:t>
      </w:r>
      <w:r w:rsidR="000A217C" w:rsidRPr="00C9769D">
        <w:t xml:space="preserve"> </w:t>
      </w:r>
      <w:r w:rsidR="00566C1B" w:rsidRPr="00C9769D">
        <w:t>participation in public institutions</w:t>
      </w:r>
      <w:r w:rsidR="008372A2" w:rsidRPr="00C9769D">
        <w:t xml:space="preserve"> and</w:t>
      </w:r>
      <w:r w:rsidR="00566C1B" w:rsidRPr="00C9769D">
        <w:t xml:space="preserve"> </w:t>
      </w:r>
      <w:r w:rsidR="000A217C">
        <w:t xml:space="preserve">the </w:t>
      </w:r>
      <w:r w:rsidR="00566C1B" w:rsidRPr="00C9769D">
        <w:t>private sector</w:t>
      </w:r>
      <w:r w:rsidR="00A2601D" w:rsidRPr="00C9769D">
        <w:t>.</w:t>
      </w:r>
      <w:r w:rsidR="00105CC3">
        <w:t xml:space="preserve"> </w:t>
      </w:r>
      <w:r w:rsidR="000A217C">
        <w:t xml:space="preserve">UNDP will support the </w:t>
      </w:r>
      <w:r w:rsidR="00566C1B" w:rsidRPr="00C9769D">
        <w:t xml:space="preserve">creation and operationalization of regional development zones to exercise legal and constitutional </w:t>
      </w:r>
      <w:r w:rsidR="000A217C" w:rsidRPr="00C9769D">
        <w:t>privileges</w:t>
      </w:r>
      <w:r w:rsidR="000A217C">
        <w:t>, and assist</w:t>
      </w:r>
      <w:r w:rsidR="00566C1B" w:rsidRPr="00C9769D">
        <w:t xml:space="preserve"> institutions and local governments </w:t>
      </w:r>
      <w:r w:rsidR="000A217C">
        <w:t>in the</w:t>
      </w:r>
      <w:r w:rsidR="000A217C" w:rsidRPr="00C9769D">
        <w:t xml:space="preserve"> </w:t>
      </w:r>
      <w:r w:rsidR="00566C1B" w:rsidRPr="00C9769D">
        <w:t>formulat</w:t>
      </w:r>
      <w:r w:rsidR="000A217C">
        <w:t>ion</w:t>
      </w:r>
      <w:r w:rsidR="00566C1B" w:rsidRPr="00C9769D">
        <w:t xml:space="preserve"> and implement</w:t>
      </w:r>
      <w:r w:rsidR="000A217C">
        <w:t>ation of</w:t>
      </w:r>
      <w:r w:rsidR="00566C1B" w:rsidRPr="00C9769D">
        <w:t xml:space="preserve"> inclusive, participatory</w:t>
      </w:r>
      <w:r w:rsidR="000A217C">
        <w:t>,</w:t>
      </w:r>
      <w:r w:rsidR="00566C1B" w:rsidRPr="00C9769D">
        <w:t xml:space="preserve"> socio-economic</w:t>
      </w:r>
      <w:r w:rsidR="000A217C">
        <w:t xml:space="preserve"> and</w:t>
      </w:r>
      <w:r w:rsidR="00566C1B" w:rsidRPr="00C9769D">
        <w:t xml:space="preserve"> SDG-localized development plans</w:t>
      </w:r>
      <w:r w:rsidR="000A217C">
        <w:t xml:space="preserve">. This will be done </w:t>
      </w:r>
      <w:r w:rsidR="00B415CF">
        <w:t>regionally</w:t>
      </w:r>
      <w:r w:rsidR="003029D0" w:rsidRPr="00C9769D">
        <w:t xml:space="preserve"> and</w:t>
      </w:r>
      <w:r w:rsidR="00566C1B" w:rsidRPr="00C9769D">
        <w:t xml:space="preserve"> </w:t>
      </w:r>
      <w:r w:rsidR="000A217C">
        <w:t xml:space="preserve">in target </w:t>
      </w:r>
      <w:r w:rsidR="00566C1B" w:rsidRPr="00C9769D">
        <w:t xml:space="preserve">development zones </w:t>
      </w:r>
      <w:r w:rsidR="000A217C">
        <w:t>where</w:t>
      </w:r>
      <w:r w:rsidR="00566C1B" w:rsidRPr="00C9769D">
        <w:t xml:space="preserve"> fast</w:t>
      </w:r>
      <w:r w:rsidR="00B415CF">
        <w:t xml:space="preserve"> </w:t>
      </w:r>
      <w:r w:rsidR="000A217C">
        <w:t xml:space="preserve">growth is anticipated </w:t>
      </w:r>
      <w:r w:rsidR="00566C1B" w:rsidRPr="00C9769D">
        <w:t xml:space="preserve">and </w:t>
      </w:r>
      <w:r w:rsidR="00BF4494">
        <w:t>targets</w:t>
      </w:r>
      <w:r w:rsidR="000A217C">
        <w:t xml:space="preserve"> can be met</w:t>
      </w:r>
      <w:r w:rsidR="003029D0" w:rsidRPr="00C9769D">
        <w:t>.</w:t>
      </w:r>
      <w:r w:rsidR="00566C1B" w:rsidRPr="00C9769D">
        <w:t xml:space="preserve"> </w:t>
      </w:r>
      <w:r w:rsidR="003029D0" w:rsidRPr="00C9769D">
        <w:t xml:space="preserve">Specific </w:t>
      </w:r>
      <w:r w:rsidR="00566C1B" w:rsidRPr="00C9769D">
        <w:t xml:space="preserve">attention </w:t>
      </w:r>
      <w:r w:rsidR="003029D0" w:rsidRPr="00C9769D">
        <w:t xml:space="preserve">will be given </w:t>
      </w:r>
      <w:r w:rsidR="00566C1B" w:rsidRPr="00C9769D">
        <w:t xml:space="preserve">to youth and women’s employment, adaptation to climate change, security and conflict prevention. </w:t>
      </w:r>
      <w:r w:rsidR="00BF4494">
        <w:t>This will be done to strengthen w</w:t>
      </w:r>
      <w:r w:rsidR="00566C1B" w:rsidRPr="00C9769D">
        <w:t>omen’s participation</w:t>
      </w:r>
      <w:r w:rsidR="000A217C">
        <w:t>,</w:t>
      </w:r>
      <w:r w:rsidR="00566C1B" w:rsidRPr="00C9769D">
        <w:t xml:space="preserve"> as voters, election </w:t>
      </w:r>
      <w:r w:rsidR="00807C1F" w:rsidRPr="00C9769D">
        <w:t>candidates</w:t>
      </w:r>
      <w:r w:rsidR="00807C1F">
        <w:t>,</w:t>
      </w:r>
      <w:r w:rsidR="00807C1F" w:rsidRPr="00C9769D">
        <w:t xml:space="preserve"> </w:t>
      </w:r>
      <w:r w:rsidR="00566C1B" w:rsidRPr="00C9769D">
        <w:t>monitors and observers</w:t>
      </w:r>
      <w:r w:rsidR="000A217C">
        <w:t>,</w:t>
      </w:r>
      <w:r w:rsidR="005B1F70" w:rsidRPr="00C9769D">
        <w:t xml:space="preserve"> </w:t>
      </w:r>
      <w:r w:rsidR="00BF4494">
        <w:t>alongside building the capacity of</w:t>
      </w:r>
      <w:r w:rsidR="000A217C" w:rsidRPr="00C9769D">
        <w:t xml:space="preserve"> </w:t>
      </w:r>
      <w:r w:rsidR="00566C1B" w:rsidRPr="00C9769D">
        <w:t>early warning systems</w:t>
      </w:r>
      <w:r w:rsidR="000A217C">
        <w:t xml:space="preserve"> for conflict</w:t>
      </w:r>
      <w:r w:rsidR="00566C1B" w:rsidRPr="00C9769D">
        <w:t>, citizen control and oversight</w:t>
      </w:r>
      <w:r w:rsidR="005576CD" w:rsidRPr="00C9769D">
        <w:t>.</w:t>
      </w:r>
    </w:p>
    <w:p w14:paraId="1464FCA4" w14:textId="77777777" w:rsidR="00C9769D" w:rsidRPr="00DB4DD4" w:rsidRDefault="00C9769D" w:rsidP="00047245">
      <w:pPr>
        <w:tabs>
          <w:tab w:val="left" w:pos="0"/>
          <w:tab w:val="left" w:pos="1170"/>
          <w:tab w:val="left" w:pos="1800"/>
        </w:tabs>
        <w:ind w:left="810" w:right="1208"/>
        <w:contextualSpacing/>
        <w:jc w:val="both"/>
        <w:rPr>
          <w:sz w:val="12"/>
          <w:szCs w:val="12"/>
        </w:rPr>
      </w:pPr>
    </w:p>
    <w:p w14:paraId="013CE291" w14:textId="40B6D253" w:rsidR="00167512" w:rsidRPr="00C9769D" w:rsidRDefault="001C77C0" w:rsidP="00047245">
      <w:pPr>
        <w:numPr>
          <w:ilvl w:val="0"/>
          <w:numId w:val="4"/>
        </w:numPr>
        <w:tabs>
          <w:tab w:val="left" w:pos="0"/>
          <w:tab w:val="left" w:pos="567"/>
          <w:tab w:val="left" w:pos="1170"/>
        </w:tabs>
        <w:ind w:left="810" w:right="1208" w:firstLine="0"/>
        <w:contextualSpacing/>
        <w:jc w:val="both"/>
      </w:pPr>
      <w:r>
        <w:t>Such</w:t>
      </w:r>
      <w:r w:rsidRPr="00C9769D">
        <w:t xml:space="preserve"> </w:t>
      </w:r>
      <w:r w:rsidR="00EA07DD" w:rsidRPr="00C9769D">
        <w:t>interventions will contribute to increas</w:t>
      </w:r>
      <w:r>
        <w:t>ed</w:t>
      </w:r>
      <w:r w:rsidR="00EA07DD" w:rsidRPr="00C9769D">
        <w:t xml:space="preserve"> public trust in national institutions and ensur</w:t>
      </w:r>
      <w:r w:rsidR="000A217C">
        <w:t>ing</w:t>
      </w:r>
      <w:r w:rsidR="005B1F70" w:rsidRPr="00C9769D">
        <w:t xml:space="preserve"> </w:t>
      </w:r>
      <w:r w:rsidR="00EA07DD" w:rsidRPr="00C9769D">
        <w:t xml:space="preserve">more inclusive and effective citizen participation, </w:t>
      </w:r>
      <w:r w:rsidR="000A217C">
        <w:t>thereby</w:t>
      </w:r>
      <w:r w:rsidR="000A217C" w:rsidRPr="00C9769D">
        <w:t xml:space="preserve"> </w:t>
      </w:r>
      <w:r w:rsidR="00EA07DD" w:rsidRPr="00C9769D">
        <w:t>promoting good democratic governance and rule of law</w:t>
      </w:r>
      <w:r w:rsidR="00807C1F">
        <w:t xml:space="preserve"> in line </w:t>
      </w:r>
      <w:r w:rsidR="00EA07DD" w:rsidRPr="00C9769D">
        <w:t xml:space="preserve">with SDGs 10 and 16. </w:t>
      </w:r>
      <w:r>
        <w:t>The national government will nurture p</w:t>
      </w:r>
      <w:r w:rsidR="00EA07DD" w:rsidRPr="00C9769D">
        <w:t>artnership</w:t>
      </w:r>
      <w:r w:rsidR="00221B37" w:rsidRPr="00C9769D">
        <w:t>s</w:t>
      </w:r>
      <w:r>
        <w:t xml:space="preserve"> </w:t>
      </w:r>
      <w:r w:rsidR="00221B37" w:rsidRPr="00C9769D">
        <w:t xml:space="preserve">with: (i) </w:t>
      </w:r>
      <w:r w:rsidR="006B37A0">
        <w:t xml:space="preserve">the </w:t>
      </w:r>
      <w:r w:rsidR="00221B37" w:rsidRPr="00C9769D">
        <w:t>European Union on elections</w:t>
      </w:r>
      <w:r w:rsidR="00A93020" w:rsidRPr="00C9769D">
        <w:t>, institutional reforms</w:t>
      </w:r>
      <w:r w:rsidR="00221B37" w:rsidRPr="00C9769D">
        <w:t xml:space="preserve"> and local development,</w:t>
      </w:r>
      <w:r w:rsidR="00A93020" w:rsidRPr="00C9769D">
        <w:t xml:space="preserve"> </w:t>
      </w:r>
      <w:r w:rsidR="00AE06BE" w:rsidRPr="00C9769D">
        <w:t xml:space="preserve">through </w:t>
      </w:r>
      <w:r w:rsidR="006B37A0">
        <w:t>the</w:t>
      </w:r>
      <w:r w:rsidR="006B37A0" w:rsidRPr="00C9769D">
        <w:t xml:space="preserve"> </w:t>
      </w:r>
      <w:r w:rsidR="00527570" w:rsidRPr="00C9769D">
        <w:t xml:space="preserve">National </w:t>
      </w:r>
      <w:r w:rsidR="00807C1F">
        <w:t>I</w:t>
      </w:r>
      <w:r w:rsidR="00527570" w:rsidRPr="00C9769D">
        <w:t>ndicative Programme (2014-2020)</w:t>
      </w:r>
      <w:r w:rsidR="00FE1B14" w:rsidRPr="00C9769D">
        <w:t xml:space="preserve"> and </w:t>
      </w:r>
      <w:r w:rsidR="00527570" w:rsidRPr="00C9769D">
        <w:t>Civil Society Support Programme</w:t>
      </w:r>
      <w:r w:rsidR="00221B37" w:rsidRPr="00C9769D">
        <w:t>;</w:t>
      </w:r>
      <w:r w:rsidR="00FE1B14" w:rsidRPr="00C9769D">
        <w:t xml:space="preserve"> </w:t>
      </w:r>
      <w:r w:rsidR="00A93020" w:rsidRPr="00C9769D">
        <w:t>(ii)</w:t>
      </w:r>
      <w:r w:rsidR="006B37A0">
        <w:t xml:space="preserve"> the </w:t>
      </w:r>
      <w:r w:rsidR="00EA07DD" w:rsidRPr="00C9769D">
        <w:t>United Nations High Commissioner for Human Rights (</w:t>
      </w:r>
      <w:r w:rsidR="005B1F70" w:rsidRPr="00C9769D">
        <w:t>OH</w:t>
      </w:r>
      <w:r w:rsidR="00EA07DD" w:rsidRPr="00C9769D">
        <w:t>CHR)</w:t>
      </w:r>
      <w:r w:rsidR="00221B37" w:rsidRPr="00C9769D">
        <w:t>,</w:t>
      </w:r>
      <w:r w:rsidR="00FE1B14" w:rsidRPr="00C9769D">
        <w:t xml:space="preserve"> </w:t>
      </w:r>
      <w:r w:rsidR="00221B37" w:rsidRPr="00C9769D">
        <w:t xml:space="preserve">Open Society Initiative for West </w:t>
      </w:r>
      <w:r w:rsidR="00202EBB" w:rsidRPr="00C9769D">
        <w:t>Africa</w:t>
      </w:r>
      <w:r w:rsidR="004A6607">
        <w:t>,</w:t>
      </w:r>
      <w:r w:rsidR="006B37A0">
        <w:t xml:space="preserve"> and</w:t>
      </w:r>
      <w:r w:rsidR="00221B37" w:rsidRPr="00C9769D">
        <w:t xml:space="preserve"> National Democratic Institute </w:t>
      </w:r>
      <w:r w:rsidR="00FE1B14" w:rsidRPr="00C9769D">
        <w:t>on conflict prevention and</w:t>
      </w:r>
      <w:r w:rsidR="006D2145" w:rsidRPr="00C9769D">
        <w:t xml:space="preserve"> </w:t>
      </w:r>
      <w:r w:rsidR="00105CC3">
        <w:t xml:space="preserve">national </w:t>
      </w:r>
      <w:r w:rsidR="006D2145" w:rsidRPr="00C9769D">
        <w:t>reconciliation</w:t>
      </w:r>
      <w:r w:rsidR="00A93020" w:rsidRPr="00C9769D">
        <w:t>, (iii)</w:t>
      </w:r>
      <w:r w:rsidR="00B16D64" w:rsidRPr="00C9769D">
        <w:t xml:space="preserve"> </w:t>
      </w:r>
      <w:r w:rsidR="006B37A0">
        <w:t>the European Union, governments of</w:t>
      </w:r>
      <w:r w:rsidR="00FE1B14" w:rsidRPr="00C9769D">
        <w:t xml:space="preserve"> </w:t>
      </w:r>
      <w:r w:rsidR="00EA07DD" w:rsidRPr="00C9769D">
        <w:t>Japan</w:t>
      </w:r>
      <w:r w:rsidR="006B37A0">
        <w:t xml:space="preserve"> and</w:t>
      </w:r>
      <w:r w:rsidR="00EA07DD" w:rsidRPr="00C9769D">
        <w:t xml:space="preserve"> France</w:t>
      </w:r>
      <w:r w:rsidR="00F41AAC">
        <w:t>,</w:t>
      </w:r>
      <w:r w:rsidR="00FE1B14" w:rsidRPr="00C9769D">
        <w:rPr>
          <w:rStyle w:val="FootnoteReference"/>
        </w:rPr>
        <w:footnoteReference w:id="27"/>
      </w:r>
      <w:r w:rsidR="00EA07DD" w:rsidRPr="00C9769D">
        <w:t xml:space="preserve"> </w:t>
      </w:r>
      <w:r w:rsidR="006B37A0">
        <w:t xml:space="preserve">and </w:t>
      </w:r>
      <w:r w:rsidR="00EA07DD" w:rsidRPr="00C9769D">
        <w:t>USAID</w:t>
      </w:r>
      <w:r w:rsidR="00FE1B14" w:rsidRPr="00C9769D">
        <w:t xml:space="preserve"> collaborating</w:t>
      </w:r>
      <w:r w:rsidR="005D7616" w:rsidRPr="00C9769D">
        <w:t xml:space="preserve"> </w:t>
      </w:r>
      <w:r w:rsidR="00A93020" w:rsidRPr="00C9769D">
        <w:t>on S</w:t>
      </w:r>
      <w:r w:rsidR="000B329C">
        <w:t xml:space="preserve">ecurity </w:t>
      </w:r>
      <w:r w:rsidR="00A93020" w:rsidRPr="00C9769D">
        <w:t>S</w:t>
      </w:r>
      <w:r w:rsidR="000B329C">
        <w:t>ector</w:t>
      </w:r>
      <w:r w:rsidR="00215AAE">
        <w:t xml:space="preserve"> </w:t>
      </w:r>
      <w:r w:rsidR="00A93020" w:rsidRPr="00C9769D">
        <w:t>R</w:t>
      </w:r>
      <w:r w:rsidR="000B329C">
        <w:t>eform</w:t>
      </w:r>
      <w:r w:rsidR="00EA07DD" w:rsidRPr="00C9769D">
        <w:t>,</w:t>
      </w:r>
      <w:r w:rsidR="006B37A0">
        <w:t xml:space="preserve"> and </w:t>
      </w:r>
      <w:r w:rsidR="00A93020" w:rsidRPr="00C9769D">
        <w:t>(iv)</w:t>
      </w:r>
      <w:r w:rsidR="00EA07DD" w:rsidRPr="00C9769D">
        <w:t xml:space="preserve"> the private sector</w:t>
      </w:r>
      <w:r w:rsidR="00620604">
        <w:t>,</w:t>
      </w:r>
      <w:r w:rsidR="00EA07DD" w:rsidRPr="00C9769D">
        <w:t xml:space="preserve"> especially mining</w:t>
      </w:r>
      <w:r w:rsidR="0042398F" w:rsidRPr="00C9769D">
        <w:t xml:space="preserve"> and </w:t>
      </w:r>
      <w:r w:rsidR="00EA07DD" w:rsidRPr="00C9769D">
        <w:t>ancillary sectors</w:t>
      </w:r>
      <w:r w:rsidR="00620604">
        <w:t xml:space="preserve"> to </w:t>
      </w:r>
      <w:r w:rsidR="00B16D64" w:rsidRPr="00C9769D">
        <w:t>capitaliz</w:t>
      </w:r>
      <w:r w:rsidR="00620604">
        <w:t>e</w:t>
      </w:r>
      <w:r w:rsidR="00B16D64" w:rsidRPr="00C9769D">
        <w:t xml:space="preserve"> on </w:t>
      </w:r>
      <w:r w:rsidR="00105CC3">
        <w:t xml:space="preserve">ongoing </w:t>
      </w:r>
      <w:r w:rsidR="00B16D64" w:rsidRPr="00C9769D">
        <w:t>partnership</w:t>
      </w:r>
      <w:r w:rsidR="00620604">
        <w:t>s</w:t>
      </w:r>
      <w:r w:rsidR="00B16D64" w:rsidRPr="00C9769D">
        <w:t xml:space="preserve"> with the Chamber of Mines</w:t>
      </w:r>
      <w:r w:rsidR="00EA07DD" w:rsidRPr="00C9769D">
        <w:t xml:space="preserve">. </w:t>
      </w:r>
      <w:r w:rsidR="00620604">
        <w:t>Part of the</w:t>
      </w:r>
      <w:r w:rsidR="00620604" w:rsidRPr="00C9769D">
        <w:t xml:space="preserve"> </w:t>
      </w:r>
      <w:r w:rsidR="00EA07DD" w:rsidRPr="00C9769D">
        <w:t xml:space="preserve">programme </w:t>
      </w:r>
      <w:r w:rsidR="00620604">
        <w:t>includes forging new</w:t>
      </w:r>
      <w:r w:rsidR="00EA07DD" w:rsidRPr="00C9769D">
        <w:t xml:space="preserve"> partnerships</w:t>
      </w:r>
      <w:r w:rsidR="00620604">
        <w:t xml:space="preserve"> with regional bodies</w:t>
      </w:r>
      <w:r w:rsidR="005D7616" w:rsidRPr="00C9769D">
        <w:t xml:space="preserve"> on emerging and </w:t>
      </w:r>
      <w:r w:rsidR="00B80FE8" w:rsidRPr="00C9769D">
        <w:t>cross border</w:t>
      </w:r>
      <w:r w:rsidR="005D7616" w:rsidRPr="00C9769D">
        <w:t xml:space="preserve"> issues such as migration and risk management </w:t>
      </w:r>
      <w:r w:rsidR="009571D9" w:rsidRPr="00C9769D">
        <w:t>(</w:t>
      </w:r>
      <w:r w:rsidR="00620604">
        <w:t xml:space="preserve">e.g. </w:t>
      </w:r>
      <w:r w:rsidR="00EA07DD" w:rsidRPr="00C9769D">
        <w:t>African Union</w:t>
      </w:r>
      <w:r w:rsidR="009571D9" w:rsidRPr="00C9769D">
        <w:t xml:space="preserve">, </w:t>
      </w:r>
      <w:r w:rsidR="00EA07DD" w:rsidRPr="00C9769D">
        <w:t>Economic Community of West African States</w:t>
      </w:r>
      <w:r w:rsidR="009571D9" w:rsidRPr="00C9769D">
        <w:t xml:space="preserve">, </w:t>
      </w:r>
      <w:r w:rsidR="00620604">
        <w:t xml:space="preserve">and </w:t>
      </w:r>
      <w:r w:rsidR="009571D9" w:rsidRPr="00C9769D">
        <w:t xml:space="preserve">Mano River Union). </w:t>
      </w:r>
    </w:p>
    <w:p w14:paraId="17CC96FD" w14:textId="77777777" w:rsidR="001E254D" w:rsidRPr="003F027F" w:rsidRDefault="001E254D" w:rsidP="00047245">
      <w:pPr>
        <w:pStyle w:val="Listecouleur-Accent11"/>
        <w:tabs>
          <w:tab w:val="left" w:pos="0"/>
          <w:tab w:val="left" w:pos="1170"/>
          <w:tab w:val="left" w:pos="1800"/>
        </w:tabs>
        <w:spacing w:before="120" w:after="120"/>
        <w:ind w:left="810" w:right="1208"/>
        <w:jc w:val="both"/>
      </w:pPr>
      <w:r w:rsidRPr="003F027F">
        <w:rPr>
          <w:b/>
        </w:rPr>
        <w:t>Pillar Two: Economic transformation and sustainable management of natural capital</w:t>
      </w:r>
    </w:p>
    <w:p w14:paraId="1E83BFFE" w14:textId="70265610" w:rsidR="003F027F" w:rsidRDefault="009D66A5" w:rsidP="00047245">
      <w:pPr>
        <w:numPr>
          <w:ilvl w:val="0"/>
          <w:numId w:val="4"/>
        </w:numPr>
        <w:tabs>
          <w:tab w:val="left" w:pos="0"/>
          <w:tab w:val="left" w:pos="851"/>
          <w:tab w:val="left" w:pos="1170"/>
        </w:tabs>
        <w:spacing w:before="120" w:after="120"/>
        <w:ind w:left="810" w:right="1208" w:firstLine="0"/>
        <w:contextualSpacing/>
        <w:jc w:val="both"/>
      </w:pPr>
      <w:r w:rsidRPr="00C9769D">
        <w:t xml:space="preserve">This </w:t>
      </w:r>
      <w:r w:rsidR="006B170C" w:rsidRPr="00C9769D">
        <w:t>second pilla</w:t>
      </w:r>
      <w:r w:rsidR="00DA25A2" w:rsidRPr="00C9769D">
        <w:t>r</w:t>
      </w:r>
      <w:r w:rsidR="006B170C" w:rsidRPr="00C9769D">
        <w:t xml:space="preserve"> </w:t>
      </w:r>
      <w:r w:rsidR="00EA07DD" w:rsidRPr="00105CC3">
        <w:rPr>
          <w:b/>
        </w:rPr>
        <w:t>focus</w:t>
      </w:r>
      <w:r w:rsidR="00620604">
        <w:rPr>
          <w:b/>
        </w:rPr>
        <w:t>es</w:t>
      </w:r>
      <w:r w:rsidR="00EA07DD" w:rsidRPr="00105CC3">
        <w:rPr>
          <w:b/>
        </w:rPr>
        <w:t xml:space="preserve"> </w:t>
      </w:r>
      <w:r w:rsidR="00065606" w:rsidRPr="00105CC3">
        <w:rPr>
          <w:b/>
        </w:rPr>
        <w:t>on promot</w:t>
      </w:r>
      <w:r w:rsidR="00620604">
        <w:rPr>
          <w:b/>
        </w:rPr>
        <w:t>ing</w:t>
      </w:r>
      <w:r w:rsidR="00065606" w:rsidRPr="00105CC3">
        <w:rPr>
          <w:b/>
        </w:rPr>
        <w:t xml:space="preserve"> inclusive growth through value chains in high economic potential zones, job creation to sustain local</w:t>
      </w:r>
      <w:r w:rsidR="00620604">
        <w:rPr>
          <w:b/>
        </w:rPr>
        <w:t>,</w:t>
      </w:r>
      <w:r w:rsidR="00065606" w:rsidRPr="00105CC3">
        <w:rPr>
          <w:b/>
        </w:rPr>
        <w:t xml:space="preserve"> </w:t>
      </w:r>
      <w:r w:rsidR="009949F3" w:rsidRPr="00105CC3">
        <w:rPr>
          <w:b/>
        </w:rPr>
        <w:t xml:space="preserve">emerging </w:t>
      </w:r>
      <w:r w:rsidR="00065606" w:rsidRPr="00105CC3">
        <w:rPr>
          <w:b/>
        </w:rPr>
        <w:t>growth</w:t>
      </w:r>
      <w:r w:rsidR="00730E8C" w:rsidRPr="00105CC3">
        <w:rPr>
          <w:b/>
        </w:rPr>
        <w:t xml:space="preserve">, </w:t>
      </w:r>
      <w:r w:rsidR="00620604">
        <w:rPr>
          <w:b/>
        </w:rPr>
        <w:t xml:space="preserve">improving </w:t>
      </w:r>
      <w:r w:rsidR="00B639CB" w:rsidRPr="00105CC3">
        <w:rPr>
          <w:b/>
        </w:rPr>
        <w:t>community</w:t>
      </w:r>
      <w:r w:rsidRPr="00105CC3">
        <w:rPr>
          <w:b/>
        </w:rPr>
        <w:t xml:space="preserve"> </w:t>
      </w:r>
      <w:r w:rsidR="00730E8C" w:rsidRPr="00105CC3">
        <w:rPr>
          <w:b/>
        </w:rPr>
        <w:t>resilience to shocks</w:t>
      </w:r>
      <w:r w:rsidR="00620604">
        <w:rPr>
          <w:b/>
        </w:rPr>
        <w:t>,</w:t>
      </w:r>
      <w:r w:rsidR="00065606" w:rsidRPr="00105CC3">
        <w:rPr>
          <w:b/>
        </w:rPr>
        <w:t xml:space="preserve"> and reduc</w:t>
      </w:r>
      <w:r w:rsidR="00620604">
        <w:rPr>
          <w:b/>
        </w:rPr>
        <w:t>ing</w:t>
      </w:r>
      <w:r w:rsidR="00065606" w:rsidRPr="00105CC3">
        <w:rPr>
          <w:b/>
        </w:rPr>
        <w:t xml:space="preserve"> youth migration</w:t>
      </w:r>
      <w:r w:rsidR="00065606" w:rsidRPr="00C9769D">
        <w:t xml:space="preserve">. </w:t>
      </w:r>
      <w:r w:rsidR="00620604">
        <w:t>The</w:t>
      </w:r>
      <w:r w:rsidR="00065606" w:rsidRPr="00C9769D">
        <w:t xml:space="preserve"> </w:t>
      </w:r>
      <w:r w:rsidR="00EA07DD" w:rsidRPr="00C9769D">
        <w:t>following priorities</w:t>
      </w:r>
      <w:r w:rsidR="00065606" w:rsidRPr="00C9769D">
        <w:t xml:space="preserve"> </w:t>
      </w:r>
      <w:r w:rsidR="00620604">
        <w:t xml:space="preserve">under this pillar </w:t>
      </w:r>
      <w:r w:rsidR="00065606" w:rsidRPr="00C9769D">
        <w:t>are</w:t>
      </w:r>
      <w:r w:rsidR="00EA07DD" w:rsidRPr="00C9769D">
        <w:t xml:space="preserve">: (i) </w:t>
      </w:r>
      <w:r w:rsidR="001C2BE1" w:rsidRPr="00C9769D">
        <w:t>b</w:t>
      </w:r>
      <w:r w:rsidR="009746A1" w:rsidRPr="00C9769D">
        <w:t xml:space="preserve">uilding </w:t>
      </w:r>
      <w:r w:rsidR="00620604">
        <w:t xml:space="preserve">the </w:t>
      </w:r>
      <w:r w:rsidR="009746A1" w:rsidRPr="00C9769D">
        <w:t>capacity of professional unions and farmers associations to become better organized and equipped to promote activities</w:t>
      </w:r>
      <w:r w:rsidR="00EE4769" w:rsidRPr="00C9769D">
        <w:t>,</w:t>
      </w:r>
      <w:r w:rsidR="009746A1" w:rsidRPr="00C9769D">
        <w:t xml:space="preserve"> </w:t>
      </w:r>
      <w:r w:rsidR="00836BB8" w:rsidRPr="00C9769D">
        <w:t xml:space="preserve">comply with international standards and </w:t>
      </w:r>
      <w:r w:rsidR="009746A1" w:rsidRPr="00C9769D">
        <w:t>access new market</w:t>
      </w:r>
      <w:r w:rsidR="00836BB8" w:rsidRPr="00C9769D">
        <w:t xml:space="preserve"> opportunities</w:t>
      </w:r>
      <w:r w:rsidR="009746A1" w:rsidRPr="00C9769D">
        <w:t xml:space="preserve">; (ii) </w:t>
      </w:r>
      <w:r w:rsidR="001C2BE1" w:rsidRPr="00C9769D">
        <w:t>s</w:t>
      </w:r>
      <w:r w:rsidR="009746A1" w:rsidRPr="00C9769D">
        <w:t>upporti</w:t>
      </w:r>
      <w:r w:rsidR="00CE7CD5" w:rsidRPr="00C9769D">
        <w:t>ng</w:t>
      </w:r>
      <w:r w:rsidR="009746A1" w:rsidRPr="00C9769D">
        <w:t xml:space="preserve"> </w:t>
      </w:r>
      <w:r w:rsidR="00A779E0" w:rsidRPr="00C9769D">
        <w:t>w</w:t>
      </w:r>
      <w:r w:rsidR="009746A1" w:rsidRPr="00C9769D">
        <w:t>omen</w:t>
      </w:r>
      <w:r w:rsidR="008A4B1C" w:rsidRPr="00C9769D">
        <w:t>,</w:t>
      </w:r>
      <w:r w:rsidR="009746A1" w:rsidRPr="00C9769D">
        <w:t xml:space="preserve"> youth </w:t>
      </w:r>
      <w:r w:rsidR="008A4B1C" w:rsidRPr="00C9769D">
        <w:t xml:space="preserve">and </w:t>
      </w:r>
      <w:r w:rsidR="00620604">
        <w:t>people with disabilities</w:t>
      </w:r>
      <w:r w:rsidR="00620604" w:rsidRPr="00C9769D">
        <w:t xml:space="preserve"> </w:t>
      </w:r>
      <w:r w:rsidR="00620604">
        <w:t>so they</w:t>
      </w:r>
      <w:r w:rsidR="00620604" w:rsidRPr="00C9769D">
        <w:t xml:space="preserve"> </w:t>
      </w:r>
      <w:r w:rsidR="009746A1" w:rsidRPr="00C9769D">
        <w:t>benefit from income-generating activities</w:t>
      </w:r>
      <w:r w:rsidR="00DA25A2" w:rsidRPr="00C9769D">
        <w:t>,</w:t>
      </w:r>
      <w:r w:rsidR="009746A1" w:rsidRPr="00C9769D">
        <w:t xml:space="preserve"> </w:t>
      </w:r>
      <w:r w:rsidR="00DA25A2" w:rsidRPr="00C9769D">
        <w:t xml:space="preserve">entrepreneurship, </w:t>
      </w:r>
      <w:r w:rsidR="009746A1" w:rsidRPr="00C9769D">
        <w:t>decent employment</w:t>
      </w:r>
      <w:r w:rsidR="00DA25A2" w:rsidRPr="00C9769D">
        <w:t xml:space="preserve">, </w:t>
      </w:r>
      <w:r w:rsidR="00B80FE8" w:rsidRPr="00C9769D">
        <w:t>access</w:t>
      </w:r>
      <w:r w:rsidR="00DA25A2" w:rsidRPr="00C9769D">
        <w:t xml:space="preserve"> to finance and integration of the informal sector</w:t>
      </w:r>
      <w:r w:rsidR="009746A1" w:rsidRPr="00C9769D">
        <w:t xml:space="preserve"> within sustainable value chains in the mining, agricultural and fisheries sector</w:t>
      </w:r>
      <w:r w:rsidR="00E71649" w:rsidRPr="00C9769D">
        <w:t>s</w:t>
      </w:r>
      <w:r w:rsidR="00DA25A2" w:rsidRPr="00C9769D">
        <w:t xml:space="preserve">; </w:t>
      </w:r>
      <w:r w:rsidR="003837A8" w:rsidRPr="00C9769D">
        <w:t>(</w:t>
      </w:r>
      <w:r w:rsidR="00913BD7" w:rsidRPr="00C9769D">
        <w:t>iii</w:t>
      </w:r>
      <w:r w:rsidR="00CE7CD5" w:rsidRPr="00C9769D">
        <w:t xml:space="preserve">) </w:t>
      </w:r>
      <w:r w:rsidR="001C2BE1" w:rsidRPr="00C9769D">
        <w:t>p</w:t>
      </w:r>
      <w:r w:rsidR="00DA137F" w:rsidRPr="00C9769D">
        <w:t>romoting sustainable citie</w:t>
      </w:r>
      <w:r w:rsidR="003837A8" w:rsidRPr="00C9769D">
        <w:t xml:space="preserve">s and </w:t>
      </w:r>
      <w:r w:rsidR="003837A8" w:rsidRPr="00C9769D">
        <w:lastRenderedPageBreak/>
        <w:t>villages</w:t>
      </w:r>
      <w:r w:rsidR="00FB25B0">
        <w:t xml:space="preserve">, </w:t>
      </w:r>
      <w:r w:rsidR="003837A8" w:rsidRPr="00C9769D">
        <w:t>sustainable waste management and promotion of green jobs</w:t>
      </w:r>
      <w:r w:rsidR="00620604">
        <w:t xml:space="preserve">, as well as </w:t>
      </w:r>
      <w:r w:rsidR="003837A8" w:rsidRPr="00C9769D">
        <w:t>support</w:t>
      </w:r>
      <w:r w:rsidR="00620604">
        <w:t>ing</w:t>
      </w:r>
      <w:r w:rsidR="003837A8" w:rsidRPr="00C9769D">
        <w:t xml:space="preserve"> the establishment of area-based waste management systems</w:t>
      </w:r>
      <w:r w:rsidR="00E575AA" w:rsidRPr="00C9769D">
        <w:t>;</w:t>
      </w:r>
      <w:r w:rsidR="003837A8" w:rsidRPr="00C9769D">
        <w:t xml:space="preserve"> (</w:t>
      </w:r>
      <w:r w:rsidR="00913BD7" w:rsidRPr="00C9769D">
        <w:t>i</w:t>
      </w:r>
      <w:r w:rsidR="003837A8" w:rsidRPr="00C9769D">
        <w:t xml:space="preserve">v) </w:t>
      </w:r>
      <w:r w:rsidR="001C2BE1" w:rsidRPr="00C9769D">
        <w:t>b</w:t>
      </w:r>
      <w:r w:rsidR="00603AC7">
        <w:t>uilding</w:t>
      </w:r>
      <w:r w:rsidR="003837A8" w:rsidRPr="00C9769D">
        <w:t xml:space="preserve"> resilience of vulnerable groups </w:t>
      </w:r>
      <w:r w:rsidR="00620604">
        <w:t>so they</w:t>
      </w:r>
      <w:r w:rsidR="003837A8" w:rsidRPr="00C9769D">
        <w:t xml:space="preserve"> adapt to climate change</w:t>
      </w:r>
      <w:r w:rsidR="00620604">
        <w:t xml:space="preserve"> and</w:t>
      </w:r>
      <w:r w:rsidR="003837A8" w:rsidRPr="00C9769D">
        <w:t xml:space="preserve"> </w:t>
      </w:r>
      <w:r w:rsidR="00620604">
        <w:t xml:space="preserve">have improved </w:t>
      </w:r>
      <w:r w:rsidR="003837A8" w:rsidRPr="00C9769D">
        <w:t>access to renewable energies and alternative technologies</w:t>
      </w:r>
      <w:r w:rsidR="00620604">
        <w:t>,</w:t>
      </w:r>
      <w:r w:rsidR="003837A8" w:rsidRPr="00C9769D">
        <w:t xml:space="preserve"> </w:t>
      </w:r>
      <w:r w:rsidR="00E575AA" w:rsidRPr="00C9769D">
        <w:t xml:space="preserve">and </w:t>
      </w:r>
      <w:r w:rsidR="003837A8" w:rsidRPr="00C9769D">
        <w:t xml:space="preserve">(v) </w:t>
      </w:r>
      <w:r w:rsidR="00913BD7" w:rsidRPr="00C9769D">
        <w:t xml:space="preserve">building </w:t>
      </w:r>
      <w:r w:rsidR="003837A8" w:rsidRPr="00C9769D">
        <w:t>national capacities in climate finance and resource mobilization.</w:t>
      </w:r>
      <w:r w:rsidR="007E5C3C" w:rsidRPr="00C9769D">
        <w:t xml:space="preserve"> </w:t>
      </w:r>
      <w:r w:rsidR="007D762B" w:rsidRPr="00C9769D">
        <w:t>UNDP will support the Ministry of Environment, Water and Forests</w:t>
      </w:r>
      <w:r w:rsidR="005474E5" w:rsidRPr="00C9769D">
        <w:t xml:space="preserve"> and</w:t>
      </w:r>
      <w:r w:rsidR="0075340E" w:rsidRPr="00C9769D">
        <w:t xml:space="preserve"> </w:t>
      </w:r>
      <w:r w:rsidR="00620604">
        <w:t xml:space="preserve">the </w:t>
      </w:r>
      <w:r w:rsidR="0075340E" w:rsidRPr="00C9769D">
        <w:t xml:space="preserve">National Meteorological Agency </w:t>
      </w:r>
      <w:r w:rsidR="00620604">
        <w:t xml:space="preserve">in </w:t>
      </w:r>
      <w:r w:rsidR="009D2EDE">
        <w:t>implement</w:t>
      </w:r>
      <w:r w:rsidR="00620604">
        <w:t>ing</w:t>
      </w:r>
      <w:r w:rsidR="009D2EDE">
        <w:t xml:space="preserve"> COP-</w:t>
      </w:r>
      <w:r w:rsidR="007D762B" w:rsidRPr="00C9769D">
        <w:t>21 commitments and facilitat</w:t>
      </w:r>
      <w:r w:rsidR="00620604">
        <w:t>ing</w:t>
      </w:r>
      <w:r w:rsidR="007D762B" w:rsidRPr="00C9769D">
        <w:t xml:space="preserve"> resource mobilization for </w:t>
      </w:r>
      <w:r w:rsidR="009D2EDE">
        <w:t>opportunities arising from COP-</w:t>
      </w:r>
      <w:r w:rsidR="007D762B" w:rsidRPr="00C9769D">
        <w:t xml:space="preserve">22. </w:t>
      </w:r>
      <w:r w:rsidR="00913BD7" w:rsidRPr="00C9769D">
        <w:t>S</w:t>
      </w:r>
      <w:r w:rsidR="00740D83">
        <w:t xml:space="preserve">trengthening </w:t>
      </w:r>
      <w:r w:rsidR="00913BD7" w:rsidRPr="00C9769D">
        <w:t xml:space="preserve">national statistics system </w:t>
      </w:r>
      <w:r w:rsidR="00774F76">
        <w:t>is</w:t>
      </w:r>
      <w:r w:rsidR="00E71C5A">
        <w:t xml:space="preserve"> a</w:t>
      </w:r>
      <w:r w:rsidR="005757CC" w:rsidRPr="00C9769D">
        <w:t xml:space="preserve"> crosscutting domain for UNDP </w:t>
      </w:r>
      <w:r w:rsidR="00913BD7" w:rsidRPr="00C9769D">
        <w:t xml:space="preserve">to provide data </w:t>
      </w:r>
      <w:r w:rsidR="00E71C5A">
        <w:t>that will</w:t>
      </w:r>
      <w:r w:rsidR="00913BD7" w:rsidRPr="00C9769D">
        <w:t xml:space="preserve"> </w:t>
      </w:r>
      <w:r w:rsidR="00E71C5A">
        <w:t>improve</w:t>
      </w:r>
      <w:r w:rsidR="00E71C5A" w:rsidRPr="00C9769D">
        <w:t xml:space="preserve"> </w:t>
      </w:r>
      <w:r w:rsidR="00913BD7" w:rsidRPr="00C9769D">
        <w:t>strategic planning, budgeting and integrated development management</w:t>
      </w:r>
      <w:r w:rsidR="00603AC7">
        <w:t>,</w:t>
      </w:r>
      <w:r w:rsidR="00913BD7" w:rsidRPr="00C9769D">
        <w:t xml:space="preserve"> monitoring and evaluation</w:t>
      </w:r>
      <w:r w:rsidR="005757CC" w:rsidRPr="00C9769D">
        <w:t>.</w:t>
      </w:r>
      <w:r w:rsidR="00603AC7">
        <w:t xml:space="preserve"> </w:t>
      </w:r>
      <w:r w:rsidR="007D762B" w:rsidRPr="00C9769D">
        <w:t xml:space="preserve">These interventions will contribute to the achievement of SDGs 1, 5, 6, 7, 8, 10, 11, 13 and </w:t>
      </w:r>
      <w:r w:rsidR="00740D83">
        <w:t>15.</w:t>
      </w:r>
    </w:p>
    <w:p w14:paraId="3FB2C8EA" w14:textId="77777777" w:rsidR="003F027F" w:rsidRPr="00047245" w:rsidRDefault="003F027F" w:rsidP="00047245">
      <w:pPr>
        <w:tabs>
          <w:tab w:val="left" w:pos="0"/>
          <w:tab w:val="left" w:pos="851"/>
          <w:tab w:val="left" w:pos="1170"/>
        </w:tabs>
        <w:spacing w:before="120" w:after="120"/>
        <w:ind w:left="810" w:right="1208"/>
        <w:contextualSpacing/>
        <w:jc w:val="both"/>
        <w:rPr>
          <w:sz w:val="12"/>
          <w:szCs w:val="12"/>
        </w:rPr>
      </w:pPr>
    </w:p>
    <w:p w14:paraId="2ED1E6B6" w14:textId="6DC02C9F" w:rsidR="003F027F" w:rsidRDefault="00620604" w:rsidP="00047245">
      <w:pPr>
        <w:numPr>
          <w:ilvl w:val="0"/>
          <w:numId w:val="4"/>
        </w:numPr>
        <w:tabs>
          <w:tab w:val="left" w:pos="0"/>
          <w:tab w:val="left" w:pos="851"/>
          <w:tab w:val="left" w:pos="1170"/>
        </w:tabs>
        <w:spacing w:before="120" w:after="120"/>
        <w:ind w:left="810" w:right="1208" w:firstLine="0"/>
        <w:contextualSpacing/>
        <w:jc w:val="both"/>
      </w:pPr>
      <w:r>
        <w:t>T</w:t>
      </w:r>
      <w:r w:rsidR="001229D8" w:rsidRPr="001229D8">
        <w:t xml:space="preserve">he implementation of </w:t>
      </w:r>
      <w:r w:rsidR="00E71C5A">
        <w:t>the</w:t>
      </w:r>
      <w:r w:rsidR="00E71C5A" w:rsidRPr="001229D8">
        <w:t xml:space="preserve"> </w:t>
      </w:r>
      <w:r w:rsidR="001229D8" w:rsidRPr="001229D8">
        <w:t xml:space="preserve">second pillar </w:t>
      </w:r>
      <w:r>
        <w:t>relies on the</w:t>
      </w:r>
      <w:r w:rsidR="001229D8" w:rsidRPr="001229D8">
        <w:t xml:space="preserve"> </w:t>
      </w:r>
      <w:r w:rsidR="00A63408">
        <w:t>strong collaborations</w:t>
      </w:r>
      <w:r w:rsidR="00265DF4">
        <w:t xml:space="preserve"> with </w:t>
      </w:r>
      <w:r>
        <w:t xml:space="preserve">a variety of </w:t>
      </w:r>
      <w:r w:rsidR="00265DF4">
        <w:t xml:space="preserve">partners. </w:t>
      </w:r>
      <w:r>
        <w:t>The</w:t>
      </w:r>
      <w:r w:rsidR="00265DF4">
        <w:t xml:space="preserve"> </w:t>
      </w:r>
      <w:r w:rsidR="001229D8" w:rsidRPr="001229D8">
        <w:t>World Bank</w:t>
      </w:r>
      <w:r w:rsidR="006435F7" w:rsidRPr="00C9769D">
        <w:t xml:space="preserve"> </w:t>
      </w:r>
      <w:r>
        <w:t xml:space="preserve">will work with the government and UNDP </w:t>
      </w:r>
      <w:r w:rsidR="00A81BF0">
        <w:t>on supporting</w:t>
      </w:r>
      <w:r>
        <w:rPr>
          <w:rFonts w:ascii="inherit" w:hAnsi="inherit"/>
          <w:color w:val="212121"/>
          <w:lang w:val="en" w:eastAsia="fr-FR"/>
        </w:rPr>
        <w:t xml:space="preserve"> </w:t>
      </w:r>
      <w:r w:rsidR="007D403D" w:rsidRPr="003F027F">
        <w:rPr>
          <w:rFonts w:ascii="inherit" w:hAnsi="inherit"/>
          <w:color w:val="212121"/>
          <w:lang w:val="en" w:eastAsia="fr-FR"/>
        </w:rPr>
        <w:t>Program for Village Communities</w:t>
      </w:r>
      <w:r w:rsidR="007D403D" w:rsidRPr="00C9769D">
        <w:t xml:space="preserve"> (PACV) </w:t>
      </w:r>
      <w:r w:rsidR="00B16D64" w:rsidRPr="00C9769D">
        <w:t>and</w:t>
      </w:r>
      <w:r w:rsidR="007D403D" w:rsidRPr="003F027F">
        <w:rPr>
          <w:color w:val="1F497D"/>
        </w:rPr>
        <w:t> </w:t>
      </w:r>
      <w:r w:rsidR="007D403D" w:rsidRPr="003F027F">
        <w:rPr>
          <w:rFonts w:ascii="inherit" w:hAnsi="inherit"/>
          <w:color w:val="212121"/>
          <w:lang w:val="en" w:eastAsia="fr-FR"/>
        </w:rPr>
        <w:t>Mining Sector Governance Support Program</w:t>
      </w:r>
      <w:r w:rsidR="007D403D" w:rsidRPr="00C9769D" w:rsidDel="007D403D">
        <w:t xml:space="preserve"> </w:t>
      </w:r>
      <w:r w:rsidR="007D403D" w:rsidRPr="00C9769D">
        <w:t>(</w:t>
      </w:r>
      <w:r w:rsidR="007D403D" w:rsidRPr="00E71C5A">
        <w:t>PAGSEM</w:t>
      </w:r>
      <w:r w:rsidR="007D403D" w:rsidRPr="00047245">
        <w:t>)</w:t>
      </w:r>
      <w:r w:rsidR="005757CC" w:rsidRPr="00047245">
        <w:t xml:space="preserve">. </w:t>
      </w:r>
      <w:r w:rsidRPr="00047245">
        <w:t>The</w:t>
      </w:r>
      <w:r>
        <w:rPr>
          <w:color w:val="1F497D"/>
        </w:rPr>
        <w:t xml:space="preserve"> </w:t>
      </w:r>
      <w:r w:rsidR="00A779E0" w:rsidRPr="00C9769D">
        <w:t>African Development Bank (AfDB)</w:t>
      </w:r>
      <w:r w:rsidR="005757CC" w:rsidRPr="00C9769D">
        <w:t xml:space="preserve"> </w:t>
      </w:r>
      <w:r>
        <w:t xml:space="preserve">will </w:t>
      </w:r>
      <w:r w:rsidR="00A81BF0">
        <w:t>provide</w:t>
      </w:r>
      <w:r w:rsidRPr="00C9769D">
        <w:t xml:space="preserve"> </w:t>
      </w:r>
      <w:r w:rsidR="005757CC" w:rsidRPr="00C9769D">
        <w:t xml:space="preserve">aid coordination and </w:t>
      </w:r>
      <w:r w:rsidR="00265DF4">
        <w:t>institutional capacity building</w:t>
      </w:r>
      <w:r w:rsidR="005757CC" w:rsidRPr="00C9769D">
        <w:t xml:space="preserve">. Other </w:t>
      </w:r>
      <w:r w:rsidR="008B3BFD" w:rsidRPr="00C9769D">
        <w:t>speciali</w:t>
      </w:r>
      <w:r w:rsidR="000C6109">
        <w:t>z</w:t>
      </w:r>
      <w:r w:rsidR="008B3BFD" w:rsidRPr="00C9769D">
        <w:t xml:space="preserve">ed </w:t>
      </w:r>
      <w:r w:rsidR="00EA07DD" w:rsidRPr="00C9769D">
        <w:t>U</w:t>
      </w:r>
      <w:r>
        <w:t xml:space="preserve">nited </w:t>
      </w:r>
      <w:r w:rsidR="00EA07DD" w:rsidRPr="00C9769D">
        <w:t>N</w:t>
      </w:r>
      <w:r>
        <w:t>ations</w:t>
      </w:r>
      <w:r w:rsidR="00EA07DD" w:rsidRPr="00C9769D">
        <w:t xml:space="preserve"> </w:t>
      </w:r>
      <w:r w:rsidR="002902A5">
        <w:t>organizations</w:t>
      </w:r>
      <w:r>
        <w:t xml:space="preserve">, </w:t>
      </w:r>
      <w:r w:rsidR="008B3BFD" w:rsidRPr="00C9769D">
        <w:t xml:space="preserve">the </w:t>
      </w:r>
      <w:r w:rsidR="00EA07DD" w:rsidRPr="00C9769D">
        <w:t xml:space="preserve">Multi-Partner Trust Fund Office </w:t>
      </w:r>
      <w:r w:rsidR="00265DF4">
        <w:t xml:space="preserve">(MPTF) and </w:t>
      </w:r>
      <w:r w:rsidR="00EA07DD" w:rsidRPr="00C9769D">
        <w:t>European Union</w:t>
      </w:r>
      <w:r w:rsidR="000C6109">
        <w:t xml:space="preserve"> will work</w:t>
      </w:r>
      <w:r w:rsidR="00265DF4">
        <w:t xml:space="preserve"> </w:t>
      </w:r>
      <w:r w:rsidR="00B16D64" w:rsidRPr="00C9769D">
        <w:t>o</w:t>
      </w:r>
      <w:r w:rsidR="00265DF4">
        <w:t>n youth employment</w:t>
      </w:r>
      <w:r w:rsidR="000C6109">
        <w:t xml:space="preserve"> while the </w:t>
      </w:r>
      <w:r w:rsidR="00EA07DD" w:rsidRPr="00C9769D">
        <w:t>Agence Française de Développement (AFD)</w:t>
      </w:r>
      <w:r w:rsidR="00B16D64" w:rsidRPr="00C9769D">
        <w:t xml:space="preserve"> </w:t>
      </w:r>
      <w:r w:rsidR="000C6109">
        <w:t>will focus on</w:t>
      </w:r>
      <w:r w:rsidR="000C6109" w:rsidRPr="00C9769D">
        <w:t xml:space="preserve"> </w:t>
      </w:r>
      <w:r w:rsidR="00B16D64" w:rsidRPr="00C9769D">
        <w:t xml:space="preserve">environmental issues </w:t>
      </w:r>
      <w:r w:rsidR="00C673A2" w:rsidRPr="00C9769D">
        <w:t>with</w:t>
      </w:r>
      <w:r w:rsidR="00B16D64" w:rsidRPr="00C9769D">
        <w:t xml:space="preserve"> </w:t>
      </w:r>
      <w:r w:rsidR="000C6109">
        <w:t xml:space="preserve">the </w:t>
      </w:r>
      <w:r w:rsidR="00B16D64" w:rsidRPr="00C9769D">
        <w:t>Green Climate Fund (GCF)</w:t>
      </w:r>
      <w:r w:rsidR="00EA07DD" w:rsidRPr="00C9769D">
        <w:t xml:space="preserve">, </w:t>
      </w:r>
      <w:r w:rsidR="000C6109">
        <w:t xml:space="preserve">the governments of </w:t>
      </w:r>
      <w:r w:rsidR="00EA07DD" w:rsidRPr="00C9769D">
        <w:t>Japan, China and Belgium</w:t>
      </w:r>
      <w:r w:rsidR="000C6109">
        <w:t>,</w:t>
      </w:r>
      <w:r w:rsidR="00F13FAF" w:rsidRPr="00C9769D">
        <w:t xml:space="preserve"> and </w:t>
      </w:r>
      <w:r w:rsidR="000C6109">
        <w:t xml:space="preserve">the </w:t>
      </w:r>
      <w:r w:rsidR="00EA07DD" w:rsidRPr="00C9769D">
        <w:t>Global Environment Facility (GEF)</w:t>
      </w:r>
      <w:r w:rsidR="00A779E0" w:rsidRPr="00C9769D">
        <w:t>.</w:t>
      </w:r>
      <w:r w:rsidR="00EA07DD" w:rsidRPr="00C9769D">
        <w:t xml:space="preserve"> </w:t>
      </w:r>
      <w:r w:rsidR="001A3DCA" w:rsidRPr="00C9769D">
        <w:t>New partnerships will be developed with</w:t>
      </w:r>
      <w:r w:rsidR="001A3DCA" w:rsidRPr="003F027F">
        <w:rPr>
          <w:bCs/>
          <w:color w:val="000000"/>
          <w:szCs w:val="24"/>
        </w:rPr>
        <w:t xml:space="preserve"> </w:t>
      </w:r>
      <w:r w:rsidR="001A3DCA" w:rsidRPr="00C9769D">
        <w:t>I</w:t>
      </w:r>
      <w:r w:rsidR="000C6109">
        <w:t>S</w:t>
      </w:r>
      <w:r w:rsidR="001A3DCA" w:rsidRPr="00C9769D">
        <w:t>DB,</w:t>
      </w:r>
      <w:r w:rsidR="00312E17" w:rsidRPr="00C9769D">
        <w:t xml:space="preserve"> </w:t>
      </w:r>
      <w:r w:rsidR="000C6109">
        <w:t xml:space="preserve">the </w:t>
      </w:r>
      <w:r w:rsidR="00312E17" w:rsidRPr="00C9769D">
        <w:t xml:space="preserve">Belgian Technical Cooperation and AfDB on value chain promotion in rural areas for job creation to address </w:t>
      </w:r>
      <w:r w:rsidR="00265DF4">
        <w:t>unemployment</w:t>
      </w:r>
      <w:r w:rsidR="000C6109">
        <w:t xml:space="preserve"> among women and young people</w:t>
      </w:r>
      <w:r w:rsidR="0058199C">
        <w:t xml:space="preserve">, which will be an </w:t>
      </w:r>
      <w:r w:rsidR="0058199C" w:rsidRPr="00455C99">
        <w:t>entry t</w:t>
      </w:r>
      <w:r w:rsidR="00455C99" w:rsidRPr="00E4179D">
        <w:t>o</w:t>
      </w:r>
      <w:r w:rsidR="0058199C" w:rsidRPr="00455C99">
        <w:t xml:space="preserve"> respond</w:t>
      </w:r>
      <w:r w:rsidR="0058199C">
        <w:t xml:space="preserve"> to migration issues. </w:t>
      </w:r>
      <w:r w:rsidR="000C6109">
        <w:t>UNDP will develop p</w:t>
      </w:r>
      <w:r w:rsidR="00517712">
        <w:t>artnership</w:t>
      </w:r>
      <w:r w:rsidR="000C6109">
        <w:t>s</w:t>
      </w:r>
      <w:r w:rsidR="00517712">
        <w:t xml:space="preserve"> with </w:t>
      </w:r>
      <w:r w:rsidR="000C6109">
        <w:t xml:space="preserve">the </w:t>
      </w:r>
      <w:r w:rsidR="00517712">
        <w:t xml:space="preserve">private sector to facilitate </w:t>
      </w:r>
      <w:r w:rsidR="000C6109">
        <w:t xml:space="preserve">greater </w:t>
      </w:r>
      <w:r w:rsidR="00517712">
        <w:t xml:space="preserve">participation </w:t>
      </w:r>
      <w:r w:rsidR="000C6109">
        <w:rPr>
          <w:color w:val="000000"/>
        </w:rPr>
        <w:t>in</w:t>
      </w:r>
      <w:r w:rsidR="000C6109" w:rsidRPr="003F027F">
        <w:rPr>
          <w:color w:val="000000"/>
        </w:rPr>
        <w:t xml:space="preserve"> </w:t>
      </w:r>
      <w:r w:rsidR="00604786" w:rsidRPr="003F027F">
        <w:rPr>
          <w:color w:val="000000"/>
        </w:rPr>
        <w:t xml:space="preserve">conflict prevention, </w:t>
      </w:r>
      <w:r w:rsidR="00EA07DD" w:rsidRPr="003F027F">
        <w:rPr>
          <w:color w:val="000000"/>
        </w:rPr>
        <w:t xml:space="preserve">sustainable waste </w:t>
      </w:r>
      <w:r w:rsidR="00156DC7" w:rsidRPr="003F027F">
        <w:rPr>
          <w:color w:val="000000"/>
        </w:rPr>
        <w:t>management</w:t>
      </w:r>
      <w:r w:rsidR="00EA07DD" w:rsidRPr="003F027F">
        <w:rPr>
          <w:color w:val="000000"/>
        </w:rPr>
        <w:t xml:space="preserve"> and</w:t>
      </w:r>
      <w:r w:rsidR="0058199C">
        <w:rPr>
          <w:color w:val="000000"/>
        </w:rPr>
        <w:t xml:space="preserve"> </w:t>
      </w:r>
      <w:r w:rsidR="00EA07DD" w:rsidRPr="003F027F">
        <w:rPr>
          <w:color w:val="000000"/>
        </w:rPr>
        <w:t>alternative energy. UNDP will collaborate with the</w:t>
      </w:r>
      <w:r w:rsidR="00EE7379" w:rsidRPr="003F027F">
        <w:rPr>
          <w:color w:val="000000"/>
        </w:rPr>
        <w:t xml:space="preserve"> </w:t>
      </w:r>
      <w:r w:rsidR="000C6109">
        <w:rPr>
          <w:color w:val="000000"/>
        </w:rPr>
        <w:t>u</w:t>
      </w:r>
      <w:r w:rsidR="00EE7379" w:rsidRPr="003F027F">
        <w:rPr>
          <w:color w:val="000000"/>
        </w:rPr>
        <w:t>niversities of Conakry</w:t>
      </w:r>
      <w:r w:rsidR="00EA07DD" w:rsidRPr="003F027F">
        <w:rPr>
          <w:color w:val="000000"/>
        </w:rPr>
        <w:t xml:space="preserve"> and Kankan, the Conakry-Rogbanè Scientific Research Centr</w:t>
      </w:r>
      <w:r w:rsidR="00EE7379" w:rsidRPr="003F027F">
        <w:rPr>
          <w:color w:val="000000"/>
        </w:rPr>
        <w:t>e</w:t>
      </w:r>
      <w:r w:rsidR="000C6109">
        <w:rPr>
          <w:color w:val="000000"/>
        </w:rPr>
        <w:t>,</w:t>
      </w:r>
      <w:r w:rsidR="00EE7379" w:rsidRPr="003F027F">
        <w:rPr>
          <w:color w:val="000000"/>
        </w:rPr>
        <w:t xml:space="preserve"> </w:t>
      </w:r>
      <w:r w:rsidR="00CA41CB" w:rsidRPr="003F027F">
        <w:rPr>
          <w:color w:val="000000"/>
        </w:rPr>
        <w:t xml:space="preserve">and the Higher Institute of </w:t>
      </w:r>
      <w:r w:rsidR="00EA07DD" w:rsidRPr="003F027F">
        <w:rPr>
          <w:color w:val="000000"/>
        </w:rPr>
        <w:t>Technology of Mamou</w:t>
      </w:r>
      <w:r w:rsidR="00156DC7" w:rsidRPr="003F027F">
        <w:rPr>
          <w:color w:val="000000"/>
        </w:rPr>
        <w:t>.</w:t>
      </w:r>
      <w:r w:rsidR="00EA07DD" w:rsidRPr="00C9769D">
        <w:t xml:space="preserve"> </w:t>
      </w:r>
    </w:p>
    <w:p w14:paraId="3C687650" w14:textId="77777777" w:rsidR="003F027F" w:rsidRPr="00047245" w:rsidRDefault="003F027F" w:rsidP="00047245">
      <w:pPr>
        <w:tabs>
          <w:tab w:val="left" w:pos="0"/>
          <w:tab w:val="left" w:pos="851"/>
          <w:tab w:val="left" w:pos="1170"/>
        </w:tabs>
        <w:spacing w:before="120" w:after="120"/>
        <w:ind w:left="810" w:right="1208"/>
        <w:contextualSpacing/>
        <w:jc w:val="both"/>
        <w:rPr>
          <w:sz w:val="12"/>
          <w:szCs w:val="12"/>
        </w:rPr>
      </w:pPr>
    </w:p>
    <w:p w14:paraId="064BB1D4" w14:textId="5C4AA362" w:rsidR="003F027F" w:rsidRDefault="00EA07DD" w:rsidP="00047245">
      <w:pPr>
        <w:numPr>
          <w:ilvl w:val="0"/>
          <w:numId w:val="4"/>
        </w:numPr>
        <w:tabs>
          <w:tab w:val="left" w:pos="0"/>
          <w:tab w:val="left" w:pos="851"/>
          <w:tab w:val="left" w:pos="1170"/>
        </w:tabs>
        <w:spacing w:before="120" w:after="120"/>
        <w:ind w:left="810" w:right="1208" w:firstLine="0"/>
        <w:contextualSpacing/>
        <w:jc w:val="both"/>
      </w:pPr>
      <w:r w:rsidRPr="00C9769D">
        <w:t xml:space="preserve">South-South and triangular cooperation will </w:t>
      </w:r>
      <w:r w:rsidR="00B00E26" w:rsidRPr="00C9769D">
        <w:t xml:space="preserve">build on successful parliamentary </w:t>
      </w:r>
      <w:r w:rsidR="0032580D">
        <w:t xml:space="preserve">exchanges </w:t>
      </w:r>
      <w:r w:rsidRPr="00C9769D">
        <w:t xml:space="preserve">with Senegal, </w:t>
      </w:r>
      <w:r w:rsidR="00B00E26" w:rsidRPr="00C9769D">
        <w:t xml:space="preserve">Niger and </w:t>
      </w:r>
      <w:r w:rsidRPr="00C9769D">
        <w:t>Burkina Faso</w:t>
      </w:r>
      <w:r w:rsidR="00E575AA" w:rsidRPr="00C9769D">
        <w:t>,</w:t>
      </w:r>
      <w:r w:rsidRPr="00C9769D">
        <w:t xml:space="preserve"> </w:t>
      </w:r>
      <w:r w:rsidR="00B00E26" w:rsidRPr="00C9769D">
        <w:t xml:space="preserve">and </w:t>
      </w:r>
      <w:r w:rsidR="00D825EB">
        <w:t xml:space="preserve">be </w:t>
      </w:r>
      <w:r w:rsidR="00B00E26" w:rsidRPr="00C9769D">
        <w:t>expand</w:t>
      </w:r>
      <w:r w:rsidR="00D825EB">
        <w:t>ed</w:t>
      </w:r>
      <w:r w:rsidR="00B00E26" w:rsidRPr="00C9769D">
        <w:t xml:space="preserve"> to </w:t>
      </w:r>
      <w:r w:rsidR="0032580D">
        <w:t>other</w:t>
      </w:r>
      <w:r w:rsidR="0032580D" w:rsidRPr="00C9769D">
        <w:t xml:space="preserve"> </w:t>
      </w:r>
      <w:r w:rsidR="00B00E26" w:rsidRPr="00C9769D">
        <w:t>areas such as</w:t>
      </w:r>
      <w:r w:rsidRPr="00C9769D">
        <w:t xml:space="preserve"> electoral assistance and justice reform</w:t>
      </w:r>
      <w:r w:rsidR="0032580D">
        <w:t xml:space="preserve">. UNDP will </w:t>
      </w:r>
      <w:r w:rsidR="00321597" w:rsidRPr="00C9769D">
        <w:t xml:space="preserve">reach out to new </w:t>
      </w:r>
      <w:r w:rsidR="00995EA8">
        <w:t>collaborators</w:t>
      </w:r>
      <w:r w:rsidR="00995EA8" w:rsidRPr="00C9769D">
        <w:t xml:space="preserve"> </w:t>
      </w:r>
      <w:r w:rsidR="0032580D">
        <w:t>like</w:t>
      </w:r>
      <w:r w:rsidR="0032580D" w:rsidRPr="00C9769D">
        <w:t xml:space="preserve"> </w:t>
      </w:r>
      <w:r w:rsidRPr="00C9769D">
        <w:t>Tunisia</w:t>
      </w:r>
      <w:r w:rsidR="0032580D">
        <w:t xml:space="preserve"> and</w:t>
      </w:r>
      <w:r w:rsidRPr="00C9769D">
        <w:t xml:space="preserve"> Rwanda</w:t>
      </w:r>
      <w:r w:rsidR="0032580D">
        <w:t xml:space="preserve"> to provide guidance in </w:t>
      </w:r>
      <w:r w:rsidRPr="00C9769D">
        <w:t>promot</w:t>
      </w:r>
      <w:r w:rsidR="0032580D">
        <w:t>ing</w:t>
      </w:r>
      <w:r w:rsidRPr="00C9769D">
        <w:t xml:space="preserve"> </w:t>
      </w:r>
      <w:r w:rsidR="0032580D">
        <w:t xml:space="preserve">the </w:t>
      </w:r>
      <w:r w:rsidRPr="00C9769D">
        <w:t xml:space="preserve">effective representation of youth and women in decision-making bodies. </w:t>
      </w:r>
      <w:r w:rsidR="00202EBB" w:rsidRPr="00AD2D61">
        <w:rPr>
          <w:color w:val="000000"/>
        </w:rPr>
        <w:t xml:space="preserve">Collaborations will be </w:t>
      </w:r>
      <w:r w:rsidR="00D825EB" w:rsidRPr="00AD2D61">
        <w:rPr>
          <w:color w:val="000000"/>
        </w:rPr>
        <w:t>made</w:t>
      </w:r>
      <w:r w:rsidR="00202EBB" w:rsidRPr="00AD2D61">
        <w:rPr>
          <w:color w:val="000000"/>
        </w:rPr>
        <w:t xml:space="preserve"> in the areas of microfinance (e.g. crowd funding) </w:t>
      </w:r>
      <w:r w:rsidR="00D825EB" w:rsidRPr="00AD2D61">
        <w:rPr>
          <w:color w:val="000000"/>
        </w:rPr>
        <w:t xml:space="preserve">and rural and agricultural entrepreneurship </w:t>
      </w:r>
      <w:r w:rsidR="00202EBB" w:rsidRPr="00AD2D61">
        <w:rPr>
          <w:color w:val="000000"/>
        </w:rPr>
        <w:t xml:space="preserve">with partners in Burkina Faso and Cameroon. The same will be done with green jobs </w:t>
      </w:r>
      <w:r w:rsidR="0058199C" w:rsidRPr="00AD2D61">
        <w:rPr>
          <w:color w:val="000000"/>
        </w:rPr>
        <w:t>with</w:t>
      </w:r>
      <w:r w:rsidR="00D825EB" w:rsidRPr="00AD2D61">
        <w:rPr>
          <w:color w:val="000000"/>
        </w:rPr>
        <w:t xml:space="preserve"> </w:t>
      </w:r>
      <w:r w:rsidR="00202EBB" w:rsidRPr="00AD2D61">
        <w:rPr>
          <w:color w:val="000000"/>
        </w:rPr>
        <w:t>Benin</w:t>
      </w:r>
      <w:r w:rsidR="00202EBB">
        <w:t xml:space="preserve">. </w:t>
      </w:r>
    </w:p>
    <w:p w14:paraId="3C1574F5" w14:textId="77777777" w:rsidR="00A63408" w:rsidRPr="00047245" w:rsidRDefault="00A63408" w:rsidP="00047245">
      <w:pPr>
        <w:tabs>
          <w:tab w:val="left" w:pos="0"/>
          <w:tab w:val="left" w:pos="851"/>
          <w:tab w:val="left" w:pos="1170"/>
        </w:tabs>
        <w:spacing w:before="120" w:after="120"/>
        <w:ind w:left="810" w:right="1208"/>
        <w:contextualSpacing/>
        <w:jc w:val="both"/>
        <w:rPr>
          <w:sz w:val="12"/>
          <w:szCs w:val="12"/>
        </w:rPr>
      </w:pPr>
    </w:p>
    <w:p w14:paraId="35AACE95" w14:textId="1862CE81" w:rsidR="00EA07DD" w:rsidRPr="003F027F" w:rsidRDefault="00EA07DD" w:rsidP="00047245">
      <w:pPr>
        <w:numPr>
          <w:ilvl w:val="0"/>
          <w:numId w:val="4"/>
        </w:numPr>
        <w:tabs>
          <w:tab w:val="left" w:pos="0"/>
          <w:tab w:val="left" w:pos="851"/>
          <w:tab w:val="left" w:pos="1170"/>
        </w:tabs>
        <w:spacing w:before="120" w:after="120"/>
        <w:ind w:left="810" w:right="1208" w:firstLine="0"/>
        <w:contextualSpacing/>
        <w:jc w:val="both"/>
      </w:pPr>
      <w:r w:rsidRPr="00C9769D">
        <w:t xml:space="preserve">UNDP will </w:t>
      </w:r>
      <w:r w:rsidR="00BA75BF">
        <w:t>work closely with other</w:t>
      </w:r>
      <w:r w:rsidRPr="00C9769D">
        <w:t xml:space="preserve"> </w:t>
      </w:r>
      <w:r w:rsidR="00FA1724">
        <w:t>U</w:t>
      </w:r>
      <w:r w:rsidR="00BA75BF">
        <w:t xml:space="preserve">nited </w:t>
      </w:r>
      <w:r w:rsidR="00FA1724">
        <w:t>N</w:t>
      </w:r>
      <w:r w:rsidR="00BA75BF">
        <w:t>ations</w:t>
      </w:r>
      <w:r w:rsidR="00FA1724">
        <w:t xml:space="preserve"> </w:t>
      </w:r>
      <w:r w:rsidR="00BA75BF">
        <w:t>organizations</w:t>
      </w:r>
      <w:r w:rsidR="00BA75BF" w:rsidRPr="00C9769D">
        <w:t xml:space="preserve"> </w:t>
      </w:r>
      <w:r w:rsidR="00BA75BF">
        <w:t xml:space="preserve">on </w:t>
      </w:r>
      <w:r w:rsidRPr="00C9769D">
        <w:t>priority areas</w:t>
      </w:r>
      <w:r w:rsidR="00E24353" w:rsidRPr="00C9769D">
        <w:t xml:space="preserve"> using </w:t>
      </w:r>
      <w:r w:rsidR="00BA75BF">
        <w:t>the ‘</w:t>
      </w:r>
      <w:r w:rsidR="00E24353" w:rsidRPr="00C9769D">
        <w:t>Deliver</w:t>
      </w:r>
      <w:r w:rsidR="00BA75BF">
        <w:t>ing</w:t>
      </w:r>
      <w:r w:rsidR="00E24353" w:rsidRPr="00C9769D">
        <w:t xml:space="preserve"> as One</w:t>
      </w:r>
      <w:r w:rsidR="00BA75BF">
        <w:t>’</w:t>
      </w:r>
      <w:r w:rsidR="00E24353" w:rsidRPr="00C9769D">
        <w:t xml:space="preserve"> approach</w:t>
      </w:r>
      <w:r w:rsidRPr="00C9769D">
        <w:t>.</w:t>
      </w:r>
      <w:r w:rsidR="003474F4" w:rsidRPr="00C9769D">
        <w:t xml:space="preserve"> </w:t>
      </w:r>
      <w:r w:rsidR="00774F76" w:rsidRPr="00C9769D">
        <w:t>It will provide administrative and technical support to the Office</w:t>
      </w:r>
      <w:r w:rsidR="00774F76">
        <w:t xml:space="preserve"> of the Resident Coordinator in</w:t>
      </w:r>
      <w:r w:rsidR="00774F76" w:rsidRPr="00C9769D">
        <w:t xml:space="preserve"> facilitating joint programm</w:t>
      </w:r>
      <w:r w:rsidR="00774F76">
        <w:t xml:space="preserve">es that </w:t>
      </w:r>
      <w:r w:rsidR="00774F76" w:rsidRPr="00C9769D">
        <w:t xml:space="preserve">address development </w:t>
      </w:r>
      <w:r w:rsidR="00774F76">
        <w:t>challenges</w:t>
      </w:r>
      <w:r w:rsidR="00774F76" w:rsidRPr="00C9769D">
        <w:t xml:space="preserve"> related to SDG-localization</w:t>
      </w:r>
      <w:r w:rsidR="00774F76">
        <w:t>;</w:t>
      </w:r>
      <w:r w:rsidR="00774F76" w:rsidRPr="00C9769D">
        <w:t xml:space="preserve"> income-generating activities</w:t>
      </w:r>
      <w:r w:rsidR="00774F76">
        <w:t xml:space="preserve">; </w:t>
      </w:r>
      <w:r w:rsidR="00774F76" w:rsidRPr="00C9769D">
        <w:t>decent employment for vulnerable groups</w:t>
      </w:r>
      <w:r w:rsidR="00774F76">
        <w:t xml:space="preserve">; </w:t>
      </w:r>
      <w:r w:rsidR="00774F76" w:rsidRPr="00C9769D">
        <w:t>sustainable value chain promotion</w:t>
      </w:r>
      <w:r w:rsidR="00774F76">
        <w:t>,</w:t>
      </w:r>
      <w:r w:rsidR="00774F76" w:rsidRPr="00C9769D">
        <w:t xml:space="preserve"> and green jobs creation.</w:t>
      </w:r>
    </w:p>
    <w:p w14:paraId="74C40BAF" w14:textId="77777777" w:rsidR="00D22BAB" w:rsidRPr="00C9769D" w:rsidRDefault="00D22BAB" w:rsidP="00A84130">
      <w:pPr>
        <w:tabs>
          <w:tab w:val="left" w:pos="0"/>
        </w:tabs>
        <w:ind w:right="1208"/>
        <w:contextualSpacing/>
        <w:jc w:val="both"/>
        <w:rPr>
          <w:color w:val="000000"/>
        </w:rPr>
      </w:pPr>
    </w:p>
    <w:p w14:paraId="20012573" w14:textId="66F699B0" w:rsidR="0063402B" w:rsidRDefault="00ED7AF8" w:rsidP="00ED7AF8">
      <w:pPr>
        <w:pStyle w:val="Heading2"/>
        <w:numPr>
          <w:ilvl w:val="0"/>
          <w:numId w:val="44"/>
        </w:numPr>
        <w:tabs>
          <w:tab w:val="left" w:pos="0"/>
          <w:tab w:val="left" w:pos="810"/>
        </w:tabs>
        <w:ind w:left="900" w:right="1208" w:hanging="540"/>
        <w:jc w:val="both"/>
        <w:rPr>
          <w:rFonts w:ascii="Times New Roman" w:hAnsi="Times New Roman"/>
          <w:bCs/>
          <w:color w:val="000000"/>
          <w:sz w:val="24"/>
          <w:szCs w:val="24"/>
        </w:rPr>
      </w:pPr>
      <w:r>
        <w:rPr>
          <w:rFonts w:ascii="Times New Roman" w:hAnsi="Times New Roman"/>
          <w:bCs/>
          <w:color w:val="000000"/>
          <w:sz w:val="24"/>
          <w:szCs w:val="24"/>
        </w:rPr>
        <w:t xml:space="preserve"> </w:t>
      </w:r>
      <w:r w:rsidR="0063402B" w:rsidRPr="00C9769D">
        <w:rPr>
          <w:rFonts w:ascii="Times New Roman" w:hAnsi="Times New Roman"/>
          <w:bCs/>
          <w:color w:val="000000"/>
          <w:sz w:val="24"/>
          <w:szCs w:val="24"/>
        </w:rPr>
        <w:t xml:space="preserve">Programme and </w:t>
      </w:r>
      <w:r w:rsidR="00DB4DD4">
        <w:rPr>
          <w:rFonts w:ascii="Times New Roman" w:hAnsi="Times New Roman"/>
          <w:bCs/>
          <w:color w:val="000000"/>
          <w:sz w:val="24"/>
          <w:szCs w:val="24"/>
        </w:rPr>
        <w:t>r</w:t>
      </w:r>
      <w:r w:rsidR="0063402B" w:rsidRPr="00C9769D">
        <w:rPr>
          <w:rFonts w:ascii="Times New Roman" w:hAnsi="Times New Roman"/>
          <w:bCs/>
          <w:color w:val="000000"/>
          <w:sz w:val="24"/>
          <w:szCs w:val="24"/>
        </w:rPr>
        <w:t>isk</w:t>
      </w:r>
      <w:r w:rsidR="00AC1BE7" w:rsidRPr="00C9769D">
        <w:rPr>
          <w:rFonts w:ascii="Times New Roman" w:hAnsi="Times New Roman"/>
          <w:bCs/>
          <w:color w:val="000000"/>
          <w:sz w:val="24"/>
          <w:szCs w:val="24"/>
        </w:rPr>
        <w:t xml:space="preserve"> </w:t>
      </w:r>
      <w:r w:rsidR="00DB4DD4">
        <w:rPr>
          <w:rFonts w:ascii="Times New Roman" w:hAnsi="Times New Roman"/>
          <w:bCs/>
          <w:color w:val="000000"/>
          <w:sz w:val="24"/>
          <w:szCs w:val="24"/>
        </w:rPr>
        <w:t>m</w:t>
      </w:r>
      <w:r w:rsidR="001C6C08" w:rsidRPr="00C9769D">
        <w:rPr>
          <w:rFonts w:ascii="Times New Roman" w:hAnsi="Times New Roman"/>
          <w:bCs/>
          <w:color w:val="000000"/>
          <w:sz w:val="24"/>
          <w:szCs w:val="24"/>
        </w:rPr>
        <w:t>anagement</w:t>
      </w:r>
    </w:p>
    <w:p w14:paraId="40AF97BD" w14:textId="77777777" w:rsidR="00047245" w:rsidRPr="00047245" w:rsidRDefault="00047245" w:rsidP="00047245">
      <w:pPr>
        <w:tabs>
          <w:tab w:val="left" w:pos="810"/>
        </w:tabs>
        <w:ind w:left="900"/>
      </w:pPr>
    </w:p>
    <w:p w14:paraId="018B949A" w14:textId="2DD106A6" w:rsidR="003F027F" w:rsidRDefault="00BA75BF" w:rsidP="00ED7AF8">
      <w:pPr>
        <w:numPr>
          <w:ilvl w:val="0"/>
          <w:numId w:val="4"/>
        </w:numPr>
        <w:tabs>
          <w:tab w:val="left" w:pos="0"/>
          <w:tab w:val="left" w:pos="810"/>
          <w:tab w:val="left" w:pos="851"/>
          <w:tab w:val="left" w:pos="1260"/>
        </w:tabs>
        <w:spacing w:before="120" w:after="120"/>
        <w:ind w:left="900" w:right="1208" w:firstLine="0"/>
        <w:contextualSpacing/>
        <w:jc w:val="both"/>
      </w:pPr>
      <w:r>
        <w:t>The</w:t>
      </w:r>
      <w:r w:rsidRPr="00C9769D">
        <w:t xml:space="preserve"> </w:t>
      </w:r>
      <w:r w:rsidR="002E7F06" w:rsidRPr="00C9769D">
        <w:t xml:space="preserve">country programme document outlines UNDP contributions to national results and serves as the basis of accountability to the Executive Board for results alignment and resources assigned to the programme. Accountabilities of managers at the country, regional and headquarters levels are prescribed in the UNDP </w:t>
      </w:r>
      <w:r w:rsidR="0073490D">
        <w:t>P</w:t>
      </w:r>
      <w:r w:rsidR="002E7F06" w:rsidRPr="00C9769D">
        <w:t xml:space="preserve">rogramme and </w:t>
      </w:r>
      <w:r w:rsidR="0073490D">
        <w:t>O</w:t>
      </w:r>
      <w:r w:rsidR="002E7F06" w:rsidRPr="00C9769D">
        <w:t xml:space="preserve">perations </w:t>
      </w:r>
      <w:r w:rsidR="0073490D">
        <w:t>P</w:t>
      </w:r>
      <w:r w:rsidR="002E7F06" w:rsidRPr="00C9769D">
        <w:t xml:space="preserve">olicies and </w:t>
      </w:r>
      <w:r w:rsidR="0073490D">
        <w:t>P</w:t>
      </w:r>
      <w:r w:rsidR="002E7F06" w:rsidRPr="00C9769D">
        <w:t xml:space="preserve">rocedures and </w:t>
      </w:r>
      <w:r w:rsidR="0073490D">
        <w:t>I</w:t>
      </w:r>
      <w:r w:rsidR="002E7F06" w:rsidRPr="00C9769D">
        <w:t xml:space="preserve">nternal </w:t>
      </w:r>
      <w:r w:rsidR="0073490D">
        <w:t>C</w:t>
      </w:r>
      <w:r w:rsidR="002E7F06" w:rsidRPr="00C9769D">
        <w:t xml:space="preserve">ontrols </w:t>
      </w:r>
      <w:r w:rsidR="0073490D">
        <w:t>F</w:t>
      </w:r>
      <w:r w:rsidR="002E7F06" w:rsidRPr="00C9769D">
        <w:t>ramework.</w:t>
      </w:r>
    </w:p>
    <w:p w14:paraId="74340EE8" w14:textId="77777777" w:rsidR="003F027F" w:rsidRPr="00ED7AF8" w:rsidRDefault="003F027F" w:rsidP="00ED7AF8">
      <w:pPr>
        <w:tabs>
          <w:tab w:val="left" w:pos="0"/>
          <w:tab w:val="left" w:pos="810"/>
          <w:tab w:val="left" w:pos="851"/>
          <w:tab w:val="left" w:pos="1260"/>
        </w:tabs>
        <w:spacing w:before="120" w:after="120"/>
        <w:ind w:left="900" w:right="1208"/>
        <w:contextualSpacing/>
        <w:jc w:val="both"/>
        <w:rPr>
          <w:sz w:val="12"/>
          <w:szCs w:val="12"/>
        </w:rPr>
      </w:pPr>
    </w:p>
    <w:p w14:paraId="2B7CD052" w14:textId="51D1D4CE" w:rsidR="003F027F" w:rsidRDefault="00FE4C52" w:rsidP="00ED7AF8">
      <w:pPr>
        <w:numPr>
          <w:ilvl w:val="0"/>
          <w:numId w:val="4"/>
        </w:numPr>
        <w:tabs>
          <w:tab w:val="left" w:pos="0"/>
          <w:tab w:val="left" w:pos="810"/>
          <w:tab w:val="left" w:pos="851"/>
          <w:tab w:val="left" w:pos="1260"/>
        </w:tabs>
        <w:spacing w:before="120" w:after="120"/>
        <w:ind w:left="900" w:right="1208" w:firstLine="0"/>
        <w:contextualSpacing/>
        <w:jc w:val="both"/>
      </w:pPr>
      <w:r w:rsidRPr="00C9769D">
        <w:t xml:space="preserve"> </w:t>
      </w:r>
      <w:r w:rsidR="00F86264" w:rsidRPr="00C9769D">
        <w:t xml:space="preserve">The technical, programmatic and operational capacities and organizational structure </w:t>
      </w:r>
      <w:r w:rsidR="00BA75BF">
        <w:t xml:space="preserve">of the Guinea Country Office </w:t>
      </w:r>
      <w:r w:rsidR="00E575AA" w:rsidRPr="00C9769D">
        <w:t xml:space="preserve">are </w:t>
      </w:r>
      <w:r w:rsidR="00941385" w:rsidRPr="00C9769D">
        <w:t xml:space="preserve">aligned </w:t>
      </w:r>
      <w:r w:rsidR="00F86264" w:rsidRPr="00C9769D">
        <w:t xml:space="preserve">with the proposed programme. </w:t>
      </w:r>
      <w:r w:rsidR="008D6B97">
        <w:t>UNDP will strengthen the</w:t>
      </w:r>
      <w:r w:rsidR="008D6B97" w:rsidRPr="00C9769D">
        <w:t xml:space="preserve"> </w:t>
      </w:r>
      <w:r w:rsidR="00BA75BF">
        <w:t>u</w:t>
      </w:r>
      <w:r w:rsidR="00F86264" w:rsidRPr="00C9769D">
        <w:t xml:space="preserve">nit for </w:t>
      </w:r>
      <w:r w:rsidR="00BA75BF">
        <w:t>s</w:t>
      </w:r>
      <w:r w:rsidR="00F86264" w:rsidRPr="00C9769D">
        <w:t xml:space="preserve">trategic </w:t>
      </w:r>
      <w:r w:rsidR="00BA75BF">
        <w:t>o</w:t>
      </w:r>
      <w:r w:rsidR="00F86264" w:rsidRPr="00C9769D">
        <w:t xml:space="preserve">versight to improve data collection, </w:t>
      </w:r>
      <w:r w:rsidR="00E24353" w:rsidRPr="00C9769D">
        <w:t xml:space="preserve">knowledge management, </w:t>
      </w:r>
      <w:r w:rsidR="00BA75BF">
        <w:t xml:space="preserve">and the </w:t>
      </w:r>
      <w:r w:rsidR="00F86264" w:rsidRPr="00C9769D">
        <w:t>monitoring and evaluation of interventions.</w:t>
      </w:r>
      <w:r w:rsidR="006F66CD" w:rsidRPr="00C9769D">
        <w:t xml:space="preserve"> </w:t>
      </w:r>
      <w:r w:rsidR="008D6B97">
        <w:rPr>
          <w:lang w:val="en-GB"/>
        </w:rPr>
        <w:t>The use of a</w:t>
      </w:r>
      <w:r w:rsidR="006F66CD" w:rsidRPr="003F027F">
        <w:rPr>
          <w:lang w:val="en-GB"/>
        </w:rPr>
        <w:t xml:space="preserve"> national implementation modality will help reduce </w:t>
      </w:r>
      <w:r w:rsidR="00E24353" w:rsidRPr="003F027F">
        <w:rPr>
          <w:lang w:val="en-GB"/>
        </w:rPr>
        <w:t xml:space="preserve">the </w:t>
      </w:r>
      <w:r w:rsidR="006F66CD" w:rsidRPr="003F027F">
        <w:rPr>
          <w:lang w:val="en-GB"/>
        </w:rPr>
        <w:t>internal</w:t>
      </w:r>
      <w:r w:rsidR="0058199C">
        <w:rPr>
          <w:lang w:val="en-GB"/>
        </w:rPr>
        <w:t xml:space="preserve"> UNDP </w:t>
      </w:r>
      <w:r w:rsidR="006F66CD" w:rsidRPr="003F027F">
        <w:rPr>
          <w:lang w:val="en-GB"/>
        </w:rPr>
        <w:t>capacity</w:t>
      </w:r>
      <w:r w:rsidR="007E38B4" w:rsidRPr="003F027F">
        <w:rPr>
          <w:lang w:val="en-GB"/>
        </w:rPr>
        <w:t xml:space="preserve">. </w:t>
      </w:r>
      <w:r w:rsidR="00C47614" w:rsidRPr="003F027F">
        <w:rPr>
          <w:lang w:val="en-GB"/>
        </w:rPr>
        <w:t>U</w:t>
      </w:r>
      <w:r w:rsidR="006F66CD" w:rsidRPr="003F027F">
        <w:rPr>
          <w:lang w:val="en-GB"/>
        </w:rPr>
        <w:t>p to 70</w:t>
      </w:r>
      <w:r w:rsidR="005C5AF3">
        <w:rPr>
          <w:lang w:val="en-GB"/>
        </w:rPr>
        <w:t xml:space="preserve"> per cent of</w:t>
      </w:r>
      <w:r w:rsidR="006F66CD" w:rsidRPr="003F027F">
        <w:rPr>
          <w:lang w:val="en-GB"/>
        </w:rPr>
        <w:t xml:space="preserve"> S</w:t>
      </w:r>
      <w:r w:rsidR="0058199C">
        <w:rPr>
          <w:lang w:val="en-GB"/>
        </w:rPr>
        <w:t xml:space="preserve">ervice </w:t>
      </w:r>
      <w:r w:rsidR="006F66CD" w:rsidRPr="003F027F">
        <w:rPr>
          <w:lang w:val="en-GB"/>
        </w:rPr>
        <w:t>C</w:t>
      </w:r>
      <w:r w:rsidR="0058199C">
        <w:rPr>
          <w:lang w:val="en-GB"/>
        </w:rPr>
        <w:t>ontract</w:t>
      </w:r>
      <w:r w:rsidR="006F66CD" w:rsidRPr="003F027F">
        <w:rPr>
          <w:lang w:val="en-GB"/>
        </w:rPr>
        <w:t xml:space="preserve"> and T</w:t>
      </w:r>
      <w:r w:rsidR="0058199C">
        <w:rPr>
          <w:lang w:val="en-GB"/>
        </w:rPr>
        <w:t xml:space="preserve">emporary </w:t>
      </w:r>
      <w:r w:rsidR="006F66CD" w:rsidRPr="003F027F">
        <w:rPr>
          <w:lang w:val="en-GB"/>
        </w:rPr>
        <w:t>A</w:t>
      </w:r>
      <w:r w:rsidR="0058199C">
        <w:rPr>
          <w:lang w:val="en-GB"/>
        </w:rPr>
        <w:t>ppointment</w:t>
      </w:r>
      <w:r w:rsidR="006F66CD" w:rsidRPr="003F027F">
        <w:rPr>
          <w:lang w:val="en-GB"/>
        </w:rPr>
        <w:t xml:space="preserve"> positions will end with the previous programme cycle. Internal allocation of </w:t>
      </w:r>
      <w:r w:rsidR="005C5AF3">
        <w:rPr>
          <w:lang w:val="en-GB"/>
        </w:rPr>
        <w:t>other</w:t>
      </w:r>
      <w:r w:rsidR="006F66CD" w:rsidRPr="003F027F">
        <w:rPr>
          <w:lang w:val="en-GB"/>
        </w:rPr>
        <w:t xml:space="preserve"> resources will include 25</w:t>
      </w:r>
      <w:r w:rsidR="005C5AF3">
        <w:rPr>
          <w:lang w:val="en-GB"/>
        </w:rPr>
        <w:t xml:space="preserve"> per cent</w:t>
      </w:r>
      <w:r w:rsidR="006F66CD" w:rsidRPr="003F027F">
        <w:rPr>
          <w:lang w:val="en-GB"/>
        </w:rPr>
        <w:t xml:space="preserve"> of </w:t>
      </w:r>
      <w:r w:rsidR="005C5AF3">
        <w:rPr>
          <w:lang w:val="en-GB"/>
        </w:rPr>
        <w:t>d</w:t>
      </w:r>
      <w:r w:rsidR="006F66CD" w:rsidRPr="003F027F">
        <w:rPr>
          <w:lang w:val="en-GB"/>
        </w:rPr>
        <w:t xml:space="preserve">irect </w:t>
      </w:r>
      <w:r w:rsidR="005C5AF3">
        <w:rPr>
          <w:lang w:val="en-GB"/>
        </w:rPr>
        <w:t>p</w:t>
      </w:r>
      <w:r w:rsidR="006F66CD" w:rsidRPr="003F027F">
        <w:rPr>
          <w:lang w:val="en-GB"/>
        </w:rPr>
        <w:t xml:space="preserve">roject </w:t>
      </w:r>
      <w:r w:rsidR="005C5AF3">
        <w:rPr>
          <w:lang w:val="en-GB"/>
        </w:rPr>
        <w:t>c</w:t>
      </w:r>
      <w:r w:rsidR="006F66CD" w:rsidRPr="003F027F">
        <w:rPr>
          <w:lang w:val="en-GB"/>
        </w:rPr>
        <w:t>ost</w:t>
      </w:r>
      <w:r w:rsidR="005C5AF3">
        <w:rPr>
          <w:lang w:val="en-GB"/>
        </w:rPr>
        <w:t>s</w:t>
      </w:r>
      <w:r w:rsidR="00AA4FF3" w:rsidRPr="003F027F">
        <w:rPr>
          <w:lang w:val="en-GB"/>
        </w:rPr>
        <w:t xml:space="preserve"> charged to projects to support </w:t>
      </w:r>
      <w:r w:rsidR="005C5AF3">
        <w:rPr>
          <w:lang w:val="en-GB"/>
        </w:rPr>
        <w:t>country office</w:t>
      </w:r>
      <w:r w:rsidR="005C5AF3" w:rsidRPr="003F027F">
        <w:rPr>
          <w:lang w:val="en-GB"/>
        </w:rPr>
        <w:t xml:space="preserve"> </w:t>
      </w:r>
      <w:r w:rsidR="00AA4FF3" w:rsidRPr="003F027F">
        <w:rPr>
          <w:lang w:val="en-GB"/>
        </w:rPr>
        <w:t>sustainability</w:t>
      </w:r>
      <w:r w:rsidR="00114A8E">
        <w:rPr>
          <w:lang w:val="en-GB"/>
        </w:rPr>
        <w:t>.</w:t>
      </w:r>
      <w:r w:rsidR="0058199C">
        <w:rPr>
          <w:iCs/>
        </w:rPr>
        <w:t xml:space="preserve"> </w:t>
      </w:r>
    </w:p>
    <w:p w14:paraId="254AC43A" w14:textId="77777777" w:rsidR="003F027F" w:rsidRPr="00ED7AF8" w:rsidRDefault="003F027F" w:rsidP="00ED7AF8">
      <w:pPr>
        <w:tabs>
          <w:tab w:val="left" w:pos="0"/>
          <w:tab w:val="left" w:pos="810"/>
          <w:tab w:val="left" w:pos="851"/>
          <w:tab w:val="left" w:pos="1260"/>
        </w:tabs>
        <w:spacing w:before="120" w:after="120"/>
        <w:ind w:left="900" w:right="1208"/>
        <w:contextualSpacing/>
        <w:jc w:val="both"/>
        <w:rPr>
          <w:sz w:val="12"/>
          <w:szCs w:val="12"/>
        </w:rPr>
      </w:pPr>
    </w:p>
    <w:p w14:paraId="65FF54E6" w14:textId="38BA1199" w:rsidR="003F027F" w:rsidRDefault="00FE4C52" w:rsidP="00ED7AF8">
      <w:pPr>
        <w:numPr>
          <w:ilvl w:val="0"/>
          <w:numId w:val="4"/>
        </w:numPr>
        <w:tabs>
          <w:tab w:val="left" w:pos="0"/>
          <w:tab w:val="left" w:pos="810"/>
          <w:tab w:val="left" w:pos="851"/>
          <w:tab w:val="left" w:pos="1260"/>
        </w:tabs>
        <w:spacing w:before="120" w:after="120"/>
        <w:ind w:left="900" w:right="1208" w:firstLine="0"/>
        <w:contextualSpacing/>
        <w:jc w:val="both"/>
      </w:pPr>
      <w:r w:rsidRPr="00C9769D">
        <w:t xml:space="preserve"> </w:t>
      </w:r>
      <w:r w:rsidR="00BE30D3" w:rsidRPr="00C9769D">
        <w:t xml:space="preserve">The programme will be </w:t>
      </w:r>
      <w:r w:rsidR="00114A8E">
        <w:t xml:space="preserve">executed </w:t>
      </w:r>
      <w:r w:rsidR="00BE30D3" w:rsidRPr="00C9769D">
        <w:t>nationally</w:t>
      </w:r>
      <w:r w:rsidR="005C5AF3">
        <w:t>.</w:t>
      </w:r>
      <w:r w:rsidR="00BE30D3" w:rsidRPr="00C9769D">
        <w:t xml:space="preserve"> </w:t>
      </w:r>
      <w:r w:rsidR="00F80DEC">
        <w:t>UNDP and partners will capitalize on individual capacities to select i</w:t>
      </w:r>
      <w:r w:rsidR="00BE30D3" w:rsidRPr="00C9769D">
        <w:t>mplementation modalities</w:t>
      </w:r>
      <w:r w:rsidR="0065136D" w:rsidRPr="003F027F">
        <w:rPr>
          <w:lang w:val="en-GB"/>
        </w:rPr>
        <w:t xml:space="preserve">. Based on a new capacity </w:t>
      </w:r>
      <w:r w:rsidR="0065136D" w:rsidRPr="003F027F">
        <w:rPr>
          <w:lang w:val="en-GB"/>
        </w:rPr>
        <w:lastRenderedPageBreak/>
        <w:t>assessment, remaining gap</w:t>
      </w:r>
      <w:r w:rsidR="009B27EB">
        <w:rPr>
          <w:lang w:val="en-GB"/>
        </w:rPr>
        <w:t>s</w:t>
      </w:r>
      <w:r w:rsidR="0065136D" w:rsidRPr="003F027F">
        <w:rPr>
          <w:lang w:val="en-GB"/>
        </w:rPr>
        <w:t xml:space="preserve"> will be identified and monitored through the </w:t>
      </w:r>
      <w:r w:rsidR="00202EBB" w:rsidRPr="00C9769D">
        <w:t>Harmonized</w:t>
      </w:r>
      <w:r w:rsidR="00BE30D3" w:rsidRPr="00C9769D">
        <w:t xml:space="preserve"> Approach to Cash Transfers. </w:t>
      </w:r>
      <w:r w:rsidR="00BF0DCE">
        <w:t>T</w:t>
      </w:r>
      <w:r w:rsidR="007E6930" w:rsidRPr="00C9769D">
        <w:t>he United Nations Country Team will conduct a macro-assessment of the public finance management system and micro</w:t>
      </w:r>
      <w:r w:rsidR="00BC2222">
        <w:t>-</w:t>
      </w:r>
      <w:r w:rsidR="007E6930" w:rsidRPr="00C9769D">
        <w:t xml:space="preserve">assessment for relevant </w:t>
      </w:r>
      <w:r w:rsidR="00BE30D3" w:rsidRPr="00C9769D">
        <w:t>g</w:t>
      </w:r>
      <w:r w:rsidR="007E6930" w:rsidRPr="00C9769D">
        <w:t>overnment bodies and civil society organizations</w:t>
      </w:r>
      <w:r w:rsidR="00017FCD">
        <w:t xml:space="preserve">. This will be done to </w:t>
      </w:r>
      <w:r w:rsidR="007E6930" w:rsidRPr="00C9769D">
        <w:t xml:space="preserve">identify risks related to the management of public resources and assess the capacity of implementing partners </w:t>
      </w:r>
      <w:r w:rsidR="00C47614">
        <w:t xml:space="preserve">to manage </w:t>
      </w:r>
      <w:r w:rsidR="00017FCD">
        <w:t xml:space="preserve">a </w:t>
      </w:r>
      <w:r w:rsidR="007E6930" w:rsidRPr="00C9769D">
        <w:t xml:space="preserve">harmonized approach to remittances. </w:t>
      </w:r>
      <w:r w:rsidR="00017FCD">
        <w:t>UNDP will implement the j</w:t>
      </w:r>
      <w:r w:rsidR="00F86264" w:rsidRPr="00C9769D">
        <w:t xml:space="preserve">oint </w:t>
      </w:r>
      <w:r w:rsidR="00017FCD">
        <w:t>p</w:t>
      </w:r>
      <w:r w:rsidR="00B744DF" w:rsidRPr="00C9769D">
        <w:t xml:space="preserve">rogramming </w:t>
      </w:r>
      <w:r w:rsidR="00017FCD">
        <w:t>f</w:t>
      </w:r>
      <w:r w:rsidR="00F86264" w:rsidRPr="00C9769D">
        <w:t>ramework</w:t>
      </w:r>
      <w:r w:rsidR="00D02FE1" w:rsidRPr="00C9769D">
        <w:t xml:space="preserve"> and </w:t>
      </w:r>
      <w:r w:rsidR="00017FCD">
        <w:t>b</w:t>
      </w:r>
      <w:r w:rsidR="00D02FE1" w:rsidRPr="00C9769D">
        <w:t xml:space="preserve">usiness </w:t>
      </w:r>
      <w:r w:rsidR="00017FCD">
        <w:t>o</w:t>
      </w:r>
      <w:r w:rsidR="00B744DF" w:rsidRPr="00C9769D">
        <w:t xml:space="preserve">perations </w:t>
      </w:r>
      <w:r w:rsidR="00017FCD">
        <w:t>s</w:t>
      </w:r>
      <w:r w:rsidR="00B744DF" w:rsidRPr="00C9769D">
        <w:t>trategies</w:t>
      </w:r>
      <w:r w:rsidR="00F86264" w:rsidRPr="00C9769D">
        <w:t>.</w:t>
      </w:r>
    </w:p>
    <w:p w14:paraId="46D77272" w14:textId="77777777" w:rsidR="003F027F" w:rsidRPr="00822B28" w:rsidRDefault="003F027F" w:rsidP="00ED7AF8">
      <w:pPr>
        <w:tabs>
          <w:tab w:val="left" w:pos="0"/>
          <w:tab w:val="left" w:pos="810"/>
          <w:tab w:val="left" w:pos="851"/>
          <w:tab w:val="left" w:pos="1260"/>
        </w:tabs>
        <w:spacing w:before="120" w:after="120"/>
        <w:ind w:left="900" w:right="1208"/>
        <w:contextualSpacing/>
        <w:jc w:val="both"/>
        <w:rPr>
          <w:bCs/>
          <w:color w:val="000000"/>
          <w:sz w:val="12"/>
          <w:szCs w:val="12"/>
        </w:rPr>
      </w:pPr>
    </w:p>
    <w:p w14:paraId="78EB275A" w14:textId="659FAD7C" w:rsidR="003F027F" w:rsidRDefault="00F86264" w:rsidP="00ED7AF8">
      <w:pPr>
        <w:numPr>
          <w:ilvl w:val="0"/>
          <w:numId w:val="4"/>
        </w:numPr>
        <w:tabs>
          <w:tab w:val="left" w:pos="0"/>
          <w:tab w:val="left" w:pos="810"/>
          <w:tab w:val="left" w:pos="851"/>
          <w:tab w:val="left" w:pos="1260"/>
        </w:tabs>
        <w:spacing w:before="120" w:after="120"/>
        <w:ind w:left="900" w:right="1208" w:firstLine="0"/>
        <w:contextualSpacing/>
        <w:jc w:val="both"/>
      </w:pPr>
      <w:r w:rsidRPr="003F027F">
        <w:rPr>
          <w:bCs/>
          <w:color w:val="000000"/>
          <w:szCs w:val="24"/>
        </w:rPr>
        <w:t>The risks to effective programme implementation are institutional instability</w:t>
      </w:r>
      <w:r w:rsidR="004B7031">
        <w:rPr>
          <w:bCs/>
          <w:color w:val="000000"/>
          <w:szCs w:val="24"/>
        </w:rPr>
        <w:t xml:space="preserve">, </w:t>
      </w:r>
      <w:r w:rsidRPr="003F027F">
        <w:rPr>
          <w:bCs/>
          <w:color w:val="000000"/>
          <w:szCs w:val="24"/>
        </w:rPr>
        <w:t>deterioration of the security</w:t>
      </w:r>
      <w:r w:rsidR="004B7031">
        <w:rPr>
          <w:bCs/>
          <w:color w:val="000000"/>
          <w:szCs w:val="24"/>
        </w:rPr>
        <w:t>,</w:t>
      </w:r>
      <w:r w:rsidRPr="003F027F">
        <w:rPr>
          <w:bCs/>
          <w:color w:val="000000"/>
          <w:szCs w:val="24"/>
        </w:rPr>
        <w:t xml:space="preserve"> and</w:t>
      </w:r>
      <w:r w:rsidR="004B7031">
        <w:rPr>
          <w:bCs/>
          <w:color w:val="000000"/>
          <w:szCs w:val="24"/>
        </w:rPr>
        <w:t xml:space="preserve"> lagging</w:t>
      </w:r>
      <w:r w:rsidRPr="003F027F">
        <w:rPr>
          <w:bCs/>
          <w:color w:val="000000"/>
          <w:szCs w:val="24"/>
        </w:rPr>
        <w:t xml:space="preserve"> humanitarian </w:t>
      </w:r>
      <w:r w:rsidR="00EF6C4F" w:rsidRPr="003F027F">
        <w:rPr>
          <w:bCs/>
          <w:color w:val="000000"/>
          <w:szCs w:val="24"/>
        </w:rPr>
        <w:t>support</w:t>
      </w:r>
      <w:r w:rsidR="00017FCD">
        <w:rPr>
          <w:bCs/>
          <w:color w:val="000000"/>
          <w:szCs w:val="24"/>
        </w:rPr>
        <w:t xml:space="preserve">. </w:t>
      </w:r>
      <w:r w:rsidR="004B7031">
        <w:rPr>
          <w:bCs/>
          <w:color w:val="000000"/>
          <w:szCs w:val="24"/>
        </w:rPr>
        <w:t>These risks are</w:t>
      </w:r>
      <w:r w:rsidR="00017FCD">
        <w:rPr>
          <w:bCs/>
          <w:color w:val="000000"/>
          <w:szCs w:val="24"/>
        </w:rPr>
        <w:t xml:space="preserve"> </w:t>
      </w:r>
      <w:r w:rsidRPr="003F027F">
        <w:rPr>
          <w:bCs/>
          <w:color w:val="000000"/>
          <w:szCs w:val="24"/>
        </w:rPr>
        <w:t xml:space="preserve">due to </w:t>
      </w:r>
      <w:r w:rsidR="004B7031">
        <w:rPr>
          <w:bCs/>
          <w:color w:val="000000"/>
          <w:szCs w:val="24"/>
        </w:rPr>
        <w:t>failed</w:t>
      </w:r>
      <w:r w:rsidRPr="003F027F">
        <w:rPr>
          <w:bCs/>
          <w:color w:val="000000"/>
          <w:szCs w:val="24"/>
        </w:rPr>
        <w:t xml:space="preserve"> political dialogue</w:t>
      </w:r>
      <w:r w:rsidR="00E575AA" w:rsidRPr="003F027F">
        <w:rPr>
          <w:bCs/>
          <w:color w:val="000000"/>
          <w:szCs w:val="24"/>
        </w:rPr>
        <w:t>;</w:t>
      </w:r>
      <w:r w:rsidRPr="003F027F">
        <w:rPr>
          <w:bCs/>
          <w:color w:val="000000"/>
          <w:szCs w:val="24"/>
        </w:rPr>
        <w:t xml:space="preserve"> ethnic polarization of the socio-political debate</w:t>
      </w:r>
      <w:r w:rsidR="00E575AA" w:rsidRPr="003F027F">
        <w:rPr>
          <w:bCs/>
          <w:color w:val="000000"/>
          <w:szCs w:val="24"/>
        </w:rPr>
        <w:t>;</w:t>
      </w:r>
      <w:r w:rsidRPr="003F027F">
        <w:rPr>
          <w:bCs/>
          <w:color w:val="000000"/>
          <w:szCs w:val="24"/>
        </w:rPr>
        <w:t xml:space="preserve"> poor management of electoral process</w:t>
      </w:r>
      <w:r w:rsidR="00017FCD">
        <w:rPr>
          <w:bCs/>
          <w:color w:val="000000"/>
          <w:szCs w:val="24"/>
        </w:rPr>
        <w:t>;</w:t>
      </w:r>
      <w:r w:rsidRPr="003F027F">
        <w:rPr>
          <w:bCs/>
          <w:color w:val="000000"/>
          <w:szCs w:val="24"/>
        </w:rPr>
        <w:t xml:space="preserve"> insecurity in the sub</w:t>
      </w:r>
      <w:r w:rsidR="00156DC7" w:rsidRPr="003F027F">
        <w:rPr>
          <w:bCs/>
          <w:color w:val="000000"/>
          <w:szCs w:val="24"/>
        </w:rPr>
        <w:t>-</w:t>
      </w:r>
      <w:r w:rsidRPr="003F027F">
        <w:rPr>
          <w:bCs/>
          <w:color w:val="000000"/>
          <w:szCs w:val="24"/>
        </w:rPr>
        <w:t xml:space="preserve">region </w:t>
      </w:r>
      <w:r w:rsidR="004B7031">
        <w:rPr>
          <w:bCs/>
          <w:color w:val="000000"/>
          <w:szCs w:val="24"/>
        </w:rPr>
        <w:t>(</w:t>
      </w:r>
      <w:r w:rsidRPr="003F027F">
        <w:rPr>
          <w:bCs/>
          <w:color w:val="000000"/>
          <w:szCs w:val="24"/>
        </w:rPr>
        <w:t>that could result in extrem</w:t>
      </w:r>
      <w:r w:rsidR="00EF6C4F" w:rsidRPr="003F027F">
        <w:rPr>
          <w:bCs/>
          <w:color w:val="000000"/>
          <w:szCs w:val="24"/>
        </w:rPr>
        <w:t>e</w:t>
      </w:r>
      <w:r w:rsidRPr="003F027F">
        <w:rPr>
          <w:bCs/>
          <w:color w:val="000000"/>
          <w:szCs w:val="24"/>
        </w:rPr>
        <w:t xml:space="preserve"> violence and </w:t>
      </w:r>
      <w:r w:rsidR="00017FCD">
        <w:rPr>
          <w:bCs/>
          <w:color w:val="000000"/>
          <w:szCs w:val="24"/>
        </w:rPr>
        <w:t xml:space="preserve">the </w:t>
      </w:r>
      <w:r w:rsidRPr="003F027F">
        <w:rPr>
          <w:bCs/>
          <w:color w:val="000000"/>
          <w:szCs w:val="24"/>
        </w:rPr>
        <w:t>radicalization of youth</w:t>
      </w:r>
      <w:r w:rsidR="004B7031">
        <w:rPr>
          <w:bCs/>
          <w:color w:val="000000"/>
          <w:szCs w:val="24"/>
        </w:rPr>
        <w:t>)</w:t>
      </w:r>
      <w:r w:rsidR="00017FCD">
        <w:rPr>
          <w:bCs/>
          <w:color w:val="000000"/>
          <w:szCs w:val="24"/>
        </w:rPr>
        <w:t>,</w:t>
      </w:r>
      <w:r w:rsidRPr="003F027F">
        <w:rPr>
          <w:bCs/>
          <w:color w:val="000000"/>
          <w:szCs w:val="24"/>
        </w:rPr>
        <w:t xml:space="preserve"> and possible resurgence</w:t>
      </w:r>
      <w:r w:rsidR="00D458E6" w:rsidRPr="003F027F">
        <w:rPr>
          <w:bCs/>
          <w:color w:val="000000"/>
          <w:szCs w:val="24"/>
        </w:rPr>
        <w:t xml:space="preserve"> of the Ebola virus. T</w:t>
      </w:r>
      <w:r w:rsidR="00764773" w:rsidRPr="003F027F">
        <w:rPr>
          <w:bCs/>
          <w:color w:val="000000"/>
          <w:szCs w:val="24"/>
        </w:rPr>
        <w:t>he CPD will be implemen</w:t>
      </w:r>
      <w:r w:rsidRPr="003F027F">
        <w:rPr>
          <w:bCs/>
          <w:color w:val="000000"/>
          <w:szCs w:val="24"/>
        </w:rPr>
        <w:t xml:space="preserve">ted in a context </w:t>
      </w:r>
      <w:r w:rsidR="00202EBB" w:rsidRPr="003F027F">
        <w:rPr>
          <w:bCs/>
          <w:color w:val="000000"/>
          <w:szCs w:val="24"/>
        </w:rPr>
        <w:t>characterized</w:t>
      </w:r>
      <w:r w:rsidRPr="003F027F">
        <w:rPr>
          <w:bCs/>
          <w:color w:val="000000"/>
          <w:szCs w:val="24"/>
        </w:rPr>
        <w:t xml:space="preserve"> by </w:t>
      </w:r>
      <w:r w:rsidR="00017FCD">
        <w:rPr>
          <w:bCs/>
          <w:color w:val="000000"/>
          <w:szCs w:val="24"/>
        </w:rPr>
        <w:t xml:space="preserve">a </w:t>
      </w:r>
      <w:r w:rsidRPr="003F027F">
        <w:rPr>
          <w:bCs/>
          <w:color w:val="000000"/>
          <w:szCs w:val="24"/>
        </w:rPr>
        <w:t>reduction in regular resources</w:t>
      </w:r>
      <w:r w:rsidR="009F3124" w:rsidRPr="003F027F">
        <w:rPr>
          <w:bCs/>
          <w:color w:val="000000"/>
          <w:szCs w:val="24"/>
        </w:rPr>
        <w:t xml:space="preserve"> and </w:t>
      </w:r>
      <w:r w:rsidR="00D25FCF" w:rsidRPr="003F027F">
        <w:rPr>
          <w:bCs/>
          <w:color w:val="000000"/>
          <w:szCs w:val="24"/>
        </w:rPr>
        <w:t>uncertainty</w:t>
      </w:r>
      <w:r w:rsidR="009F3124" w:rsidRPr="003F027F">
        <w:rPr>
          <w:bCs/>
          <w:color w:val="000000"/>
          <w:szCs w:val="24"/>
        </w:rPr>
        <w:t xml:space="preserve"> of funds</w:t>
      </w:r>
      <w:r w:rsidRPr="003F027F">
        <w:rPr>
          <w:bCs/>
          <w:color w:val="000000"/>
          <w:szCs w:val="24"/>
        </w:rPr>
        <w:t xml:space="preserve">. Due </w:t>
      </w:r>
      <w:r w:rsidR="00EF6C4F" w:rsidRPr="003F027F">
        <w:rPr>
          <w:bCs/>
          <w:color w:val="000000"/>
          <w:szCs w:val="24"/>
        </w:rPr>
        <w:t xml:space="preserve">to </w:t>
      </w:r>
      <w:r w:rsidRPr="003F027F">
        <w:rPr>
          <w:bCs/>
          <w:color w:val="000000"/>
          <w:szCs w:val="24"/>
        </w:rPr>
        <w:t xml:space="preserve">the </w:t>
      </w:r>
      <w:r w:rsidR="00017FCD">
        <w:rPr>
          <w:bCs/>
          <w:color w:val="000000"/>
          <w:szCs w:val="24"/>
        </w:rPr>
        <w:t>possible</w:t>
      </w:r>
      <w:r w:rsidRPr="003F027F">
        <w:rPr>
          <w:bCs/>
          <w:color w:val="000000"/>
          <w:szCs w:val="24"/>
        </w:rPr>
        <w:t xml:space="preserve"> </w:t>
      </w:r>
      <w:r w:rsidR="00017FCD">
        <w:rPr>
          <w:bCs/>
          <w:color w:val="000000"/>
          <w:szCs w:val="24"/>
        </w:rPr>
        <w:t>re</w:t>
      </w:r>
      <w:r w:rsidRPr="003F027F">
        <w:rPr>
          <w:bCs/>
          <w:color w:val="000000"/>
          <w:szCs w:val="24"/>
        </w:rPr>
        <w:t xml:space="preserve">emergence of risks, </w:t>
      </w:r>
      <w:r w:rsidR="00FA1724" w:rsidRPr="003F027F">
        <w:rPr>
          <w:bCs/>
          <w:color w:val="000000"/>
          <w:szCs w:val="24"/>
        </w:rPr>
        <w:t>some</w:t>
      </w:r>
      <w:r w:rsidR="00A3785C" w:rsidRPr="003F027F">
        <w:rPr>
          <w:bCs/>
          <w:color w:val="000000"/>
          <w:szCs w:val="24"/>
        </w:rPr>
        <w:t xml:space="preserve"> activities </w:t>
      </w:r>
      <w:r w:rsidR="00017FCD">
        <w:rPr>
          <w:bCs/>
          <w:color w:val="000000"/>
          <w:szCs w:val="24"/>
        </w:rPr>
        <w:t>can</w:t>
      </w:r>
      <w:r w:rsidR="00017FCD" w:rsidRPr="003F027F">
        <w:rPr>
          <w:bCs/>
          <w:color w:val="000000"/>
          <w:szCs w:val="24"/>
        </w:rPr>
        <w:t xml:space="preserve"> </w:t>
      </w:r>
      <w:r w:rsidR="00A3785C" w:rsidRPr="003F027F">
        <w:rPr>
          <w:bCs/>
          <w:color w:val="000000"/>
          <w:szCs w:val="24"/>
        </w:rPr>
        <w:t>be reprogrammed or</w:t>
      </w:r>
      <w:r w:rsidRPr="003F027F">
        <w:rPr>
          <w:bCs/>
          <w:color w:val="000000"/>
          <w:szCs w:val="24"/>
        </w:rPr>
        <w:t xml:space="preserve"> suspended.</w:t>
      </w:r>
      <w:r w:rsidR="005E19EF" w:rsidRPr="003F027F">
        <w:rPr>
          <w:bCs/>
          <w:color w:val="000000"/>
          <w:szCs w:val="24"/>
        </w:rPr>
        <w:t xml:space="preserve"> </w:t>
      </w:r>
      <w:r w:rsidR="00017FCD">
        <w:rPr>
          <w:bCs/>
          <w:color w:val="000000"/>
          <w:szCs w:val="24"/>
        </w:rPr>
        <w:t xml:space="preserve">UNDP will approach </w:t>
      </w:r>
      <w:r w:rsidR="005E19EF" w:rsidRPr="003F027F">
        <w:rPr>
          <w:color w:val="212121"/>
          <w:lang w:val="en" w:eastAsia="fr-FR"/>
        </w:rPr>
        <w:t>the private sector through a</w:t>
      </w:r>
      <w:r w:rsidR="00017FCD">
        <w:rPr>
          <w:color w:val="212121"/>
          <w:lang w:val="en" w:eastAsia="fr-FR"/>
        </w:rPr>
        <w:t xml:space="preserve">n </w:t>
      </w:r>
      <w:r w:rsidR="005E19EF" w:rsidRPr="003F027F">
        <w:rPr>
          <w:color w:val="212121"/>
          <w:lang w:val="en" w:eastAsia="fr-FR"/>
        </w:rPr>
        <w:t xml:space="preserve">intensive win-win approach to ensure direct involvement </w:t>
      </w:r>
      <w:r w:rsidR="00500D1A">
        <w:rPr>
          <w:color w:val="212121"/>
          <w:lang w:val="en" w:eastAsia="fr-FR"/>
        </w:rPr>
        <w:t xml:space="preserve">when </w:t>
      </w:r>
      <w:r w:rsidR="005C7EFC" w:rsidRPr="003F027F">
        <w:rPr>
          <w:color w:val="212121"/>
          <w:lang w:val="en" w:eastAsia="fr-FR"/>
        </w:rPr>
        <w:t>inves</w:t>
      </w:r>
      <w:r w:rsidR="005E19EF" w:rsidRPr="003F027F">
        <w:rPr>
          <w:color w:val="212121"/>
          <w:lang w:val="en" w:eastAsia="fr-FR"/>
        </w:rPr>
        <w:t>t</w:t>
      </w:r>
      <w:r w:rsidR="00733BD3" w:rsidRPr="003F027F">
        <w:rPr>
          <w:color w:val="212121"/>
          <w:lang w:val="en" w:eastAsia="fr-FR"/>
        </w:rPr>
        <w:t>ing</w:t>
      </w:r>
      <w:r w:rsidR="005E19EF" w:rsidRPr="003F027F">
        <w:rPr>
          <w:color w:val="212121"/>
          <w:lang w:val="en" w:eastAsia="fr-FR"/>
        </w:rPr>
        <w:t xml:space="preserve"> </w:t>
      </w:r>
      <w:r w:rsidR="00733BD3" w:rsidRPr="003F027F">
        <w:rPr>
          <w:color w:val="212121"/>
          <w:lang w:val="en" w:eastAsia="fr-FR"/>
        </w:rPr>
        <w:t xml:space="preserve">in </w:t>
      </w:r>
      <w:r w:rsidR="005E19EF" w:rsidRPr="003F027F">
        <w:rPr>
          <w:color w:val="212121"/>
          <w:lang w:val="en" w:eastAsia="fr-FR"/>
        </w:rPr>
        <w:t>value chains</w:t>
      </w:r>
      <w:r w:rsidR="005E19EF" w:rsidRPr="003F027F">
        <w:rPr>
          <w:bCs/>
          <w:color w:val="000000"/>
          <w:szCs w:val="24"/>
        </w:rPr>
        <w:t xml:space="preserve"> </w:t>
      </w:r>
      <w:r w:rsidR="005E19EF" w:rsidRPr="003F027F">
        <w:rPr>
          <w:color w:val="212121"/>
          <w:lang w:val="en" w:eastAsia="fr-FR"/>
        </w:rPr>
        <w:t xml:space="preserve">and </w:t>
      </w:r>
      <w:r w:rsidR="00733BD3" w:rsidRPr="003F027F">
        <w:rPr>
          <w:color w:val="212121"/>
          <w:lang w:val="en" w:eastAsia="fr-FR"/>
        </w:rPr>
        <w:t>promot</w:t>
      </w:r>
      <w:r w:rsidR="00500D1A">
        <w:rPr>
          <w:color w:val="212121"/>
          <w:lang w:val="en" w:eastAsia="fr-FR"/>
        </w:rPr>
        <w:t>ing</w:t>
      </w:r>
      <w:r w:rsidR="00733BD3" w:rsidRPr="003F027F">
        <w:rPr>
          <w:color w:val="212121"/>
          <w:lang w:val="en" w:eastAsia="fr-FR"/>
        </w:rPr>
        <w:t xml:space="preserve"> </w:t>
      </w:r>
      <w:r w:rsidR="005E19EF" w:rsidRPr="003F027F">
        <w:rPr>
          <w:color w:val="212121"/>
          <w:lang w:val="en" w:eastAsia="fr-FR"/>
        </w:rPr>
        <w:t>job creation.</w:t>
      </w:r>
      <w:r w:rsidR="005E19EF" w:rsidRPr="003F027F">
        <w:rPr>
          <w:rFonts w:ascii="inherit" w:hAnsi="inherit"/>
          <w:color w:val="212121"/>
          <w:lang w:val="en" w:eastAsia="fr-FR"/>
        </w:rPr>
        <w:t xml:space="preserve"> </w:t>
      </w:r>
      <w:r w:rsidR="00500D1A">
        <w:rPr>
          <w:bCs/>
          <w:color w:val="000000"/>
          <w:szCs w:val="24"/>
        </w:rPr>
        <w:t>T</w:t>
      </w:r>
      <w:r w:rsidRPr="003F027F">
        <w:rPr>
          <w:bCs/>
          <w:color w:val="000000"/>
          <w:szCs w:val="24"/>
        </w:rPr>
        <w:t xml:space="preserve">he </w:t>
      </w:r>
      <w:r w:rsidR="00FA1724" w:rsidRPr="003F027F">
        <w:rPr>
          <w:bCs/>
          <w:color w:val="000000"/>
          <w:szCs w:val="24"/>
        </w:rPr>
        <w:t xml:space="preserve">recent operationalization of Guinea Airlines </w:t>
      </w:r>
      <w:r w:rsidR="00F80DEC">
        <w:rPr>
          <w:bCs/>
          <w:color w:val="000000"/>
          <w:szCs w:val="24"/>
        </w:rPr>
        <w:t>can</w:t>
      </w:r>
      <w:r w:rsidR="00F80DEC" w:rsidRPr="003F027F">
        <w:rPr>
          <w:bCs/>
          <w:color w:val="000000"/>
          <w:szCs w:val="24"/>
        </w:rPr>
        <w:t xml:space="preserve"> </w:t>
      </w:r>
      <w:r w:rsidR="00FA1724" w:rsidRPr="003F027F">
        <w:rPr>
          <w:bCs/>
          <w:color w:val="000000"/>
          <w:szCs w:val="24"/>
        </w:rPr>
        <w:t xml:space="preserve">facilitate </w:t>
      </w:r>
      <w:r w:rsidRPr="003F027F">
        <w:rPr>
          <w:bCs/>
          <w:color w:val="000000"/>
          <w:szCs w:val="24"/>
        </w:rPr>
        <w:t xml:space="preserve">mobility for </w:t>
      </w:r>
      <w:r w:rsidR="00FA1724" w:rsidRPr="003F027F">
        <w:rPr>
          <w:bCs/>
          <w:color w:val="000000"/>
          <w:szCs w:val="24"/>
        </w:rPr>
        <w:t xml:space="preserve">continuous </w:t>
      </w:r>
      <w:r w:rsidRPr="003F027F">
        <w:rPr>
          <w:bCs/>
          <w:color w:val="000000"/>
          <w:szCs w:val="24"/>
        </w:rPr>
        <w:t>programme</w:t>
      </w:r>
      <w:r w:rsidR="001E25D6" w:rsidRPr="003F027F">
        <w:rPr>
          <w:bCs/>
          <w:color w:val="000000"/>
          <w:szCs w:val="24"/>
        </w:rPr>
        <w:t xml:space="preserve"> </w:t>
      </w:r>
      <w:r w:rsidR="00C60BBD" w:rsidRPr="003F027F">
        <w:rPr>
          <w:bCs/>
          <w:color w:val="000000"/>
          <w:szCs w:val="24"/>
        </w:rPr>
        <w:t>delivery</w:t>
      </w:r>
      <w:r w:rsidR="00500D1A">
        <w:rPr>
          <w:bCs/>
          <w:color w:val="000000"/>
          <w:szCs w:val="24"/>
        </w:rPr>
        <w:t xml:space="preserve"> to hard-to-reach populations</w:t>
      </w:r>
      <w:r w:rsidRPr="003F027F">
        <w:rPr>
          <w:bCs/>
          <w:color w:val="000000"/>
          <w:szCs w:val="24"/>
        </w:rPr>
        <w:t>.</w:t>
      </w:r>
    </w:p>
    <w:p w14:paraId="05C459E0" w14:textId="77777777" w:rsidR="003F027F" w:rsidRPr="00822B28" w:rsidRDefault="003F027F" w:rsidP="00ED7AF8">
      <w:pPr>
        <w:tabs>
          <w:tab w:val="left" w:pos="0"/>
          <w:tab w:val="left" w:pos="810"/>
          <w:tab w:val="left" w:pos="851"/>
          <w:tab w:val="left" w:pos="1260"/>
        </w:tabs>
        <w:spacing w:before="120" w:after="120"/>
        <w:ind w:left="900" w:right="1208"/>
        <w:contextualSpacing/>
        <w:jc w:val="both"/>
        <w:rPr>
          <w:bCs/>
          <w:color w:val="000000"/>
          <w:sz w:val="12"/>
          <w:szCs w:val="12"/>
        </w:rPr>
      </w:pPr>
    </w:p>
    <w:p w14:paraId="38366885" w14:textId="24887083" w:rsidR="003F027F" w:rsidRDefault="005D0268" w:rsidP="00ED7AF8">
      <w:pPr>
        <w:numPr>
          <w:ilvl w:val="0"/>
          <w:numId w:val="4"/>
        </w:numPr>
        <w:tabs>
          <w:tab w:val="left" w:pos="0"/>
          <w:tab w:val="left" w:pos="810"/>
          <w:tab w:val="left" w:pos="851"/>
          <w:tab w:val="left" w:pos="1260"/>
        </w:tabs>
        <w:spacing w:before="120" w:after="120"/>
        <w:ind w:left="900" w:right="1208" w:firstLine="0"/>
        <w:contextualSpacing/>
        <w:jc w:val="both"/>
      </w:pPr>
      <w:r w:rsidRPr="003F027F">
        <w:rPr>
          <w:bCs/>
          <w:color w:val="000000"/>
          <w:szCs w:val="24"/>
        </w:rPr>
        <w:t>To mitigate risks</w:t>
      </w:r>
      <w:r w:rsidR="00CA0F7A" w:rsidRPr="003F027F">
        <w:rPr>
          <w:bCs/>
          <w:color w:val="000000"/>
          <w:szCs w:val="24"/>
        </w:rPr>
        <w:t xml:space="preserve"> related to insufficient partnerships and resources</w:t>
      </w:r>
      <w:r w:rsidRPr="003F027F">
        <w:rPr>
          <w:bCs/>
          <w:color w:val="000000"/>
          <w:szCs w:val="24"/>
        </w:rPr>
        <w:t xml:space="preserve">, </w:t>
      </w:r>
      <w:r w:rsidR="00CA0F7A" w:rsidRPr="003F027F">
        <w:rPr>
          <w:bCs/>
          <w:color w:val="000000"/>
          <w:szCs w:val="24"/>
        </w:rPr>
        <w:t xml:space="preserve">the </w:t>
      </w:r>
      <w:r w:rsidR="00500D1A">
        <w:rPr>
          <w:bCs/>
          <w:color w:val="000000"/>
          <w:szCs w:val="24"/>
        </w:rPr>
        <w:t>country office</w:t>
      </w:r>
      <w:r w:rsidR="00500D1A" w:rsidRPr="003F027F">
        <w:rPr>
          <w:bCs/>
          <w:color w:val="000000"/>
          <w:szCs w:val="24"/>
        </w:rPr>
        <w:t xml:space="preserve"> </w:t>
      </w:r>
      <w:r w:rsidR="00F86264" w:rsidRPr="003F027F">
        <w:rPr>
          <w:bCs/>
          <w:color w:val="000000"/>
          <w:szCs w:val="24"/>
        </w:rPr>
        <w:t xml:space="preserve">will focus on its </w:t>
      </w:r>
      <w:r w:rsidR="00DD12E8" w:rsidRPr="003F027F">
        <w:rPr>
          <w:bCs/>
          <w:color w:val="000000"/>
          <w:szCs w:val="24"/>
        </w:rPr>
        <w:t>resource mobilization strategy</w:t>
      </w:r>
      <w:r w:rsidR="00500D1A">
        <w:rPr>
          <w:bCs/>
          <w:color w:val="000000"/>
          <w:szCs w:val="24"/>
        </w:rPr>
        <w:t xml:space="preserve">. UNDP will </w:t>
      </w:r>
      <w:r w:rsidR="00F86264" w:rsidRPr="003F027F">
        <w:rPr>
          <w:bCs/>
          <w:color w:val="000000"/>
          <w:szCs w:val="24"/>
        </w:rPr>
        <w:t>strengthen</w:t>
      </w:r>
      <w:r w:rsidR="00500D1A">
        <w:rPr>
          <w:bCs/>
          <w:color w:val="000000"/>
          <w:szCs w:val="24"/>
        </w:rPr>
        <w:t xml:space="preserve"> the</w:t>
      </w:r>
      <w:r w:rsidR="00F86264" w:rsidRPr="003F027F">
        <w:rPr>
          <w:bCs/>
          <w:color w:val="000000"/>
          <w:szCs w:val="24"/>
        </w:rPr>
        <w:t xml:space="preserve"> communication and v</w:t>
      </w:r>
      <w:r w:rsidR="00DD12E8" w:rsidRPr="003F027F">
        <w:rPr>
          <w:bCs/>
          <w:color w:val="000000"/>
          <w:szCs w:val="24"/>
        </w:rPr>
        <w:t>isibility of interventions</w:t>
      </w:r>
      <w:r w:rsidR="00124C83">
        <w:rPr>
          <w:bCs/>
          <w:color w:val="000000"/>
          <w:szCs w:val="24"/>
        </w:rPr>
        <w:t xml:space="preserve">; </w:t>
      </w:r>
      <w:r w:rsidR="00F86264" w:rsidRPr="003F027F">
        <w:rPr>
          <w:bCs/>
          <w:color w:val="000000"/>
          <w:szCs w:val="24"/>
        </w:rPr>
        <w:t>allocat</w:t>
      </w:r>
      <w:r w:rsidR="00124C83">
        <w:rPr>
          <w:bCs/>
          <w:color w:val="000000"/>
          <w:szCs w:val="24"/>
        </w:rPr>
        <w:t>e</w:t>
      </w:r>
      <w:r w:rsidR="00DD12E8" w:rsidRPr="003F027F">
        <w:rPr>
          <w:bCs/>
          <w:color w:val="000000"/>
          <w:szCs w:val="24"/>
        </w:rPr>
        <w:t xml:space="preserve"> direct costs to projects</w:t>
      </w:r>
      <w:r w:rsidR="001423BE" w:rsidRPr="003F027F">
        <w:rPr>
          <w:bCs/>
          <w:color w:val="000000"/>
          <w:szCs w:val="24"/>
        </w:rPr>
        <w:t>;</w:t>
      </w:r>
      <w:r w:rsidR="00F86264" w:rsidRPr="003F027F">
        <w:rPr>
          <w:bCs/>
          <w:color w:val="000000"/>
          <w:szCs w:val="24"/>
        </w:rPr>
        <w:t xml:space="preserve"> </w:t>
      </w:r>
      <w:r w:rsidR="00124C83" w:rsidRPr="003F027F">
        <w:rPr>
          <w:bCs/>
          <w:color w:val="000000"/>
          <w:szCs w:val="24"/>
        </w:rPr>
        <w:t>updat</w:t>
      </w:r>
      <w:r w:rsidR="00124C83">
        <w:rPr>
          <w:bCs/>
          <w:color w:val="000000"/>
          <w:szCs w:val="24"/>
        </w:rPr>
        <w:t>e</w:t>
      </w:r>
      <w:r w:rsidR="00124C83" w:rsidRPr="003F027F">
        <w:rPr>
          <w:bCs/>
          <w:color w:val="000000"/>
          <w:szCs w:val="24"/>
        </w:rPr>
        <w:t xml:space="preserve"> </w:t>
      </w:r>
      <w:r w:rsidR="00DD12E8" w:rsidRPr="003F027F">
        <w:rPr>
          <w:bCs/>
          <w:color w:val="000000"/>
          <w:szCs w:val="24"/>
        </w:rPr>
        <w:t>its partner database</w:t>
      </w:r>
      <w:r w:rsidR="00E71312">
        <w:rPr>
          <w:bCs/>
          <w:color w:val="000000"/>
          <w:szCs w:val="24"/>
        </w:rPr>
        <w:t xml:space="preserve">. The organization will </w:t>
      </w:r>
      <w:r w:rsidR="00124C83" w:rsidRPr="003F027F">
        <w:rPr>
          <w:bCs/>
          <w:color w:val="000000"/>
          <w:szCs w:val="24"/>
        </w:rPr>
        <w:t>explor</w:t>
      </w:r>
      <w:r w:rsidR="00124C83">
        <w:rPr>
          <w:bCs/>
          <w:color w:val="000000"/>
          <w:szCs w:val="24"/>
        </w:rPr>
        <w:t>e</w:t>
      </w:r>
      <w:r w:rsidR="00124C83" w:rsidRPr="003F027F">
        <w:rPr>
          <w:bCs/>
          <w:color w:val="000000"/>
          <w:szCs w:val="24"/>
        </w:rPr>
        <w:t xml:space="preserve"> </w:t>
      </w:r>
      <w:r w:rsidR="00F86264" w:rsidRPr="003F027F">
        <w:rPr>
          <w:bCs/>
          <w:color w:val="000000"/>
          <w:szCs w:val="24"/>
        </w:rPr>
        <w:t xml:space="preserve">new funding </w:t>
      </w:r>
      <w:r w:rsidR="00124C83">
        <w:rPr>
          <w:bCs/>
          <w:color w:val="000000"/>
          <w:szCs w:val="24"/>
        </w:rPr>
        <w:t xml:space="preserve">mechanisms </w:t>
      </w:r>
      <w:r w:rsidR="00E71312">
        <w:rPr>
          <w:bCs/>
          <w:color w:val="000000"/>
          <w:szCs w:val="24"/>
        </w:rPr>
        <w:t xml:space="preserve">with </w:t>
      </w:r>
      <w:r w:rsidR="00F86264" w:rsidRPr="003F027F">
        <w:rPr>
          <w:bCs/>
          <w:color w:val="000000"/>
          <w:szCs w:val="24"/>
        </w:rPr>
        <w:t>the Green Climate Fund, the Bill and Melinda Gates Foundation, I</w:t>
      </w:r>
      <w:r w:rsidR="00124C83">
        <w:rPr>
          <w:bCs/>
          <w:color w:val="000000"/>
          <w:szCs w:val="24"/>
        </w:rPr>
        <w:t>S</w:t>
      </w:r>
      <w:r w:rsidR="00F86264" w:rsidRPr="003F027F">
        <w:rPr>
          <w:bCs/>
          <w:color w:val="000000"/>
          <w:szCs w:val="24"/>
        </w:rPr>
        <w:t xml:space="preserve">DB and public-private partnerships. </w:t>
      </w:r>
      <w:r w:rsidR="008B70D3">
        <w:rPr>
          <w:bCs/>
          <w:color w:val="000000"/>
          <w:szCs w:val="24"/>
        </w:rPr>
        <w:t xml:space="preserve">At present, </w:t>
      </w:r>
      <w:r w:rsidR="008D418A" w:rsidRPr="003F027F">
        <w:rPr>
          <w:bCs/>
          <w:color w:val="000000"/>
          <w:szCs w:val="24"/>
        </w:rPr>
        <w:t>I</w:t>
      </w:r>
      <w:r w:rsidR="00124C83">
        <w:rPr>
          <w:bCs/>
          <w:color w:val="000000"/>
          <w:szCs w:val="24"/>
        </w:rPr>
        <w:t>S</w:t>
      </w:r>
      <w:r w:rsidR="00DE1F73" w:rsidRPr="003F027F">
        <w:rPr>
          <w:bCs/>
          <w:color w:val="000000"/>
          <w:szCs w:val="24"/>
        </w:rPr>
        <w:t>DB is promoting a</w:t>
      </w:r>
      <w:r w:rsidR="003C53C1" w:rsidRPr="003F027F">
        <w:rPr>
          <w:bCs/>
          <w:color w:val="000000"/>
          <w:szCs w:val="24"/>
        </w:rPr>
        <w:t>n</w:t>
      </w:r>
      <w:r w:rsidR="00DE1F73" w:rsidRPr="003F027F">
        <w:rPr>
          <w:bCs/>
          <w:color w:val="000000"/>
          <w:szCs w:val="24"/>
        </w:rPr>
        <w:t xml:space="preserve"> </w:t>
      </w:r>
      <w:r w:rsidR="003C53C1" w:rsidRPr="003F027F">
        <w:rPr>
          <w:bCs/>
          <w:color w:val="000000"/>
          <w:szCs w:val="24"/>
        </w:rPr>
        <w:t>outsourcing</w:t>
      </w:r>
      <w:r w:rsidR="00F86264" w:rsidRPr="003F027F">
        <w:rPr>
          <w:bCs/>
          <w:color w:val="000000"/>
          <w:szCs w:val="24"/>
        </w:rPr>
        <w:t xml:space="preserve"> approach </w:t>
      </w:r>
      <w:r w:rsidR="008D418A" w:rsidRPr="003F027F">
        <w:rPr>
          <w:bCs/>
          <w:color w:val="000000"/>
          <w:szCs w:val="24"/>
        </w:rPr>
        <w:t>under corporate agreement</w:t>
      </w:r>
      <w:r w:rsidR="00D70990" w:rsidRPr="003F027F">
        <w:rPr>
          <w:bCs/>
          <w:color w:val="000000"/>
          <w:szCs w:val="24"/>
        </w:rPr>
        <w:t>s</w:t>
      </w:r>
      <w:r w:rsidR="008D418A" w:rsidRPr="003F027F">
        <w:rPr>
          <w:bCs/>
          <w:color w:val="000000"/>
          <w:szCs w:val="24"/>
        </w:rPr>
        <w:t xml:space="preserve"> </w:t>
      </w:r>
      <w:r w:rsidR="005669B5">
        <w:rPr>
          <w:bCs/>
          <w:color w:val="000000"/>
          <w:szCs w:val="24"/>
        </w:rPr>
        <w:t>with</w:t>
      </w:r>
      <w:r w:rsidR="005669B5" w:rsidRPr="003F027F">
        <w:rPr>
          <w:bCs/>
          <w:color w:val="000000"/>
          <w:szCs w:val="24"/>
        </w:rPr>
        <w:t xml:space="preserve"> </w:t>
      </w:r>
      <w:r w:rsidR="00F86264" w:rsidRPr="003F027F">
        <w:rPr>
          <w:bCs/>
          <w:color w:val="000000"/>
          <w:szCs w:val="24"/>
        </w:rPr>
        <w:t xml:space="preserve">UNDP </w:t>
      </w:r>
      <w:r w:rsidR="005669B5">
        <w:rPr>
          <w:bCs/>
          <w:color w:val="000000"/>
          <w:szCs w:val="24"/>
        </w:rPr>
        <w:t xml:space="preserve">and other partners. This approach has </w:t>
      </w:r>
      <w:r w:rsidR="00156DC7" w:rsidRPr="003F027F">
        <w:rPr>
          <w:bCs/>
          <w:color w:val="000000"/>
          <w:szCs w:val="24"/>
        </w:rPr>
        <w:t>distinct</w:t>
      </w:r>
      <w:r w:rsidR="00F86264" w:rsidRPr="003F027F">
        <w:rPr>
          <w:bCs/>
          <w:color w:val="000000"/>
          <w:szCs w:val="24"/>
        </w:rPr>
        <w:t xml:space="preserve"> comparative advantage</w:t>
      </w:r>
      <w:r w:rsidR="00BF0DCE">
        <w:rPr>
          <w:bCs/>
          <w:color w:val="000000"/>
          <w:szCs w:val="24"/>
        </w:rPr>
        <w:t>s</w:t>
      </w:r>
      <w:r w:rsidR="00F86264" w:rsidRPr="003F027F">
        <w:rPr>
          <w:bCs/>
          <w:color w:val="000000"/>
          <w:szCs w:val="24"/>
        </w:rPr>
        <w:t xml:space="preserve"> in </w:t>
      </w:r>
      <w:r w:rsidR="005669B5">
        <w:rPr>
          <w:bCs/>
          <w:color w:val="000000"/>
          <w:szCs w:val="24"/>
        </w:rPr>
        <w:t xml:space="preserve">building </w:t>
      </w:r>
      <w:r w:rsidR="00DE1F73" w:rsidRPr="003F027F">
        <w:rPr>
          <w:bCs/>
          <w:color w:val="000000"/>
          <w:szCs w:val="24"/>
        </w:rPr>
        <w:t>governance and institutional</w:t>
      </w:r>
      <w:r w:rsidR="00F86264" w:rsidRPr="003F027F">
        <w:rPr>
          <w:bCs/>
          <w:color w:val="000000"/>
          <w:szCs w:val="24"/>
        </w:rPr>
        <w:t xml:space="preserve"> capacit</w:t>
      </w:r>
      <w:r w:rsidR="005669B5">
        <w:rPr>
          <w:bCs/>
          <w:color w:val="000000"/>
          <w:szCs w:val="24"/>
        </w:rPr>
        <w:t>ies</w:t>
      </w:r>
      <w:r w:rsidR="00C47614" w:rsidRPr="003F027F">
        <w:rPr>
          <w:bCs/>
          <w:color w:val="000000"/>
          <w:szCs w:val="24"/>
        </w:rPr>
        <w:t xml:space="preserve">, </w:t>
      </w:r>
      <w:r w:rsidR="005669B5">
        <w:rPr>
          <w:bCs/>
          <w:color w:val="000000"/>
          <w:szCs w:val="24"/>
        </w:rPr>
        <w:t xml:space="preserve">and boosting </w:t>
      </w:r>
      <w:r w:rsidR="00202EBB" w:rsidRPr="003F027F">
        <w:rPr>
          <w:bCs/>
          <w:color w:val="000000"/>
          <w:szCs w:val="24"/>
        </w:rPr>
        <w:t>grassroots</w:t>
      </w:r>
      <w:r w:rsidR="00DE1F73" w:rsidRPr="003F027F">
        <w:rPr>
          <w:bCs/>
          <w:color w:val="000000"/>
          <w:szCs w:val="24"/>
        </w:rPr>
        <w:t xml:space="preserve"> level entrepreneurship and value chain development</w:t>
      </w:r>
      <w:r w:rsidR="00F86264" w:rsidRPr="003F027F">
        <w:rPr>
          <w:bCs/>
          <w:color w:val="000000"/>
          <w:szCs w:val="24"/>
        </w:rPr>
        <w:t xml:space="preserve">. </w:t>
      </w:r>
      <w:r w:rsidR="000A2A89" w:rsidRPr="003F027F">
        <w:rPr>
          <w:bCs/>
          <w:color w:val="000000"/>
          <w:szCs w:val="24"/>
        </w:rPr>
        <w:t>A</w:t>
      </w:r>
      <w:r w:rsidR="00F86264" w:rsidRPr="003F027F">
        <w:rPr>
          <w:bCs/>
          <w:color w:val="000000"/>
          <w:szCs w:val="24"/>
        </w:rPr>
        <w:t xml:space="preserve"> strategy will be developed in collaboration with national stakeholders to </w:t>
      </w:r>
      <w:r w:rsidR="005669B5">
        <w:rPr>
          <w:bCs/>
          <w:color w:val="000000"/>
          <w:szCs w:val="24"/>
        </w:rPr>
        <w:t>secure</w:t>
      </w:r>
      <w:r w:rsidR="00F86264" w:rsidRPr="003F027F">
        <w:rPr>
          <w:bCs/>
          <w:color w:val="000000"/>
          <w:szCs w:val="24"/>
        </w:rPr>
        <w:t xml:space="preserve"> national funding. Emphasis will be placed on building the capacity of implementing partners to improve the quality of interventions.</w:t>
      </w:r>
    </w:p>
    <w:p w14:paraId="39001926" w14:textId="77777777" w:rsidR="003F027F" w:rsidRPr="00822B28" w:rsidRDefault="003F027F" w:rsidP="00ED7AF8">
      <w:pPr>
        <w:tabs>
          <w:tab w:val="left" w:pos="0"/>
          <w:tab w:val="left" w:pos="810"/>
          <w:tab w:val="left" w:pos="851"/>
          <w:tab w:val="left" w:pos="1260"/>
        </w:tabs>
        <w:spacing w:before="120" w:after="120"/>
        <w:ind w:left="900" w:right="1208"/>
        <w:contextualSpacing/>
        <w:jc w:val="both"/>
        <w:rPr>
          <w:bCs/>
          <w:color w:val="000000"/>
          <w:sz w:val="12"/>
          <w:szCs w:val="12"/>
        </w:rPr>
      </w:pPr>
    </w:p>
    <w:p w14:paraId="143F1103" w14:textId="41669619" w:rsidR="003F027F" w:rsidRDefault="005669B5" w:rsidP="00ED7AF8">
      <w:pPr>
        <w:numPr>
          <w:ilvl w:val="0"/>
          <w:numId w:val="4"/>
        </w:numPr>
        <w:tabs>
          <w:tab w:val="left" w:pos="0"/>
          <w:tab w:val="left" w:pos="810"/>
          <w:tab w:val="left" w:pos="851"/>
          <w:tab w:val="left" w:pos="1260"/>
        </w:tabs>
        <w:spacing w:before="120" w:after="120"/>
        <w:ind w:left="900" w:right="1208" w:firstLine="0"/>
        <w:contextualSpacing/>
        <w:jc w:val="both"/>
      </w:pPr>
      <w:r>
        <w:rPr>
          <w:bCs/>
          <w:color w:val="000000"/>
          <w:szCs w:val="24"/>
        </w:rPr>
        <w:t>The</w:t>
      </w:r>
      <w:r w:rsidR="00F86264" w:rsidRPr="003F027F">
        <w:rPr>
          <w:bCs/>
          <w:color w:val="000000"/>
          <w:szCs w:val="24"/>
        </w:rPr>
        <w:t xml:space="preserve"> </w:t>
      </w:r>
      <w:r>
        <w:rPr>
          <w:bCs/>
          <w:color w:val="000000"/>
          <w:szCs w:val="24"/>
        </w:rPr>
        <w:t>UNDP country office will</w:t>
      </w:r>
      <w:r w:rsidR="00F86264" w:rsidRPr="003F027F">
        <w:rPr>
          <w:bCs/>
          <w:color w:val="000000"/>
          <w:szCs w:val="24"/>
        </w:rPr>
        <w:t xml:space="preserve"> project</w:t>
      </w:r>
      <w:r w:rsidR="00153195" w:rsidRPr="003F027F">
        <w:rPr>
          <w:bCs/>
          <w:color w:val="000000"/>
          <w:szCs w:val="24"/>
        </w:rPr>
        <w:t xml:space="preserve"> quality assurance,</w:t>
      </w:r>
      <w:r w:rsidR="00F86264" w:rsidRPr="003F027F">
        <w:rPr>
          <w:bCs/>
          <w:color w:val="000000"/>
          <w:szCs w:val="24"/>
        </w:rPr>
        <w:t xml:space="preserve"> </w:t>
      </w:r>
      <w:r>
        <w:rPr>
          <w:bCs/>
          <w:color w:val="000000"/>
          <w:szCs w:val="24"/>
        </w:rPr>
        <w:t xml:space="preserve">along with </w:t>
      </w:r>
      <w:r w:rsidR="00F86264" w:rsidRPr="003F027F">
        <w:rPr>
          <w:bCs/>
          <w:color w:val="000000"/>
          <w:szCs w:val="24"/>
        </w:rPr>
        <w:t>social and environmental standards</w:t>
      </w:r>
      <w:r w:rsidR="00CA0F7A" w:rsidRPr="003F027F">
        <w:rPr>
          <w:bCs/>
          <w:color w:val="000000"/>
          <w:szCs w:val="24"/>
        </w:rPr>
        <w:t xml:space="preserve"> </w:t>
      </w:r>
      <w:r>
        <w:rPr>
          <w:bCs/>
          <w:color w:val="000000"/>
          <w:szCs w:val="24"/>
        </w:rPr>
        <w:t>that</w:t>
      </w:r>
      <w:r w:rsidRPr="003F027F">
        <w:rPr>
          <w:bCs/>
          <w:color w:val="000000"/>
          <w:szCs w:val="24"/>
        </w:rPr>
        <w:t xml:space="preserve"> </w:t>
      </w:r>
      <w:r w:rsidR="002E7F06" w:rsidRPr="003F027F">
        <w:rPr>
          <w:bCs/>
          <w:color w:val="000000"/>
          <w:szCs w:val="24"/>
        </w:rPr>
        <w:t>improve</w:t>
      </w:r>
      <w:r w:rsidR="00CA0F7A" w:rsidRPr="003F027F">
        <w:rPr>
          <w:bCs/>
          <w:color w:val="000000"/>
          <w:szCs w:val="24"/>
        </w:rPr>
        <w:t xml:space="preserve"> programme </w:t>
      </w:r>
      <w:r w:rsidR="002E7F06" w:rsidRPr="003F027F">
        <w:rPr>
          <w:bCs/>
          <w:color w:val="000000"/>
          <w:szCs w:val="24"/>
        </w:rPr>
        <w:t>quality</w:t>
      </w:r>
      <w:r w:rsidR="00F86264" w:rsidRPr="003F027F">
        <w:rPr>
          <w:bCs/>
          <w:color w:val="000000"/>
          <w:szCs w:val="24"/>
        </w:rPr>
        <w:t>. To maintain good value for money</w:t>
      </w:r>
      <w:r w:rsidR="001270E2">
        <w:rPr>
          <w:bCs/>
          <w:color w:val="000000"/>
          <w:szCs w:val="24"/>
        </w:rPr>
        <w:t xml:space="preserve"> and close existing gaps</w:t>
      </w:r>
      <w:r w:rsidR="00F86264" w:rsidRPr="003F027F">
        <w:rPr>
          <w:bCs/>
          <w:color w:val="000000"/>
          <w:szCs w:val="24"/>
        </w:rPr>
        <w:t xml:space="preserve">, the </w:t>
      </w:r>
      <w:r>
        <w:rPr>
          <w:bCs/>
          <w:color w:val="000000"/>
          <w:szCs w:val="24"/>
        </w:rPr>
        <w:t>country office</w:t>
      </w:r>
      <w:r w:rsidRPr="003F027F">
        <w:rPr>
          <w:bCs/>
          <w:color w:val="000000"/>
          <w:szCs w:val="24"/>
        </w:rPr>
        <w:t xml:space="preserve"> </w:t>
      </w:r>
      <w:r w:rsidR="00F86264" w:rsidRPr="003F027F">
        <w:rPr>
          <w:bCs/>
          <w:color w:val="000000"/>
          <w:szCs w:val="24"/>
        </w:rPr>
        <w:t xml:space="preserve">will strengthen financial management controls and project supervision, </w:t>
      </w:r>
      <w:r w:rsidR="001270E2">
        <w:rPr>
          <w:bCs/>
          <w:color w:val="000000"/>
          <w:szCs w:val="24"/>
        </w:rPr>
        <w:t xml:space="preserve">and improve upon </w:t>
      </w:r>
      <w:r>
        <w:rPr>
          <w:bCs/>
          <w:color w:val="000000"/>
          <w:szCs w:val="24"/>
        </w:rPr>
        <w:t>its</w:t>
      </w:r>
      <w:r w:rsidRPr="003F027F">
        <w:rPr>
          <w:bCs/>
          <w:color w:val="000000"/>
          <w:szCs w:val="24"/>
        </w:rPr>
        <w:t xml:space="preserve"> </w:t>
      </w:r>
      <w:r w:rsidR="00F86264" w:rsidRPr="003F027F">
        <w:rPr>
          <w:bCs/>
          <w:color w:val="000000"/>
          <w:szCs w:val="24"/>
        </w:rPr>
        <w:t>evaluation</w:t>
      </w:r>
      <w:r w:rsidR="0006527D" w:rsidRPr="003F027F">
        <w:rPr>
          <w:bCs/>
          <w:color w:val="000000"/>
          <w:szCs w:val="24"/>
        </w:rPr>
        <w:t xml:space="preserve"> and capacity asse</w:t>
      </w:r>
      <w:r w:rsidR="00C55591" w:rsidRPr="003F027F">
        <w:rPr>
          <w:bCs/>
          <w:color w:val="000000"/>
          <w:szCs w:val="24"/>
        </w:rPr>
        <w:t>ss</w:t>
      </w:r>
      <w:r w:rsidR="0006527D" w:rsidRPr="003F027F">
        <w:rPr>
          <w:bCs/>
          <w:color w:val="000000"/>
          <w:szCs w:val="24"/>
        </w:rPr>
        <w:t xml:space="preserve">ment </w:t>
      </w:r>
      <w:r w:rsidR="00F86264" w:rsidRPr="003F027F">
        <w:rPr>
          <w:bCs/>
          <w:color w:val="000000"/>
          <w:szCs w:val="24"/>
        </w:rPr>
        <w:t>of i</w:t>
      </w:r>
      <w:r w:rsidR="00D703D0" w:rsidRPr="003F027F">
        <w:rPr>
          <w:bCs/>
          <w:color w:val="000000"/>
          <w:szCs w:val="24"/>
        </w:rPr>
        <w:t>mplementing partners</w:t>
      </w:r>
      <w:r w:rsidR="00033FE5" w:rsidRPr="003F027F">
        <w:rPr>
          <w:bCs/>
          <w:color w:val="000000"/>
          <w:szCs w:val="24"/>
        </w:rPr>
        <w:t>.</w:t>
      </w:r>
    </w:p>
    <w:p w14:paraId="08CC5A43" w14:textId="77777777" w:rsidR="003F027F" w:rsidRPr="00822B28" w:rsidRDefault="003F027F" w:rsidP="00ED7AF8">
      <w:pPr>
        <w:tabs>
          <w:tab w:val="left" w:pos="0"/>
          <w:tab w:val="left" w:pos="810"/>
          <w:tab w:val="left" w:pos="851"/>
          <w:tab w:val="left" w:pos="1260"/>
        </w:tabs>
        <w:spacing w:before="120" w:after="120"/>
        <w:ind w:left="900" w:right="1208"/>
        <w:contextualSpacing/>
        <w:jc w:val="both"/>
        <w:rPr>
          <w:bCs/>
          <w:color w:val="000000"/>
          <w:sz w:val="12"/>
          <w:szCs w:val="12"/>
        </w:rPr>
      </w:pPr>
    </w:p>
    <w:p w14:paraId="037286E1" w14:textId="652B6343" w:rsidR="003F027F" w:rsidRDefault="00DE1F73" w:rsidP="00ED7AF8">
      <w:pPr>
        <w:numPr>
          <w:ilvl w:val="0"/>
          <w:numId w:val="4"/>
        </w:numPr>
        <w:tabs>
          <w:tab w:val="left" w:pos="0"/>
          <w:tab w:val="left" w:pos="810"/>
          <w:tab w:val="left" w:pos="851"/>
          <w:tab w:val="left" w:pos="1260"/>
        </w:tabs>
        <w:spacing w:before="120" w:after="120"/>
        <w:ind w:left="900" w:right="1208" w:firstLine="0"/>
        <w:contextualSpacing/>
        <w:jc w:val="both"/>
      </w:pPr>
      <w:r w:rsidRPr="003F027F">
        <w:rPr>
          <w:bCs/>
          <w:color w:val="000000"/>
          <w:szCs w:val="24"/>
        </w:rPr>
        <w:t xml:space="preserve">The </w:t>
      </w:r>
      <w:r w:rsidR="005669B5">
        <w:rPr>
          <w:bCs/>
          <w:color w:val="000000"/>
          <w:szCs w:val="24"/>
        </w:rPr>
        <w:t>UNDP country office</w:t>
      </w:r>
      <w:r w:rsidR="005669B5" w:rsidRPr="003F027F">
        <w:rPr>
          <w:bCs/>
          <w:color w:val="000000"/>
          <w:szCs w:val="24"/>
        </w:rPr>
        <w:t xml:space="preserve"> </w:t>
      </w:r>
      <w:r w:rsidR="00F86264" w:rsidRPr="003F027F">
        <w:rPr>
          <w:bCs/>
          <w:color w:val="000000"/>
          <w:szCs w:val="24"/>
        </w:rPr>
        <w:t xml:space="preserve">has </w:t>
      </w:r>
      <w:r w:rsidR="005669B5">
        <w:rPr>
          <w:bCs/>
          <w:color w:val="000000"/>
          <w:szCs w:val="24"/>
        </w:rPr>
        <w:t xml:space="preserve">put </w:t>
      </w:r>
      <w:r w:rsidR="00F86264" w:rsidRPr="003F027F">
        <w:rPr>
          <w:bCs/>
          <w:color w:val="000000"/>
          <w:szCs w:val="24"/>
        </w:rPr>
        <w:t xml:space="preserve">a strategic oversight, early warning and risk management mechanism </w:t>
      </w:r>
      <w:r w:rsidR="005669B5">
        <w:rPr>
          <w:bCs/>
          <w:color w:val="000000"/>
          <w:szCs w:val="24"/>
        </w:rPr>
        <w:t xml:space="preserve">in place </w:t>
      </w:r>
      <w:r w:rsidR="00F86264" w:rsidRPr="003F027F">
        <w:rPr>
          <w:bCs/>
          <w:color w:val="000000"/>
          <w:szCs w:val="24"/>
        </w:rPr>
        <w:t xml:space="preserve">through </w:t>
      </w:r>
      <w:r w:rsidR="005669B5">
        <w:rPr>
          <w:bCs/>
          <w:color w:val="000000"/>
          <w:szCs w:val="24"/>
        </w:rPr>
        <w:t>a</w:t>
      </w:r>
      <w:r w:rsidR="005669B5" w:rsidRPr="003F027F">
        <w:rPr>
          <w:bCs/>
          <w:color w:val="000000"/>
          <w:szCs w:val="24"/>
        </w:rPr>
        <w:t xml:space="preserve"> </w:t>
      </w:r>
      <w:r w:rsidR="005669B5">
        <w:rPr>
          <w:bCs/>
          <w:color w:val="000000"/>
          <w:szCs w:val="24"/>
        </w:rPr>
        <w:t>b</w:t>
      </w:r>
      <w:r w:rsidR="00D34626" w:rsidRPr="003F027F">
        <w:rPr>
          <w:bCs/>
          <w:color w:val="000000"/>
          <w:szCs w:val="24"/>
        </w:rPr>
        <w:t>usines</w:t>
      </w:r>
      <w:r w:rsidR="00CD087E" w:rsidRPr="003F027F">
        <w:rPr>
          <w:bCs/>
          <w:color w:val="000000"/>
          <w:szCs w:val="24"/>
        </w:rPr>
        <w:t>s</w:t>
      </w:r>
      <w:r w:rsidR="00D34626" w:rsidRPr="003F027F">
        <w:rPr>
          <w:bCs/>
          <w:color w:val="000000"/>
          <w:szCs w:val="24"/>
        </w:rPr>
        <w:t xml:space="preserve"> </w:t>
      </w:r>
      <w:r w:rsidR="005669B5">
        <w:rPr>
          <w:bCs/>
          <w:color w:val="000000"/>
          <w:szCs w:val="24"/>
        </w:rPr>
        <w:t>c</w:t>
      </w:r>
      <w:r w:rsidR="007E774E" w:rsidRPr="003F027F">
        <w:rPr>
          <w:bCs/>
          <w:color w:val="000000"/>
          <w:szCs w:val="24"/>
        </w:rPr>
        <w:t>ontinu</w:t>
      </w:r>
      <w:r w:rsidR="00CD087E" w:rsidRPr="003F027F">
        <w:rPr>
          <w:bCs/>
          <w:color w:val="000000"/>
          <w:szCs w:val="24"/>
        </w:rPr>
        <w:t>i</w:t>
      </w:r>
      <w:r w:rsidR="007E774E" w:rsidRPr="003F027F">
        <w:rPr>
          <w:bCs/>
          <w:color w:val="000000"/>
          <w:szCs w:val="24"/>
        </w:rPr>
        <w:t>t</w:t>
      </w:r>
      <w:r w:rsidR="00D34626" w:rsidRPr="003F027F">
        <w:rPr>
          <w:bCs/>
          <w:color w:val="000000"/>
          <w:szCs w:val="24"/>
        </w:rPr>
        <w:t xml:space="preserve">y </w:t>
      </w:r>
      <w:r w:rsidR="005669B5">
        <w:rPr>
          <w:bCs/>
          <w:color w:val="000000"/>
          <w:szCs w:val="24"/>
        </w:rPr>
        <w:t>p</w:t>
      </w:r>
      <w:r w:rsidR="00D34626" w:rsidRPr="003F027F">
        <w:rPr>
          <w:bCs/>
          <w:color w:val="000000"/>
          <w:szCs w:val="24"/>
        </w:rPr>
        <w:t>lan</w:t>
      </w:r>
      <w:r w:rsidR="005669B5">
        <w:rPr>
          <w:bCs/>
          <w:color w:val="000000"/>
          <w:szCs w:val="24"/>
        </w:rPr>
        <w:t xml:space="preserve"> that </w:t>
      </w:r>
      <w:r w:rsidR="00F86264" w:rsidRPr="003F027F">
        <w:rPr>
          <w:bCs/>
          <w:color w:val="000000"/>
          <w:szCs w:val="24"/>
        </w:rPr>
        <w:t>analyses and assesses the national context, identifies risks, and assesses risk management capacit</w:t>
      </w:r>
      <w:r w:rsidR="00604520">
        <w:rPr>
          <w:bCs/>
          <w:color w:val="000000"/>
          <w:szCs w:val="24"/>
        </w:rPr>
        <w:t>ies</w:t>
      </w:r>
      <w:r w:rsidR="00F86264" w:rsidRPr="003F027F">
        <w:rPr>
          <w:bCs/>
          <w:color w:val="000000"/>
          <w:szCs w:val="24"/>
        </w:rPr>
        <w:t xml:space="preserve"> through the management/mitigation system. This system is updated as the context changes. </w:t>
      </w:r>
      <w:r w:rsidR="00202EBB" w:rsidRPr="003F027F">
        <w:rPr>
          <w:bCs/>
          <w:color w:val="000000"/>
          <w:szCs w:val="24"/>
        </w:rPr>
        <w:t xml:space="preserve">If </w:t>
      </w:r>
      <w:r w:rsidR="00202EBB">
        <w:rPr>
          <w:bCs/>
          <w:color w:val="000000"/>
          <w:szCs w:val="24"/>
        </w:rPr>
        <w:t>needed</w:t>
      </w:r>
      <w:r w:rsidR="00202EBB" w:rsidRPr="003F027F">
        <w:rPr>
          <w:bCs/>
          <w:color w:val="000000"/>
          <w:szCs w:val="24"/>
        </w:rPr>
        <w:t xml:space="preserve">, the </w:t>
      </w:r>
      <w:r w:rsidR="00202EBB">
        <w:rPr>
          <w:bCs/>
          <w:color w:val="000000"/>
          <w:szCs w:val="24"/>
        </w:rPr>
        <w:t>country office</w:t>
      </w:r>
      <w:r w:rsidR="00202EBB" w:rsidRPr="003F027F">
        <w:rPr>
          <w:bCs/>
          <w:color w:val="000000"/>
          <w:szCs w:val="24"/>
        </w:rPr>
        <w:t xml:space="preserve"> will have </w:t>
      </w:r>
      <w:r w:rsidR="00202EBB">
        <w:rPr>
          <w:bCs/>
          <w:color w:val="000000"/>
          <w:szCs w:val="24"/>
        </w:rPr>
        <w:t>the flexibility to modify</w:t>
      </w:r>
      <w:r w:rsidR="00202EBB" w:rsidRPr="003F027F">
        <w:rPr>
          <w:bCs/>
          <w:color w:val="000000"/>
          <w:szCs w:val="24"/>
        </w:rPr>
        <w:t xml:space="preserve"> planning</w:t>
      </w:r>
      <w:r w:rsidR="00202EBB">
        <w:rPr>
          <w:bCs/>
          <w:color w:val="000000"/>
          <w:szCs w:val="24"/>
        </w:rPr>
        <w:t>,</w:t>
      </w:r>
      <w:r w:rsidR="00202EBB" w:rsidRPr="003F027F">
        <w:rPr>
          <w:bCs/>
          <w:color w:val="000000"/>
          <w:szCs w:val="24"/>
        </w:rPr>
        <w:t xml:space="preserve"> reallocat</w:t>
      </w:r>
      <w:r w:rsidR="00202EBB">
        <w:rPr>
          <w:bCs/>
          <w:color w:val="000000"/>
          <w:szCs w:val="24"/>
        </w:rPr>
        <w:t>e</w:t>
      </w:r>
      <w:r w:rsidR="00202EBB" w:rsidRPr="003F027F">
        <w:rPr>
          <w:bCs/>
          <w:color w:val="000000"/>
          <w:szCs w:val="24"/>
        </w:rPr>
        <w:t xml:space="preserve"> resources, and trigger procedures </w:t>
      </w:r>
      <w:r w:rsidR="00604520">
        <w:rPr>
          <w:bCs/>
          <w:color w:val="000000"/>
          <w:szCs w:val="24"/>
        </w:rPr>
        <w:t xml:space="preserve">that can address </w:t>
      </w:r>
      <w:r w:rsidR="00202EBB" w:rsidRPr="003F027F">
        <w:rPr>
          <w:bCs/>
          <w:color w:val="000000"/>
          <w:szCs w:val="24"/>
        </w:rPr>
        <w:t>specific cris</w:t>
      </w:r>
      <w:r w:rsidR="00202EBB">
        <w:rPr>
          <w:bCs/>
          <w:color w:val="000000"/>
          <w:szCs w:val="24"/>
        </w:rPr>
        <w:t>e</w:t>
      </w:r>
      <w:r w:rsidR="00202EBB" w:rsidRPr="003F027F">
        <w:rPr>
          <w:bCs/>
          <w:color w:val="000000"/>
          <w:szCs w:val="24"/>
        </w:rPr>
        <w:t>s</w:t>
      </w:r>
      <w:r w:rsidR="00BF0DCE">
        <w:rPr>
          <w:bCs/>
          <w:color w:val="000000"/>
          <w:szCs w:val="24"/>
        </w:rPr>
        <w:t>.</w:t>
      </w:r>
    </w:p>
    <w:p w14:paraId="18F83850" w14:textId="77777777" w:rsidR="003F027F" w:rsidRPr="00822B28" w:rsidRDefault="003F027F" w:rsidP="00ED7AF8">
      <w:pPr>
        <w:tabs>
          <w:tab w:val="left" w:pos="0"/>
          <w:tab w:val="left" w:pos="810"/>
          <w:tab w:val="left" w:pos="851"/>
          <w:tab w:val="left" w:pos="1260"/>
        </w:tabs>
        <w:spacing w:before="120" w:after="120"/>
        <w:ind w:left="900" w:right="1208"/>
        <w:contextualSpacing/>
        <w:jc w:val="both"/>
        <w:rPr>
          <w:bCs/>
          <w:color w:val="000000"/>
          <w:sz w:val="12"/>
          <w:szCs w:val="12"/>
        </w:rPr>
      </w:pPr>
    </w:p>
    <w:p w14:paraId="3A7FADF2" w14:textId="3EDCD3D2" w:rsidR="00F86264" w:rsidRPr="003F027F" w:rsidRDefault="00F86264" w:rsidP="00ED7AF8">
      <w:pPr>
        <w:numPr>
          <w:ilvl w:val="0"/>
          <w:numId w:val="4"/>
        </w:numPr>
        <w:tabs>
          <w:tab w:val="left" w:pos="0"/>
          <w:tab w:val="left" w:pos="810"/>
          <w:tab w:val="left" w:pos="851"/>
          <w:tab w:val="left" w:pos="1260"/>
        </w:tabs>
        <w:spacing w:before="120" w:after="120"/>
        <w:ind w:left="900" w:right="1208" w:firstLine="0"/>
        <w:contextualSpacing/>
        <w:jc w:val="both"/>
      </w:pPr>
      <w:r w:rsidRPr="003F027F">
        <w:rPr>
          <w:bCs/>
          <w:color w:val="000000"/>
          <w:szCs w:val="24"/>
        </w:rPr>
        <w:t xml:space="preserve">Security-related risks will be addressed through early warning systems, political dialogue with the Government </w:t>
      </w:r>
      <w:r w:rsidR="005669B5">
        <w:rPr>
          <w:bCs/>
          <w:color w:val="000000"/>
          <w:szCs w:val="24"/>
        </w:rPr>
        <w:t xml:space="preserve">of Guinea </w:t>
      </w:r>
      <w:r w:rsidRPr="003F027F">
        <w:rPr>
          <w:bCs/>
          <w:color w:val="000000"/>
          <w:szCs w:val="24"/>
        </w:rPr>
        <w:t>and donors</w:t>
      </w:r>
      <w:r w:rsidR="005669B5">
        <w:rPr>
          <w:bCs/>
          <w:color w:val="000000"/>
          <w:szCs w:val="24"/>
        </w:rPr>
        <w:t xml:space="preserve">. UNDP will locally strengthen </w:t>
      </w:r>
      <w:r w:rsidRPr="003F027F">
        <w:rPr>
          <w:bCs/>
          <w:color w:val="000000"/>
          <w:szCs w:val="24"/>
        </w:rPr>
        <w:t xml:space="preserve">mechanisms for the prevention, reduction and management of conflicts and natural disasters in collaboration with United Nations </w:t>
      </w:r>
      <w:r w:rsidR="00202EBB">
        <w:rPr>
          <w:bCs/>
          <w:color w:val="000000"/>
          <w:szCs w:val="24"/>
        </w:rPr>
        <w:t>organizations</w:t>
      </w:r>
      <w:r w:rsidR="005669B5" w:rsidRPr="003F027F">
        <w:rPr>
          <w:bCs/>
          <w:color w:val="000000"/>
          <w:szCs w:val="24"/>
        </w:rPr>
        <w:t xml:space="preserve"> </w:t>
      </w:r>
      <w:r w:rsidRPr="003F027F">
        <w:rPr>
          <w:bCs/>
          <w:color w:val="000000"/>
          <w:szCs w:val="24"/>
        </w:rPr>
        <w:t xml:space="preserve">and the </w:t>
      </w:r>
      <w:r w:rsidRPr="003F027F">
        <w:rPr>
          <w:color w:val="000000"/>
          <w:szCs w:val="24"/>
        </w:rPr>
        <w:t>United Nations Department of Safety and Security (</w:t>
      </w:r>
      <w:r w:rsidRPr="003F027F">
        <w:rPr>
          <w:bCs/>
          <w:color w:val="000000"/>
          <w:szCs w:val="24"/>
        </w:rPr>
        <w:t>UNDSS).</w:t>
      </w:r>
    </w:p>
    <w:p w14:paraId="4F40DF73" w14:textId="77777777" w:rsidR="00FD57D5" w:rsidRPr="00C9769D" w:rsidRDefault="00FD57D5" w:rsidP="00047245">
      <w:pPr>
        <w:tabs>
          <w:tab w:val="left" w:pos="0"/>
          <w:tab w:val="left" w:pos="810"/>
        </w:tabs>
        <w:ind w:left="900" w:right="1208"/>
        <w:contextualSpacing/>
        <w:jc w:val="both"/>
        <w:rPr>
          <w:bCs/>
          <w:color w:val="000000"/>
          <w:szCs w:val="24"/>
        </w:rPr>
      </w:pPr>
    </w:p>
    <w:p w14:paraId="06C92402" w14:textId="6ED8B6F4" w:rsidR="00F86264" w:rsidRPr="00C9769D" w:rsidRDefault="00AF6886" w:rsidP="00F83422">
      <w:pPr>
        <w:pStyle w:val="Heading2"/>
        <w:numPr>
          <w:ilvl w:val="0"/>
          <w:numId w:val="44"/>
        </w:numPr>
        <w:tabs>
          <w:tab w:val="left" w:pos="0"/>
          <w:tab w:val="left" w:pos="900"/>
        </w:tabs>
        <w:spacing w:after="240"/>
        <w:ind w:left="990" w:right="1208" w:hanging="540"/>
        <w:jc w:val="both"/>
        <w:rPr>
          <w:rFonts w:ascii="Times New Roman" w:hAnsi="Times New Roman"/>
          <w:bCs/>
          <w:color w:val="000000"/>
          <w:sz w:val="24"/>
          <w:szCs w:val="24"/>
        </w:rPr>
      </w:pPr>
      <w:r w:rsidRPr="00C9769D">
        <w:rPr>
          <w:rFonts w:ascii="Times New Roman" w:hAnsi="Times New Roman"/>
          <w:bCs/>
          <w:color w:val="000000"/>
          <w:sz w:val="24"/>
          <w:szCs w:val="24"/>
        </w:rPr>
        <w:t xml:space="preserve">Monitoring and </w:t>
      </w:r>
      <w:r w:rsidR="00DB4DD4">
        <w:rPr>
          <w:rFonts w:ascii="Times New Roman" w:hAnsi="Times New Roman"/>
          <w:bCs/>
          <w:color w:val="000000"/>
          <w:sz w:val="24"/>
          <w:szCs w:val="24"/>
        </w:rPr>
        <w:t>e</w:t>
      </w:r>
      <w:r w:rsidRPr="00C9769D">
        <w:rPr>
          <w:rFonts w:ascii="Times New Roman" w:hAnsi="Times New Roman"/>
          <w:bCs/>
          <w:color w:val="000000"/>
          <w:sz w:val="24"/>
          <w:szCs w:val="24"/>
        </w:rPr>
        <w:t>valuation</w:t>
      </w:r>
    </w:p>
    <w:p w14:paraId="35367E00" w14:textId="2D361BF2" w:rsidR="003F027F" w:rsidRDefault="00F86264" w:rsidP="00822B28">
      <w:pPr>
        <w:numPr>
          <w:ilvl w:val="0"/>
          <w:numId w:val="4"/>
        </w:numPr>
        <w:tabs>
          <w:tab w:val="left" w:pos="0"/>
          <w:tab w:val="left" w:pos="810"/>
          <w:tab w:val="left" w:pos="851"/>
          <w:tab w:val="left" w:pos="1260"/>
        </w:tabs>
        <w:spacing w:before="120" w:after="120"/>
        <w:ind w:left="900" w:right="1208" w:firstLine="0"/>
        <w:contextualSpacing/>
        <w:jc w:val="both"/>
        <w:rPr>
          <w:bCs/>
          <w:color w:val="000000"/>
          <w:szCs w:val="24"/>
        </w:rPr>
      </w:pPr>
      <w:r w:rsidRPr="00C9769D">
        <w:rPr>
          <w:bCs/>
          <w:color w:val="000000"/>
          <w:szCs w:val="24"/>
        </w:rPr>
        <w:t xml:space="preserve">Attention will be given to monitoring and evaluation to achieve </w:t>
      </w:r>
      <w:r w:rsidR="00E614E7">
        <w:rPr>
          <w:bCs/>
          <w:color w:val="000000"/>
          <w:szCs w:val="24"/>
        </w:rPr>
        <w:t>p</w:t>
      </w:r>
      <w:r w:rsidRPr="00C9769D">
        <w:rPr>
          <w:bCs/>
          <w:color w:val="000000"/>
          <w:szCs w:val="24"/>
        </w:rPr>
        <w:t>rogramme outcomes. CPD indicators are al</w:t>
      </w:r>
      <w:r w:rsidR="00ED36E9" w:rsidRPr="00C9769D">
        <w:rPr>
          <w:bCs/>
          <w:color w:val="000000"/>
          <w:szCs w:val="24"/>
        </w:rPr>
        <w:t>igned with national indicators,</w:t>
      </w:r>
      <w:r w:rsidRPr="00C9769D">
        <w:rPr>
          <w:bCs/>
          <w:color w:val="000000"/>
          <w:szCs w:val="24"/>
        </w:rPr>
        <w:t xml:space="preserve"> UNDAF</w:t>
      </w:r>
      <w:r w:rsidR="00FC1BF6" w:rsidRPr="00C9769D">
        <w:rPr>
          <w:bCs/>
          <w:color w:val="000000"/>
          <w:szCs w:val="24"/>
        </w:rPr>
        <w:t xml:space="preserve"> indicators</w:t>
      </w:r>
      <w:r w:rsidRPr="00C9769D">
        <w:rPr>
          <w:bCs/>
          <w:color w:val="000000"/>
          <w:szCs w:val="24"/>
        </w:rPr>
        <w:t xml:space="preserve">, </w:t>
      </w:r>
      <w:r w:rsidR="00E614E7">
        <w:rPr>
          <w:bCs/>
          <w:color w:val="000000"/>
          <w:szCs w:val="24"/>
        </w:rPr>
        <w:t xml:space="preserve">the </w:t>
      </w:r>
      <w:r w:rsidRPr="00C9769D">
        <w:rPr>
          <w:bCs/>
          <w:color w:val="000000"/>
          <w:szCs w:val="24"/>
        </w:rPr>
        <w:t xml:space="preserve">UNDP Strategic Plan </w:t>
      </w:r>
      <w:r w:rsidR="00E614E7">
        <w:rPr>
          <w:bCs/>
          <w:color w:val="000000"/>
          <w:szCs w:val="24"/>
        </w:rPr>
        <w:t xml:space="preserve">for </w:t>
      </w:r>
      <w:r w:rsidRPr="00C9769D">
        <w:rPr>
          <w:bCs/>
          <w:color w:val="000000"/>
          <w:szCs w:val="24"/>
        </w:rPr>
        <w:t>2014-2017 and relevant SDGs.</w:t>
      </w:r>
      <w:r w:rsidR="00BF0DCE">
        <w:rPr>
          <w:bCs/>
          <w:color w:val="000000"/>
          <w:szCs w:val="24"/>
        </w:rPr>
        <w:t xml:space="preserve"> </w:t>
      </w:r>
      <w:r w:rsidRPr="003F027F">
        <w:rPr>
          <w:bCs/>
          <w:color w:val="000000"/>
          <w:szCs w:val="24"/>
        </w:rPr>
        <w:t>In collaboration with partners, UNDP will support the development of national capacities in data collection</w:t>
      </w:r>
      <w:r w:rsidR="00E614E7">
        <w:rPr>
          <w:bCs/>
          <w:color w:val="000000"/>
          <w:szCs w:val="24"/>
        </w:rPr>
        <w:t xml:space="preserve"> and </w:t>
      </w:r>
      <w:r w:rsidRPr="003F027F">
        <w:rPr>
          <w:bCs/>
          <w:color w:val="000000"/>
          <w:szCs w:val="24"/>
        </w:rPr>
        <w:t>monitoring and evaluation</w:t>
      </w:r>
      <w:r w:rsidR="00E614E7">
        <w:rPr>
          <w:bCs/>
          <w:color w:val="000000"/>
          <w:szCs w:val="24"/>
        </w:rPr>
        <w:t>—</w:t>
      </w:r>
      <w:r w:rsidRPr="003F027F">
        <w:rPr>
          <w:bCs/>
          <w:color w:val="000000"/>
          <w:szCs w:val="24"/>
        </w:rPr>
        <w:t xml:space="preserve">in </w:t>
      </w:r>
      <w:r w:rsidR="00E614E7">
        <w:rPr>
          <w:bCs/>
          <w:color w:val="000000"/>
          <w:szCs w:val="24"/>
        </w:rPr>
        <w:t xml:space="preserve">particular, </w:t>
      </w:r>
      <w:r w:rsidRPr="003F027F">
        <w:rPr>
          <w:bCs/>
          <w:color w:val="000000"/>
          <w:szCs w:val="24"/>
        </w:rPr>
        <w:t xml:space="preserve">the National Statistics Institute for the production and regular dissemination of updated </w:t>
      </w:r>
      <w:r w:rsidR="000E341E" w:rsidRPr="003F027F">
        <w:rPr>
          <w:bCs/>
          <w:color w:val="000000"/>
          <w:szCs w:val="24"/>
        </w:rPr>
        <w:t>sex</w:t>
      </w:r>
      <w:r w:rsidR="00C4151F">
        <w:rPr>
          <w:bCs/>
          <w:color w:val="000000"/>
          <w:szCs w:val="24"/>
        </w:rPr>
        <w:t xml:space="preserve"> </w:t>
      </w:r>
      <w:r w:rsidR="00EB281F" w:rsidRPr="003F027F">
        <w:rPr>
          <w:bCs/>
          <w:color w:val="000000"/>
          <w:szCs w:val="24"/>
        </w:rPr>
        <w:t>and</w:t>
      </w:r>
      <w:r w:rsidR="00C4151F">
        <w:rPr>
          <w:bCs/>
          <w:color w:val="000000"/>
          <w:szCs w:val="24"/>
        </w:rPr>
        <w:t xml:space="preserve"> </w:t>
      </w:r>
      <w:r w:rsidR="00EB281F" w:rsidRPr="003F027F">
        <w:rPr>
          <w:bCs/>
          <w:color w:val="000000"/>
          <w:szCs w:val="24"/>
        </w:rPr>
        <w:t>disability-</w:t>
      </w:r>
      <w:r w:rsidR="000E341E" w:rsidRPr="003F027F">
        <w:rPr>
          <w:bCs/>
          <w:color w:val="000000"/>
          <w:szCs w:val="24"/>
        </w:rPr>
        <w:t xml:space="preserve">disaggregated </w:t>
      </w:r>
      <w:r w:rsidR="00213A7F" w:rsidRPr="003F027F">
        <w:rPr>
          <w:bCs/>
          <w:color w:val="000000"/>
          <w:szCs w:val="24"/>
        </w:rPr>
        <w:t>data on the SDGs.</w:t>
      </w:r>
    </w:p>
    <w:p w14:paraId="5C894504" w14:textId="77777777" w:rsidR="003F027F" w:rsidRDefault="003F027F" w:rsidP="00822B28">
      <w:pPr>
        <w:tabs>
          <w:tab w:val="left" w:pos="0"/>
          <w:tab w:val="left" w:pos="810"/>
          <w:tab w:val="left" w:pos="851"/>
          <w:tab w:val="left" w:pos="1260"/>
        </w:tabs>
        <w:spacing w:before="120" w:after="120"/>
        <w:ind w:left="900" w:right="1208"/>
        <w:contextualSpacing/>
        <w:jc w:val="both"/>
        <w:rPr>
          <w:bCs/>
          <w:color w:val="000000"/>
          <w:szCs w:val="24"/>
        </w:rPr>
      </w:pPr>
    </w:p>
    <w:p w14:paraId="036AF45E" w14:textId="5B712669" w:rsidR="003F027F" w:rsidRDefault="00F86264" w:rsidP="00822B28">
      <w:pPr>
        <w:numPr>
          <w:ilvl w:val="0"/>
          <w:numId w:val="4"/>
        </w:numPr>
        <w:tabs>
          <w:tab w:val="left" w:pos="0"/>
          <w:tab w:val="left" w:pos="810"/>
          <w:tab w:val="left" w:pos="851"/>
          <w:tab w:val="left" w:pos="1260"/>
        </w:tabs>
        <w:spacing w:before="120" w:after="120"/>
        <w:ind w:left="900" w:right="1208" w:firstLine="0"/>
        <w:contextualSpacing/>
        <w:jc w:val="both"/>
        <w:rPr>
          <w:bCs/>
          <w:color w:val="000000"/>
          <w:szCs w:val="24"/>
        </w:rPr>
      </w:pPr>
      <w:r w:rsidRPr="003F027F">
        <w:rPr>
          <w:bCs/>
          <w:color w:val="000000"/>
          <w:szCs w:val="24"/>
        </w:rPr>
        <w:lastRenderedPageBreak/>
        <w:t xml:space="preserve">UNDP will develop an integrated monitoring and evaluation plan to ensure monitoring of efforts and achievement of development outcomes. Monitoring of activities </w:t>
      </w:r>
      <w:r w:rsidR="00994301" w:rsidRPr="003F027F">
        <w:rPr>
          <w:bCs/>
          <w:color w:val="000000"/>
          <w:szCs w:val="24"/>
        </w:rPr>
        <w:t xml:space="preserve">and indicators </w:t>
      </w:r>
      <w:r w:rsidRPr="003F027F">
        <w:rPr>
          <w:bCs/>
          <w:color w:val="000000"/>
          <w:szCs w:val="24"/>
        </w:rPr>
        <w:t xml:space="preserve">will be carried out by programme implementation units </w:t>
      </w:r>
      <w:r w:rsidR="003C355C">
        <w:rPr>
          <w:bCs/>
          <w:color w:val="000000"/>
          <w:szCs w:val="24"/>
        </w:rPr>
        <w:t>and the use of</w:t>
      </w:r>
      <w:r w:rsidR="0079154C">
        <w:rPr>
          <w:bCs/>
          <w:color w:val="000000"/>
          <w:szCs w:val="24"/>
        </w:rPr>
        <w:t>:</w:t>
      </w:r>
      <w:r w:rsidR="006C0B78" w:rsidRPr="003F027F">
        <w:rPr>
          <w:bCs/>
          <w:color w:val="000000"/>
          <w:szCs w:val="24"/>
        </w:rPr>
        <w:t xml:space="preserve"> annual reviews; </w:t>
      </w:r>
      <w:r w:rsidRPr="003F027F">
        <w:rPr>
          <w:bCs/>
          <w:color w:val="000000"/>
          <w:szCs w:val="24"/>
        </w:rPr>
        <w:t xml:space="preserve">semi-annual monitoring meetings with the </w:t>
      </w:r>
      <w:r w:rsidR="00EB281F" w:rsidRPr="003F027F">
        <w:rPr>
          <w:bCs/>
          <w:color w:val="000000"/>
          <w:szCs w:val="24"/>
        </w:rPr>
        <w:t>g</w:t>
      </w:r>
      <w:r w:rsidRPr="003F027F">
        <w:rPr>
          <w:bCs/>
          <w:color w:val="000000"/>
          <w:szCs w:val="24"/>
        </w:rPr>
        <w:t>overnment a</w:t>
      </w:r>
      <w:r w:rsidR="006C0B78" w:rsidRPr="003F027F">
        <w:rPr>
          <w:bCs/>
          <w:color w:val="000000"/>
          <w:szCs w:val="24"/>
        </w:rPr>
        <w:t xml:space="preserve">nd implementing partners; </w:t>
      </w:r>
      <w:r w:rsidRPr="003F027F">
        <w:rPr>
          <w:bCs/>
          <w:color w:val="000000"/>
          <w:szCs w:val="24"/>
        </w:rPr>
        <w:t xml:space="preserve">UNDAF </w:t>
      </w:r>
      <w:r w:rsidR="00E538C8">
        <w:rPr>
          <w:bCs/>
          <w:color w:val="000000"/>
          <w:szCs w:val="24"/>
        </w:rPr>
        <w:t>o</w:t>
      </w:r>
      <w:r w:rsidRPr="003F027F">
        <w:rPr>
          <w:bCs/>
          <w:color w:val="000000"/>
          <w:szCs w:val="24"/>
        </w:rPr>
        <w:t xml:space="preserve">utcome </w:t>
      </w:r>
      <w:r w:rsidR="00E538C8">
        <w:rPr>
          <w:bCs/>
          <w:color w:val="000000"/>
          <w:szCs w:val="24"/>
        </w:rPr>
        <w:t>g</w:t>
      </w:r>
      <w:r w:rsidRPr="003F027F">
        <w:rPr>
          <w:bCs/>
          <w:color w:val="000000"/>
          <w:szCs w:val="24"/>
        </w:rPr>
        <w:t>roup</w:t>
      </w:r>
      <w:r w:rsidR="00E538C8">
        <w:rPr>
          <w:bCs/>
          <w:color w:val="000000"/>
          <w:szCs w:val="24"/>
        </w:rPr>
        <w:t>,</w:t>
      </w:r>
      <w:r w:rsidRPr="003F027F">
        <w:rPr>
          <w:bCs/>
          <w:color w:val="000000"/>
          <w:szCs w:val="24"/>
        </w:rPr>
        <w:t xml:space="preserve"> technic</w:t>
      </w:r>
      <w:r w:rsidR="006C0B78" w:rsidRPr="003F027F">
        <w:rPr>
          <w:bCs/>
          <w:color w:val="000000"/>
          <w:szCs w:val="24"/>
        </w:rPr>
        <w:t>al and steering committees</w:t>
      </w:r>
      <w:r w:rsidR="00287CFD">
        <w:rPr>
          <w:bCs/>
          <w:color w:val="000000"/>
          <w:szCs w:val="24"/>
        </w:rPr>
        <w:t xml:space="preserve"> meetings</w:t>
      </w:r>
      <w:r w:rsidR="0079154C">
        <w:rPr>
          <w:bCs/>
          <w:color w:val="000000"/>
          <w:szCs w:val="24"/>
        </w:rPr>
        <w:t>, and</w:t>
      </w:r>
      <w:r w:rsidRPr="003F027F">
        <w:rPr>
          <w:bCs/>
          <w:color w:val="000000"/>
          <w:szCs w:val="24"/>
        </w:rPr>
        <w:t xml:space="preserve"> joint field visits</w:t>
      </w:r>
      <w:r w:rsidR="000973FA" w:rsidRPr="003F027F">
        <w:rPr>
          <w:bCs/>
          <w:color w:val="000000"/>
          <w:szCs w:val="24"/>
        </w:rPr>
        <w:t xml:space="preserve"> </w:t>
      </w:r>
      <w:r w:rsidR="00304230">
        <w:rPr>
          <w:bCs/>
          <w:color w:val="000000"/>
          <w:szCs w:val="24"/>
        </w:rPr>
        <w:t>with</w:t>
      </w:r>
      <w:r w:rsidR="000973FA" w:rsidRPr="003F027F">
        <w:rPr>
          <w:bCs/>
          <w:color w:val="000000"/>
          <w:szCs w:val="24"/>
        </w:rPr>
        <w:t xml:space="preserve"> the g</w:t>
      </w:r>
      <w:r w:rsidRPr="003F027F">
        <w:rPr>
          <w:bCs/>
          <w:color w:val="000000"/>
          <w:szCs w:val="24"/>
        </w:rPr>
        <w:t xml:space="preserve">overnment, </w:t>
      </w:r>
      <w:r w:rsidR="0062653B" w:rsidRPr="003F027F">
        <w:rPr>
          <w:bCs/>
          <w:color w:val="000000"/>
          <w:szCs w:val="24"/>
        </w:rPr>
        <w:t>development</w:t>
      </w:r>
      <w:r w:rsidRPr="003F027F">
        <w:rPr>
          <w:bCs/>
          <w:color w:val="000000"/>
          <w:szCs w:val="24"/>
        </w:rPr>
        <w:t xml:space="preserve"> partners, civil society organizations, the private sector and </w:t>
      </w:r>
      <w:r w:rsidR="00287CFD">
        <w:rPr>
          <w:bCs/>
          <w:color w:val="000000"/>
          <w:szCs w:val="24"/>
        </w:rPr>
        <w:t xml:space="preserve">local </w:t>
      </w:r>
      <w:r w:rsidRPr="003F027F">
        <w:rPr>
          <w:bCs/>
          <w:color w:val="000000"/>
          <w:szCs w:val="24"/>
        </w:rPr>
        <w:t xml:space="preserve">communities. To make monitoring more inclusive and participatory, local </w:t>
      </w:r>
      <w:r w:rsidR="0079154C">
        <w:rPr>
          <w:bCs/>
          <w:color w:val="000000"/>
          <w:szCs w:val="24"/>
        </w:rPr>
        <w:t>focal</w:t>
      </w:r>
      <w:r w:rsidR="0079154C" w:rsidRPr="003F027F">
        <w:rPr>
          <w:bCs/>
          <w:color w:val="000000"/>
          <w:szCs w:val="24"/>
        </w:rPr>
        <w:t xml:space="preserve"> </w:t>
      </w:r>
      <w:r w:rsidRPr="003F027F">
        <w:rPr>
          <w:bCs/>
          <w:color w:val="000000"/>
          <w:szCs w:val="24"/>
        </w:rPr>
        <w:t>points and decentralized state structures will collec</w:t>
      </w:r>
      <w:r w:rsidR="00304230">
        <w:rPr>
          <w:bCs/>
          <w:color w:val="000000"/>
          <w:szCs w:val="24"/>
        </w:rPr>
        <w:t>t</w:t>
      </w:r>
      <w:r w:rsidRPr="003F027F">
        <w:rPr>
          <w:bCs/>
          <w:color w:val="000000"/>
          <w:szCs w:val="24"/>
        </w:rPr>
        <w:t xml:space="preserve"> and </w:t>
      </w:r>
      <w:r w:rsidR="0079154C">
        <w:rPr>
          <w:bCs/>
          <w:color w:val="000000"/>
          <w:szCs w:val="24"/>
        </w:rPr>
        <w:t>shar</w:t>
      </w:r>
      <w:r w:rsidR="005034B9">
        <w:rPr>
          <w:bCs/>
          <w:color w:val="000000"/>
          <w:szCs w:val="24"/>
        </w:rPr>
        <w:t>e</w:t>
      </w:r>
      <w:r w:rsidR="0079154C" w:rsidRPr="003F027F">
        <w:rPr>
          <w:bCs/>
          <w:color w:val="000000"/>
          <w:szCs w:val="24"/>
        </w:rPr>
        <w:t xml:space="preserve"> </w:t>
      </w:r>
      <w:r w:rsidRPr="003F027F">
        <w:rPr>
          <w:bCs/>
          <w:color w:val="000000"/>
          <w:szCs w:val="24"/>
        </w:rPr>
        <w:t>data.</w:t>
      </w:r>
    </w:p>
    <w:p w14:paraId="1EB0E65A" w14:textId="77777777" w:rsidR="003F027F" w:rsidRPr="00CD135C" w:rsidRDefault="003F027F" w:rsidP="00822B28">
      <w:pPr>
        <w:tabs>
          <w:tab w:val="left" w:pos="0"/>
          <w:tab w:val="left" w:pos="810"/>
          <w:tab w:val="left" w:pos="851"/>
          <w:tab w:val="left" w:pos="1260"/>
        </w:tabs>
        <w:spacing w:before="120" w:after="120"/>
        <w:ind w:left="900" w:right="1208"/>
        <w:contextualSpacing/>
        <w:jc w:val="both"/>
        <w:rPr>
          <w:bCs/>
          <w:color w:val="000000"/>
          <w:sz w:val="12"/>
          <w:szCs w:val="12"/>
        </w:rPr>
      </w:pPr>
    </w:p>
    <w:p w14:paraId="620D66A4" w14:textId="35F42255" w:rsidR="006B6E78" w:rsidRPr="003F027F" w:rsidRDefault="00213A7F" w:rsidP="00822B28">
      <w:pPr>
        <w:numPr>
          <w:ilvl w:val="0"/>
          <w:numId w:val="4"/>
        </w:numPr>
        <w:tabs>
          <w:tab w:val="left" w:pos="0"/>
          <w:tab w:val="left" w:pos="810"/>
          <w:tab w:val="left" w:pos="851"/>
          <w:tab w:val="left" w:pos="1260"/>
        </w:tabs>
        <w:spacing w:before="120" w:after="120"/>
        <w:ind w:left="900" w:right="1208" w:firstLine="0"/>
        <w:contextualSpacing/>
        <w:jc w:val="both"/>
        <w:rPr>
          <w:bCs/>
          <w:color w:val="000000"/>
          <w:szCs w:val="24"/>
        </w:rPr>
      </w:pPr>
      <w:r w:rsidRPr="003F027F">
        <w:rPr>
          <w:bCs/>
          <w:color w:val="000000"/>
          <w:szCs w:val="24"/>
        </w:rPr>
        <w:t xml:space="preserve"> </w:t>
      </w:r>
      <w:r w:rsidR="00F86264" w:rsidRPr="003F027F">
        <w:rPr>
          <w:bCs/>
          <w:color w:val="000000"/>
          <w:szCs w:val="24"/>
        </w:rPr>
        <w:t xml:space="preserve">UNDP will ensure the gender marker is incorporated into all projects and programmes. </w:t>
      </w:r>
      <w:r w:rsidR="008777C6">
        <w:rPr>
          <w:bCs/>
          <w:color w:val="000000"/>
          <w:szCs w:val="24"/>
        </w:rPr>
        <w:t>The gender marker</w:t>
      </w:r>
      <w:r w:rsidR="008777C6" w:rsidRPr="003F027F">
        <w:rPr>
          <w:bCs/>
          <w:color w:val="000000"/>
          <w:szCs w:val="24"/>
        </w:rPr>
        <w:t xml:space="preserve"> </w:t>
      </w:r>
      <w:r w:rsidR="00F86264" w:rsidRPr="003F027F">
        <w:rPr>
          <w:bCs/>
          <w:color w:val="000000"/>
          <w:szCs w:val="24"/>
        </w:rPr>
        <w:t xml:space="preserve">will </w:t>
      </w:r>
      <w:r w:rsidR="008777C6">
        <w:rPr>
          <w:bCs/>
          <w:color w:val="000000"/>
          <w:szCs w:val="24"/>
        </w:rPr>
        <w:t>be used for</w:t>
      </w:r>
      <w:r w:rsidR="00F86264" w:rsidRPr="003F027F">
        <w:rPr>
          <w:bCs/>
          <w:color w:val="000000"/>
          <w:szCs w:val="24"/>
        </w:rPr>
        <w:t xml:space="preserve"> resource allocation</w:t>
      </w:r>
      <w:r w:rsidR="0079154C">
        <w:rPr>
          <w:bCs/>
          <w:color w:val="000000"/>
          <w:szCs w:val="24"/>
        </w:rPr>
        <w:t>, and</w:t>
      </w:r>
      <w:r w:rsidR="008777C6">
        <w:rPr>
          <w:bCs/>
          <w:color w:val="000000"/>
          <w:szCs w:val="24"/>
        </w:rPr>
        <w:t xml:space="preserve"> in</w:t>
      </w:r>
      <w:r w:rsidR="0079154C">
        <w:rPr>
          <w:bCs/>
          <w:color w:val="000000"/>
          <w:szCs w:val="24"/>
        </w:rPr>
        <w:t xml:space="preserve"> </w:t>
      </w:r>
      <w:r w:rsidR="00F86264" w:rsidRPr="003F027F">
        <w:rPr>
          <w:bCs/>
          <w:color w:val="000000"/>
          <w:szCs w:val="24"/>
        </w:rPr>
        <w:t>support</w:t>
      </w:r>
      <w:r w:rsidR="008777C6">
        <w:rPr>
          <w:bCs/>
          <w:color w:val="000000"/>
          <w:szCs w:val="24"/>
        </w:rPr>
        <w:t>ing</w:t>
      </w:r>
      <w:r w:rsidR="00F86264" w:rsidRPr="003F027F">
        <w:rPr>
          <w:bCs/>
          <w:color w:val="000000"/>
          <w:szCs w:val="24"/>
        </w:rPr>
        <w:t xml:space="preserve"> </w:t>
      </w:r>
      <w:r w:rsidR="0079154C">
        <w:rPr>
          <w:bCs/>
          <w:color w:val="000000"/>
          <w:szCs w:val="24"/>
        </w:rPr>
        <w:t xml:space="preserve">the mainstreaming of </w:t>
      </w:r>
      <w:r w:rsidR="00F86264" w:rsidRPr="003F027F">
        <w:rPr>
          <w:bCs/>
          <w:color w:val="000000"/>
          <w:szCs w:val="24"/>
        </w:rPr>
        <w:t>gender</w:t>
      </w:r>
      <w:r w:rsidR="0079154C">
        <w:rPr>
          <w:bCs/>
          <w:color w:val="000000"/>
          <w:szCs w:val="24"/>
        </w:rPr>
        <w:t>,</w:t>
      </w:r>
      <w:r w:rsidR="00F86264" w:rsidRPr="003F027F">
        <w:rPr>
          <w:bCs/>
          <w:color w:val="000000"/>
          <w:szCs w:val="24"/>
        </w:rPr>
        <w:t xml:space="preserve"> women’s empowerment</w:t>
      </w:r>
      <w:r w:rsidR="0079154C">
        <w:rPr>
          <w:bCs/>
          <w:color w:val="000000"/>
          <w:szCs w:val="24"/>
        </w:rPr>
        <w:t xml:space="preserve">, and </w:t>
      </w:r>
      <w:r w:rsidR="00454EA5" w:rsidRPr="003F027F">
        <w:rPr>
          <w:bCs/>
          <w:color w:val="000000"/>
          <w:szCs w:val="24"/>
        </w:rPr>
        <w:t xml:space="preserve">disability-sensitive </w:t>
      </w:r>
      <w:r w:rsidR="0079154C">
        <w:rPr>
          <w:bCs/>
          <w:color w:val="000000"/>
          <w:szCs w:val="24"/>
        </w:rPr>
        <w:t>elements into programmes</w:t>
      </w:r>
      <w:r w:rsidR="0079154C">
        <w:t>.</w:t>
      </w:r>
      <w:r w:rsidR="00304230">
        <w:rPr>
          <w:bCs/>
          <w:color w:val="000000"/>
          <w:szCs w:val="24"/>
        </w:rPr>
        <w:t xml:space="preserve"> </w:t>
      </w:r>
      <w:r w:rsidR="00F86264" w:rsidRPr="003F027F">
        <w:rPr>
          <w:bCs/>
          <w:color w:val="000000"/>
          <w:szCs w:val="24"/>
        </w:rPr>
        <w:t xml:space="preserve">The </w:t>
      </w:r>
      <w:r w:rsidR="008777C6">
        <w:rPr>
          <w:bCs/>
          <w:color w:val="000000"/>
          <w:szCs w:val="24"/>
        </w:rPr>
        <w:t xml:space="preserve">UNDP </w:t>
      </w:r>
      <w:r w:rsidR="0079154C">
        <w:rPr>
          <w:bCs/>
          <w:color w:val="000000"/>
          <w:szCs w:val="24"/>
        </w:rPr>
        <w:t>country office</w:t>
      </w:r>
      <w:r w:rsidR="0079154C" w:rsidRPr="003F027F">
        <w:rPr>
          <w:bCs/>
          <w:color w:val="000000"/>
          <w:szCs w:val="24"/>
        </w:rPr>
        <w:t xml:space="preserve"> </w:t>
      </w:r>
      <w:r w:rsidR="00F86264" w:rsidRPr="003F027F">
        <w:rPr>
          <w:bCs/>
          <w:color w:val="000000"/>
          <w:szCs w:val="24"/>
        </w:rPr>
        <w:t xml:space="preserve">will </w:t>
      </w:r>
      <w:r w:rsidR="00D4356B" w:rsidRPr="003F027F">
        <w:rPr>
          <w:bCs/>
          <w:color w:val="000000"/>
          <w:szCs w:val="24"/>
        </w:rPr>
        <w:t>allocate</w:t>
      </w:r>
      <w:r w:rsidR="00F86264" w:rsidRPr="003F027F">
        <w:rPr>
          <w:bCs/>
          <w:color w:val="000000"/>
          <w:szCs w:val="24"/>
        </w:rPr>
        <w:t xml:space="preserve"> 5</w:t>
      </w:r>
      <w:r w:rsidR="0079154C">
        <w:rPr>
          <w:bCs/>
          <w:color w:val="000000"/>
          <w:szCs w:val="24"/>
        </w:rPr>
        <w:t xml:space="preserve"> per cent</w:t>
      </w:r>
      <w:r w:rsidR="00F86264" w:rsidRPr="003F027F">
        <w:rPr>
          <w:bCs/>
          <w:color w:val="000000"/>
          <w:szCs w:val="24"/>
        </w:rPr>
        <w:t xml:space="preserve"> of the country programme budget for monitoring and evaluation activities, including</w:t>
      </w:r>
      <w:r w:rsidR="0075294E" w:rsidRPr="003F027F">
        <w:rPr>
          <w:bCs/>
          <w:color w:val="000000"/>
          <w:szCs w:val="24"/>
        </w:rPr>
        <w:t xml:space="preserve"> resource mobilization tracking through</w:t>
      </w:r>
      <w:r w:rsidR="00460278">
        <w:rPr>
          <w:bCs/>
          <w:color w:val="000000"/>
          <w:szCs w:val="24"/>
        </w:rPr>
        <w:t xml:space="preserve"> the</w:t>
      </w:r>
      <w:r w:rsidR="0075294E" w:rsidRPr="003F027F">
        <w:rPr>
          <w:bCs/>
          <w:color w:val="000000"/>
          <w:szCs w:val="24"/>
        </w:rPr>
        <w:t xml:space="preserve"> programme pipeline </w:t>
      </w:r>
      <w:r w:rsidR="00D25FCF" w:rsidRPr="003F027F">
        <w:rPr>
          <w:bCs/>
          <w:color w:val="000000"/>
          <w:szCs w:val="24"/>
        </w:rPr>
        <w:t>follow-up</w:t>
      </w:r>
      <w:r w:rsidR="0075294E" w:rsidRPr="003F027F">
        <w:rPr>
          <w:bCs/>
          <w:color w:val="000000"/>
          <w:szCs w:val="24"/>
        </w:rPr>
        <w:t xml:space="preserve">, </w:t>
      </w:r>
      <w:r w:rsidR="0079154C">
        <w:rPr>
          <w:bCs/>
          <w:color w:val="000000"/>
          <w:szCs w:val="24"/>
        </w:rPr>
        <w:t xml:space="preserve">and </w:t>
      </w:r>
      <w:r w:rsidR="00F86264" w:rsidRPr="003F027F">
        <w:rPr>
          <w:bCs/>
          <w:color w:val="000000"/>
          <w:szCs w:val="24"/>
        </w:rPr>
        <w:t xml:space="preserve">data collection for baseline and periodic surveys. Experiences will be shared with other countries within the South-South and triangular cooperation </w:t>
      </w:r>
      <w:r w:rsidR="00460278">
        <w:rPr>
          <w:bCs/>
          <w:color w:val="000000"/>
          <w:szCs w:val="24"/>
        </w:rPr>
        <w:t xml:space="preserve">network so </w:t>
      </w:r>
      <w:r w:rsidR="00F86264" w:rsidRPr="003F027F">
        <w:rPr>
          <w:bCs/>
          <w:color w:val="000000"/>
          <w:szCs w:val="24"/>
        </w:rPr>
        <w:t xml:space="preserve">a reliable data system on </w:t>
      </w:r>
      <w:r w:rsidR="0079154C">
        <w:rPr>
          <w:bCs/>
          <w:color w:val="000000"/>
          <w:szCs w:val="24"/>
        </w:rPr>
        <w:t xml:space="preserve">the </w:t>
      </w:r>
      <w:r w:rsidR="00F86264" w:rsidRPr="003F027F">
        <w:rPr>
          <w:bCs/>
          <w:color w:val="000000"/>
          <w:szCs w:val="24"/>
        </w:rPr>
        <w:t>SDGs</w:t>
      </w:r>
      <w:r w:rsidR="00460278">
        <w:rPr>
          <w:bCs/>
          <w:color w:val="000000"/>
          <w:szCs w:val="24"/>
        </w:rPr>
        <w:t xml:space="preserve"> can be established</w:t>
      </w:r>
      <w:r w:rsidR="00F86264" w:rsidRPr="003F027F">
        <w:rPr>
          <w:bCs/>
          <w:color w:val="000000"/>
          <w:szCs w:val="24"/>
        </w:rPr>
        <w:t>.</w:t>
      </w:r>
      <w:r w:rsidR="00304230">
        <w:rPr>
          <w:bCs/>
          <w:color w:val="000000"/>
          <w:szCs w:val="24"/>
        </w:rPr>
        <w:t xml:space="preserve"> </w:t>
      </w:r>
      <w:r w:rsidR="0079154C">
        <w:rPr>
          <w:bCs/>
          <w:color w:val="000000"/>
          <w:szCs w:val="24"/>
        </w:rPr>
        <w:t>E</w:t>
      </w:r>
      <w:r w:rsidR="00F86264" w:rsidRPr="003F027F">
        <w:rPr>
          <w:bCs/>
          <w:color w:val="000000"/>
          <w:szCs w:val="24"/>
        </w:rPr>
        <w:t xml:space="preserve">valuations will be carried out in accordance with the evaluation plan and form part of the monitoring and evaluation framework of the </w:t>
      </w:r>
      <w:r w:rsidR="004A6607">
        <w:rPr>
          <w:bCs/>
          <w:color w:val="000000"/>
          <w:szCs w:val="24"/>
        </w:rPr>
        <w:t>national plan</w:t>
      </w:r>
      <w:r w:rsidR="00F86264" w:rsidRPr="003F027F">
        <w:rPr>
          <w:bCs/>
          <w:color w:val="000000"/>
          <w:szCs w:val="24"/>
        </w:rPr>
        <w:t xml:space="preserve">. </w:t>
      </w:r>
      <w:r w:rsidR="009877EC">
        <w:rPr>
          <w:bCs/>
          <w:color w:val="000000"/>
          <w:szCs w:val="24"/>
        </w:rPr>
        <w:t>T</w:t>
      </w:r>
      <w:r w:rsidR="0079154C">
        <w:rPr>
          <w:bCs/>
          <w:color w:val="000000"/>
          <w:szCs w:val="24"/>
        </w:rPr>
        <w:t>he</w:t>
      </w:r>
      <w:r w:rsidR="00F86264" w:rsidRPr="003F027F">
        <w:rPr>
          <w:bCs/>
          <w:color w:val="000000"/>
          <w:szCs w:val="24"/>
        </w:rPr>
        <w:t xml:space="preserve"> CPD will be </w:t>
      </w:r>
      <w:r w:rsidR="00587EB4" w:rsidRPr="003F027F">
        <w:rPr>
          <w:bCs/>
          <w:color w:val="000000"/>
          <w:szCs w:val="24"/>
        </w:rPr>
        <w:t>subject to a mid-term</w:t>
      </w:r>
      <w:r w:rsidR="00F86264" w:rsidRPr="003F027F">
        <w:rPr>
          <w:bCs/>
          <w:color w:val="000000"/>
          <w:szCs w:val="24"/>
        </w:rPr>
        <w:t xml:space="preserve"> and final evaluation. </w:t>
      </w:r>
      <w:r w:rsidR="00587EB4" w:rsidRPr="003F027F">
        <w:rPr>
          <w:bCs/>
          <w:color w:val="000000"/>
          <w:szCs w:val="24"/>
        </w:rPr>
        <w:t>UNDP will work with</w:t>
      </w:r>
      <w:r w:rsidR="00F86264" w:rsidRPr="003F027F">
        <w:rPr>
          <w:bCs/>
          <w:color w:val="000000"/>
          <w:szCs w:val="24"/>
        </w:rPr>
        <w:t xml:space="preserve"> United Nations </w:t>
      </w:r>
      <w:r w:rsidR="0079154C">
        <w:rPr>
          <w:bCs/>
          <w:color w:val="000000"/>
          <w:szCs w:val="24"/>
        </w:rPr>
        <w:t>organizations</w:t>
      </w:r>
      <w:r w:rsidR="0079154C" w:rsidRPr="003F027F">
        <w:rPr>
          <w:bCs/>
          <w:color w:val="000000"/>
          <w:szCs w:val="24"/>
        </w:rPr>
        <w:t xml:space="preserve"> </w:t>
      </w:r>
      <w:r w:rsidR="00F86264" w:rsidRPr="003F027F">
        <w:rPr>
          <w:bCs/>
          <w:color w:val="000000"/>
          <w:szCs w:val="24"/>
        </w:rPr>
        <w:t>to conduct joint evaluations</w:t>
      </w:r>
      <w:r w:rsidR="00EF5862" w:rsidRPr="003F027F">
        <w:rPr>
          <w:bCs/>
          <w:color w:val="000000"/>
          <w:szCs w:val="24"/>
        </w:rPr>
        <w:t xml:space="preserve"> </w:t>
      </w:r>
      <w:r w:rsidR="00441E5B">
        <w:rPr>
          <w:bCs/>
          <w:color w:val="000000"/>
          <w:szCs w:val="24"/>
        </w:rPr>
        <w:t>(</w:t>
      </w:r>
      <w:r w:rsidR="00EF5862" w:rsidRPr="003F027F">
        <w:rPr>
          <w:bCs/>
          <w:color w:val="000000"/>
          <w:szCs w:val="24"/>
        </w:rPr>
        <w:t>mid-term</w:t>
      </w:r>
      <w:r w:rsidR="00F86264" w:rsidRPr="003F027F">
        <w:rPr>
          <w:bCs/>
          <w:color w:val="000000"/>
          <w:szCs w:val="24"/>
        </w:rPr>
        <w:t xml:space="preserve"> and final evaluat</w:t>
      </w:r>
      <w:r w:rsidR="005C0F04" w:rsidRPr="003F027F">
        <w:rPr>
          <w:bCs/>
          <w:color w:val="000000"/>
          <w:szCs w:val="24"/>
        </w:rPr>
        <w:t>ion</w:t>
      </w:r>
      <w:r w:rsidR="00EF5862" w:rsidRPr="003F027F">
        <w:rPr>
          <w:bCs/>
          <w:color w:val="000000"/>
          <w:szCs w:val="24"/>
        </w:rPr>
        <w:t>s</w:t>
      </w:r>
      <w:r w:rsidR="005C0F04" w:rsidRPr="003F027F">
        <w:rPr>
          <w:bCs/>
          <w:color w:val="000000"/>
          <w:szCs w:val="24"/>
        </w:rPr>
        <w:t xml:space="preserve"> of the UNDAF 2018-2022</w:t>
      </w:r>
      <w:r w:rsidR="00441E5B">
        <w:rPr>
          <w:bCs/>
          <w:color w:val="000000"/>
          <w:szCs w:val="24"/>
        </w:rPr>
        <w:t>), and with t</w:t>
      </w:r>
      <w:r w:rsidR="00F86264" w:rsidRPr="003F027F">
        <w:rPr>
          <w:bCs/>
          <w:color w:val="000000"/>
          <w:szCs w:val="24"/>
        </w:rPr>
        <w:t xml:space="preserve">he </w:t>
      </w:r>
      <w:r w:rsidR="00441E5B">
        <w:rPr>
          <w:bCs/>
          <w:color w:val="000000"/>
          <w:szCs w:val="24"/>
        </w:rPr>
        <w:t>g</w:t>
      </w:r>
      <w:r w:rsidR="00F86264" w:rsidRPr="003F027F">
        <w:rPr>
          <w:bCs/>
          <w:color w:val="000000"/>
          <w:szCs w:val="24"/>
        </w:rPr>
        <w:t xml:space="preserve">overnment and development partners </w:t>
      </w:r>
      <w:r w:rsidR="00441E5B">
        <w:rPr>
          <w:bCs/>
          <w:color w:val="000000"/>
          <w:szCs w:val="24"/>
        </w:rPr>
        <w:t>on</w:t>
      </w:r>
      <w:r w:rsidR="00F86264" w:rsidRPr="003F027F">
        <w:rPr>
          <w:bCs/>
          <w:color w:val="000000"/>
          <w:szCs w:val="24"/>
        </w:rPr>
        <w:t xml:space="preserve"> thematic assessments and periodic surveys. </w:t>
      </w:r>
      <w:r w:rsidR="00F41AAC">
        <w:rPr>
          <w:bCs/>
          <w:color w:val="000000"/>
          <w:szCs w:val="24"/>
        </w:rPr>
        <w:t>A</w:t>
      </w:r>
      <w:r w:rsidR="00F86264" w:rsidRPr="003F027F">
        <w:rPr>
          <w:bCs/>
          <w:color w:val="000000"/>
          <w:szCs w:val="24"/>
        </w:rPr>
        <w:t xml:space="preserve"> discussion group </w:t>
      </w:r>
      <w:r w:rsidR="00441E5B">
        <w:rPr>
          <w:bCs/>
          <w:color w:val="000000"/>
          <w:szCs w:val="24"/>
        </w:rPr>
        <w:t>has been</w:t>
      </w:r>
      <w:r w:rsidR="00441E5B" w:rsidRPr="003F027F">
        <w:rPr>
          <w:bCs/>
          <w:color w:val="000000"/>
          <w:szCs w:val="24"/>
        </w:rPr>
        <w:t xml:space="preserve"> </w:t>
      </w:r>
      <w:r w:rsidR="00F86264" w:rsidRPr="003F027F">
        <w:rPr>
          <w:bCs/>
          <w:color w:val="000000"/>
          <w:szCs w:val="24"/>
        </w:rPr>
        <w:t xml:space="preserve">set up with academic institutions and universities </w:t>
      </w:r>
      <w:r w:rsidR="009877EC">
        <w:rPr>
          <w:bCs/>
          <w:color w:val="000000"/>
          <w:szCs w:val="24"/>
        </w:rPr>
        <w:t>(</w:t>
      </w:r>
      <w:r w:rsidR="005C0F04" w:rsidRPr="003F027F">
        <w:rPr>
          <w:bCs/>
          <w:color w:val="000000"/>
          <w:szCs w:val="24"/>
        </w:rPr>
        <w:t>the University of Conakry</w:t>
      </w:r>
      <w:r w:rsidR="00F86264" w:rsidRPr="003F027F">
        <w:rPr>
          <w:bCs/>
          <w:color w:val="000000"/>
          <w:szCs w:val="24"/>
        </w:rPr>
        <w:t>, the Conakry-Rogbanè Scien</w:t>
      </w:r>
      <w:r w:rsidR="00EF5862" w:rsidRPr="003F027F">
        <w:rPr>
          <w:bCs/>
          <w:color w:val="000000"/>
          <w:szCs w:val="24"/>
        </w:rPr>
        <w:t>tific Research Centre</w:t>
      </w:r>
      <w:r w:rsidR="00F41AAC">
        <w:rPr>
          <w:bCs/>
          <w:color w:val="000000"/>
          <w:szCs w:val="24"/>
        </w:rPr>
        <w:t>,</w:t>
      </w:r>
      <w:r w:rsidR="00F86264" w:rsidRPr="003F027F">
        <w:rPr>
          <w:bCs/>
          <w:color w:val="000000"/>
          <w:szCs w:val="24"/>
        </w:rPr>
        <w:t xml:space="preserve"> and Mamou Technology </w:t>
      </w:r>
      <w:r w:rsidR="00156DC7" w:rsidRPr="003F027F">
        <w:rPr>
          <w:bCs/>
          <w:color w:val="000000"/>
          <w:szCs w:val="24"/>
        </w:rPr>
        <w:t>Institute</w:t>
      </w:r>
      <w:r w:rsidR="009877EC">
        <w:rPr>
          <w:bCs/>
          <w:color w:val="000000"/>
          <w:szCs w:val="24"/>
        </w:rPr>
        <w:t>)</w:t>
      </w:r>
      <w:r w:rsidR="00F41AAC">
        <w:rPr>
          <w:bCs/>
          <w:color w:val="000000"/>
          <w:szCs w:val="24"/>
        </w:rPr>
        <w:t xml:space="preserve"> to promote renewable energy</w:t>
      </w:r>
      <w:r w:rsidR="009877EC">
        <w:rPr>
          <w:bCs/>
          <w:color w:val="000000"/>
          <w:szCs w:val="24"/>
        </w:rPr>
        <w:t xml:space="preserve"> initiatives</w:t>
      </w:r>
      <w:r w:rsidR="00F86264" w:rsidRPr="003F027F">
        <w:rPr>
          <w:bCs/>
          <w:color w:val="000000"/>
          <w:szCs w:val="24"/>
        </w:rPr>
        <w:t xml:space="preserve">. </w:t>
      </w:r>
    </w:p>
    <w:p w14:paraId="372790FF" w14:textId="77777777" w:rsidR="006B6E78" w:rsidRPr="00C9769D" w:rsidRDefault="006B6E78" w:rsidP="00A84130">
      <w:pPr>
        <w:pStyle w:val="Heading4"/>
        <w:tabs>
          <w:tab w:val="left" w:pos="0"/>
        </w:tabs>
        <w:spacing w:after="120"/>
        <w:rPr>
          <w:rFonts w:ascii="Times New Roman" w:hAnsi="Times New Roman"/>
          <w:bCs/>
          <w:color w:val="000000"/>
          <w:sz w:val="20"/>
        </w:rPr>
      </w:pPr>
    </w:p>
    <w:p w14:paraId="03F2644D" w14:textId="77777777" w:rsidR="003B2517" w:rsidRPr="00C9769D" w:rsidRDefault="003B2517" w:rsidP="00A84130">
      <w:pPr>
        <w:tabs>
          <w:tab w:val="left" w:pos="0"/>
        </w:tabs>
        <w:rPr>
          <w:b/>
          <w:bCs/>
          <w:sz w:val="14"/>
          <w:szCs w:val="14"/>
        </w:rPr>
        <w:sectPr w:rsidR="003B2517" w:rsidRPr="00C9769D" w:rsidSect="00A85259">
          <w:headerReference w:type="even" r:id="rId13"/>
          <w:headerReference w:type="default" r:id="rId14"/>
          <w:footerReference w:type="even" r:id="rId15"/>
          <w:footerReference w:type="default" r:id="rId16"/>
          <w:headerReference w:type="first" r:id="rId17"/>
          <w:type w:val="continuous"/>
          <w:pgSz w:w="11906" w:h="16838" w:code="9"/>
          <w:pgMar w:top="1168" w:right="1196" w:bottom="1440" w:left="1196" w:header="720" w:footer="720" w:gutter="0"/>
          <w:cols w:space="720"/>
          <w:titlePg/>
          <w:docGrid w:linePitch="272"/>
        </w:sectPr>
      </w:pPr>
    </w:p>
    <w:p w14:paraId="04FE9367" w14:textId="4E0EC7DB" w:rsidR="003474F4" w:rsidRPr="00C9769D" w:rsidRDefault="00AE78D4" w:rsidP="00A84130">
      <w:pPr>
        <w:tabs>
          <w:tab w:val="left" w:pos="0"/>
        </w:tabs>
        <w:rPr>
          <w:b/>
          <w:bCs/>
          <w:color w:val="000000"/>
        </w:rPr>
      </w:pPr>
      <w:r w:rsidRPr="00AE78D4">
        <w:rPr>
          <w:b/>
          <w:bCs/>
          <w:color w:val="000000"/>
          <w:sz w:val="24"/>
          <w:szCs w:val="24"/>
          <w:lang w:val="en-GB" w:eastAsia="fr-FR"/>
        </w:rPr>
        <w:lastRenderedPageBreak/>
        <w:t>Annex</w:t>
      </w:r>
      <w:r w:rsidR="00441E5B">
        <w:rPr>
          <w:b/>
          <w:bCs/>
          <w:color w:val="000000"/>
          <w:sz w:val="24"/>
          <w:szCs w:val="24"/>
          <w:lang w:val="en-GB" w:eastAsia="fr-FR"/>
        </w:rPr>
        <w:t>:</w:t>
      </w:r>
      <w:r w:rsidRPr="00AE78D4">
        <w:rPr>
          <w:b/>
          <w:bCs/>
          <w:color w:val="000000"/>
          <w:sz w:val="24"/>
          <w:szCs w:val="24"/>
          <w:lang w:val="en-GB" w:eastAsia="fr-FR"/>
        </w:rPr>
        <w:t xml:space="preserve"> </w:t>
      </w:r>
      <w:r w:rsidRPr="00AE78D4">
        <w:rPr>
          <w:b/>
          <w:bCs/>
          <w:color w:val="000000"/>
          <w:kern w:val="14"/>
          <w:sz w:val="24"/>
          <w:szCs w:val="24"/>
          <w:lang w:val="en-GB" w:eastAsia="fr-FR"/>
        </w:rPr>
        <w:t xml:space="preserve">Results and resources framework for </w:t>
      </w:r>
      <w:r>
        <w:rPr>
          <w:b/>
          <w:bCs/>
          <w:color w:val="000000"/>
          <w:kern w:val="14"/>
          <w:sz w:val="24"/>
          <w:szCs w:val="24"/>
          <w:lang w:val="en-GB" w:eastAsia="fr-FR"/>
        </w:rPr>
        <w:t>Guinea</w:t>
      </w:r>
      <w:r w:rsidRPr="00AE78D4">
        <w:rPr>
          <w:b/>
          <w:bCs/>
          <w:color w:val="000000"/>
          <w:kern w:val="14"/>
          <w:sz w:val="24"/>
          <w:szCs w:val="24"/>
          <w:lang w:val="en-GB" w:eastAsia="fr-FR"/>
        </w:rPr>
        <w:t xml:space="preserve"> (2018-2022)</w:t>
      </w:r>
    </w:p>
    <w:p w14:paraId="35697716" w14:textId="77777777" w:rsidR="003474F4" w:rsidRPr="00C9769D" w:rsidRDefault="003474F4" w:rsidP="00A84130">
      <w:pPr>
        <w:tabs>
          <w:tab w:val="left" w:pos="0"/>
        </w:tabs>
        <w:jc w:val="both"/>
      </w:pPr>
    </w:p>
    <w:tbl>
      <w:tblPr>
        <w:tblW w:w="13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A0" w:firstRow="1" w:lastRow="0" w:firstColumn="1" w:lastColumn="0" w:noHBand="0" w:noVBand="0"/>
      </w:tblPr>
      <w:tblGrid>
        <w:gridCol w:w="2723"/>
        <w:gridCol w:w="2323"/>
        <w:gridCol w:w="4336"/>
        <w:gridCol w:w="2774"/>
        <w:gridCol w:w="1423"/>
      </w:tblGrid>
      <w:tr w:rsidR="003474F4" w:rsidRPr="002F2E59" w14:paraId="6C51101E" w14:textId="77777777" w:rsidTr="001D3FBF">
        <w:trPr>
          <w:jc w:val="center"/>
        </w:trPr>
        <w:tc>
          <w:tcPr>
            <w:tcW w:w="13579" w:type="dxa"/>
            <w:gridSpan w:val="5"/>
            <w:shd w:val="clear" w:color="auto" w:fill="auto"/>
            <w:tcMar>
              <w:top w:w="72" w:type="dxa"/>
              <w:left w:w="144" w:type="dxa"/>
              <w:bottom w:w="72" w:type="dxa"/>
              <w:right w:w="144" w:type="dxa"/>
            </w:tcMar>
          </w:tcPr>
          <w:p w14:paraId="2A0A6853" w14:textId="77777777" w:rsidR="003474F4" w:rsidRPr="002F2E59" w:rsidRDefault="003474F4" w:rsidP="00A84130">
            <w:pPr>
              <w:tabs>
                <w:tab w:val="left" w:pos="0"/>
              </w:tabs>
              <w:jc w:val="both"/>
              <w:rPr>
                <w:b/>
                <w:sz w:val="14"/>
                <w:szCs w:val="14"/>
              </w:rPr>
            </w:pPr>
            <w:r w:rsidRPr="002F2E59">
              <w:rPr>
                <w:b/>
                <w:bCs/>
                <w:sz w:val="14"/>
                <w:szCs w:val="14"/>
              </w:rPr>
              <w:t>NATIONAL PRIORITY OR GOAL</w:t>
            </w:r>
            <w:r w:rsidRPr="002F2E59">
              <w:rPr>
                <w:b/>
                <w:sz w:val="14"/>
                <w:szCs w:val="14"/>
              </w:rPr>
              <w:t>: Promotion of good governance for sustainable development</w:t>
            </w:r>
          </w:p>
        </w:tc>
      </w:tr>
      <w:tr w:rsidR="003474F4" w:rsidRPr="002F2E59" w14:paraId="5965DC1C" w14:textId="77777777" w:rsidTr="001D3FBF">
        <w:trPr>
          <w:jc w:val="center"/>
        </w:trPr>
        <w:tc>
          <w:tcPr>
            <w:tcW w:w="13579" w:type="dxa"/>
            <w:gridSpan w:val="5"/>
            <w:shd w:val="clear" w:color="auto" w:fill="auto"/>
            <w:tcMar>
              <w:top w:w="72" w:type="dxa"/>
              <w:left w:w="144" w:type="dxa"/>
              <w:bottom w:w="72" w:type="dxa"/>
              <w:right w:w="144" w:type="dxa"/>
            </w:tcMar>
          </w:tcPr>
          <w:p w14:paraId="7CE4322D" w14:textId="745AD316" w:rsidR="003474F4" w:rsidRPr="002F2E59" w:rsidRDefault="003474F4" w:rsidP="00A84130">
            <w:pPr>
              <w:tabs>
                <w:tab w:val="left" w:pos="0"/>
              </w:tabs>
              <w:jc w:val="both"/>
              <w:rPr>
                <w:b/>
                <w:sz w:val="14"/>
                <w:szCs w:val="14"/>
              </w:rPr>
            </w:pPr>
            <w:r w:rsidRPr="002F2E59">
              <w:rPr>
                <w:b/>
                <w:bCs/>
                <w:sz w:val="14"/>
                <w:szCs w:val="14"/>
              </w:rPr>
              <w:t>UNDAF OUTCOME INVOLVING UNDP,</w:t>
            </w:r>
            <w:r w:rsidRPr="002F2E59">
              <w:rPr>
                <w:sz w:val="14"/>
                <w:szCs w:val="14"/>
              </w:rPr>
              <w:t xml:space="preserve"> </w:t>
            </w:r>
            <w:r w:rsidR="007E79F6" w:rsidRPr="002F2E59">
              <w:rPr>
                <w:b/>
                <w:sz w:val="14"/>
                <w:szCs w:val="14"/>
              </w:rPr>
              <w:t>Outcome</w:t>
            </w:r>
            <w:r w:rsidR="00441E5B" w:rsidRPr="002F2E59">
              <w:rPr>
                <w:b/>
                <w:sz w:val="14"/>
                <w:szCs w:val="14"/>
              </w:rPr>
              <w:t xml:space="preserve"> </w:t>
            </w:r>
            <w:r w:rsidRPr="002F2E59">
              <w:rPr>
                <w:b/>
                <w:sz w:val="14"/>
                <w:szCs w:val="14"/>
              </w:rPr>
              <w:t>1: By 2022, national institutions at the central, decentralized and deconcentrated levels are inclusive, assuring and guaranteeing the rule of law, democracy, security, social peace and an effective institutional governance in accordance with the principles of human rights.</w:t>
            </w:r>
          </w:p>
        </w:tc>
      </w:tr>
      <w:tr w:rsidR="003474F4" w:rsidRPr="002F2E59" w14:paraId="0415729B" w14:textId="77777777" w:rsidTr="001D3FBF">
        <w:trPr>
          <w:jc w:val="center"/>
        </w:trPr>
        <w:tc>
          <w:tcPr>
            <w:tcW w:w="13579" w:type="dxa"/>
            <w:gridSpan w:val="5"/>
            <w:shd w:val="clear" w:color="auto" w:fill="auto"/>
            <w:tcMar>
              <w:top w:w="72" w:type="dxa"/>
              <w:left w:w="144" w:type="dxa"/>
              <w:bottom w:w="72" w:type="dxa"/>
              <w:right w:w="144" w:type="dxa"/>
            </w:tcMar>
          </w:tcPr>
          <w:p w14:paraId="33BA1070" w14:textId="0C73FF56" w:rsidR="003474F4" w:rsidRPr="002F2E59" w:rsidRDefault="003474F4" w:rsidP="00A84130">
            <w:pPr>
              <w:tabs>
                <w:tab w:val="left" w:pos="0"/>
              </w:tabs>
              <w:jc w:val="both"/>
              <w:rPr>
                <w:b/>
                <w:bCs/>
                <w:sz w:val="14"/>
                <w:szCs w:val="14"/>
              </w:rPr>
            </w:pPr>
            <w:r w:rsidRPr="002F2E59">
              <w:rPr>
                <w:b/>
                <w:bCs/>
                <w:sz w:val="14"/>
                <w:szCs w:val="14"/>
              </w:rPr>
              <w:t xml:space="preserve">RELATED STRATEGIC PLAN OUTCOME: </w:t>
            </w:r>
            <w:r w:rsidR="007E79F6" w:rsidRPr="002F2E59">
              <w:rPr>
                <w:b/>
                <w:sz w:val="14"/>
                <w:szCs w:val="14"/>
              </w:rPr>
              <w:t>Outcome</w:t>
            </w:r>
            <w:r w:rsidR="00441E5B" w:rsidRPr="002F2E59">
              <w:rPr>
                <w:b/>
                <w:sz w:val="14"/>
                <w:szCs w:val="14"/>
              </w:rPr>
              <w:t xml:space="preserve"> </w:t>
            </w:r>
            <w:r w:rsidRPr="002F2E59">
              <w:rPr>
                <w:b/>
                <w:sz w:val="14"/>
                <w:szCs w:val="14"/>
              </w:rPr>
              <w:t>2: Citizen expectations for voice, development, the rule of law and accountability are met by stronger systems of democratic governance</w:t>
            </w:r>
          </w:p>
        </w:tc>
      </w:tr>
      <w:tr w:rsidR="003F027F" w:rsidRPr="002F2E59" w14:paraId="4FD6AC94" w14:textId="77777777" w:rsidTr="001D3FBF">
        <w:trPr>
          <w:trHeight w:val="773"/>
          <w:jc w:val="center"/>
        </w:trPr>
        <w:tc>
          <w:tcPr>
            <w:tcW w:w="2723" w:type="dxa"/>
            <w:shd w:val="clear" w:color="auto" w:fill="auto"/>
            <w:tcMar>
              <w:top w:w="72" w:type="dxa"/>
              <w:left w:w="144" w:type="dxa"/>
              <w:bottom w:w="72" w:type="dxa"/>
              <w:right w:w="144" w:type="dxa"/>
            </w:tcMar>
            <w:vAlign w:val="center"/>
          </w:tcPr>
          <w:p w14:paraId="2383A304" w14:textId="77777777" w:rsidR="003F027F" w:rsidRPr="002F2E59" w:rsidRDefault="003F027F" w:rsidP="00B53FA4">
            <w:pPr>
              <w:tabs>
                <w:tab w:val="left" w:pos="0"/>
              </w:tabs>
              <w:contextualSpacing/>
              <w:rPr>
                <w:b/>
                <w:bCs/>
                <w:color w:val="000000"/>
                <w:sz w:val="16"/>
                <w:szCs w:val="18"/>
                <w:lang w:val="en-GB" w:eastAsia="fr-FR"/>
              </w:rPr>
            </w:pPr>
            <w:r w:rsidRPr="002F2E59">
              <w:rPr>
                <w:b/>
                <w:bCs/>
                <w:color w:val="000000"/>
                <w:sz w:val="16"/>
                <w:szCs w:val="18"/>
                <w:lang w:val="en-GB" w:eastAsia="fr-FR"/>
              </w:rPr>
              <w:t>UNDAF outcome indicators,</w:t>
            </w:r>
          </w:p>
          <w:p w14:paraId="3BB58F75" w14:textId="0C1195EA" w:rsidR="003F027F" w:rsidRPr="002F2E59" w:rsidRDefault="003F027F" w:rsidP="00A84130">
            <w:pPr>
              <w:tabs>
                <w:tab w:val="left" w:pos="0"/>
              </w:tabs>
              <w:rPr>
                <w:b/>
                <w:bCs/>
                <w:sz w:val="16"/>
                <w:szCs w:val="16"/>
              </w:rPr>
            </w:pPr>
            <w:r w:rsidRPr="002F2E59">
              <w:rPr>
                <w:b/>
                <w:bCs/>
                <w:color w:val="000000"/>
                <w:sz w:val="16"/>
                <w:szCs w:val="18"/>
                <w:lang w:val="en-GB" w:eastAsia="fr-FR"/>
              </w:rPr>
              <w:t>baselines and targets</w:t>
            </w:r>
          </w:p>
        </w:tc>
        <w:tc>
          <w:tcPr>
            <w:tcW w:w="2323" w:type="dxa"/>
            <w:vAlign w:val="center"/>
          </w:tcPr>
          <w:p w14:paraId="3F4D5352" w14:textId="7756633F" w:rsidR="003F027F" w:rsidRPr="002F2E59" w:rsidRDefault="003F027F" w:rsidP="00A84130">
            <w:pPr>
              <w:tabs>
                <w:tab w:val="left" w:pos="0"/>
              </w:tabs>
              <w:rPr>
                <w:iCs/>
                <w:sz w:val="16"/>
                <w:szCs w:val="14"/>
              </w:rPr>
            </w:pPr>
            <w:r w:rsidRPr="002F2E59">
              <w:rPr>
                <w:b/>
                <w:bCs/>
                <w:color w:val="000000"/>
                <w:sz w:val="16"/>
                <w:szCs w:val="18"/>
                <w:lang w:val="en-GB" w:eastAsia="fr-FR"/>
              </w:rPr>
              <w:t>Data source and frequency of data collection</w:t>
            </w:r>
            <w:r w:rsidR="008D089D" w:rsidRPr="002F2E59">
              <w:rPr>
                <w:rStyle w:val="FootnoteReference"/>
                <w:b/>
                <w:bCs/>
                <w:color w:val="000000"/>
                <w:sz w:val="16"/>
                <w:szCs w:val="18"/>
                <w:lang w:val="en-GB" w:eastAsia="fr-FR"/>
              </w:rPr>
              <w:footnoteReference w:id="28"/>
            </w:r>
            <w:r w:rsidRPr="002F2E59">
              <w:rPr>
                <w:b/>
                <w:bCs/>
                <w:color w:val="000000"/>
                <w:sz w:val="16"/>
                <w:szCs w:val="18"/>
                <w:lang w:val="en-GB" w:eastAsia="fr-FR"/>
              </w:rPr>
              <w:t>, and responsibilities</w:t>
            </w:r>
          </w:p>
        </w:tc>
        <w:tc>
          <w:tcPr>
            <w:tcW w:w="4336" w:type="dxa"/>
            <w:tcMar>
              <w:top w:w="72" w:type="dxa"/>
              <w:left w:w="144" w:type="dxa"/>
              <w:bottom w:w="72" w:type="dxa"/>
              <w:right w:w="144" w:type="dxa"/>
            </w:tcMar>
            <w:vAlign w:val="center"/>
          </w:tcPr>
          <w:p w14:paraId="14824623" w14:textId="5089A6F8" w:rsidR="003F027F" w:rsidRPr="002F2E59" w:rsidRDefault="003F027F" w:rsidP="00A84130">
            <w:pPr>
              <w:tabs>
                <w:tab w:val="left" w:pos="0"/>
              </w:tabs>
              <w:rPr>
                <w:b/>
                <w:sz w:val="16"/>
                <w:szCs w:val="14"/>
              </w:rPr>
            </w:pPr>
            <w:r w:rsidRPr="002F2E59">
              <w:rPr>
                <w:b/>
                <w:bCs/>
                <w:color w:val="000000"/>
                <w:sz w:val="16"/>
                <w:szCs w:val="18"/>
                <w:lang w:val="en-GB" w:eastAsia="fr-FR"/>
              </w:rPr>
              <w:t>Indicative country programme outputs</w:t>
            </w:r>
            <w:r w:rsidRPr="002F2E59">
              <w:rPr>
                <w:b/>
                <w:bCs/>
                <w:iCs/>
                <w:sz w:val="16"/>
                <w:szCs w:val="18"/>
              </w:rPr>
              <w:t xml:space="preserve"> (including indicators, baselines targets)</w:t>
            </w:r>
            <w:r w:rsidR="00692A6D" w:rsidRPr="002F2E59">
              <w:rPr>
                <w:rStyle w:val="FootnoteReference"/>
                <w:b/>
                <w:bCs/>
                <w:iCs/>
                <w:sz w:val="16"/>
                <w:szCs w:val="18"/>
              </w:rPr>
              <w:footnoteReference w:id="29"/>
            </w:r>
          </w:p>
        </w:tc>
        <w:tc>
          <w:tcPr>
            <w:tcW w:w="2774" w:type="dxa"/>
            <w:vAlign w:val="center"/>
          </w:tcPr>
          <w:p w14:paraId="3E4BEFEA" w14:textId="77777777" w:rsidR="003F027F" w:rsidRPr="002F2E59" w:rsidRDefault="003F027F" w:rsidP="00B53FA4">
            <w:pPr>
              <w:tabs>
                <w:tab w:val="left" w:pos="0"/>
              </w:tabs>
              <w:contextualSpacing/>
              <w:rPr>
                <w:b/>
                <w:bCs/>
                <w:color w:val="000000"/>
                <w:sz w:val="16"/>
                <w:szCs w:val="18"/>
                <w:lang w:val="en-GB" w:eastAsia="fr-FR"/>
              </w:rPr>
            </w:pPr>
            <w:r w:rsidRPr="002F2E59">
              <w:rPr>
                <w:b/>
                <w:bCs/>
                <w:color w:val="000000"/>
                <w:sz w:val="16"/>
                <w:szCs w:val="18"/>
                <w:lang w:val="en-GB" w:eastAsia="fr-FR"/>
              </w:rPr>
              <w:t>Major partners/</w:t>
            </w:r>
          </w:p>
          <w:p w14:paraId="64C95BEB" w14:textId="50853AF1" w:rsidR="003F027F" w:rsidRPr="002F2E59" w:rsidRDefault="003F027F" w:rsidP="00A84130">
            <w:pPr>
              <w:tabs>
                <w:tab w:val="left" w:pos="0"/>
              </w:tabs>
              <w:jc w:val="both"/>
              <w:rPr>
                <w:sz w:val="16"/>
                <w:szCs w:val="14"/>
              </w:rPr>
            </w:pPr>
            <w:r w:rsidRPr="002F2E59">
              <w:rPr>
                <w:b/>
                <w:bCs/>
                <w:color w:val="000000"/>
                <w:sz w:val="16"/>
                <w:szCs w:val="18"/>
                <w:lang w:val="en-GB" w:eastAsia="fr-FR"/>
              </w:rPr>
              <w:t>P</w:t>
            </w:r>
            <w:r w:rsidR="00B53FA4" w:rsidRPr="002F2E59">
              <w:rPr>
                <w:b/>
                <w:bCs/>
                <w:color w:val="000000"/>
                <w:sz w:val="16"/>
                <w:szCs w:val="18"/>
                <w:lang w:val="en-GB" w:eastAsia="fr-FR"/>
              </w:rPr>
              <w:t>artnership</w:t>
            </w:r>
            <w:r w:rsidRPr="002F2E59">
              <w:rPr>
                <w:b/>
                <w:bCs/>
                <w:color w:val="000000"/>
                <w:sz w:val="16"/>
                <w:szCs w:val="18"/>
                <w:lang w:val="en-GB" w:eastAsia="fr-FR"/>
              </w:rPr>
              <w:t xml:space="preserve"> frameworks</w:t>
            </w:r>
          </w:p>
        </w:tc>
        <w:tc>
          <w:tcPr>
            <w:tcW w:w="1423" w:type="dxa"/>
            <w:tcMar>
              <w:top w:w="15" w:type="dxa"/>
              <w:left w:w="108" w:type="dxa"/>
              <w:bottom w:w="0" w:type="dxa"/>
              <w:right w:w="108" w:type="dxa"/>
            </w:tcMar>
            <w:vAlign w:val="center"/>
          </w:tcPr>
          <w:p w14:paraId="1BD830D9" w14:textId="44ACA30B" w:rsidR="003F027F" w:rsidRPr="002F2E59" w:rsidRDefault="003F027F" w:rsidP="00A84130">
            <w:pPr>
              <w:tabs>
                <w:tab w:val="left" w:pos="0"/>
              </w:tabs>
              <w:rPr>
                <w:b/>
                <w:sz w:val="16"/>
                <w:szCs w:val="14"/>
              </w:rPr>
            </w:pPr>
            <w:r w:rsidRPr="002F2E59">
              <w:rPr>
                <w:b/>
                <w:bCs/>
                <w:color w:val="000000"/>
                <w:sz w:val="16"/>
                <w:szCs w:val="18"/>
                <w:lang w:val="en-GB" w:eastAsia="fr-FR"/>
              </w:rPr>
              <w:t>Indicative resources by outcome (in $ thousands)</w:t>
            </w:r>
          </w:p>
        </w:tc>
      </w:tr>
      <w:tr w:rsidR="00610A93" w:rsidRPr="002F2E59" w14:paraId="6DFCE63D" w14:textId="77777777" w:rsidTr="001D3FBF">
        <w:trPr>
          <w:jc w:val="center"/>
        </w:trPr>
        <w:tc>
          <w:tcPr>
            <w:tcW w:w="2723" w:type="dxa"/>
            <w:vMerge w:val="restart"/>
            <w:shd w:val="clear" w:color="auto" w:fill="auto"/>
            <w:tcMar>
              <w:top w:w="72" w:type="dxa"/>
              <w:left w:w="144" w:type="dxa"/>
              <w:bottom w:w="72" w:type="dxa"/>
              <w:right w:w="144" w:type="dxa"/>
            </w:tcMar>
          </w:tcPr>
          <w:p w14:paraId="1FA78755" w14:textId="77777777" w:rsidR="003474F4" w:rsidRPr="002F2E59" w:rsidRDefault="003474F4" w:rsidP="00A84130">
            <w:pPr>
              <w:tabs>
                <w:tab w:val="left" w:pos="0"/>
              </w:tabs>
              <w:rPr>
                <w:b/>
                <w:bCs/>
                <w:sz w:val="16"/>
                <w:szCs w:val="16"/>
              </w:rPr>
            </w:pPr>
            <w:r w:rsidRPr="002F2E59">
              <w:rPr>
                <w:b/>
                <w:bCs/>
                <w:sz w:val="16"/>
                <w:szCs w:val="16"/>
              </w:rPr>
              <w:t>Overall quality index of national institutions (CPIA)</w:t>
            </w:r>
          </w:p>
          <w:p w14:paraId="78FF8910" w14:textId="052BB405" w:rsidR="003474F4" w:rsidRPr="002F2E59" w:rsidRDefault="00315B63" w:rsidP="00A84130">
            <w:pPr>
              <w:tabs>
                <w:tab w:val="left" w:pos="0"/>
              </w:tabs>
              <w:rPr>
                <w:bCs/>
                <w:sz w:val="16"/>
                <w:szCs w:val="16"/>
              </w:rPr>
            </w:pPr>
            <w:r w:rsidRPr="002F2E59">
              <w:rPr>
                <w:bCs/>
                <w:sz w:val="16"/>
                <w:szCs w:val="16"/>
              </w:rPr>
              <w:t>Baseline:</w:t>
            </w:r>
            <w:r w:rsidR="001E7228" w:rsidRPr="002F2E59">
              <w:rPr>
                <w:bCs/>
                <w:sz w:val="16"/>
                <w:szCs w:val="16"/>
              </w:rPr>
              <w:t xml:space="preserve"> </w:t>
            </w:r>
            <w:r w:rsidR="003474F4" w:rsidRPr="002F2E59">
              <w:rPr>
                <w:bCs/>
                <w:sz w:val="16"/>
                <w:szCs w:val="16"/>
              </w:rPr>
              <w:t>3</w:t>
            </w:r>
            <w:r w:rsidR="001E7228" w:rsidRPr="002F2E59">
              <w:rPr>
                <w:bCs/>
                <w:sz w:val="16"/>
                <w:szCs w:val="16"/>
              </w:rPr>
              <w:t>.</w:t>
            </w:r>
            <w:r w:rsidR="003474F4" w:rsidRPr="002F2E59">
              <w:rPr>
                <w:bCs/>
                <w:sz w:val="16"/>
                <w:szCs w:val="16"/>
              </w:rPr>
              <w:t xml:space="preserve">1 </w:t>
            </w:r>
            <w:r w:rsidR="001E7228" w:rsidRPr="002F2E59">
              <w:rPr>
                <w:bCs/>
                <w:sz w:val="16"/>
                <w:szCs w:val="16"/>
              </w:rPr>
              <w:t xml:space="preserve">in </w:t>
            </w:r>
            <w:r w:rsidR="003474F4" w:rsidRPr="002F2E59">
              <w:rPr>
                <w:bCs/>
                <w:sz w:val="16"/>
                <w:szCs w:val="16"/>
              </w:rPr>
              <w:t>2015</w:t>
            </w:r>
          </w:p>
          <w:p w14:paraId="7E3A2C0F" w14:textId="1CB1F499" w:rsidR="003474F4" w:rsidRPr="002F2E59" w:rsidRDefault="00202EBB" w:rsidP="00A84130">
            <w:pPr>
              <w:tabs>
                <w:tab w:val="left" w:pos="0"/>
              </w:tabs>
              <w:rPr>
                <w:bCs/>
                <w:sz w:val="16"/>
                <w:szCs w:val="16"/>
              </w:rPr>
            </w:pPr>
            <w:r w:rsidRPr="002F2E59">
              <w:rPr>
                <w:bCs/>
                <w:sz w:val="16"/>
                <w:szCs w:val="16"/>
              </w:rPr>
              <w:t>Target: 4</w:t>
            </w:r>
            <w:r w:rsidR="003474F4" w:rsidRPr="002F2E59">
              <w:rPr>
                <w:bCs/>
                <w:sz w:val="16"/>
                <w:szCs w:val="16"/>
              </w:rPr>
              <w:t xml:space="preserve"> </w:t>
            </w:r>
            <w:r w:rsidR="001E7228" w:rsidRPr="002F2E59">
              <w:rPr>
                <w:bCs/>
                <w:sz w:val="16"/>
                <w:szCs w:val="16"/>
              </w:rPr>
              <w:t xml:space="preserve">in </w:t>
            </w:r>
            <w:r w:rsidR="003474F4" w:rsidRPr="002F2E59">
              <w:rPr>
                <w:bCs/>
                <w:sz w:val="16"/>
                <w:szCs w:val="16"/>
              </w:rPr>
              <w:t>2022</w:t>
            </w:r>
          </w:p>
          <w:p w14:paraId="18B94864" w14:textId="77777777" w:rsidR="003474F4" w:rsidRPr="002F2E59" w:rsidRDefault="003474F4" w:rsidP="00A84130">
            <w:pPr>
              <w:tabs>
                <w:tab w:val="left" w:pos="0"/>
              </w:tabs>
              <w:rPr>
                <w:sz w:val="16"/>
                <w:szCs w:val="16"/>
              </w:rPr>
            </w:pPr>
          </w:p>
          <w:p w14:paraId="171AF16F" w14:textId="77777777" w:rsidR="003474F4" w:rsidRPr="002F2E59" w:rsidRDefault="003474F4" w:rsidP="00A84130">
            <w:pPr>
              <w:tabs>
                <w:tab w:val="left" w:pos="0"/>
              </w:tabs>
              <w:rPr>
                <w:sz w:val="16"/>
                <w:szCs w:val="16"/>
              </w:rPr>
            </w:pPr>
          </w:p>
          <w:p w14:paraId="7FACDF46" w14:textId="77777777" w:rsidR="008976AE" w:rsidRPr="002F2E59" w:rsidRDefault="008976AE" w:rsidP="00A84130">
            <w:pPr>
              <w:tabs>
                <w:tab w:val="left" w:pos="0"/>
              </w:tabs>
              <w:rPr>
                <w:sz w:val="16"/>
                <w:szCs w:val="16"/>
              </w:rPr>
            </w:pPr>
          </w:p>
          <w:p w14:paraId="25FE8A3A" w14:textId="77777777" w:rsidR="008976AE" w:rsidRPr="002F2E59" w:rsidRDefault="008976AE" w:rsidP="00A84130">
            <w:pPr>
              <w:tabs>
                <w:tab w:val="left" w:pos="0"/>
              </w:tabs>
              <w:rPr>
                <w:sz w:val="16"/>
                <w:szCs w:val="16"/>
              </w:rPr>
            </w:pPr>
          </w:p>
          <w:p w14:paraId="3109880C" w14:textId="77777777" w:rsidR="003474F4" w:rsidRPr="002F2E59" w:rsidRDefault="003474F4" w:rsidP="00A84130">
            <w:pPr>
              <w:tabs>
                <w:tab w:val="left" w:pos="0"/>
              </w:tabs>
              <w:rPr>
                <w:sz w:val="16"/>
                <w:szCs w:val="16"/>
              </w:rPr>
            </w:pPr>
          </w:p>
          <w:p w14:paraId="55B4F7F2" w14:textId="77777777" w:rsidR="003474F4" w:rsidRPr="002F2E59" w:rsidRDefault="003474F4" w:rsidP="00A84130">
            <w:pPr>
              <w:tabs>
                <w:tab w:val="left" w:pos="0"/>
              </w:tabs>
              <w:rPr>
                <w:sz w:val="16"/>
                <w:szCs w:val="16"/>
              </w:rPr>
            </w:pPr>
          </w:p>
          <w:p w14:paraId="1A98D29D" w14:textId="77777777" w:rsidR="003474F4" w:rsidRPr="002F2E59" w:rsidRDefault="003474F4" w:rsidP="00A84130">
            <w:pPr>
              <w:tabs>
                <w:tab w:val="left" w:pos="0"/>
              </w:tabs>
              <w:rPr>
                <w:sz w:val="16"/>
                <w:szCs w:val="16"/>
              </w:rPr>
            </w:pPr>
          </w:p>
          <w:p w14:paraId="73D48063" w14:textId="77777777" w:rsidR="003474F4" w:rsidRPr="002F2E59" w:rsidRDefault="003474F4" w:rsidP="00A84130">
            <w:pPr>
              <w:tabs>
                <w:tab w:val="left" w:pos="0"/>
              </w:tabs>
              <w:rPr>
                <w:sz w:val="16"/>
                <w:szCs w:val="16"/>
              </w:rPr>
            </w:pPr>
          </w:p>
          <w:p w14:paraId="3A4E4E60" w14:textId="77777777" w:rsidR="003474F4" w:rsidRPr="002F2E59" w:rsidRDefault="003474F4" w:rsidP="00A84130">
            <w:pPr>
              <w:tabs>
                <w:tab w:val="left" w:pos="0"/>
              </w:tabs>
              <w:rPr>
                <w:sz w:val="16"/>
                <w:szCs w:val="16"/>
              </w:rPr>
            </w:pPr>
          </w:p>
          <w:p w14:paraId="69218ED1" w14:textId="77777777" w:rsidR="003474F4" w:rsidRPr="002F2E59" w:rsidRDefault="003474F4" w:rsidP="00A84130">
            <w:pPr>
              <w:tabs>
                <w:tab w:val="left" w:pos="0"/>
              </w:tabs>
              <w:rPr>
                <w:sz w:val="16"/>
                <w:szCs w:val="16"/>
              </w:rPr>
            </w:pPr>
          </w:p>
          <w:p w14:paraId="4770CEE1" w14:textId="77777777" w:rsidR="003474F4" w:rsidRPr="002F2E59" w:rsidRDefault="003474F4" w:rsidP="00A84130">
            <w:pPr>
              <w:tabs>
                <w:tab w:val="left" w:pos="0"/>
              </w:tabs>
              <w:rPr>
                <w:sz w:val="16"/>
                <w:szCs w:val="16"/>
              </w:rPr>
            </w:pPr>
          </w:p>
          <w:p w14:paraId="4DBD573E" w14:textId="77777777" w:rsidR="002353A1" w:rsidRPr="002F2E59" w:rsidRDefault="002353A1" w:rsidP="00A84130">
            <w:pPr>
              <w:tabs>
                <w:tab w:val="left" w:pos="0"/>
              </w:tabs>
              <w:rPr>
                <w:sz w:val="16"/>
                <w:szCs w:val="16"/>
              </w:rPr>
            </w:pPr>
          </w:p>
          <w:p w14:paraId="73C8C6A1" w14:textId="77777777" w:rsidR="002353A1" w:rsidRPr="002F2E59" w:rsidRDefault="002353A1" w:rsidP="00A84130">
            <w:pPr>
              <w:tabs>
                <w:tab w:val="left" w:pos="0"/>
              </w:tabs>
              <w:rPr>
                <w:sz w:val="16"/>
                <w:szCs w:val="16"/>
              </w:rPr>
            </w:pPr>
          </w:p>
          <w:p w14:paraId="7878F7E9" w14:textId="77777777" w:rsidR="002353A1" w:rsidRPr="002F2E59" w:rsidRDefault="002353A1" w:rsidP="00A84130">
            <w:pPr>
              <w:tabs>
                <w:tab w:val="left" w:pos="0"/>
              </w:tabs>
              <w:rPr>
                <w:sz w:val="16"/>
                <w:szCs w:val="16"/>
              </w:rPr>
            </w:pPr>
          </w:p>
          <w:p w14:paraId="53CB955D" w14:textId="77777777" w:rsidR="003474F4" w:rsidRPr="002F2E59" w:rsidRDefault="003474F4" w:rsidP="00A84130">
            <w:pPr>
              <w:tabs>
                <w:tab w:val="left" w:pos="0"/>
              </w:tabs>
              <w:rPr>
                <w:sz w:val="16"/>
                <w:szCs w:val="16"/>
              </w:rPr>
            </w:pPr>
          </w:p>
          <w:p w14:paraId="442DE408" w14:textId="77777777" w:rsidR="003474F4" w:rsidRPr="002F2E59" w:rsidRDefault="003474F4" w:rsidP="00A84130">
            <w:pPr>
              <w:tabs>
                <w:tab w:val="left" w:pos="0"/>
              </w:tabs>
              <w:rPr>
                <w:sz w:val="16"/>
                <w:szCs w:val="16"/>
              </w:rPr>
            </w:pPr>
          </w:p>
          <w:p w14:paraId="2F91D92E" w14:textId="77777777" w:rsidR="003474F4" w:rsidRPr="002F2E59" w:rsidRDefault="003474F4" w:rsidP="00A84130">
            <w:pPr>
              <w:tabs>
                <w:tab w:val="left" w:pos="0"/>
              </w:tabs>
              <w:rPr>
                <w:sz w:val="16"/>
                <w:szCs w:val="16"/>
              </w:rPr>
            </w:pPr>
          </w:p>
          <w:p w14:paraId="09457E20" w14:textId="77777777" w:rsidR="003474F4" w:rsidRPr="002F2E59" w:rsidRDefault="003474F4" w:rsidP="00A84130">
            <w:pPr>
              <w:tabs>
                <w:tab w:val="left" w:pos="0"/>
              </w:tabs>
              <w:rPr>
                <w:b/>
                <w:bCs/>
                <w:sz w:val="16"/>
                <w:szCs w:val="16"/>
              </w:rPr>
            </w:pPr>
            <w:r w:rsidRPr="002F2E59">
              <w:rPr>
                <w:b/>
                <w:bCs/>
                <w:sz w:val="16"/>
                <w:szCs w:val="16"/>
              </w:rPr>
              <w:t>Indicator 1.2 Mo Ibrahim Index of African Governance</w:t>
            </w:r>
          </w:p>
          <w:p w14:paraId="4A043EE2" w14:textId="7B27F07E" w:rsidR="003474F4" w:rsidRPr="002F2E59" w:rsidRDefault="00315B63" w:rsidP="00A84130">
            <w:pPr>
              <w:tabs>
                <w:tab w:val="left" w:pos="0"/>
              </w:tabs>
              <w:rPr>
                <w:iCs/>
                <w:sz w:val="16"/>
                <w:szCs w:val="16"/>
              </w:rPr>
            </w:pPr>
            <w:r w:rsidRPr="002F2E59">
              <w:rPr>
                <w:iCs/>
                <w:sz w:val="16"/>
                <w:szCs w:val="16"/>
              </w:rPr>
              <w:t>Baseline:</w:t>
            </w:r>
            <w:r w:rsidR="001E7228" w:rsidRPr="002F2E59">
              <w:rPr>
                <w:iCs/>
                <w:sz w:val="16"/>
                <w:szCs w:val="16"/>
              </w:rPr>
              <w:t xml:space="preserve"> </w:t>
            </w:r>
            <w:r w:rsidR="003474F4" w:rsidRPr="002F2E59">
              <w:rPr>
                <w:iCs/>
                <w:sz w:val="16"/>
                <w:szCs w:val="16"/>
              </w:rPr>
              <w:t>43.7%</w:t>
            </w:r>
          </w:p>
          <w:p w14:paraId="1FED32DA" w14:textId="74C641E9" w:rsidR="003474F4" w:rsidRPr="002F2E59" w:rsidRDefault="00315B63" w:rsidP="00A84130">
            <w:pPr>
              <w:tabs>
                <w:tab w:val="left" w:pos="0"/>
              </w:tabs>
              <w:rPr>
                <w:sz w:val="16"/>
                <w:szCs w:val="16"/>
              </w:rPr>
            </w:pPr>
            <w:r w:rsidRPr="002F2E59">
              <w:rPr>
                <w:iCs/>
                <w:sz w:val="16"/>
                <w:szCs w:val="16"/>
              </w:rPr>
              <w:t>Target:</w:t>
            </w:r>
            <w:r w:rsidR="001E7228" w:rsidRPr="002F2E59">
              <w:rPr>
                <w:iCs/>
                <w:sz w:val="16"/>
                <w:szCs w:val="16"/>
              </w:rPr>
              <w:t xml:space="preserve"> </w:t>
            </w:r>
            <w:r w:rsidR="003474F4" w:rsidRPr="002F2E59">
              <w:rPr>
                <w:iCs/>
                <w:sz w:val="16"/>
                <w:szCs w:val="16"/>
              </w:rPr>
              <w:t>50%</w:t>
            </w:r>
          </w:p>
          <w:p w14:paraId="69C4AB5C" w14:textId="77777777" w:rsidR="003474F4" w:rsidRPr="002F2E59" w:rsidRDefault="003474F4" w:rsidP="00A84130">
            <w:pPr>
              <w:tabs>
                <w:tab w:val="left" w:pos="0"/>
              </w:tabs>
              <w:rPr>
                <w:sz w:val="16"/>
                <w:szCs w:val="16"/>
              </w:rPr>
            </w:pPr>
          </w:p>
          <w:p w14:paraId="38EEE447" w14:textId="77777777" w:rsidR="003474F4" w:rsidRPr="002F2E59" w:rsidRDefault="003474F4" w:rsidP="00A84130">
            <w:pPr>
              <w:tabs>
                <w:tab w:val="left" w:pos="0"/>
              </w:tabs>
              <w:rPr>
                <w:sz w:val="16"/>
                <w:szCs w:val="16"/>
              </w:rPr>
            </w:pPr>
          </w:p>
          <w:p w14:paraId="3FB85B4C" w14:textId="77777777" w:rsidR="002353A1" w:rsidRPr="002F2E59" w:rsidRDefault="002353A1" w:rsidP="00A84130">
            <w:pPr>
              <w:tabs>
                <w:tab w:val="left" w:pos="0"/>
              </w:tabs>
              <w:rPr>
                <w:sz w:val="16"/>
                <w:szCs w:val="16"/>
              </w:rPr>
            </w:pPr>
          </w:p>
          <w:p w14:paraId="1E9354D8" w14:textId="77777777" w:rsidR="002353A1" w:rsidRPr="002F2E59" w:rsidRDefault="002353A1" w:rsidP="00A84130">
            <w:pPr>
              <w:tabs>
                <w:tab w:val="left" w:pos="0"/>
              </w:tabs>
              <w:rPr>
                <w:sz w:val="16"/>
                <w:szCs w:val="16"/>
              </w:rPr>
            </w:pPr>
          </w:p>
          <w:p w14:paraId="152A9AF8" w14:textId="77777777" w:rsidR="002353A1" w:rsidRPr="002F2E59" w:rsidRDefault="002353A1" w:rsidP="00A84130">
            <w:pPr>
              <w:tabs>
                <w:tab w:val="left" w:pos="0"/>
              </w:tabs>
              <w:rPr>
                <w:sz w:val="16"/>
                <w:szCs w:val="16"/>
              </w:rPr>
            </w:pPr>
          </w:p>
          <w:p w14:paraId="1E87CDEC" w14:textId="77777777" w:rsidR="003474F4" w:rsidRPr="002F2E59" w:rsidRDefault="003474F4" w:rsidP="00A84130">
            <w:pPr>
              <w:tabs>
                <w:tab w:val="left" w:pos="0"/>
              </w:tabs>
              <w:rPr>
                <w:b/>
                <w:bCs/>
                <w:sz w:val="16"/>
                <w:szCs w:val="16"/>
              </w:rPr>
            </w:pPr>
          </w:p>
          <w:p w14:paraId="5AF3A88E" w14:textId="77777777" w:rsidR="003474F4" w:rsidRPr="002F2E59" w:rsidRDefault="003474F4" w:rsidP="00A84130">
            <w:pPr>
              <w:tabs>
                <w:tab w:val="left" w:pos="0"/>
              </w:tabs>
              <w:rPr>
                <w:b/>
                <w:bCs/>
                <w:sz w:val="16"/>
                <w:szCs w:val="16"/>
              </w:rPr>
            </w:pPr>
          </w:p>
          <w:p w14:paraId="509636E9" w14:textId="77777777" w:rsidR="002353A1" w:rsidRPr="002F2E59" w:rsidRDefault="002353A1" w:rsidP="00A84130">
            <w:pPr>
              <w:tabs>
                <w:tab w:val="left" w:pos="0"/>
              </w:tabs>
              <w:rPr>
                <w:b/>
                <w:bCs/>
                <w:sz w:val="16"/>
                <w:szCs w:val="16"/>
              </w:rPr>
            </w:pPr>
          </w:p>
          <w:p w14:paraId="2DC574FE" w14:textId="77777777" w:rsidR="002353A1" w:rsidRPr="002F2E59" w:rsidRDefault="002353A1" w:rsidP="00A84130">
            <w:pPr>
              <w:tabs>
                <w:tab w:val="left" w:pos="0"/>
              </w:tabs>
              <w:rPr>
                <w:b/>
                <w:bCs/>
                <w:sz w:val="16"/>
                <w:szCs w:val="16"/>
              </w:rPr>
            </w:pPr>
          </w:p>
          <w:p w14:paraId="0B2600C7" w14:textId="77777777" w:rsidR="002353A1" w:rsidRPr="002F2E59" w:rsidRDefault="002353A1" w:rsidP="00A84130">
            <w:pPr>
              <w:tabs>
                <w:tab w:val="left" w:pos="0"/>
              </w:tabs>
              <w:rPr>
                <w:b/>
                <w:bCs/>
                <w:sz w:val="16"/>
                <w:szCs w:val="16"/>
              </w:rPr>
            </w:pPr>
          </w:p>
          <w:p w14:paraId="4BF8973A" w14:textId="77777777" w:rsidR="002353A1" w:rsidRPr="002F2E59" w:rsidRDefault="002353A1" w:rsidP="00A84130">
            <w:pPr>
              <w:tabs>
                <w:tab w:val="left" w:pos="0"/>
              </w:tabs>
              <w:rPr>
                <w:b/>
                <w:bCs/>
                <w:sz w:val="16"/>
                <w:szCs w:val="16"/>
              </w:rPr>
            </w:pPr>
          </w:p>
          <w:p w14:paraId="1ACE6A1C" w14:textId="77777777" w:rsidR="003474F4" w:rsidRPr="002F2E59" w:rsidRDefault="003474F4" w:rsidP="00A84130">
            <w:pPr>
              <w:tabs>
                <w:tab w:val="left" w:pos="0"/>
              </w:tabs>
              <w:rPr>
                <w:b/>
                <w:bCs/>
                <w:sz w:val="16"/>
                <w:szCs w:val="16"/>
              </w:rPr>
            </w:pPr>
            <w:r w:rsidRPr="002F2E59">
              <w:rPr>
                <w:b/>
                <w:bCs/>
                <w:sz w:val="16"/>
                <w:szCs w:val="16"/>
              </w:rPr>
              <w:t xml:space="preserve">Indicator 1.3 Percentage of women in national parliaments and local councils </w:t>
            </w:r>
          </w:p>
          <w:p w14:paraId="7BC96612" w14:textId="472D7C33" w:rsidR="003474F4" w:rsidRPr="002F2E59" w:rsidRDefault="003474F4" w:rsidP="00A84130">
            <w:pPr>
              <w:tabs>
                <w:tab w:val="left" w:pos="0"/>
              </w:tabs>
              <w:rPr>
                <w:iCs/>
                <w:sz w:val="16"/>
                <w:szCs w:val="16"/>
              </w:rPr>
            </w:pPr>
            <w:r w:rsidRPr="002F2E59">
              <w:rPr>
                <w:iCs/>
                <w:sz w:val="16"/>
                <w:szCs w:val="16"/>
              </w:rPr>
              <w:t>Baseline:</w:t>
            </w:r>
            <w:r w:rsidR="001E7228" w:rsidRPr="002F2E59">
              <w:rPr>
                <w:iCs/>
                <w:sz w:val="16"/>
                <w:szCs w:val="16"/>
              </w:rPr>
              <w:t xml:space="preserve"> </w:t>
            </w:r>
            <w:r w:rsidRPr="002F2E59">
              <w:rPr>
                <w:iCs/>
                <w:sz w:val="16"/>
                <w:szCs w:val="16"/>
              </w:rPr>
              <w:t>21.9%</w:t>
            </w:r>
          </w:p>
          <w:p w14:paraId="785DBFB0" w14:textId="3702807A" w:rsidR="003474F4" w:rsidRPr="002F2E59" w:rsidRDefault="003474F4" w:rsidP="00A84130">
            <w:pPr>
              <w:tabs>
                <w:tab w:val="left" w:pos="0"/>
              </w:tabs>
              <w:rPr>
                <w:iCs/>
                <w:sz w:val="16"/>
                <w:szCs w:val="16"/>
              </w:rPr>
            </w:pPr>
            <w:r w:rsidRPr="002F2E59">
              <w:rPr>
                <w:iCs/>
                <w:sz w:val="16"/>
                <w:szCs w:val="16"/>
              </w:rPr>
              <w:t>Target:</w:t>
            </w:r>
            <w:r w:rsidR="001E7228" w:rsidRPr="002F2E59">
              <w:rPr>
                <w:iCs/>
                <w:sz w:val="16"/>
                <w:szCs w:val="16"/>
              </w:rPr>
              <w:t xml:space="preserve"> </w:t>
            </w:r>
            <w:r w:rsidRPr="002F2E59">
              <w:rPr>
                <w:iCs/>
                <w:sz w:val="16"/>
                <w:szCs w:val="16"/>
              </w:rPr>
              <w:t>40%</w:t>
            </w:r>
          </w:p>
          <w:p w14:paraId="3F8FCC95" w14:textId="77777777" w:rsidR="003474F4" w:rsidRPr="002F2E59" w:rsidRDefault="003474F4" w:rsidP="00A84130">
            <w:pPr>
              <w:tabs>
                <w:tab w:val="left" w:pos="0"/>
              </w:tabs>
              <w:rPr>
                <w:b/>
                <w:bCs/>
                <w:sz w:val="16"/>
                <w:szCs w:val="16"/>
              </w:rPr>
            </w:pPr>
          </w:p>
          <w:p w14:paraId="0AA83D89" w14:textId="77777777" w:rsidR="003474F4" w:rsidRPr="002F2E59" w:rsidRDefault="003474F4" w:rsidP="00A84130">
            <w:pPr>
              <w:tabs>
                <w:tab w:val="left" w:pos="0"/>
              </w:tabs>
              <w:rPr>
                <w:b/>
                <w:bCs/>
                <w:sz w:val="16"/>
                <w:szCs w:val="16"/>
              </w:rPr>
            </w:pPr>
          </w:p>
          <w:p w14:paraId="734D563B" w14:textId="77777777" w:rsidR="003474F4" w:rsidRPr="002F2E59" w:rsidRDefault="003474F4" w:rsidP="00A84130">
            <w:pPr>
              <w:tabs>
                <w:tab w:val="left" w:pos="0"/>
              </w:tabs>
              <w:rPr>
                <w:b/>
                <w:bCs/>
                <w:sz w:val="16"/>
                <w:szCs w:val="16"/>
              </w:rPr>
            </w:pPr>
          </w:p>
          <w:p w14:paraId="78F20EBD" w14:textId="77777777" w:rsidR="002353A1" w:rsidRPr="002F2E59" w:rsidRDefault="002353A1" w:rsidP="00A84130">
            <w:pPr>
              <w:tabs>
                <w:tab w:val="left" w:pos="0"/>
              </w:tabs>
              <w:rPr>
                <w:b/>
                <w:bCs/>
                <w:sz w:val="16"/>
                <w:szCs w:val="16"/>
              </w:rPr>
            </w:pPr>
          </w:p>
          <w:p w14:paraId="792C6BDB" w14:textId="77777777" w:rsidR="002353A1" w:rsidRPr="002F2E59" w:rsidRDefault="002353A1" w:rsidP="00A84130">
            <w:pPr>
              <w:tabs>
                <w:tab w:val="left" w:pos="0"/>
              </w:tabs>
              <w:rPr>
                <w:b/>
                <w:bCs/>
                <w:sz w:val="16"/>
                <w:szCs w:val="16"/>
              </w:rPr>
            </w:pPr>
          </w:p>
          <w:p w14:paraId="3832B2DC" w14:textId="77777777" w:rsidR="003474F4" w:rsidRPr="002F2E59" w:rsidRDefault="003474F4" w:rsidP="00A84130">
            <w:pPr>
              <w:tabs>
                <w:tab w:val="left" w:pos="0"/>
              </w:tabs>
              <w:rPr>
                <w:sz w:val="16"/>
                <w:szCs w:val="16"/>
              </w:rPr>
            </w:pPr>
            <w:r w:rsidRPr="002F2E59">
              <w:rPr>
                <w:b/>
                <w:bCs/>
                <w:sz w:val="16"/>
                <w:szCs w:val="16"/>
              </w:rPr>
              <w:t xml:space="preserve">Indicator </w:t>
            </w:r>
            <w:r w:rsidRPr="002F2E59">
              <w:rPr>
                <w:b/>
                <w:sz w:val="16"/>
                <w:szCs w:val="16"/>
              </w:rPr>
              <w:t>1.4 Number of national elections organized in a calm, transparent and credible manner.</w:t>
            </w:r>
          </w:p>
          <w:p w14:paraId="0C0476F8" w14:textId="76079AE3" w:rsidR="003474F4" w:rsidRPr="002F2E59" w:rsidRDefault="00456911" w:rsidP="00A84130">
            <w:pPr>
              <w:tabs>
                <w:tab w:val="left" w:pos="0"/>
              </w:tabs>
              <w:rPr>
                <w:sz w:val="16"/>
                <w:szCs w:val="16"/>
              </w:rPr>
            </w:pPr>
            <w:r w:rsidRPr="002F2E59">
              <w:rPr>
                <w:sz w:val="16"/>
                <w:szCs w:val="16"/>
              </w:rPr>
              <w:t>Baseline:</w:t>
            </w:r>
            <w:r w:rsidR="001E7228" w:rsidRPr="002F2E59">
              <w:rPr>
                <w:sz w:val="16"/>
                <w:szCs w:val="16"/>
              </w:rPr>
              <w:t xml:space="preserve"> </w:t>
            </w:r>
            <w:r w:rsidR="003474F4" w:rsidRPr="002F2E59">
              <w:rPr>
                <w:sz w:val="16"/>
                <w:szCs w:val="16"/>
              </w:rPr>
              <w:t>2</w:t>
            </w:r>
          </w:p>
          <w:p w14:paraId="2254C1CA" w14:textId="1CCDFD1D" w:rsidR="003474F4" w:rsidRPr="002F2E59" w:rsidRDefault="003474F4" w:rsidP="00A84130">
            <w:pPr>
              <w:tabs>
                <w:tab w:val="left" w:pos="0"/>
              </w:tabs>
              <w:rPr>
                <w:sz w:val="16"/>
                <w:szCs w:val="16"/>
              </w:rPr>
            </w:pPr>
            <w:r w:rsidRPr="002F2E59">
              <w:rPr>
                <w:iCs/>
                <w:sz w:val="16"/>
                <w:szCs w:val="16"/>
              </w:rPr>
              <w:t>Target:</w:t>
            </w:r>
            <w:r w:rsidR="001E7228" w:rsidRPr="002F2E59">
              <w:rPr>
                <w:iCs/>
                <w:sz w:val="16"/>
                <w:szCs w:val="16"/>
              </w:rPr>
              <w:t xml:space="preserve"> </w:t>
            </w:r>
            <w:r w:rsidRPr="002F2E59">
              <w:rPr>
                <w:iCs/>
                <w:sz w:val="16"/>
                <w:szCs w:val="16"/>
              </w:rPr>
              <w:t>4</w:t>
            </w:r>
          </w:p>
          <w:p w14:paraId="289B36FB" w14:textId="77777777" w:rsidR="003474F4" w:rsidRPr="002F2E59" w:rsidRDefault="003474F4" w:rsidP="00A84130">
            <w:pPr>
              <w:tabs>
                <w:tab w:val="left" w:pos="0"/>
              </w:tabs>
              <w:ind w:left="360"/>
              <w:rPr>
                <w:iCs/>
                <w:sz w:val="16"/>
                <w:szCs w:val="16"/>
              </w:rPr>
            </w:pPr>
          </w:p>
        </w:tc>
        <w:tc>
          <w:tcPr>
            <w:tcW w:w="2323" w:type="dxa"/>
          </w:tcPr>
          <w:p w14:paraId="6598F16E" w14:textId="77777777" w:rsidR="003474F4" w:rsidRPr="002F2E59" w:rsidRDefault="003474F4" w:rsidP="00A84130">
            <w:pPr>
              <w:tabs>
                <w:tab w:val="left" w:pos="0"/>
              </w:tabs>
              <w:rPr>
                <w:b/>
                <w:bCs/>
                <w:sz w:val="14"/>
                <w:szCs w:val="14"/>
              </w:rPr>
            </w:pPr>
            <w:r w:rsidRPr="002F2E59">
              <w:rPr>
                <w:iCs/>
                <w:sz w:val="14"/>
                <w:szCs w:val="14"/>
              </w:rPr>
              <w:lastRenderedPageBreak/>
              <w:t xml:space="preserve">Data sources: </w:t>
            </w:r>
            <w:r w:rsidRPr="002F2E59">
              <w:rPr>
                <w:sz w:val="14"/>
                <w:szCs w:val="14"/>
              </w:rPr>
              <w:t>General Secretariat of the Government, Ministry of Planning</w:t>
            </w:r>
            <w:r w:rsidRPr="002F2E59">
              <w:rPr>
                <w:iCs/>
                <w:sz w:val="14"/>
                <w:szCs w:val="14"/>
              </w:rPr>
              <w:t xml:space="preserve"> Ministry of Territorial Administration and Decentralization (MATD)/ CENI/ Parliament/Ministry of the Environment; Transport and Fishing</w:t>
            </w:r>
          </w:p>
        </w:tc>
        <w:tc>
          <w:tcPr>
            <w:tcW w:w="4336" w:type="dxa"/>
            <w:tcMar>
              <w:top w:w="72" w:type="dxa"/>
              <w:left w:w="144" w:type="dxa"/>
              <w:bottom w:w="72" w:type="dxa"/>
              <w:right w:w="144" w:type="dxa"/>
            </w:tcMar>
          </w:tcPr>
          <w:p w14:paraId="3772F648" w14:textId="4B0BC055" w:rsidR="003474F4" w:rsidRPr="002F2E59" w:rsidRDefault="007E79F6" w:rsidP="00A84130">
            <w:pPr>
              <w:tabs>
                <w:tab w:val="left" w:pos="0"/>
              </w:tabs>
              <w:rPr>
                <w:b/>
                <w:iCs/>
                <w:sz w:val="14"/>
                <w:szCs w:val="14"/>
              </w:rPr>
            </w:pPr>
            <w:r w:rsidRPr="002F2E59">
              <w:rPr>
                <w:b/>
                <w:sz w:val="14"/>
                <w:szCs w:val="14"/>
              </w:rPr>
              <w:t>Output</w:t>
            </w:r>
            <w:r w:rsidR="001E7228" w:rsidRPr="002F2E59">
              <w:rPr>
                <w:b/>
                <w:sz w:val="14"/>
                <w:szCs w:val="14"/>
              </w:rPr>
              <w:t xml:space="preserve"> </w:t>
            </w:r>
            <w:r w:rsidR="003474F4" w:rsidRPr="002F2E59">
              <w:rPr>
                <w:b/>
                <w:sz w:val="14"/>
                <w:szCs w:val="14"/>
              </w:rPr>
              <w:t>1.1</w:t>
            </w:r>
            <w:r w:rsidR="003474F4" w:rsidRPr="002F2E59">
              <w:rPr>
                <w:sz w:val="14"/>
                <w:szCs w:val="14"/>
              </w:rPr>
              <w:t xml:space="preserve">: </w:t>
            </w:r>
            <w:r w:rsidR="003474F4" w:rsidRPr="002F2E59">
              <w:rPr>
                <w:b/>
                <w:iCs/>
                <w:sz w:val="14"/>
                <w:szCs w:val="14"/>
              </w:rPr>
              <w:t>Legal</w:t>
            </w:r>
            <w:r w:rsidR="005034B9" w:rsidRPr="002F2E59">
              <w:rPr>
                <w:b/>
                <w:iCs/>
                <w:sz w:val="14"/>
                <w:szCs w:val="14"/>
              </w:rPr>
              <w:t>/</w:t>
            </w:r>
            <w:r w:rsidR="003474F4" w:rsidRPr="002F2E59">
              <w:rPr>
                <w:b/>
                <w:iCs/>
                <w:sz w:val="14"/>
                <w:szCs w:val="14"/>
              </w:rPr>
              <w:t xml:space="preserve">regulatory framework, policies and strategies on rule of law, inclusive growth and environment are updated and harmonized </w:t>
            </w:r>
          </w:p>
          <w:p w14:paraId="505F0285" w14:textId="77777777" w:rsidR="003474F4" w:rsidRPr="002F2E59" w:rsidRDefault="003474F4" w:rsidP="00A84130">
            <w:pPr>
              <w:tabs>
                <w:tab w:val="left" w:pos="0"/>
              </w:tabs>
              <w:ind w:left="360"/>
              <w:rPr>
                <w:b/>
                <w:bCs/>
                <w:sz w:val="14"/>
                <w:szCs w:val="14"/>
              </w:rPr>
            </w:pPr>
          </w:p>
          <w:p w14:paraId="67F08467" w14:textId="49BFCC4F" w:rsidR="003474F4" w:rsidRPr="002F2E59" w:rsidRDefault="007E79F6" w:rsidP="00A84130">
            <w:pPr>
              <w:tabs>
                <w:tab w:val="left" w:pos="0"/>
              </w:tabs>
              <w:rPr>
                <w:iCs/>
                <w:sz w:val="14"/>
                <w:szCs w:val="14"/>
              </w:rPr>
            </w:pPr>
            <w:r w:rsidRPr="002F2E59">
              <w:rPr>
                <w:b/>
                <w:iCs/>
                <w:sz w:val="14"/>
                <w:szCs w:val="14"/>
              </w:rPr>
              <w:t>Indicator</w:t>
            </w:r>
            <w:r w:rsidR="001E7228" w:rsidRPr="002F2E59">
              <w:rPr>
                <w:b/>
                <w:iCs/>
                <w:sz w:val="14"/>
                <w:szCs w:val="14"/>
              </w:rPr>
              <w:t xml:space="preserve"> </w:t>
            </w:r>
            <w:r w:rsidR="003474F4" w:rsidRPr="002F2E59">
              <w:rPr>
                <w:b/>
                <w:iCs/>
                <w:sz w:val="14"/>
                <w:szCs w:val="14"/>
              </w:rPr>
              <w:t>1.1.1:</w:t>
            </w:r>
            <w:r w:rsidR="003474F4" w:rsidRPr="002F2E59">
              <w:rPr>
                <w:iCs/>
                <w:sz w:val="14"/>
                <w:szCs w:val="14"/>
              </w:rPr>
              <w:t xml:space="preserve"> Number of policies and strategies developed/revised in the areas of the rule of law, inclusive growth integrating human rights and gender</w:t>
            </w:r>
          </w:p>
          <w:p w14:paraId="11144654" w14:textId="0BC6F1A0" w:rsidR="003474F4" w:rsidRPr="002F2E59" w:rsidRDefault="003474F4" w:rsidP="00A84130">
            <w:pPr>
              <w:tabs>
                <w:tab w:val="left" w:pos="0"/>
              </w:tabs>
              <w:rPr>
                <w:iCs/>
                <w:sz w:val="14"/>
                <w:szCs w:val="14"/>
              </w:rPr>
            </w:pPr>
            <w:r w:rsidRPr="002F2E59">
              <w:rPr>
                <w:iCs/>
                <w:sz w:val="14"/>
                <w:szCs w:val="14"/>
              </w:rPr>
              <w:t>Baseline:</w:t>
            </w:r>
            <w:r w:rsidR="001E7228" w:rsidRPr="002F2E59">
              <w:rPr>
                <w:iCs/>
                <w:sz w:val="14"/>
                <w:szCs w:val="14"/>
              </w:rPr>
              <w:t xml:space="preserve"> </w:t>
            </w:r>
            <w:r w:rsidR="00315B63" w:rsidRPr="002F2E59">
              <w:rPr>
                <w:iCs/>
                <w:sz w:val="14"/>
                <w:szCs w:val="14"/>
              </w:rPr>
              <w:t>17 Target:</w:t>
            </w:r>
            <w:r w:rsidR="00D91A6C" w:rsidRPr="002F2E59">
              <w:rPr>
                <w:iCs/>
                <w:sz w:val="14"/>
                <w:szCs w:val="14"/>
              </w:rPr>
              <w:t xml:space="preserve"> </w:t>
            </w:r>
            <w:r w:rsidR="00315B63" w:rsidRPr="002F2E59">
              <w:rPr>
                <w:iCs/>
                <w:sz w:val="14"/>
                <w:szCs w:val="14"/>
              </w:rPr>
              <w:t>27 Data sources:</w:t>
            </w:r>
            <w:r w:rsidR="00D91A6C" w:rsidRPr="002F2E59">
              <w:rPr>
                <w:iCs/>
                <w:sz w:val="14"/>
                <w:szCs w:val="14"/>
              </w:rPr>
              <w:t xml:space="preserve"> </w:t>
            </w:r>
            <w:r w:rsidRPr="002F2E59">
              <w:rPr>
                <w:iCs/>
                <w:sz w:val="14"/>
                <w:szCs w:val="14"/>
              </w:rPr>
              <w:t xml:space="preserve">MATD/ CENI/ Parliament/ Ministry of the Environment (MEEF); Transport and Fishing; </w:t>
            </w:r>
          </w:p>
          <w:p w14:paraId="4D786C77" w14:textId="77777777" w:rsidR="003474F4" w:rsidRPr="002F2E59" w:rsidRDefault="003474F4" w:rsidP="00A84130">
            <w:pPr>
              <w:tabs>
                <w:tab w:val="left" w:pos="0"/>
              </w:tabs>
              <w:rPr>
                <w:iCs/>
                <w:sz w:val="14"/>
                <w:szCs w:val="14"/>
              </w:rPr>
            </w:pPr>
          </w:p>
          <w:p w14:paraId="1FE5E66D" w14:textId="50946753" w:rsidR="003474F4" w:rsidRPr="002F2E59" w:rsidRDefault="007E79F6" w:rsidP="00A84130">
            <w:pPr>
              <w:tabs>
                <w:tab w:val="left" w:pos="0"/>
              </w:tabs>
              <w:rPr>
                <w:iCs/>
                <w:sz w:val="14"/>
                <w:szCs w:val="14"/>
              </w:rPr>
            </w:pPr>
            <w:r w:rsidRPr="002F2E59">
              <w:rPr>
                <w:b/>
                <w:iCs/>
                <w:sz w:val="14"/>
                <w:szCs w:val="14"/>
              </w:rPr>
              <w:t>Indicator</w:t>
            </w:r>
            <w:r w:rsidR="001E7228" w:rsidRPr="002F2E59">
              <w:rPr>
                <w:b/>
                <w:iCs/>
                <w:sz w:val="14"/>
                <w:szCs w:val="14"/>
              </w:rPr>
              <w:t xml:space="preserve"> </w:t>
            </w:r>
            <w:r w:rsidR="003474F4" w:rsidRPr="002F2E59">
              <w:rPr>
                <w:b/>
                <w:iCs/>
                <w:sz w:val="14"/>
                <w:szCs w:val="14"/>
              </w:rPr>
              <w:t>1.1.2:</w:t>
            </w:r>
            <w:r w:rsidR="003474F4" w:rsidRPr="002F2E59">
              <w:rPr>
                <w:iCs/>
                <w:sz w:val="14"/>
                <w:szCs w:val="14"/>
              </w:rPr>
              <w:t xml:space="preserve"> Number of legislative and regulatory texts available on the rule of law, inclusive growth, integrating human rights and gender equality</w:t>
            </w:r>
          </w:p>
          <w:p w14:paraId="51C5AB3A" w14:textId="37ADFCA4" w:rsidR="003474F4" w:rsidRPr="002F2E59" w:rsidRDefault="003474F4" w:rsidP="00A84130">
            <w:pPr>
              <w:tabs>
                <w:tab w:val="left" w:pos="0"/>
              </w:tabs>
              <w:rPr>
                <w:iCs/>
                <w:sz w:val="14"/>
                <w:szCs w:val="14"/>
              </w:rPr>
            </w:pPr>
            <w:r w:rsidRPr="002F2E59">
              <w:rPr>
                <w:iCs/>
                <w:sz w:val="14"/>
                <w:szCs w:val="14"/>
              </w:rPr>
              <w:t>Baseline:</w:t>
            </w:r>
            <w:r w:rsidR="001E7228" w:rsidRPr="002F2E59">
              <w:rPr>
                <w:iCs/>
                <w:sz w:val="14"/>
                <w:szCs w:val="14"/>
              </w:rPr>
              <w:t xml:space="preserve"> </w:t>
            </w:r>
            <w:r w:rsidRPr="002F2E59">
              <w:rPr>
                <w:iCs/>
                <w:sz w:val="14"/>
                <w:szCs w:val="14"/>
              </w:rPr>
              <w:t>11 Target:</w:t>
            </w:r>
            <w:r w:rsidR="00D91A6C" w:rsidRPr="002F2E59">
              <w:rPr>
                <w:iCs/>
                <w:sz w:val="14"/>
                <w:szCs w:val="14"/>
              </w:rPr>
              <w:t xml:space="preserve"> </w:t>
            </w:r>
            <w:r w:rsidRPr="002F2E59">
              <w:rPr>
                <w:iCs/>
                <w:sz w:val="14"/>
                <w:szCs w:val="14"/>
              </w:rPr>
              <w:t>20 Data source</w:t>
            </w:r>
            <w:r w:rsidR="00315B63" w:rsidRPr="002F2E59">
              <w:rPr>
                <w:iCs/>
                <w:sz w:val="14"/>
                <w:szCs w:val="14"/>
              </w:rPr>
              <w:t>s:</w:t>
            </w:r>
            <w:r w:rsidR="00D91A6C" w:rsidRPr="002F2E59">
              <w:rPr>
                <w:iCs/>
                <w:sz w:val="14"/>
                <w:szCs w:val="14"/>
              </w:rPr>
              <w:t xml:space="preserve"> </w:t>
            </w:r>
            <w:r w:rsidRPr="002F2E59">
              <w:rPr>
                <w:iCs/>
                <w:sz w:val="14"/>
                <w:szCs w:val="14"/>
              </w:rPr>
              <w:t>MATD/ CENI/ Parliament/ MEEF; Tr</w:t>
            </w:r>
            <w:r w:rsidR="00315B63" w:rsidRPr="002F2E59">
              <w:rPr>
                <w:iCs/>
                <w:sz w:val="14"/>
                <w:szCs w:val="14"/>
              </w:rPr>
              <w:t xml:space="preserve">ansport and Fishing; </w:t>
            </w:r>
          </w:p>
          <w:p w14:paraId="2746C2CA" w14:textId="77777777" w:rsidR="003474F4" w:rsidRPr="002F2E59" w:rsidRDefault="003474F4" w:rsidP="00A84130">
            <w:pPr>
              <w:tabs>
                <w:tab w:val="left" w:pos="0"/>
              </w:tabs>
              <w:rPr>
                <w:iCs/>
                <w:sz w:val="14"/>
                <w:szCs w:val="14"/>
              </w:rPr>
            </w:pPr>
          </w:p>
          <w:p w14:paraId="60AB7661" w14:textId="1A873555" w:rsidR="003474F4" w:rsidRPr="002F2E59" w:rsidRDefault="007E79F6" w:rsidP="00A84130">
            <w:pPr>
              <w:tabs>
                <w:tab w:val="left" w:pos="0"/>
              </w:tabs>
              <w:rPr>
                <w:iCs/>
                <w:sz w:val="14"/>
                <w:szCs w:val="14"/>
              </w:rPr>
            </w:pPr>
            <w:r w:rsidRPr="002F2E59">
              <w:rPr>
                <w:b/>
                <w:iCs/>
                <w:sz w:val="14"/>
                <w:szCs w:val="14"/>
              </w:rPr>
              <w:t>Indicator</w:t>
            </w:r>
            <w:r w:rsidR="001E7228" w:rsidRPr="002F2E59">
              <w:rPr>
                <w:b/>
                <w:iCs/>
                <w:sz w:val="14"/>
                <w:szCs w:val="14"/>
              </w:rPr>
              <w:t xml:space="preserve"> </w:t>
            </w:r>
            <w:r w:rsidR="003474F4" w:rsidRPr="002F2E59">
              <w:rPr>
                <w:b/>
                <w:iCs/>
                <w:sz w:val="14"/>
                <w:szCs w:val="14"/>
              </w:rPr>
              <w:t>1.1.3</w:t>
            </w:r>
            <w:r w:rsidR="003474F4" w:rsidRPr="002F2E59">
              <w:rPr>
                <w:b/>
                <w:iCs/>
                <w:sz w:val="12"/>
                <w:szCs w:val="14"/>
              </w:rPr>
              <w:t>:</w:t>
            </w:r>
            <w:r w:rsidR="003474F4" w:rsidRPr="002F2E59">
              <w:rPr>
                <w:iCs/>
                <w:sz w:val="12"/>
                <w:szCs w:val="14"/>
              </w:rPr>
              <w:t xml:space="preserve"> </w:t>
            </w:r>
            <w:r w:rsidR="003474F4" w:rsidRPr="002F2E59">
              <w:rPr>
                <w:color w:val="000000"/>
                <w:sz w:val="14"/>
                <w:szCs w:val="14"/>
              </w:rPr>
              <w:t xml:space="preserve">Number of public institutions with legal, policy and institutional </w:t>
            </w:r>
            <w:r w:rsidR="003474F4" w:rsidRPr="002F2E59">
              <w:rPr>
                <w:iCs/>
                <w:sz w:val="14"/>
                <w:szCs w:val="14"/>
              </w:rPr>
              <w:t>frameworks</w:t>
            </w:r>
            <w:r w:rsidR="003474F4" w:rsidRPr="002F2E59">
              <w:rPr>
                <w:color w:val="000000"/>
                <w:sz w:val="14"/>
                <w:szCs w:val="14"/>
              </w:rPr>
              <w:t xml:space="preserve"> in place for conservation, sustainable use, access and benefit sharing</w:t>
            </w:r>
            <w:r w:rsidR="003474F4" w:rsidRPr="002F2E59">
              <w:rPr>
                <w:sz w:val="14"/>
                <w:szCs w:val="14"/>
              </w:rPr>
              <w:t xml:space="preserve"> of natural resources, biodiversity and ecosystems</w:t>
            </w:r>
          </w:p>
          <w:p w14:paraId="2CE94D84" w14:textId="356A8575" w:rsidR="003474F4" w:rsidRPr="002F2E59" w:rsidRDefault="003474F4" w:rsidP="00A84130">
            <w:pPr>
              <w:tabs>
                <w:tab w:val="left" w:pos="0"/>
              </w:tabs>
              <w:rPr>
                <w:iCs/>
                <w:sz w:val="14"/>
                <w:szCs w:val="14"/>
              </w:rPr>
            </w:pPr>
            <w:r w:rsidRPr="002F2E59">
              <w:rPr>
                <w:iCs/>
                <w:sz w:val="14"/>
                <w:szCs w:val="14"/>
              </w:rPr>
              <w:t>Bas</w:t>
            </w:r>
            <w:r w:rsidR="00315B63" w:rsidRPr="002F2E59">
              <w:rPr>
                <w:iCs/>
                <w:sz w:val="14"/>
                <w:szCs w:val="14"/>
              </w:rPr>
              <w:t>eline:</w:t>
            </w:r>
            <w:r w:rsidR="001E7228" w:rsidRPr="002F2E59">
              <w:rPr>
                <w:iCs/>
                <w:sz w:val="14"/>
                <w:szCs w:val="14"/>
              </w:rPr>
              <w:t xml:space="preserve"> </w:t>
            </w:r>
            <w:r w:rsidR="00315B63" w:rsidRPr="002F2E59">
              <w:rPr>
                <w:iCs/>
                <w:sz w:val="14"/>
                <w:szCs w:val="14"/>
              </w:rPr>
              <w:t>8 Target:</w:t>
            </w:r>
            <w:r w:rsidR="001E7228" w:rsidRPr="002F2E59">
              <w:rPr>
                <w:iCs/>
                <w:sz w:val="14"/>
                <w:szCs w:val="14"/>
              </w:rPr>
              <w:t xml:space="preserve"> </w:t>
            </w:r>
            <w:r w:rsidR="00315B63" w:rsidRPr="002F2E59">
              <w:rPr>
                <w:iCs/>
                <w:sz w:val="14"/>
                <w:szCs w:val="14"/>
              </w:rPr>
              <w:t>24 Data sources:</w:t>
            </w:r>
            <w:r w:rsidR="001E7228" w:rsidRPr="002F2E59">
              <w:rPr>
                <w:iCs/>
                <w:sz w:val="14"/>
                <w:szCs w:val="14"/>
              </w:rPr>
              <w:t xml:space="preserve"> </w:t>
            </w:r>
            <w:r w:rsidRPr="002F2E59">
              <w:rPr>
                <w:iCs/>
                <w:sz w:val="14"/>
                <w:szCs w:val="14"/>
              </w:rPr>
              <w:t>MATD/ CENI/ Parliament/ MEEF; Tr</w:t>
            </w:r>
            <w:r w:rsidR="00315B63" w:rsidRPr="002F2E59">
              <w:rPr>
                <w:iCs/>
                <w:sz w:val="14"/>
                <w:szCs w:val="14"/>
              </w:rPr>
              <w:t xml:space="preserve">ansport and Fishing; </w:t>
            </w:r>
          </w:p>
        </w:tc>
        <w:tc>
          <w:tcPr>
            <w:tcW w:w="2774" w:type="dxa"/>
            <w:vMerge w:val="restart"/>
          </w:tcPr>
          <w:p w14:paraId="0D4F9879" w14:textId="77777777" w:rsidR="003474F4" w:rsidRPr="002F2E59" w:rsidRDefault="003474F4" w:rsidP="00A84130">
            <w:pPr>
              <w:tabs>
                <w:tab w:val="left" w:pos="0"/>
              </w:tabs>
              <w:jc w:val="both"/>
              <w:rPr>
                <w:sz w:val="14"/>
                <w:szCs w:val="14"/>
              </w:rPr>
            </w:pPr>
          </w:p>
          <w:p w14:paraId="4199136D" w14:textId="77777777" w:rsidR="003474F4" w:rsidRPr="002F2E59" w:rsidRDefault="003474F4" w:rsidP="00A84130">
            <w:pPr>
              <w:tabs>
                <w:tab w:val="left" w:pos="0"/>
              </w:tabs>
              <w:jc w:val="both"/>
              <w:rPr>
                <w:sz w:val="14"/>
                <w:szCs w:val="14"/>
              </w:rPr>
            </w:pPr>
          </w:p>
          <w:p w14:paraId="288B22A7" w14:textId="77777777" w:rsidR="003474F4" w:rsidRPr="002F2E59" w:rsidRDefault="003474F4" w:rsidP="00A84130">
            <w:pPr>
              <w:tabs>
                <w:tab w:val="left" w:pos="0"/>
              </w:tabs>
              <w:jc w:val="both"/>
              <w:rPr>
                <w:sz w:val="14"/>
                <w:szCs w:val="14"/>
              </w:rPr>
            </w:pPr>
          </w:p>
          <w:p w14:paraId="7CBD2347" w14:textId="77777777" w:rsidR="003474F4" w:rsidRPr="002F2E59" w:rsidRDefault="003474F4" w:rsidP="00A84130">
            <w:pPr>
              <w:tabs>
                <w:tab w:val="left" w:pos="0"/>
              </w:tabs>
              <w:jc w:val="both"/>
              <w:rPr>
                <w:sz w:val="14"/>
                <w:szCs w:val="14"/>
              </w:rPr>
            </w:pPr>
          </w:p>
          <w:p w14:paraId="7EFF46FC" w14:textId="77777777" w:rsidR="003474F4" w:rsidRPr="002F2E59" w:rsidRDefault="003474F4" w:rsidP="00A84130">
            <w:pPr>
              <w:tabs>
                <w:tab w:val="left" w:pos="0"/>
              </w:tabs>
              <w:jc w:val="both"/>
              <w:rPr>
                <w:sz w:val="14"/>
                <w:szCs w:val="14"/>
              </w:rPr>
            </w:pPr>
          </w:p>
          <w:p w14:paraId="22533CD7" w14:textId="77777777" w:rsidR="003474F4" w:rsidRPr="002F2E59" w:rsidRDefault="003474F4" w:rsidP="00A84130">
            <w:pPr>
              <w:tabs>
                <w:tab w:val="left" w:pos="0"/>
              </w:tabs>
              <w:jc w:val="both"/>
              <w:rPr>
                <w:sz w:val="14"/>
                <w:szCs w:val="14"/>
              </w:rPr>
            </w:pPr>
          </w:p>
          <w:p w14:paraId="6E51D15B" w14:textId="77777777" w:rsidR="003474F4" w:rsidRPr="002F2E59" w:rsidRDefault="003474F4" w:rsidP="00A84130">
            <w:pPr>
              <w:tabs>
                <w:tab w:val="left" w:pos="0"/>
              </w:tabs>
              <w:jc w:val="both"/>
              <w:rPr>
                <w:sz w:val="14"/>
                <w:szCs w:val="14"/>
              </w:rPr>
            </w:pPr>
          </w:p>
          <w:p w14:paraId="53D97450" w14:textId="77777777" w:rsidR="003474F4" w:rsidRPr="002F2E59" w:rsidRDefault="003474F4" w:rsidP="00A84130">
            <w:pPr>
              <w:tabs>
                <w:tab w:val="left" w:pos="0"/>
              </w:tabs>
              <w:jc w:val="both"/>
              <w:rPr>
                <w:sz w:val="14"/>
                <w:szCs w:val="14"/>
              </w:rPr>
            </w:pPr>
          </w:p>
          <w:p w14:paraId="584FFC66" w14:textId="77777777" w:rsidR="003474F4" w:rsidRPr="002F2E59" w:rsidRDefault="003474F4" w:rsidP="00A84130">
            <w:pPr>
              <w:tabs>
                <w:tab w:val="left" w:pos="0"/>
              </w:tabs>
              <w:jc w:val="both"/>
              <w:rPr>
                <w:sz w:val="14"/>
                <w:szCs w:val="14"/>
              </w:rPr>
            </w:pPr>
          </w:p>
          <w:p w14:paraId="0F92BF02" w14:textId="77777777" w:rsidR="003474F4" w:rsidRPr="002F2E59" w:rsidRDefault="003474F4" w:rsidP="00A84130">
            <w:pPr>
              <w:tabs>
                <w:tab w:val="left" w:pos="0"/>
              </w:tabs>
              <w:rPr>
                <w:sz w:val="14"/>
                <w:szCs w:val="14"/>
              </w:rPr>
            </w:pPr>
          </w:p>
          <w:p w14:paraId="0BB65D10" w14:textId="77777777" w:rsidR="003474F4" w:rsidRPr="002F2E59" w:rsidRDefault="003474F4" w:rsidP="00A84130">
            <w:pPr>
              <w:tabs>
                <w:tab w:val="left" w:pos="0"/>
              </w:tabs>
              <w:rPr>
                <w:sz w:val="14"/>
                <w:szCs w:val="14"/>
              </w:rPr>
            </w:pPr>
            <w:r w:rsidRPr="002F2E59">
              <w:rPr>
                <w:iCs/>
                <w:sz w:val="14"/>
                <w:szCs w:val="14"/>
              </w:rPr>
              <w:t>Parliament</w:t>
            </w:r>
            <w:r w:rsidR="007E79F6" w:rsidRPr="002F2E59">
              <w:rPr>
                <w:sz w:val="14"/>
                <w:szCs w:val="14"/>
              </w:rPr>
              <w:t xml:space="preserve">, Constitutional Court, </w:t>
            </w:r>
            <w:r w:rsidRPr="002F2E59">
              <w:rPr>
                <w:sz w:val="14"/>
                <w:szCs w:val="14"/>
              </w:rPr>
              <w:t>Supreme Court.</w:t>
            </w:r>
          </w:p>
          <w:p w14:paraId="6E1CDE2A" w14:textId="6C6D6122" w:rsidR="003474F4" w:rsidRPr="002F2E59" w:rsidRDefault="003474F4" w:rsidP="00A84130">
            <w:pPr>
              <w:tabs>
                <w:tab w:val="left" w:pos="0"/>
              </w:tabs>
              <w:rPr>
                <w:sz w:val="14"/>
                <w:szCs w:val="14"/>
              </w:rPr>
            </w:pPr>
            <w:r w:rsidRPr="002F2E59">
              <w:rPr>
                <w:sz w:val="14"/>
                <w:szCs w:val="14"/>
              </w:rPr>
              <w:t>Ministries: Justi</w:t>
            </w:r>
            <w:r w:rsidR="007E79F6" w:rsidRPr="002F2E59">
              <w:rPr>
                <w:sz w:val="14"/>
                <w:szCs w:val="14"/>
              </w:rPr>
              <w:t xml:space="preserve">ce, Social Action, Citizenship, </w:t>
            </w:r>
            <w:r w:rsidRPr="002F2E59">
              <w:rPr>
                <w:sz w:val="14"/>
                <w:szCs w:val="14"/>
              </w:rPr>
              <w:t>MATD, Planning and International Cooperation (MPCI), Mines and Geology, Finance and Economy, Budget, Environment, Labour, employment, technical Education and Vocational Training, Industry, SMEs and Private Sector Promotion, Chamber of Mines, Defen</w:t>
            </w:r>
            <w:r w:rsidR="004651F2">
              <w:rPr>
                <w:sz w:val="14"/>
                <w:szCs w:val="14"/>
              </w:rPr>
              <w:t>s</w:t>
            </w:r>
            <w:r w:rsidRPr="002F2E59">
              <w:rPr>
                <w:sz w:val="14"/>
                <w:szCs w:val="14"/>
              </w:rPr>
              <w:t>e, Security</w:t>
            </w:r>
            <w:r w:rsidR="007E79F6" w:rsidRPr="002F2E59">
              <w:rPr>
                <w:sz w:val="14"/>
                <w:szCs w:val="14"/>
              </w:rPr>
              <w:t xml:space="preserve">, </w:t>
            </w:r>
            <w:r w:rsidRPr="002F2E59">
              <w:rPr>
                <w:sz w:val="14"/>
                <w:szCs w:val="14"/>
              </w:rPr>
              <w:t>Youth, Communications, Court of Auditors, Parliament, INIDH, HCDH, CSO, CENI</w:t>
            </w:r>
          </w:p>
          <w:p w14:paraId="6483E9AA" w14:textId="77777777" w:rsidR="003474F4" w:rsidRPr="002F2E59" w:rsidRDefault="007E79F6" w:rsidP="00A84130">
            <w:pPr>
              <w:tabs>
                <w:tab w:val="left" w:pos="0"/>
              </w:tabs>
              <w:rPr>
                <w:sz w:val="14"/>
                <w:szCs w:val="14"/>
              </w:rPr>
            </w:pPr>
            <w:r w:rsidRPr="002F2E59">
              <w:rPr>
                <w:sz w:val="14"/>
                <w:szCs w:val="14"/>
              </w:rPr>
              <w:t>IOM, UNICEF, UNFPA, UN-</w:t>
            </w:r>
            <w:r w:rsidR="003474F4" w:rsidRPr="002F2E59">
              <w:rPr>
                <w:sz w:val="14"/>
                <w:szCs w:val="14"/>
              </w:rPr>
              <w:t>Women, WHO, UNCDF</w:t>
            </w:r>
            <w:bookmarkStart w:id="0" w:name="_GoBack"/>
            <w:bookmarkEnd w:id="0"/>
          </w:p>
          <w:p w14:paraId="33A81B11" w14:textId="77777777" w:rsidR="003474F4" w:rsidRPr="002F2E59" w:rsidRDefault="007E79F6" w:rsidP="00A84130">
            <w:pPr>
              <w:tabs>
                <w:tab w:val="left" w:pos="0"/>
              </w:tabs>
              <w:rPr>
                <w:sz w:val="14"/>
                <w:szCs w:val="14"/>
              </w:rPr>
            </w:pPr>
            <w:r w:rsidRPr="002F2E59">
              <w:rPr>
                <w:sz w:val="14"/>
                <w:szCs w:val="14"/>
              </w:rPr>
              <w:t xml:space="preserve">AfDB, IsDB, EU, GEF/GCF, WB, </w:t>
            </w:r>
            <w:r w:rsidR="003474F4" w:rsidRPr="002F2E59">
              <w:rPr>
                <w:sz w:val="14"/>
                <w:szCs w:val="14"/>
              </w:rPr>
              <w:t>Japan, GoG</w:t>
            </w:r>
          </w:p>
          <w:p w14:paraId="53231BC3" w14:textId="77777777" w:rsidR="003474F4" w:rsidRPr="002F2E59" w:rsidRDefault="003474F4" w:rsidP="00A84130">
            <w:pPr>
              <w:tabs>
                <w:tab w:val="left" w:pos="0"/>
              </w:tabs>
              <w:jc w:val="both"/>
              <w:rPr>
                <w:iCs/>
                <w:sz w:val="14"/>
                <w:szCs w:val="14"/>
              </w:rPr>
            </w:pPr>
          </w:p>
        </w:tc>
        <w:tc>
          <w:tcPr>
            <w:tcW w:w="1423" w:type="dxa"/>
            <w:tcMar>
              <w:top w:w="15" w:type="dxa"/>
              <w:left w:w="108" w:type="dxa"/>
              <w:bottom w:w="0" w:type="dxa"/>
              <w:right w:w="108" w:type="dxa"/>
            </w:tcMar>
          </w:tcPr>
          <w:p w14:paraId="04ECF7B6" w14:textId="4E11F199" w:rsidR="003474F4" w:rsidRPr="002F2E59" w:rsidRDefault="003474F4" w:rsidP="00A84130">
            <w:pPr>
              <w:tabs>
                <w:tab w:val="left" w:pos="0"/>
              </w:tabs>
              <w:rPr>
                <w:b/>
                <w:sz w:val="14"/>
                <w:szCs w:val="14"/>
              </w:rPr>
            </w:pPr>
            <w:r w:rsidRPr="002F2E59">
              <w:rPr>
                <w:b/>
                <w:sz w:val="14"/>
                <w:szCs w:val="14"/>
              </w:rPr>
              <w:t>Regular</w:t>
            </w:r>
            <w:r w:rsidR="00315B63" w:rsidRPr="002F2E59">
              <w:rPr>
                <w:b/>
                <w:sz w:val="14"/>
                <w:szCs w:val="14"/>
              </w:rPr>
              <w:t>:</w:t>
            </w:r>
            <w:r w:rsidR="001E7228" w:rsidRPr="002F2E59">
              <w:rPr>
                <w:b/>
                <w:sz w:val="14"/>
                <w:szCs w:val="14"/>
              </w:rPr>
              <w:t xml:space="preserve"> </w:t>
            </w:r>
            <w:r w:rsidR="00F345E5" w:rsidRPr="002F2E59">
              <w:rPr>
                <w:b/>
                <w:sz w:val="14"/>
                <w:szCs w:val="14"/>
              </w:rPr>
              <w:t>2,070,129</w:t>
            </w:r>
          </w:p>
          <w:p w14:paraId="11E7BBDD" w14:textId="77777777" w:rsidR="003474F4" w:rsidRPr="002F2E59" w:rsidRDefault="003474F4" w:rsidP="00A84130">
            <w:pPr>
              <w:tabs>
                <w:tab w:val="left" w:pos="0"/>
              </w:tabs>
              <w:rPr>
                <w:b/>
                <w:sz w:val="14"/>
                <w:szCs w:val="14"/>
              </w:rPr>
            </w:pPr>
          </w:p>
          <w:p w14:paraId="021ED05A" w14:textId="75A77D05" w:rsidR="003474F4" w:rsidRPr="002F2E59" w:rsidRDefault="00315B63" w:rsidP="00A84130">
            <w:pPr>
              <w:tabs>
                <w:tab w:val="left" w:pos="0"/>
              </w:tabs>
              <w:rPr>
                <w:b/>
                <w:sz w:val="14"/>
                <w:szCs w:val="14"/>
              </w:rPr>
            </w:pPr>
            <w:r w:rsidRPr="002F2E59">
              <w:rPr>
                <w:b/>
                <w:sz w:val="14"/>
                <w:szCs w:val="14"/>
              </w:rPr>
              <w:t>Other:</w:t>
            </w:r>
            <w:r w:rsidR="001E7228" w:rsidRPr="002F2E59">
              <w:rPr>
                <w:b/>
                <w:sz w:val="14"/>
                <w:szCs w:val="14"/>
              </w:rPr>
              <w:t xml:space="preserve"> </w:t>
            </w:r>
            <w:r w:rsidR="005150B9" w:rsidRPr="002F2E59">
              <w:rPr>
                <w:b/>
                <w:sz w:val="14"/>
                <w:szCs w:val="14"/>
              </w:rPr>
              <w:t>6</w:t>
            </w:r>
            <w:r w:rsidR="001E7228" w:rsidRPr="002F2E59">
              <w:rPr>
                <w:b/>
                <w:sz w:val="14"/>
                <w:szCs w:val="14"/>
              </w:rPr>
              <w:t>,</w:t>
            </w:r>
            <w:r w:rsidR="005150B9" w:rsidRPr="002F2E59">
              <w:rPr>
                <w:b/>
                <w:sz w:val="14"/>
                <w:szCs w:val="14"/>
              </w:rPr>
              <w:t>724</w:t>
            </w:r>
            <w:r w:rsidR="001E7228" w:rsidRPr="002F2E59">
              <w:rPr>
                <w:b/>
                <w:sz w:val="14"/>
                <w:szCs w:val="14"/>
              </w:rPr>
              <w:t>,</w:t>
            </w:r>
            <w:r w:rsidR="005150B9" w:rsidRPr="002F2E59">
              <w:rPr>
                <w:b/>
                <w:sz w:val="14"/>
                <w:szCs w:val="14"/>
              </w:rPr>
              <w:t>300</w:t>
            </w:r>
            <w:r w:rsidR="003474F4" w:rsidRPr="002F2E59">
              <w:rPr>
                <w:b/>
                <w:sz w:val="14"/>
                <w:szCs w:val="14"/>
              </w:rPr>
              <w:t xml:space="preserve">   </w:t>
            </w:r>
          </w:p>
          <w:p w14:paraId="732BAF9C" w14:textId="77777777" w:rsidR="003474F4" w:rsidRPr="002F2E59" w:rsidRDefault="003474F4" w:rsidP="00A84130">
            <w:pPr>
              <w:tabs>
                <w:tab w:val="left" w:pos="0"/>
              </w:tabs>
              <w:rPr>
                <w:b/>
                <w:sz w:val="14"/>
                <w:szCs w:val="14"/>
              </w:rPr>
            </w:pPr>
          </w:p>
        </w:tc>
      </w:tr>
      <w:tr w:rsidR="00610A93" w:rsidRPr="002F2E59" w14:paraId="6533BD04" w14:textId="77777777" w:rsidTr="001D3FBF">
        <w:trPr>
          <w:jc w:val="center"/>
        </w:trPr>
        <w:tc>
          <w:tcPr>
            <w:tcW w:w="2723" w:type="dxa"/>
            <w:vMerge/>
            <w:tcMar>
              <w:top w:w="72" w:type="dxa"/>
              <w:left w:w="144" w:type="dxa"/>
              <w:bottom w:w="72" w:type="dxa"/>
              <w:right w:w="144" w:type="dxa"/>
            </w:tcMar>
          </w:tcPr>
          <w:p w14:paraId="1A199897" w14:textId="77777777" w:rsidR="003474F4" w:rsidRPr="002F2E59" w:rsidRDefault="003474F4" w:rsidP="00A84130">
            <w:pPr>
              <w:tabs>
                <w:tab w:val="left" w:pos="0"/>
              </w:tabs>
              <w:jc w:val="both"/>
              <w:rPr>
                <w:iCs/>
                <w:sz w:val="14"/>
                <w:szCs w:val="14"/>
              </w:rPr>
            </w:pPr>
          </w:p>
        </w:tc>
        <w:tc>
          <w:tcPr>
            <w:tcW w:w="2323" w:type="dxa"/>
          </w:tcPr>
          <w:p w14:paraId="62FF9805" w14:textId="77777777" w:rsidR="003474F4" w:rsidRPr="002F2E59" w:rsidRDefault="00315B63" w:rsidP="00A84130">
            <w:pPr>
              <w:tabs>
                <w:tab w:val="left" w:pos="0"/>
              </w:tabs>
              <w:rPr>
                <w:sz w:val="14"/>
                <w:szCs w:val="14"/>
              </w:rPr>
            </w:pPr>
            <w:r w:rsidRPr="002F2E59">
              <w:rPr>
                <w:sz w:val="14"/>
                <w:szCs w:val="14"/>
              </w:rPr>
              <w:t xml:space="preserve">Data </w:t>
            </w:r>
            <w:r w:rsidR="00B80FE8" w:rsidRPr="002F2E59">
              <w:rPr>
                <w:sz w:val="14"/>
                <w:szCs w:val="14"/>
              </w:rPr>
              <w:t>source:</w:t>
            </w:r>
            <w:r w:rsidR="00B80FE8" w:rsidRPr="002F2E59">
              <w:rPr>
                <w:iCs/>
                <w:sz w:val="14"/>
                <w:szCs w:val="14"/>
              </w:rPr>
              <w:t xml:space="preserve"> Mo</w:t>
            </w:r>
            <w:r w:rsidR="003474F4" w:rsidRPr="002F2E59">
              <w:rPr>
                <w:iCs/>
                <w:sz w:val="14"/>
                <w:szCs w:val="14"/>
              </w:rPr>
              <w:t xml:space="preserve"> Ibrahim Index Report /CENI/Assembly</w:t>
            </w:r>
          </w:p>
          <w:p w14:paraId="4A68038E" w14:textId="77777777" w:rsidR="003474F4" w:rsidRPr="002F2E59" w:rsidRDefault="003474F4" w:rsidP="00A84130">
            <w:pPr>
              <w:tabs>
                <w:tab w:val="left" w:pos="0"/>
              </w:tabs>
              <w:jc w:val="both"/>
              <w:rPr>
                <w:sz w:val="14"/>
                <w:szCs w:val="14"/>
              </w:rPr>
            </w:pPr>
          </w:p>
          <w:p w14:paraId="135D40E6" w14:textId="77777777" w:rsidR="003474F4" w:rsidRPr="002F2E59" w:rsidRDefault="003474F4" w:rsidP="00A84130">
            <w:pPr>
              <w:tabs>
                <w:tab w:val="left" w:pos="0"/>
              </w:tabs>
              <w:jc w:val="both"/>
              <w:rPr>
                <w:sz w:val="14"/>
                <w:szCs w:val="14"/>
              </w:rPr>
            </w:pPr>
          </w:p>
          <w:p w14:paraId="7B8F67A8" w14:textId="77777777" w:rsidR="003474F4" w:rsidRPr="002F2E59" w:rsidRDefault="003474F4" w:rsidP="00A84130">
            <w:pPr>
              <w:tabs>
                <w:tab w:val="left" w:pos="0"/>
              </w:tabs>
              <w:jc w:val="both"/>
              <w:rPr>
                <w:sz w:val="14"/>
                <w:szCs w:val="14"/>
              </w:rPr>
            </w:pPr>
          </w:p>
          <w:p w14:paraId="47888966" w14:textId="77777777" w:rsidR="003474F4" w:rsidRPr="002F2E59" w:rsidRDefault="003474F4" w:rsidP="00A84130">
            <w:pPr>
              <w:tabs>
                <w:tab w:val="left" w:pos="0"/>
              </w:tabs>
              <w:jc w:val="both"/>
              <w:rPr>
                <w:sz w:val="14"/>
                <w:szCs w:val="14"/>
              </w:rPr>
            </w:pPr>
          </w:p>
          <w:p w14:paraId="5C0BE126" w14:textId="77777777" w:rsidR="003474F4" w:rsidRPr="002F2E59" w:rsidRDefault="003474F4" w:rsidP="00A84130">
            <w:pPr>
              <w:tabs>
                <w:tab w:val="left" w:pos="0"/>
              </w:tabs>
              <w:jc w:val="both"/>
              <w:rPr>
                <w:sz w:val="14"/>
                <w:szCs w:val="14"/>
              </w:rPr>
            </w:pPr>
          </w:p>
          <w:p w14:paraId="4EC95981" w14:textId="77777777" w:rsidR="003474F4" w:rsidRPr="002F2E59" w:rsidRDefault="003474F4" w:rsidP="00A84130">
            <w:pPr>
              <w:tabs>
                <w:tab w:val="left" w:pos="0"/>
              </w:tabs>
              <w:jc w:val="both"/>
              <w:rPr>
                <w:sz w:val="14"/>
                <w:szCs w:val="14"/>
              </w:rPr>
            </w:pPr>
          </w:p>
          <w:p w14:paraId="1D7B7684" w14:textId="61EC9AD5" w:rsidR="003474F4" w:rsidRPr="002F2E59" w:rsidRDefault="003474F4" w:rsidP="00A84130">
            <w:pPr>
              <w:tabs>
                <w:tab w:val="left" w:pos="0"/>
              </w:tabs>
              <w:rPr>
                <w:sz w:val="14"/>
                <w:szCs w:val="14"/>
              </w:rPr>
            </w:pPr>
            <w:r w:rsidRPr="002F2E59">
              <w:rPr>
                <w:iCs/>
                <w:sz w:val="14"/>
                <w:szCs w:val="14"/>
              </w:rPr>
              <w:t xml:space="preserve"> </w:t>
            </w:r>
            <w:r w:rsidR="00315B63" w:rsidRPr="002F2E59">
              <w:rPr>
                <w:sz w:val="14"/>
                <w:szCs w:val="14"/>
              </w:rPr>
              <w:t>Data source:</w:t>
            </w:r>
            <w:r w:rsidR="001E7228" w:rsidRPr="002F2E59">
              <w:rPr>
                <w:sz w:val="14"/>
                <w:szCs w:val="14"/>
              </w:rPr>
              <w:t xml:space="preserve"> </w:t>
            </w:r>
            <w:r w:rsidRPr="002F2E59">
              <w:rPr>
                <w:sz w:val="14"/>
                <w:szCs w:val="14"/>
              </w:rPr>
              <w:t>MPCI, Ministry of Justice/</w:t>
            </w:r>
            <w:r w:rsidR="00315B63" w:rsidRPr="002F2E59">
              <w:rPr>
                <w:iCs/>
                <w:sz w:val="14"/>
                <w:szCs w:val="14"/>
              </w:rPr>
              <w:t>MATD/</w:t>
            </w:r>
            <w:r w:rsidRPr="002F2E59">
              <w:rPr>
                <w:iCs/>
                <w:sz w:val="14"/>
                <w:szCs w:val="14"/>
              </w:rPr>
              <w:t>Sectoral reports;</w:t>
            </w:r>
            <w:r w:rsidR="00315B63" w:rsidRPr="002F2E59">
              <w:rPr>
                <w:sz w:val="14"/>
                <w:szCs w:val="14"/>
              </w:rPr>
              <w:t xml:space="preserve"> </w:t>
            </w:r>
          </w:p>
          <w:p w14:paraId="247E78D3" w14:textId="77777777" w:rsidR="003474F4" w:rsidRPr="002F2E59" w:rsidRDefault="003474F4" w:rsidP="00A84130">
            <w:pPr>
              <w:tabs>
                <w:tab w:val="left" w:pos="0"/>
              </w:tabs>
              <w:jc w:val="both"/>
              <w:rPr>
                <w:iCs/>
                <w:sz w:val="14"/>
                <w:szCs w:val="14"/>
              </w:rPr>
            </w:pPr>
          </w:p>
        </w:tc>
        <w:tc>
          <w:tcPr>
            <w:tcW w:w="4336" w:type="dxa"/>
            <w:tcMar>
              <w:top w:w="72" w:type="dxa"/>
              <w:left w:w="144" w:type="dxa"/>
              <w:bottom w:w="72" w:type="dxa"/>
              <w:right w:w="144" w:type="dxa"/>
            </w:tcMar>
          </w:tcPr>
          <w:p w14:paraId="22EE0C73" w14:textId="4148AE09" w:rsidR="003474F4" w:rsidRPr="002F2E59" w:rsidRDefault="007E79F6" w:rsidP="00A84130">
            <w:pPr>
              <w:tabs>
                <w:tab w:val="left" w:pos="0"/>
              </w:tabs>
              <w:rPr>
                <w:iCs/>
                <w:sz w:val="14"/>
                <w:szCs w:val="14"/>
              </w:rPr>
            </w:pPr>
            <w:r w:rsidRPr="002F2E59">
              <w:rPr>
                <w:b/>
                <w:sz w:val="14"/>
                <w:szCs w:val="14"/>
                <w:lang w:eastAsia="fr-FR"/>
              </w:rPr>
              <w:t>Output</w:t>
            </w:r>
            <w:r w:rsidR="001E7228" w:rsidRPr="002F2E59">
              <w:rPr>
                <w:b/>
                <w:sz w:val="14"/>
                <w:szCs w:val="14"/>
                <w:lang w:eastAsia="fr-FR"/>
              </w:rPr>
              <w:t xml:space="preserve"> </w:t>
            </w:r>
            <w:r w:rsidR="003474F4" w:rsidRPr="002F2E59">
              <w:rPr>
                <w:b/>
                <w:sz w:val="14"/>
                <w:szCs w:val="14"/>
                <w:lang w:eastAsia="fr-FR"/>
              </w:rPr>
              <w:t>1.2:</w:t>
            </w:r>
            <w:r w:rsidR="003474F4" w:rsidRPr="002F2E59">
              <w:rPr>
                <w:sz w:val="14"/>
                <w:szCs w:val="14"/>
              </w:rPr>
              <w:t xml:space="preserve"> </w:t>
            </w:r>
            <w:r w:rsidR="003474F4" w:rsidRPr="002F2E59">
              <w:rPr>
                <w:b/>
                <w:sz w:val="14"/>
                <w:szCs w:val="14"/>
                <w:lang w:eastAsia="fr-FR"/>
              </w:rPr>
              <w:t xml:space="preserve">Legal/regulatory framework are strengthened to improve CSO, women and youth participation in political, economic and social decision making </w:t>
            </w:r>
          </w:p>
          <w:p w14:paraId="21604A6E" w14:textId="77777777" w:rsidR="003474F4" w:rsidRPr="002F2E59" w:rsidRDefault="003474F4" w:rsidP="00A84130">
            <w:pPr>
              <w:tabs>
                <w:tab w:val="left" w:pos="0"/>
              </w:tabs>
              <w:ind w:left="360"/>
              <w:rPr>
                <w:iCs/>
                <w:sz w:val="14"/>
                <w:szCs w:val="14"/>
              </w:rPr>
            </w:pPr>
          </w:p>
          <w:p w14:paraId="06142FB6" w14:textId="41BAF2FC" w:rsidR="003474F4" w:rsidRPr="002F2E59" w:rsidRDefault="007E79F6" w:rsidP="00A84130">
            <w:pPr>
              <w:tabs>
                <w:tab w:val="left" w:pos="0"/>
              </w:tabs>
              <w:rPr>
                <w:iCs/>
                <w:sz w:val="14"/>
                <w:szCs w:val="14"/>
              </w:rPr>
            </w:pPr>
            <w:r w:rsidRPr="002F2E59">
              <w:rPr>
                <w:b/>
                <w:iCs/>
                <w:sz w:val="14"/>
                <w:szCs w:val="14"/>
              </w:rPr>
              <w:t>Indicator</w:t>
            </w:r>
            <w:r w:rsidR="00B80FE8" w:rsidRPr="002F2E59">
              <w:rPr>
                <w:b/>
                <w:iCs/>
                <w:sz w:val="14"/>
                <w:szCs w:val="14"/>
              </w:rPr>
              <w:t xml:space="preserve"> 1.2.1</w:t>
            </w:r>
            <w:r w:rsidR="003474F4" w:rsidRPr="002F2E59">
              <w:rPr>
                <w:b/>
                <w:iCs/>
                <w:sz w:val="14"/>
                <w:szCs w:val="14"/>
              </w:rPr>
              <w:t>:</w:t>
            </w:r>
            <w:r w:rsidR="003474F4" w:rsidRPr="002F2E59">
              <w:rPr>
                <w:iCs/>
                <w:sz w:val="14"/>
                <w:szCs w:val="14"/>
              </w:rPr>
              <w:t xml:space="preserve"> </w:t>
            </w:r>
            <w:r w:rsidR="003474F4" w:rsidRPr="002F2E59">
              <w:rPr>
                <w:sz w:val="14"/>
                <w:szCs w:val="14"/>
              </w:rPr>
              <w:t>Percentage of women and youth in national parliament and local councils.</w:t>
            </w:r>
          </w:p>
          <w:p w14:paraId="4F77131C" w14:textId="77777777" w:rsidR="003474F4" w:rsidRPr="002F2E59" w:rsidRDefault="00B80FE8" w:rsidP="00A84130">
            <w:pPr>
              <w:pStyle w:val="ListParagraph"/>
              <w:numPr>
                <w:ilvl w:val="0"/>
                <w:numId w:val="32"/>
              </w:numPr>
              <w:tabs>
                <w:tab w:val="left" w:pos="0"/>
              </w:tabs>
              <w:rPr>
                <w:iCs/>
                <w:sz w:val="14"/>
                <w:szCs w:val="14"/>
              </w:rPr>
            </w:pPr>
            <w:r w:rsidRPr="002F2E59">
              <w:rPr>
                <w:iCs/>
                <w:sz w:val="14"/>
                <w:szCs w:val="14"/>
                <w:u w:val="single"/>
              </w:rPr>
              <w:t>Women</w:t>
            </w:r>
            <w:r w:rsidRPr="002F2E59">
              <w:rPr>
                <w:iCs/>
                <w:sz w:val="14"/>
                <w:szCs w:val="14"/>
              </w:rPr>
              <w:t>: Baseline</w:t>
            </w:r>
            <w:r w:rsidR="00315B63" w:rsidRPr="002F2E59">
              <w:rPr>
                <w:iCs/>
                <w:sz w:val="14"/>
                <w:szCs w:val="14"/>
              </w:rPr>
              <w:t>: Parliament</w:t>
            </w:r>
            <w:r w:rsidRPr="002F2E59">
              <w:rPr>
                <w:iCs/>
                <w:sz w:val="14"/>
                <w:szCs w:val="14"/>
              </w:rPr>
              <w:t>: 22</w:t>
            </w:r>
            <w:r w:rsidR="00315B63" w:rsidRPr="002F2E59">
              <w:rPr>
                <w:iCs/>
                <w:sz w:val="14"/>
                <w:szCs w:val="14"/>
              </w:rPr>
              <w:t>%, communes</w:t>
            </w:r>
            <w:r w:rsidRPr="002F2E59">
              <w:rPr>
                <w:iCs/>
                <w:sz w:val="14"/>
                <w:szCs w:val="14"/>
              </w:rPr>
              <w:t>: 0</w:t>
            </w:r>
            <w:r w:rsidR="00315B63" w:rsidRPr="002F2E59">
              <w:rPr>
                <w:iCs/>
                <w:sz w:val="14"/>
                <w:szCs w:val="14"/>
              </w:rPr>
              <w:t>% regions</w:t>
            </w:r>
            <w:r w:rsidRPr="002F2E59">
              <w:rPr>
                <w:iCs/>
                <w:sz w:val="14"/>
                <w:szCs w:val="14"/>
              </w:rPr>
              <w:t>: 0</w:t>
            </w:r>
            <w:r w:rsidR="003474F4" w:rsidRPr="002F2E59">
              <w:rPr>
                <w:iCs/>
                <w:sz w:val="14"/>
                <w:szCs w:val="14"/>
              </w:rPr>
              <w:t>%, Target: Parliament: 40%, Communes: 30%, Regions: 30% Frequency: Biennial.</w:t>
            </w:r>
          </w:p>
          <w:p w14:paraId="262509A4" w14:textId="77777777" w:rsidR="003474F4" w:rsidRPr="002F2E59" w:rsidRDefault="00B80FE8" w:rsidP="00A84130">
            <w:pPr>
              <w:pStyle w:val="ListParagraph"/>
              <w:numPr>
                <w:ilvl w:val="0"/>
                <w:numId w:val="32"/>
              </w:numPr>
              <w:tabs>
                <w:tab w:val="left" w:pos="0"/>
              </w:tabs>
              <w:rPr>
                <w:iCs/>
                <w:sz w:val="14"/>
                <w:szCs w:val="14"/>
              </w:rPr>
            </w:pPr>
            <w:r w:rsidRPr="002F2E59">
              <w:rPr>
                <w:iCs/>
                <w:sz w:val="14"/>
                <w:szCs w:val="14"/>
                <w:u w:val="single"/>
              </w:rPr>
              <w:t>Youth</w:t>
            </w:r>
            <w:r w:rsidRPr="002F2E59">
              <w:rPr>
                <w:iCs/>
                <w:sz w:val="14"/>
                <w:szCs w:val="14"/>
              </w:rPr>
              <w:t>: Baseline</w:t>
            </w:r>
            <w:r w:rsidR="003474F4" w:rsidRPr="002F2E59">
              <w:rPr>
                <w:iCs/>
                <w:sz w:val="14"/>
                <w:szCs w:val="14"/>
              </w:rPr>
              <w:t xml:space="preserve">: </w:t>
            </w:r>
            <w:r w:rsidR="00315B63" w:rsidRPr="002F2E59">
              <w:rPr>
                <w:iCs/>
                <w:sz w:val="14"/>
                <w:szCs w:val="14"/>
              </w:rPr>
              <w:t>Parliament</w:t>
            </w:r>
            <w:r w:rsidRPr="002F2E59">
              <w:rPr>
                <w:iCs/>
                <w:sz w:val="14"/>
                <w:szCs w:val="14"/>
              </w:rPr>
              <w:t>: 4</w:t>
            </w:r>
            <w:r w:rsidR="00315B63" w:rsidRPr="002F2E59">
              <w:rPr>
                <w:iCs/>
                <w:sz w:val="14"/>
                <w:szCs w:val="14"/>
              </w:rPr>
              <w:t>%, communes</w:t>
            </w:r>
            <w:r w:rsidRPr="002F2E59">
              <w:rPr>
                <w:iCs/>
                <w:sz w:val="14"/>
                <w:szCs w:val="14"/>
              </w:rPr>
              <w:t>: 0</w:t>
            </w:r>
            <w:r w:rsidR="00315B63" w:rsidRPr="002F2E59">
              <w:rPr>
                <w:iCs/>
                <w:sz w:val="14"/>
                <w:szCs w:val="14"/>
              </w:rPr>
              <w:t>% regions</w:t>
            </w:r>
            <w:r w:rsidRPr="002F2E59">
              <w:rPr>
                <w:iCs/>
                <w:sz w:val="14"/>
                <w:szCs w:val="14"/>
              </w:rPr>
              <w:t>: 0</w:t>
            </w:r>
            <w:r w:rsidR="003474F4" w:rsidRPr="002F2E59">
              <w:rPr>
                <w:iCs/>
                <w:sz w:val="14"/>
                <w:szCs w:val="14"/>
              </w:rPr>
              <w:t>%, Target: Parliament: 30%, communes</w:t>
            </w:r>
            <w:r w:rsidRPr="002F2E59">
              <w:rPr>
                <w:iCs/>
                <w:sz w:val="14"/>
                <w:szCs w:val="14"/>
              </w:rPr>
              <w:t>: 30</w:t>
            </w:r>
            <w:r w:rsidR="00456911" w:rsidRPr="002F2E59">
              <w:rPr>
                <w:iCs/>
                <w:sz w:val="14"/>
                <w:szCs w:val="14"/>
              </w:rPr>
              <w:t>%</w:t>
            </w:r>
            <w:r w:rsidR="00315B63" w:rsidRPr="002F2E59">
              <w:rPr>
                <w:iCs/>
                <w:sz w:val="14"/>
                <w:szCs w:val="14"/>
              </w:rPr>
              <w:t xml:space="preserve"> regions</w:t>
            </w:r>
            <w:r w:rsidRPr="002F2E59">
              <w:rPr>
                <w:iCs/>
                <w:sz w:val="14"/>
                <w:szCs w:val="14"/>
              </w:rPr>
              <w:t>: 30</w:t>
            </w:r>
            <w:r w:rsidR="00315B63" w:rsidRPr="002F2E59">
              <w:rPr>
                <w:iCs/>
                <w:sz w:val="14"/>
                <w:szCs w:val="14"/>
              </w:rPr>
              <w:t xml:space="preserve">% </w:t>
            </w:r>
            <w:r w:rsidRPr="002F2E59">
              <w:rPr>
                <w:iCs/>
                <w:sz w:val="14"/>
                <w:szCs w:val="14"/>
              </w:rPr>
              <w:t>Frequency: Biennial</w:t>
            </w:r>
            <w:r w:rsidR="003474F4" w:rsidRPr="002F2E59">
              <w:rPr>
                <w:iCs/>
                <w:sz w:val="14"/>
                <w:szCs w:val="14"/>
              </w:rPr>
              <w:t>.</w:t>
            </w:r>
          </w:p>
          <w:p w14:paraId="75EFA4B4" w14:textId="77777777" w:rsidR="003474F4" w:rsidRPr="002F2E59" w:rsidRDefault="003474F4" w:rsidP="00A84130">
            <w:pPr>
              <w:tabs>
                <w:tab w:val="left" w:pos="0"/>
              </w:tabs>
              <w:rPr>
                <w:b/>
                <w:iCs/>
                <w:sz w:val="14"/>
                <w:szCs w:val="14"/>
              </w:rPr>
            </w:pPr>
          </w:p>
          <w:p w14:paraId="058E7C37" w14:textId="507A5161" w:rsidR="003474F4" w:rsidRPr="002F2E59" w:rsidRDefault="007E79F6" w:rsidP="00A84130">
            <w:pPr>
              <w:tabs>
                <w:tab w:val="left" w:pos="0"/>
              </w:tabs>
              <w:rPr>
                <w:iCs/>
                <w:sz w:val="14"/>
                <w:szCs w:val="14"/>
              </w:rPr>
            </w:pPr>
            <w:r w:rsidRPr="002F2E59">
              <w:rPr>
                <w:b/>
                <w:iCs/>
                <w:sz w:val="14"/>
                <w:szCs w:val="14"/>
              </w:rPr>
              <w:t>Indicator</w:t>
            </w:r>
            <w:r w:rsidR="001E7228" w:rsidRPr="002F2E59">
              <w:rPr>
                <w:b/>
                <w:iCs/>
                <w:sz w:val="14"/>
                <w:szCs w:val="14"/>
              </w:rPr>
              <w:t xml:space="preserve"> </w:t>
            </w:r>
            <w:r w:rsidR="00B80FE8" w:rsidRPr="002F2E59">
              <w:rPr>
                <w:b/>
                <w:iCs/>
                <w:sz w:val="14"/>
                <w:szCs w:val="14"/>
              </w:rPr>
              <w:t>1.2.2</w:t>
            </w:r>
            <w:r w:rsidR="003474F4" w:rsidRPr="002F2E59">
              <w:rPr>
                <w:b/>
                <w:iCs/>
                <w:sz w:val="14"/>
                <w:szCs w:val="14"/>
              </w:rPr>
              <w:t>:</w:t>
            </w:r>
            <w:r w:rsidR="003474F4" w:rsidRPr="002F2E59">
              <w:rPr>
                <w:iCs/>
                <w:sz w:val="14"/>
                <w:szCs w:val="14"/>
              </w:rPr>
              <w:t xml:space="preserve"> Number of new or strengthened laws and policies to increase </w:t>
            </w:r>
            <w:r w:rsidR="00B80FE8" w:rsidRPr="002F2E59">
              <w:rPr>
                <w:iCs/>
                <w:sz w:val="14"/>
                <w:szCs w:val="14"/>
              </w:rPr>
              <w:t>women’s</w:t>
            </w:r>
            <w:r w:rsidR="003474F4" w:rsidRPr="002F2E59">
              <w:rPr>
                <w:iCs/>
                <w:sz w:val="14"/>
                <w:szCs w:val="14"/>
              </w:rPr>
              <w:t>, youth and CSO participation in decision making.</w:t>
            </w:r>
          </w:p>
          <w:p w14:paraId="463FEFF8" w14:textId="378975BB" w:rsidR="003474F4" w:rsidRPr="002F2E59" w:rsidRDefault="003474F4" w:rsidP="00A84130">
            <w:pPr>
              <w:tabs>
                <w:tab w:val="left" w:pos="0"/>
              </w:tabs>
              <w:rPr>
                <w:iCs/>
                <w:sz w:val="14"/>
                <w:szCs w:val="14"/>
              </w:rPr>
            </w:pPr>
            <w:r w:rsidRPr="002F2E59">
              <w:rPr>
                <w:iCs/>
                <w:sz w:val="14"/>
                <w:szCs w:val="14"/>
              </w:rPr>
              <w:t>Bas</w:t>
            </w:r>
            <w:r w:rsidR="00315B63" w:rsidRPr="002F2E59">
              <w:rPr>
                <w:iCs/>
                <w:sz w:val="14"/>
                <w:szCs w:val="14"/>
              </w:rPr>
              <w:t>eline:</w:t>
            </w:r>
            <w:r w:rsidR="001E7228" w:rsidRPr="002F2E59">
              <w:rPr>
                <w:iCs/>
                <w:sz w:val="14"/>
                <w:szCs w:val="14"/>
              </w:rPr>
              <w:t xml:space="preserve"> </w:t>
            </w:r>
            <w:r w:rsidR="00315B63" w:rsidRPr="002F2E59">
              <w:rPr>
                <w:iCs/>
                <w:sz w:val="14"/>
                <w:szCs w:val="14"/>
              </w:rPr>
              <w:t>3 Target:</w:t>
            </w:r>
            <w:r w:rsidR="00D91A6C" w:rsidRPr="002F2E59">
              <w:rPr>
                <w:iCs/>
                <w:sz w:val="14"/>
                <w:szCs w:val="14"/>
              </w:rPr>
              <w:t xml:space="preserve"> </w:t>
            </w:r>
            <w:r w:rsidRPr="002F2E59">
              <w:rPr>
                <w:iCs/>
                <w:sz w:val="14"/>
                <w:szCs w:val="14"/>
              </w:rPr>
              <w:t>6</w:t>
            </w:r>
          </w:p>
          <w:p w14:paraId="1DE5DA75" w14:textId="77777777" w:rsidR="003474F4" w:rsidRPr="002F2E59" w:rsidRDefault="00B80FE8" w:rsidP="00A84130">
            <w:pPr>
              <w:tabs>
                <w:tab w:val="left" w:pos="0"/>
              </w:tabs>
              <w:rPr>
                <w:iCs/>
                <w:sz w:val="14"/>
                <w:szCs w:val="14"/>
              </w:rPr>
            </w:pPr>
            <w:r w:rsidRPr="002F2E59">
              <w:rPr>
                <w:iCs/>
                <w:sz w:val="14"/>
                <w:szCs w:val="14"/>
              </w:rPr>
              <w:t>Frequency: Biennial</w:t>
            </w:r>
          </w:p>
        </w:tc>
        <w:tc>
          <w:tcPr>
            <w:tcW w:w="2774" w:type="dxa"/>
            <w:vMerge/>
          </w:tcPr>
          <w:p w14:paraId="15FA7A6C" w14:textId="77777777" w:rsidR="003474F4" w:rsidRPr="002F2E59" w:rsidRDefault="003474F4" w:rsidP="00A84130">
            <w:pPr>
              <w:tabs>
                <w:tab w:val="left" w:pos="0"/>
              </w:tabs>
              <w:jc w:val="both"/>
              <w:rPr>
                <w:iCs/>
                <w:sz w:val="14"/>
                <w:szCs w:val="14"/>
              </w:rPr>
            </w:pPr>
          </w:p>
        </w:tc>
        <w:tc>
          <w:tcPr>
            <w:tcW w:w="1423" w:type="dxa"/>
            <w:tcMar>
              <w:top w:w="15" w:type="dxa"/>
              <w:left w:w="108" w:type="dxa"/>
              <w:bottom w:w="0" w:type="dxa"/>
              <w:right w:w="108" w:type="dxa"/>
            </w:tcMar>
          </w:tcPr>
          <w:p w14:paraId="45373263" w14:textId="1A6B5563" w:rsidR="003474F4" w:rsidRPr="002F2E59" w:rsidRDefault="00315B63" w:rsidP="00A84130">
            <w:pPr>
              <w:tabs>
                <w:tab w:val="left" w:pos="0"/>
              </w:tabs>
              <w:rPr>
                <w:b/>
                <w:sz w:val="14"/>
                <w:szCs w:val="14"/>
              </w:rPr>
            </w:pPr>
            <w:r w:rsidRPr="002F2E59">
              <w:rPr>
                <w:b/>
                <w:sz w:val="14"/>
                <w:szCs w:val="14"/>
              </w:rPr>
              <w:t>Regular:</w:t>
            </w:r>
            <w:r w:rsidR="001E7228" w:rsidRPr="002F2E59">
              <w:rPr>
                <w:b/>
                <w:sz w:val="14"/>
                <w:szCs w:val="14"/>
              </w:rPr>
              <w:t xml:space="preserve"> </w:t>
            </w:r>
            <w:r w:rsidR="00F345E5" w:rsidRPr="002F2E59">
              <w:rPr>
                <w:b/>
                <w:sz w:val="14"/>
                <w:szCs w:val="14"/>
              </w:rPr>
              <w:t>1,552,597</w:t>
            </w:r>
            <w:r w:rsidR="003474F4" w:rsidRPr="002F2E59">
              <w:rPr>
                <w:sz w:val="14"/>
                <w:szCs w:val="14"/>
              </w:rPr>
              <w:t xml:space="preserve">   </w:t>
            </w:r>
          </w:p>
          <w:p w14:paraId="7194DFCC" w14:textId="77777777" w:rsidR="003474F4" w:rsidRPr="002F2E59" w:rsidRDefault="003474F4" w:rsidP="00A84130">
            <w:pPr>
              <w:tabs>
                <w:tab w:val="left" w:pos="0"/>
              </w:tabs>
              <w:rPr>
                <w:b/>
                <w:sz w:val="14"/>
                <w:szCs w:val="14"/>
              </w:rPr>
            </w:pPr>
          </w:p>
          <w:p w14:paraId="775A7B29" w14:textId="7A307DE0" w:rsidR="003474F4" w:rsidRPr="002F2E59" w:rsidRDefault="00202EBB" w:rsidP="00A84130">
            <w:pPr>
              <w:tabs>
                <w:tab w:val="left" w:pos="0"/>
              </w:tabs>
              <w:rPr>
                <w:b/>
                <w:sz w:val="14"/>
                <w:szCs w:val="14"/>
              </w:rPr>
            </w:pPr>
            <w:r w:rsidRPr="002F2E59">
              <w:rPr>
                <w:b/>
                <w:sz w:val="14"/>
                <w:szCs w:val="14"/>
              </w:rPr>
              <w:t>Other: 5,043,225</w:t>
            </w:r>
          </w:p>
        </w:tc>
      </w:tr>
      <w:tr w:rsidR="00610A93" w:rsidRPr="002F2E59" w14:paraId="4A3AB213" w14:textId="77777777" w:rsidTr="001D3FBF">
        <w:trPr>
          <w:jc w:val="center"/>
        </w:trPr>
        <w:tc>
          <w:tcPr>
            <w:tcW w:w="2723" w:type="dxa"/>
            <w:vMerge/>
            <w:tcMar>
              <w:top w:w="72" w:type="dxa"/>
              <w:left w:w="144" w:type="dxa"/>
              <w:bottom w:w="72" w:type="dxa"/>
              <w:right w:w="144" w:type="dxa"/>
            </w:tcMar>
          </w:tcPr>
          <w:p w14:paraId="0CE73CAA" w14:textId="77777777" w:rsidR="003474F4" w:rsidRPr="002F2E59" w:rsidRDefault="003474F4" w:rsidP="00A84130">
            <w:pPr>
              <w:tabs>
                <w:tab w:val="left" w:pos="0"/>
              </w:tabs>
              <w:jc w:val="both"/>
              <w:rPr>
                <w:iCs/>
                <w:sz w:val="14"/>
                <w:szCs w:val="14"/>
              </w:rPr>
            </w:pPr>
          </w:p>
        </w:tc>
        <w:tc>
          <w:tcPr>
            <w:tcW w:w="2323" w:type="dxa"/>
          </w:tcPr>
          <w:p w14:paraId="1E0F030D" w14:textId="77777777" w:rsidR="003474F4" w:rsidRPr="002F2E59" w:rsidRDefault="003474F4" w:rsidP="00A84130">
            <w:pPr>
              <w:tabs>
                <w:tab w:val="left" w:pos="0"/>
              </w:tabs>
              <w:rPr>
                <w:sz w:val="14"/>
                <w:szCs w:val="14"/>
              </w:rPr>
            </w:pPr>
          </w:p>
          <w:p w14:paraId="40F4D387" w14:textId="77777777" w:rsidR="003474F4" w:rsidRPr="002F2E59" w:rsidRDefault="003474F4" w:rsidP="00A84130">
            <w:pPr>
              <w:tabs>
                <w:tab w:val="left" w:pos="0"/>
              </w:tabs>
              <w:jc w:val="both"/>
              <w:rPr>
                <w:iCs/>
                <w:sz w:val="14"/>
                <w:szCs w:val="14"/>
              </w:rPr>
            </w:pPr>
          </w:p>
          <w:p w14:paraId="0B63B8AA" w14:textId="77777777" w:rsidR="003474F4" w:rsidRPr="002F2E59" w:rsidRDefault="003474F4" w:rsidP="00A84130">
            <w:pPr>
              <w:tabs>
                <w:tab w:val="left" w:pos="0"/>
              </w:tabs>
              <w:jc w:val="both"/>
              <w:rPr>
                <w:iCs/>
                <w:sz w:val="14"/>
                <w:szCs w:val="14"/>
              </w:rPr>
            </w:pPr>
          </w:p>
          <w:p w14:paraId="0BB00457" w14:textId="77777777" w:rsidR="003474F4" w:rsidRPr="002F2E59" w:rsidRDefault="003474F4" w:rsidP="00A84130">
            <w:pPr>
              <w:tabs>
                <w:tab w:val="left" w:pos="0"/>
              </w:tabs>
              <w:rPr>
                <w:sz w:val="14"/>
                <w:szCs w:val="14"/>
              </w:rPr>
            </w:pPr>
          </w:p>
          <w:p w14:paraId="7AA32204" w14:textId="77777777" w:rsidR="003474F4" w:rsidRPr="002F2E59" w:rsidRDefault="007E79F6" w:rsidP="00A84130">
            <w:pPr>
              <w:tabs>
                <w:tab w:val="left" w:pos="0"/>
              </w:tabs>
              <w:rPr>
                <w:sz w:val="14"/>
                <w:szCs w:val="14"/>
              </w:rPr>
            </w:pPr>
            <w:r w:rsidRPr="002F2E59">
              <w:rPr>
                <w:sz w:val="14"/>
                <w:szCs w:val="14"/>
              </w:rPr>
              <w:t xml:space="preserve">Data </w:t>
            </w:r>
            <w:r w:rsidR="00B80FE8" w:rsidRPr="002F2E59">
              <w:rPr>
                <w:sz w:val="14"/>
                <w:szCs w:val="14"/>
              </w:rPr>
              <w:t>source: Ministry</w:t>
            </w:r>
            <w:r w:rsidR="003474F4" w:rsidRPr="002F2E59">
              <w:rPr>
                <w:sz w:val="14"/>
                <w:szCs w:val="14"/>
              </w:rPr>
              <w:t xml:space="preserve"> of Justice/</w:t>
            </w:r>
            <w:r w:rsidR="003474F4" w:rsidRPr="002F2E59">
              <w:rPr>
                <w:iCs/>
                <w:sz w:val="14"/>
                <w:szCs w:val="14"/>
              </w:rPr>
              <w:t xml:space="preserve"> MATD/ Sectoral reports</w:t>
            </w:r>
            <w:r w:rsidR="003474F4" w:rsidRPr="002F2E59">
              <w:rPr>
                <w:sz w:val="14"/>
                <w:szCs w:val="14"/>
              </w:rPr>
              <w:t xml:space="preserve"> </w:t>
            </w:r>
          </w:p>
          <w:p w14:paraId="5F5CFE4B" w14:textId="4CFCD3C4" w:rsidR="003474F4" w:rsidRPr="002F2E59" w:rsidRDefault="003474F4" w:rsidP="00A84130">
            <w:pPr>
              <w:tabs>
                <w:tab w:val="left" w:pos="0"/>
              </w:tabs>
              <w:jc w:val="both"/>
              <w:rPr>
                <w:iCs/>
                <w:sz w:val="14"/>
                <w:szCs w:val="14"/>
              </w:rPr>
            </w:pPr>
          </w:p>
        </w:tc>
        <w:tc>
          <w:tcPr>
            <w:tcW w:w="4336" w:type="dxa"/>
            <w:tcMar>
              <w:top w:w="72" w:type="dxa"/>
              <w:left w:w="144" w:type="dxa"/>
              <w:bottom w:w="72" w:type="dxa"/>
              <w:right w:w="144" w:type="dxa"/>
            </w:tcMar>
          </w:tcPr>
          <w:p w14:paraId="0D94736B" w14:textId="77F92C83" w:rsidR="003474F4" w:rsidRPr="002F2E59" w:rsidRDefault="007E79F6" w:rsidP="00A84130">
            <w:pPr>
              <w:tabs>
                <w:tab w:val="left" w:pos="0"/>
              </w:tabs>
              <w:rPr>
                <w:b/>
                <w:sz w:val="14"/>
                <w:szCs w:val="14"/>
              </w:rPr>
            </w:pPr>
            <w:r w:rsidRPr="002F2E59">
              <w:rPr>
                <w:b/>
                <w:sz w:val="14"/>
                <w:szCs w:val="14"/>
                <w:lang w:eastAsia="fr-FR"/>
              </w:rPr>
              <w:t>Output</w:t>
            </w:r>
            <w:r w:rsidR="001E7228" w:rsidRPr="002F2E59">
              <w:rPr>
                <w:b/>
                <w:sz w:val="14"/>
                <w:szCs w:val="14"/>
                <w:lang w:eastAsia="fr-FR"/>
              </w:rPr>
              <w:t xml:space="preserve"> </w:t>
            </w:r>
            <w:r w:rsidR="003474F4" w:rsidRPr="002F2E59">
              <w:rPr>
                <w:b/>
                <w:sz w:val="14"/>
                <w:szCs w:val="14"/>
                <w:lang w:eastAsia="fr-FR"/>
              </w:rPr>
              <w:t>1.3:</w:t>
            </w:r>
            <w:r w:rsidR="003474F4" w:rsidRPr="002F2E59">
              <w:rPr>
                <w:b/>
                <w:sz w:val="14"/>
                <w:szCs w:val="14"/>
              </w:rPr>
              <w:t xml:space="preserve"> Newly created regional development zones are functional and exercise legal and constitutional prerogatives</w:t>
            </w:r>
          </w:p>
          <w:p w14:paraId="131C8021" w14:textId="77777777" w:rsidR="003474F4" w:rsidRPr="002F2E59" w:rsidRDefault="003474F4" w:rsidP="00A84130">
            <w:pPr>
              <w:tabs>
                <w:tab w:val="left" w:pos="0"/>
              </w:tabs>
              <w:rPr>
                <w:sz w:val="14"/>
                <w:szCs w:val="14"/>
              </w:rPr>
            </w:pPr>
          </w:p>
          <w:p w14:paraId="476C2491" w14:textId="05866A33" w:rsidR="003474F4" w:rsidRPr="002F2E59" w:rsidRDefault="007E79F6" w:rsidP="00A84130">
            <w:pPr>
              <w:tabs>
                <w:tab w:val="left" w:pos="0"/>
              </w:tabs>
              <w:rPr>
                <w:iCs/>
                <w:sz w:val="14"/>
                <w:szCs w:val="14"/>
              </w:rPr>
            </w:pPr>
            <w:r w:rsidRPr="002F2E59">
              <w:rPr>
                <w:b/>
                <w:iCs/>
                <w:sz w:val="14"/>
                <w:szCs w:val="14"/>
              </w:rPr>
              <w:t>Indicator</w:t>
            </w:r>
            <w:r w:rsidR="001E7228" w:rsidRPr="002F2E59">
              <w:rPr>
                <w:b/>
                <w:iCs/>
                <w:sz w:val="14"/>
                <w:szCs w:val="14"/>
              </w:rPr>
              <w:t xml:space="preserve"> </w:t>
            </w:r>
            <w:r w:rsidR="003474F4" w:rsidRPr="002F2E59">
              <w:rPr>
                <w:b/>
                <w:iCs/>
                <w:sz w:val="14"/>
                <w:szCs w:val="14"/>
              </w:rPr>
              <w:t>1.3.1</w:t>
            </w:r>
            <w:r w:rsidR="003474F4" w:rsidRPr="002F2E59">
              <w:rPr>
                <w:iCs/>
                <w:sz w:val="14"/>
                <w:szCs w:val="14"/>
              </w:rPr>
              <w:t>: Number of regional zones created</w:t>
            </w:r>
          </w:p>
          <w:p w14:paraId="1AC39975" w14:textId="4518582F" w:rsidR="003474F4" w:rsidRPr="002F2E59" w:rsidRDefault="003474F4" w:rsidP="00A84130">
            <w:pPr>
              <w:tabs>
                <w:tab w:val="left" w:pos="0"/>
              </w:tabs>
              <w:rPr>
                <w:iCs/>
                <w:sz w:val="14"/>
                <w:szCs w:val="14"/>
              </w:rPr>
            </w:pPr>
            <w:r w:rsidRPr="002F2E59">
              <w:rPr>
                <w:iCs/>
                <w:sz w:val="14"/>
                <w:szCs w:val="14"/>
              </w:rPr>
              <w:t xml:space="preserve">Baseline: 0 Target: 4 </w:t>
            </w:r>
            <w:r w:rsidRPr="002F2E59">
              <w:rPr>
                <w:sz w:val="14"/>
                <w:szCs w:val="14"/>
              </w:rPr>
              <w:t>Data source: Ministry of Justice/</w:t>
            </w:r>
            <w:r w:rsidR="007E79F6" w:rsidRPr="002F2E59">
              <w:rPr>
                <w:iCs/>
                <w:sz w:val="14"/>
                <w:szCs w:val="14"/>
              </w:rPr>
              <w:t>MATD</w:t>
            </w:r>
            <w:r w:rsidRPr="002F2E59">
              <w:rPr>
                <w:iCs/>
                <w:sz w:val="14"/>
                <w:szCs w:val="14"/>
              </w:rPr>
              <w:t xml:space="preserve"> Sectoral reports;</w:t>
            </w:r>
            <w:r w:rsidRPr="002F2E59">
              <w:rPr>
                <w:sz w:val="14"/>
                <w:szCs w:val="14"/>
              </w:rPr>
              <w:t xml:space="preserve"> </w:t>
            </w:r>
          </w:p>
          <w:p w14:paraId="5CE2DB9E" w14:textId="77777777" w:rsidR="003474F4" w:rsidRPr="002F2E59" w:rsidRDefault="003474F4" w:rsidP="00A84130">
            <w:pPr>
              <w:tabs>
                <w:tab w:val="left" w:pos="0"/>
              </w:tabs>
              <w:rPr>
                <w:iCs/>
                <w:sz w:val="14"/>
                <w:szCs w:val="14"/>
              </w:rPr>
            </w:pPr>
          </w:p>
          <w:p w14:paraId="06102C7F" w14:textId="366FF312" w:rsidR="003474F4" w:rsidRPr="002F2E59" w:rsidRDefault="007E79F6" w:rsidP="00A84130">
            <w:pPr>
              <w:tabs>
                <w:tab w:val="left" w:pos="0"/>
              </w:tabs>
              <w:rPr>
                <w:sz w:val="14"/>
                <w:szCs w:val="14"/>
              </w:rPr>
            </w:pPr>
            <w:r w:rsidRPr="002F2E59">
              <w:rPr>
                <w:b/>
                <w:iCs/>
                <w:sz w:val="14"/>
                <w:szCs w:val="14"/>
              </w:rPr>
              <w:t>Indicator</w:t>
            </w:r>
            <w:r w:rsidR="001E7228" w:rsidRPr="002F2E59">
              <w:rPr>
                <w:b/>
                <w:iCs/>
                <w:sz w:val="14"/>
                <w:szCs w:val="14"/>
              </w:rPr>
              <w:t xml:space="preserve"> </w:t>
            </w:r>
            <w:r w:rsidR="003474F4" w:rsidRPr="002F2E59">
              <w:rPr>
                <w:b/>
                <w:iCs/>
                <w:sz w:val="14"/>
                <w:szCs w:val="14"/>
              </w:rPr>
              <w:t>1.3.2:</w:t>
            </w:r>
            <w:r w:rsidR="003474F4" w:rsidRPr="002F2E59">
              <w:rPr>
                <w:iCs/>
                <w:sz w:val="14"/>
                <w:szCs w:val="14"/>
              </w:rPr>
              <w:t xml:space="preserve"> Number of regional zones where UNDP built capacities in gender sensitive planning, budgeting;</w:t>
            </w:r>
          </w:p>
          <w:p w14:paraId="3587AD6C" w14:textId="48BDF301" w:rsidR="003474F4" w:rsidRPr="002F2E59" w:rsidRDefault="007E79F6" w:rsidP="00A84130">
            <w:pPr>
              <w:tabs>
                <w:tab w:val="left" w:pos="0"/>
              </w:tabs>
              <w:rPr>
                <w:iCs/>
                <w:sz w:val="14"/>
                <w:szCs w:val="14"/>
              </w:rPr>
            </w:pPr>
            <w:r w:rsidRPr="002F2E59">
              <w:rPr>
                <w:iCs/>
                <w:sz w:val="14"/>
                <w:szCs w:val="14"/>
              </w:rPr>
              <w:t>Baseline:0; Target:</w:t>
            </w:r>
            <w:r w:rsidR="001E7228" w:rsidRPr="002F2E59">
              <w:rPr>
                <w:iCs/>
                <w:sz w:val="14"/>
                <w:szCs w:val="14"/>
              </w:rPr>
              <w:t xml:space="preserve"> </w:t>
            </w:r>
            <w:r w:rsidR="003474F4" w:rsidRPr="002F2E59">
              <w:rPr>
                <w:iCs/>
                <w:sz w:val="14"/>
                <w:szCs w:val="14"/>
              </w:rPr>
              <w:t xml:space="preserve">4; </w:t>
            </w:r>
            <w:r w:rsidRPr="002F2E59">
              <w:rPr>
                <w:sz w:val="14"/>
                <w:szCs w:val="14"/>
              </w:rPr>
              <w:t xml:space="preserve">Data </w:t>
            </w:r>
            <w:r w:rsidR="00B80FE8" w:rsidRPr="002F2E59">
              <w:rPr>
                <w:sz w:val="14"/>
                <w:szCs w:val="14"/>
              </w:rPr>
              <w:t>source: Ministry</w:t>
            </w:r>
            <w:r w:rsidR="003474F4" w:rsidRPr="002F2E59">
              <w:rPr>
                <w:sz w:val="14"/>
                <w:szCs w:val="14"/>
              </w:rPr>
              <w:t xml:space="preserve"> of Justice/</w:t>
            </w:r>
            <w:r w:rsidRPr="002F2E59">
              <w:rPr>
                <w:iCs/>
                <w:sz w:val="14"/>
                <w:szCs w:val="14"/>
              </w:rPr>
              <w:t>MATD/</w:t>
            </w:r>
            <w:r w:rsidR="003474F4" w:rsidRPr="002F2E59">
              <w:rPr>
                <w:iCs/>
                <w:sz w:val="14"/>
                <w:szCs w:val="14"/>
              </w:rPr>
              <w:t xml:space="preserve">Sectoral reports; </w:t>
            </w:r>
          </w:p>
        </w:tc>
        <w:tc>
          <w:tcPr>
            <w:tcW w:w="2774" w:type="dxa"/>
            <w:vMerge/>
          </w:tcPr>
          <w:p w14:paraId="3114E54C" w14:textId="77777777" w:rsidR="003474F4" w:rsidRPr="002F2E59" w:rsidRDefault="003474F4" w:rsidP="00A84130">
            <w:pPr>
              <w:tabs>
                <w:tab w:val="left" w:pos="0"/>
              </w:tabs>
              <w:jc w:val="both"/>
              <w:rPr>
                <w:iCs/>
                <w:sz w:val="14"/>
                <w:szCs w:val="14"/>
              </w:rPr>
            </w:pPr>
          </w:p>
        </w:tc>
        <w:tc>
          <w:tcPr>
            <w:tcW w:w="1423" w:type="dxa"/>
            <w:tcMar>
              <w:top w:w="15" w:type="dxa"/>
              <w:left w:w="108" w:type="dxa"/>
              <w:bottom w:w="0" w:type="dxa"/>
              <w:right w:w="108" w:type="dxa"/>
            </w:tcMar>
          </w:tcPr>
          <w:p w14:paraId="09AD5F04" w14:textId="67A1E508" w:rsidR="003474F4" w:rsidRPr="002F2E59" w:rsidRDefault="00456911" w:rsidP="00A84130">
            <w:pPr>
              <w:tabs>
                <w:tab w:val="left" w:pos="0"/>
              </w:tabs>
              <w:rPr>
                <w:sz w:val="14"/>
                <w:szCs w:val="14"/>
              </w:rPr>
            </w:pPr>
            <w:r w:rsidRPr="002F2E59">
              <w:rPr>
                <w:b/>
                <w:sz w:val="14"/>
                <w:szCs w:val="14"/>
              </w:rPr>
              <w:t>Regular:</w:t>
            </w:r>
            <w:r w:rsidR="00476254" w:rsidRPr="002F2E59">
              <w:rPr>
                <w:b/>
                <w:sz w:val="14"/>
                <w:szCs w:val="14"/>
              </w:rPr>
              <w:t xml:space="preserve"> </w:t>
            </w:r>
            <w:r w:rsidR="003474F4" w:rsidRPr="002F2E59">
              <w:rPr>
                <w:b/>
                <w:sz w:val="14"/>
                <w:szCs w:val="14"/>
              </w:rPr>
              <w:t>3</w:t>
            </w:r>
            <w:r w:rsidR="00476254" w:rsidRPr="002F2E59">
              <w:rPr>
                <w:b/>
                <w:sz w:val="14"/>
                <w:szCs w:val="14"/>
              </w:rPr>
              <w:t>,</w:t>
            </w:r>
            <w:r w:rsidR="00F345E5" w:rsidRPr="002F2E59">
              <w:rPr>
                <w:b/>
                <w:sz w:val="14"/>
                <w:szCs w:val="14"/>
              </w:rPr>
              <w:t>622,726</w:t>
            </w:r>
          </w:p>
          <w:p w14:paraId="5B22DE17" w14:textId="77777777" w:rsidR="003474F4" w:rsidRPr="002F2E59" w:rsidRDefault="003474F4" w:rsidP="00A84130">
            <w:pPr>
              <w:tabs>
                <w:tab w:val="left" w:pos="0"/>
              </w:tabs>
              <w:rPr>
                <w:sz w:val="14"/>
                <w:szCs w:val="14"/>
              </w:rPr>
            </w:pPr>
          </w:p>
          <w:p w14:paraId="63AEF6B0" w14:textId="6A5F5DAC" w:rsidR="003474F4" w:rsidRPr="002F2E59" w:rsidRDefault="00202EBB" w:rsidP="00A84130">
            <w:pPr>
              <w:tabs>
                <w:tab w:val="left" w:pos="0"/>
              </w:tabs>
              <w:rPr>
                <w:b/>
                <w:sz w:val="14"/>
                <w:szCs w:val="14"/>
              </w:rPr>
            </w:pPr>
            <w:r w:rsidRPr="002F2E59">
              <w:rPr>
                <w:b/>
                <w:sz w:val="14"/>
                <w:szCs w:val="14"/>
              </w:rPr>
              <w:t>Other: 11,767,525</w:t>
            </w:r>
          </w:p>
        </w:tc>
      </w:tr>
      <w:tr w:rsidR="00610A93" w:rsidRPr="002F2E59" w14:paraId="74D472CE" w14:textId="77777777" w:rsidTr="001D3FBF">
        <w:trPr>
          <w:jc w:val="center"/>
        </w:trPr>
        <w:tc>
          <w:tcPr>
            <w:tcW w:w="2723" w:type="dxa"/>
            <w:vMerge/>
            <w:tcBorders>
              <w:bottom w:val="single" w:sz="4" w:space="0" w:color="auto"/>
            </w:tcBorders>
            <w:shd w:val="clear" w:color="auto" w:fill="auto"/>
            <w:tcMar>
              <w:top w:w="72" w:type="dxa"/>
              <w:left w:w="144" w:type="dxa"/>
              <w:bottom w:w="72" w:type="dxa"/>
              <w:right w:w="144" w:type="dxa"/>
            </w:tcMar>
          </w:tcPr>
          <w:p w14:paraId="48CE7192" w14:textId="77777777" w:rsidR="003474F4" w:rsidRPr="002F2E59" w:rsidRDefault="003474F4" w:rsidP="00A84130">
            <w:pPr>
              <w:tabs>
                <w:tab w:val="left" w:pos="0"/>
              </w:tabs>
              <w:jc w:val="both"/>
              <w:rPr>
                <w:bCs/>
                <w:sz w:val="14"/>
                <w:szCs w:val="14"/>
              </w:rPr>
            </w:pPr>
          </w:p>
        </w:tc>
        <w:tc>
          <w:tcPr>
            <w:tcW w:w="2323" w:type="dxa"/>
            <w:tcBorders>
              <w:bottom w:val="single" w:sz="4" w:space="0" w:color="auto"/>
            </w:tcBorders>
          </w:tcPr>
          <w:p w14:paraId="32E7D2BE" w14:textId="77777777" w:rsidR="003474F4" w:rsidRPr="002F2E59" w:rsidRDefault="003474F4" w:rsidP="00A84130">
            <w:pPr>
              <w:tabs>
                <w:tab w:val="left" w:pos="0"/>
              </w:tabs>
              <w:jc w:val="both"/>
              <w:rPr>
                <w:iCs/>
                <w:sz w:val="14"/>
                <w:szCs w:val="14"/>
              </w:rPr>
            </w:pPr>
          </w:p>
          <w:p w14:paraId="028CA1A9" w14:textId="77777777" w:rsidR="003474F4" w:rsidRPr="002F2E59" w:rsidRDefault="007E79F6" w:rsidP="00A84130">
            <w:pPr>
              <w:tabs>
                <w:tab w:val="left" w:pos="0"/>
              </w:tabs>
              <w:jc w:val="both"/>
              <w:rPr>
                <w:sz w:val="14"/>
                <w:szCs w:val="14"/>
              </w:rPr>
            </w:pPr>
            <w:r w:rsidRPr="002F2E59">
              <w:rPr>
                <w:sz w:val="14"/>
                <w:szCs w:val="14"/>
              </w:rPr>
              <w:t xml:space="preserve">Data </w:t>
            </w:r>
            <w:r w:rsidR="00B80FE8" w:rsidRPr="002F2E59">
              <w:rPr>
                <w:sz w:val="14"/>
                <w:szCs w:val="14"/>
              </w:rPr>
              <w:t>source: Official</w:t>
            </w:r>
            <w:r w:rsidR="003474F4" w:rsidRPr="002F2E59">
              <w:rPr>
                <w:sz w:val="14"/>
                <w:szCs w:val="14"/>
              </w:rPr>
              <w:t xml:space="preserve"> Journal, CENI, Parliament, Court of Auditors,</w:t>
            </w:r>
          </w:p>
          <w:p w14:paraId="682293AE" w14:textId="03586791" w:rsidR="003474F4" w:rsidRPr="002F2E59" w:rsidRDefault="003474F4" w:rsidP="00A84130">
            <w:pPr>
              <w:tabs>
                <w:tab w:val="left" w:pos="0"/>
              </w:tabs>
              <w:jc w:val="both"/>
              <w:rPr>
                <w:b/>
                <w:iCs/>
                <w:sz w:val="14"/>
                <w:szCs w:val="14"/>
              </w:rPr>
            </w:pPr>
          </w:p>
          <w:p w14:paraId="11885867" w14:textId="77777777" w:rsidR="003474F4" w:rsidRPr="002F2E59" w:rsidRDefault="003474F4" w:rsidP="00A84130">
            <w:pPr>
              <w:tabs>
                <w:tab w:val="left" w:pos="0"/>
              </w:tabs>
              <w:jc w:val="both"/>
              <w:rPr>
                <w:iCs/>
                <w:sz w:val="14"/>
                <w:szCs w:val="14"/>
              </w:rPr>
            </w:pPr>
          </w:p>
        </w:tc>
        <w:tc>
          <w:tcPr>
            <w:tcW w:w="4336" w:type="dxa"/>
            <w:tcBorders>
              <w:bottom w:val="single" w:sz="4" w:space="0" w:color="auto"/>
            </w:tcBorders>
            <w:tcMar>
              <w:top w:w="72" w:type="dxa"/>
              <w:left w:w="144" w:type="dxa"/>
              <w:bottom w:w="72" w:type="dxa"/>
              <w:right w:w="144" w:type="dxa"/>
            </w:tcMar>
          </w:tcPr>
          <w:p w14:paraId="36B417E6" w14:textId="7189D8B3" w:rsidR="003474F4" w:rsidRPr="002F2E59" w:rsidRDefault="007E79F6" w:rsidP="00A84130">
            <w:pPr>
              <w:tabs>
                <w:tab w:val="left" w:pos="0"/>
              </w:tabs>
              <w:rPr>
                <w:b/>
                <w:sz w:val="14"/>
                <w:szCs w:val="14"/>
              </w:rPr>
            </w:pPr>
            <w:r w:rsidRPr="002F2E59">
              <w:rPr>
                <w:b/>
                <w:sz w:val="14"/>
                <w:szCs w:val="14"/>
                <w:lang w:eastAsia="fr-FR"/>
              </w:rPr>
              <w:t>Output</w:t>
            </w:r>
            <w:r w:rsidR="00476254" w:rsidRPr="002F2E59">
              <w:rPr>
                <w:b/>
                <w:sz w:val="14"/>
                <w:szCs w:val="14"/>
                <w:lang w:eastAsia="fr-FR"/>
              </w:rPr>
              <w:t xml:space="preserve"> </w:t>
            </w:r>
            <w:r w:rsidR="003474F4" w:rsidRPr="002F2E59">
              <w:rPr>
                <w:b/>
                <w:sz w:val="14"/>
                <w:szCs w:val="14"/>
                <w:lang w:eastAsia="fr-FR"/>
              </w:rPr>
              <w:t xml:space="preserve">1.4: </w:t>
            </w:r>
            <w:r w:rsidR="003474F4" w:rsidRPr="002F2E59">
              <w:rPr>
                <w:b/>
                <w:sz w:val="14"/>
                <w:szCs w:val="14"/>
              </w:rPr>
              <w:t xml:space="preserve"> Institutions and </w:t>
            </w:r>
            <w:r w:rsidR="00202EBB" w:rsidRPr="002F2E59">
              <w:rPr>
                <w:b/>
                <w:sz w:val="14"/>
                <w:szCs w:val="14"/>
              </w:rPr>
              <w:t>organizations</w:t>
            </w:r>
            <w:r w:rsidR="003474F4" w:rsidRPr="002F2E59">
              <w:rPr>
                <w:b/>
                <w:sz w:val="14"/>
                <w:szCs w:val="14"/>
              </w:rPr>
              <w:t xml:space="preserve"> involved in strengthening democratic and economic governance have the capacities to fulfil their mandate </w:t>
            </w:r>
          </w:p>
          <w:p w14:paraId="36059A0A" w14:textId="77777777" w:rsidR="003474F4" w:rsidRPr="002F2E59" w:rsidRDefault="003474F4" w:rsidP="00A84130">
            <w:pPr>
              <w:tabs>
                <w:tab w:val="left" w:pos="0"/>
              </w:tabs>
              <w:rPr>
                <w:rFonts w:eastAsia="Calibri"/>
                <w:b/>
                <w:sz w:val="14"/>
                <w:szCs w:val="14"/>
              </w:rPr>
            </w:pPr>
          </w:p>
          <w:p w14:paraId="0FF3300D" w14:textId="11B5A6B7" w:rsidR="003474F4" w:rsidRPr="002F2E59" w:rsidRDefault="007E79F6" w:rsidP="00A84130">
            <w:pPr>
              <w:tabs>
                <w:tab w:val="left" w:pos="0"/>
              </w:tabs>
              <w:rPr>
                <w:sz w:val="14"/>
                <w:szCs w:val="14"/>
              </w:rPr>
            </w:pPr>
            <w:r w:rsidRPr="002F2E59">
              <w:rPr>
                <w:b/>
                <w:iCs/>
                <w:sz w:val="14"/>
                <w:szCs w:val="14"/>
              </w:rPr>
              <w:t>Indicator</w:t>
            </w:r>
            <w:r w:rsidR="001E7228" w:rsidRPr="002F2E59">
              <w:rPr>
                <w:b/>
                <w:iCs/>
                <w:sz w:val="14"/>
                <w:szCs w:val="14"/>
              </w:rPr>
              <w:t xml:space="preserve"> </w:t>
            </w:r>
            <w:r w:rsidR="003474F4" w:rsidRPr="002F2E59">
              <w:rPr>
                <w:b/>
                <w:iCs/>
                <w:sz w:val="14"/>
                <w:szCs w:val="14"/>
              </w:rPr>
              <w:t>1.4.1</w:t>
            </w:r>
            <w:r w:rsidR="003474F4" w:rsidRPr="002F2E59">
              <w:rPr>
                <w:sz w:val="14"/>
                <w:szCs w:val="14"/>
              </w:rPr>
              <w:t xml:space="preserve">: Number of organizations involved in civic education </w:t>
            </w:r>
            <w:r w:rsidR="00202EBB" w:rsidRPr="002F2E59">
              <w:rPr>
                <w:sz w:val="14"/>
                <w:szCs w:val="14"/>
              </w:rPr>
              <w:t>programmes and</w:t>
            </w:r>
            <w:r w:rsidR="003474F4" w:rsidRPr="002F2E59">
              <w:rPr>
                <w:sz w:val="14"/>
                <w:szCs w:val="14"/>
              </w:rPr>
              <w:t xml:space="preserve"> actively engaged in promoting electoral participation</w:t>
            </w:r>
          </w:p>
          <w:p w14:paraId="7F8721F5" w14:textId="7F4CD107" w:rsidR="003474F4" w:rsidRPr="002F2E59" w:rsidRDefault="003474F4" w:rsidP="00A84130">
            <w:pPr>
              <w:tabs>
                <w:tab w:val="left" w:pos="0"/>
              </w:tabs>
              <w:rPr>
                <w:iCs/>
                <w:sz w:val="14"/>
                <w:szCs w:val="14"/>
              </w:rPr>
            </w:pPr>
            <w:r w:rsidRPr="002F2E59">
              <w:rPr>
                <w:sz w:val="14"/>
                <w:szCs w:val="14"/>
              </w:rPr>
              <w:t>Baseline:</w:t>
            </w:r>
            <w:r w:rsidR="001E7228" w:rsidRPr="002F2E59">
              <w:rPr>
                <w:sz w:val="14"/>
                <w:szCs w:val="14"/>
              </w:rPr>
              <w:t xml:space="preserve"> </w:t>
            </w:r>
            <w:r w:rsidRPr="002F2E59">
              <w:rPr>
                <w:sz w:val="14"/>
                <w:szCs w:val="14"/>
              </w:rPr>
              <w:t>6; Target:</w:t>
            </w:r>
            <w:r w:rsidR="00476254" w:rsidRPr="002F2E59">
              <w:rPr>
                <w:sz w:val="14"/>
                <w:szCs w:val="14"/>
              </w:rPr>
              <w:t xml:space="preserve"> </w:t>
            </w:r>
            <w:r w:rsidRPr="002F2E59">
              <w:rPr>
                <w:sz w:val="14"/>
                <w:szCs w:val="14"/>
              </w:rPr>
              <w:t>10</w:t>
            </w:r>
            <w:r w:rsidRPr="002F2E59">
              <w:rPr>
                <w:iCs/>
                <w:sz w:val="14"/>
                <w:szCs w:val="14"/>
              </w:rPr>
              <w:t xml:space="preserve">; </w:t>
            </w:r>
            <w:r w:rsidRPr="002F2E59">
              <w:rPr>
                <w:sz w:val="14"/>
                <w:szCs w:val="14"/>
              </w:rPr>
              <w:t>Data source: Ministry of Justice/</w:t>
            </w:r>
            <w:r w:rsidR="007E79F6" w:rsidRPr="002F2E59">
              <w:rPr>
                <w:iCs/>
                <w:sz w:val="14"/>
                <w:szCs w:val="14"/>
              </w:rPr>
              <w:t>MATD/</w:t>
            </w:r>
            <w:r w:rsidRPr="002F2E59">
              <w:rPr>
                <w:iCs/>
                <w:sz w:val="14"/>
                <w:szCs w:val="14"/>
              </w:rPr>
              <w:t xml:space="preserve">Sectoral reports; </w:t>
            </w:r>
            <w:r w:rsidR="00B80FE8" w:rsidRPr="002F2E59">
              <w:rPr>
                <w:sz w:val="14"/>
                <w:szCs w:val="14"/>
              </w:rPr>
              <w:t>Frequency: Biennial</w:t>
            </w:r>
          </w:p>
          <w:p w14:paraId="7E2EBFE4" w14:textId="77777777" w:rsidR="003474F4" w:rsidRPr="002F2E59" w:rsidRDefault="003474F4" w:rsidP="00A84130">
            <w:pPr>
              <w:tabs>
                <w:tab w:val="left" w:pos="0"/>
              </w:tabs>
              <w:rPr>
                <w:b/>
                <w:iCs/>
                <w:sz w:val="14"/>
                <w:szCs w:val="14"/>
              </w:rPr>
            </w:pPr>
          </w:p>
          <w:p w14:paraId="628492D3" w14:textId="44F210D7" w:rsidR="003474F4" w:rsidRPr="002F2E59" w:rsidRDefault="007E79F6" w:rsidP="00A84130">
            <w:pPr>
              <w:tabs>
                <w:tab w:val="left" w:pos="0"/>
              </w:tabs>
              <w:rPr>
                <w:sz w:val="14"/>
                <w:szCs w:val="14"/>
              </w:rPr>
            </w:pPr>
            <w:r w:rsidRPr="002F2E59">
              <w:rPr>
                <w:b/>
                <w:iCs/>
                <w:sz w:val="14"/>
                <w:szCs w:val="14"/>
              </w:rPr>
              <w:t>Indicator</w:t>
            </w:r>
            <w:r w:rsidR="001E7228" w:rsidRPr="002F2E59">
              <w:rPr>
                <w:b/>
                <w:iCs/>
                <w:sz w:val="14"/>
                <w:szCs w:val="14"/>
              </w:rPr>
              <w:t xml:space="preserve"> </w:t>
            </w:r>
            <w:r w:rsidR="003474F4" w:rsidRPr="002F2E59">
              <w:rPr>
                <w:b/>
                <w:iCs/>
                <w:sz w:val="14"/>
                <w:szCs w:val="14"/>
              </w:rPr>
              <w:t xml:space="preserve">1.4.2: </w:t>
            </w:r>
            <w:r w:rsidR="003474F4" w:rsidRPr="002F2E59">
              <w:rPr>
                <w:iCs/>
                <w:sz w:val="14"/>
                <w:szCs w:val="14"/>
              </w:rPr>
              <w:t>Number of institutions/</w:t>
            </w:r>
            <w:r w:rsidR="00202EBB" w:rsidRPr="002F2E59">
              <w:rPr>
                <w:iCs/>
                <w:sz w:val="14"/>
                <w:szCs w:val="14"/>
              </w:rPr>
              <w:t>organizations</w:t>
            </w:r>
            <w:r w:rsidR="003474F4" w:rsidRPr="002F2E59">
              <w:rPr>
                <w:iCs/>
                <w:sz w:val="14"/>
                <w:szCs w:val="14"/>
              </w:rPr>
              <w:t xml:space="preserve"> with strengthened capacities in accountable management, monitoring and evaluation</w:t>
            </w:r>
          </w:p>
          <w:p w14:paraId="13019261" w14:textId="40FBE78A" w:rsidR="003474F4" w:rsidRPr="002F2E59" w:rsidRDefault="003474F4" w:rsidP="00A84130">
            <w:pPr>
              <w:tabs>
                <w:tab w:val="left" w:pos="0"/>
              </w:tabs>
              <w:rPr>
                <w:iCs/>
                <w:sz w:val="14"/>
                <w:szCs w:val="14"/>
              </w:rPr>
            </w:pPr>
            <w:r w:rsidRPr="002F2E59">
              <w:rPr>
                <w:iCs/>
                <w:sz w:val="14"/>
                <w:szCs w:val="14"/>
              </w:rPr>
              <w:t>Baseline:</w:t>
            </w:r>
            <w:r w:rsidR="001E7228" w:rsidRPr="002F2E59">
              <w:rPr>
                <w:iCs/>
                <w:sz w:val="14"/>
                <w:szCs w:val="14"/>
              </w:rPr>
              <w:t xml:space="preserve"> </w:t>
            </w:r>
            <w:r w:rsidRPr="002F2E59">
              <w:rPr>
                <w:iCs/>
                <w:sz w:val="14"/>
                <w:szCs w:val="14"/>
              </w:rPr>
              <w:t>3;</w:t>
            </w:r>
            <w:r w:rsidRPr="002F2E59">
              <w:rPr>
                <w:b/>
                <w:iCs/>
                <w:sz w:val="14"/>
                <w:szCs w:val="14"/>
              </w:rPr>
              <w:t xml:space="preserve"> </w:t>
            </w:r>
            <w:r w:rsidRPr="002F2E59">
              <w:rPr>
                <w:iCs/>
                <w:sz w:val="14"/>
                <w:szCs w:val="14"/>
              </w:rPr>
              <w:t>Target:</w:t>
            </w:r>
            <w:r w:rsidR="00476254" w:rsidRPr="002F2E59">
              <w:rPr>
                <w:iCs/>
                <w:sz w:val="14"/>
                <w:szCs w:val="14"/>
              </w:rPr>
              <w:t xml:space="preserve"> </w:t>
            </w:r>
            <w:r w:rsidRPr="002F2E59">
              <w:rPr>
                <w:iCs/>
                <w:sz w:val="14"/>
                <w:szCs w:val="14"/>
              </w:rPr>
              <w:t xml:space="preserve">10; </w:t>
            </w:r>
            <w:r w:rsidR="00456911" w:rsidRPr="002F2E59">
              <w:rPr>
                <w:sz w:val="14"/>
                <w:szCs w:val="14"/>
              </w:rPr>
              <w:t xml:space="preserve">Data source: </w:t>
            </w:r>
            <w:r w:rsidR="00B80FE8" w:rsidRPr="002F2E59">
              <w:rPr>
                <w:sz w:val="14"/>
                <w:szCs w:val="14"/>
              </w:rPr>
              <w:t>Frequency: Biennial</w:t>
            </w:r>
          </w:p>
          <w:p w14:paraId="3E595207" w14:textId="77777777" w:rsidR="003474F4" w:rsidRPr="002F2E59" w:rsidRDefault="003474F4" w:rsidP="00A84130">
            <w:pPr>
              <w:tabs>
                <w:tab w:val="left" w:pos="0"/>
              </w:tabs>
              <w:rPr>
                <w:sz w:val="14"/>
                <w:szCs w:val="14"/>
                <w:lang w:eastAsia="fr-FR"/>
              </w:rPr>
            </w:pPr>
          </w:p>
          <w:p w14:paraId="03ACB8A1" w14:textId="6CC4AA31" w:rsidR="003474F4" w:rsidRPr="002F2E59" w:rsidRDefault="007E79F6" w:rsidP="00A84130">
            <w:pPr>
              <w:tabs>
                <w:tab w:val="left" w:pos="0"/>
              </w:tabs>
              <w:rPr>
                <w:sz w:val="14"/>
                <w:szCs w:val="14"/>
              </w:rPr>
            </w:pPr>
            <w:r w:rsidRPr="002F2E59">
              <w:rPr>
                <w:b/>
                <w:iCs/>
                <w:sz w:val="14"/>
                <w:szCs w:val="14"/>
              </w:rPr>
              <w:t>Indicator</w:t>
            </w:r>
            <w:r w:rsidR="001E7228" w:rsidRPr="002F2E59">
              <w:rPr>
                <w:b/>
                <w:iCs/>
                <w:sz w:val="14"/>
                <w:szCs w:val="14"/>
              </w:rPr>
              <w:t xml:space="preserve"> </w:t>
            </w:r>
            <w:r w:rsidR="003474F4" w:rsidRPr="002F2E59">
              <w:rPr>
                <w:b/>
                <w:iCs/>
                <w:sz w:val="14"/>
                <w:szCs w:val="14"/>
              </w:rPr>
              <w:t xml:space="preserve">1.4.3: </w:t>
            </w:r>
            <w:r w:rsidR="003474F4" w:rsidRPr="002F2E59">
              <w:rPr>
                <w:sz w:val="14"/>
                <w:szCs w:val="14"/>
              </w:rPr>
              <w:t>Number of women participating as candidates in local and national elections supported by UNDP</w:t>
            </w:r>
          </w:p>
          <w:p w14:paraId="1433A30D" w14:textId="08D6E7DB" w:rsidR="003474F4" w:rsidRPr="002F2E59" w:rsidRDefault="00456911" w:rsidP="00A84130">
            <w:pPr>
              <w:tabs>
                <w:tab w:val="left" w:pos="0"/>
              </w:tabs>
              <w:rPr>
                <w:b/>
                <w:iCs/>
                <w:sz w:val="14"/>
                <w:szCs w:val="14"/>
              </w:rPr>
            </w:pPr>
            <w:r w:rsidRPr="002F2E59">
              <w:rPr>
                <w:iCs/>
                <w:sz w:val="14"/>
                <w:szCs w:val="14"/>
              </w:rPr>
              <w:t>Baseline:</w:t>
            </w:r>
            <w:r w:rsidR="001E7228" w:rsidRPr="002F2E59">
              <w:rPr>
                <w:iCs/>
                <w:sz w:val="14"/>
                <w:szCs w:val="14"/>
              </w:rPr>
              <w:t xml:space="preserve"> </w:t>
            </w:r>
            <w:r w:rsidR="003474F4" w:rsidRPr="002F2E59">
              <w:rPr>
                <w:iCs/>
                <w:sz w:val="14"/>
                <w:szCs w:val="14"/>
              </w:rPr>
              <w:t>35; Target:</w:t>
            </w:r>
            <w:r w:rsidR="00476254" w:rsidRPr="002F2E59">
              <w:rPr>
                <w:iCs/>
                <w:sz w:val="14"/>
                <w:szCs w:val="14"/>
              </w:rPr>
              <w:t xml:space="preserve"> </w:t>
            </w:r>
            <w:r w:rsidR="003474F4" w:rsidRPr="002F2E59">
              <w:rPr>
                <w:iCs/>
                <w:sz w:val="14"/>
                <w:szCs w:val="14"/>
              </w:rPr>
              <w:t xml:space="preserve">100; </w:t>
            </w:r>
            <w:r w:rsidRPr="002F2E59">
              <w:rPr>
                <w:sz w:val="14"/>
                <w:szCs w:val="14"/>
              </w:rPr>
              <w:t>Data source:</w:t>
            </w:r>
            <w:r w:rsidR="00D91A6C" w:rsidRPr="002F2E59">
              <w:rPr>
                <w:sz w:val="14"/>
                <w:szCs w:val="14"/>
              </w:rPr>
              <w:t xml:space="preserve"> </w:t>
            </w:r>
            <w:r w:rsidR="003474F4" w:rsidRPr="002F2E59">
              <w:rPr>
                <w:sz w:val="14"/>
                <w:szCs w:val="14"/>
              </w:rPr>
              <w:t xml:space="preserve">CENI </w:t>
            </w:r>
            <w:r w:rsidR="00B80FE8" w:rsidRPr="002F2E59">
              <w:rPr>
                <w:sz w:val="14"/>
                <w:szCs w:val="14"/>
              </w:rPr>
              <w:t>Frequency: Biennial</w:t>
            </w:r>
          </w:p>
        </w:tc>
        <w:tc>
          <w:tcPr>
            <w:tcW w:w="2774" w:type="dxa"/>
            <w:vMerge/>
            <w:tcBorders>
              <w:bottom w:val="single" w:sz="4" w:space="0" w:color="auto"/>
            </w:tcBorders>
          </w:tcPr>
          <w:p w14:paraId="1C02E3CB" w14:textId="77777777" w:rsidR="003474F4" w:rsidRPr="002F2E59" w:rsidRDefault="003474F4" w:rsidP="00A84130">
            <w:pPr>
              <w:tabs>
                <w:tab w:val="left" w:pos="0"/>
              </w:tabs>
              <w:jc w:val="both"/>
              <w:rPr>
                <w:sz w:val="14"/>
                <w:szCs w:val="14"/>
              </w:rPr>
            </w:pPr>
          </w:p>
        </w:tc>
        <w:tc>
          <w:tcPr>
            <w:tcW w:w="1423" w:type="dxa"/>
            <w:tcBorders>
              <w:bottom w:val="single" w:sz="4" w:space="0" w:color="auto"/>
            </w:tcBorders>
            <w:tcMar>
              <w:top w:w="15" w:type="dxa"/>
              <w:left w:w="108" w:type="dxa"/>
              <w:bottom w:w="0" w:type="dxa"/>
              <w:right w:w="108" w:type="dxa"/>
            </w:tcMar>
          </w:tcPr>
          <w:p w14:paraId="35E9B3D2" w14:textId="09CFD9E3" w:rsidR="003474F4" w:rsidRPr="002F2E59" w:rsidRDefault="00456911" w:rsidP="00A84130">
            <w:pPr>
              <w:tabs>
                <w:tab w:val="left" w:pos="0"/>
              </w:tabs>
              <w:rPr>
                <w:sz w:val="14"/>
                <w:szCs w:val="14"/>
              </w:rPr>
            </w:pPr>
            <w:r w:rsidRPr="002F2E59">
              <w:rPr>
                <w:b/>
                <w:sz w:val="14"/>
                <w:szCs w:val="14"/>
              </w:rPr>
              <w:t>Regular:</w:t>
            </w:r>
            <w:r w:rsidR="00476254" w:rsidRPr="002F2E59">
              <w:rPr>
                <w:b/>
                <w:sz w:val="14"/>
                <w:szCs w:val="14"/>
              </w:rPr>
              <w:t xml:space="preserve"> </w:t>
            </w:r>
            <w:r w:rsidR="003474F4" w:rsidRPr="002F2E59">
              <w:rPr>
                <w:b/>
                <w:sz w:val="14"/>
                <w:szCs w:val="14"/>
              </w:rPr>
              <w:t>3</w:t>
            </w:r>
            <w:r w:rsidR="00476254" w:rsidRPr="002F2E59">
              <w:rPr>
                <w:b/>
                <w:sz w:val="14"/>
                <w:szCs w:val="14"/>
              </w:rPr>
              <w:t>,</w:t>
            </w:r>
            <w:r w:rsidR="00F345E5" w:rsidRPr="002F2E59">
              <w:rPr>
                <w:b/>
                <w:sz w:val="14"/>
                <w:szCs w:val="14"/>
              </w:rPr>
              <w:t>105,194</w:t>
            </w:r>
          </w:p>
          <w:p w14:paraId="61A4474B" w14:textId="77777777" w:rsidR="003474F4" w:rsidRPr="002F2E59" w:rsidRDefault="003474F4" w:rsidP="00A84130">
            <w:pPr>
              <w:tabs>
                <w:tab w:val="left" w:pos="0"/>
              </w:tabs>
              <w:rPr>
                <w:sz w:val="14"/>
                <w:szCs w:val="14"/>
              </w:rPr>
            </w:pPr>
          </w:p>
          <w:p w14:paraId="764FF770" w14:textId="247A3D5A" w:rsidR="003474F4" w:rsidRPr="002F2E59" w:rsidRDefault="00202EBB" w:rsidP="00A84130">
            <w:pPr>
              <w:tabs>
                <w:tab w:val="left" w:pos="0"/>
              </w:tabs>
              <w:rPr>
                <w:b/>
                <w:sz w:val="14"/>
                <w:szCs w:val="14"/>
              </w:rPr>
            </w:pPr>
            <w:r w:rsidRPr="002F2E59">
              <w:rPr>
                <w:b/>
                <w:sz w:val="14"/>
                <w:szCs w:val="14"/>
              </w:rPr>
              <w:t>Other: 10,086,450</w:t>
            </w:r>
          </w:p>
        </w:tc>
      </w:tr>
      <w:tr w:rsidR="003474F4" w:rsidRPr="002F2E59" w14:paraId="1A77FFC4" w14:textId="77777777" w:rsidTr="001D3FBF">
        <w:trPr>
          <w:jc w:val="center"/>
        </w:trPr>
        <w:tc>
          <w:tcPr>
            <w:tcW w:w="13579" w:type="dxa"/>
            <w:gridSpan w:val="5"/>
            <w:shd w:val="clear" w:color="auto" w:fill="auto"/>
            <w:tcMar>
              <w:top w:w="72" w:type="dxa"/>
              <w:left w:w="144" w:type="dxa"/>
              <w:bottom w:w="72" w:type="dxa"/>
              <w:right w:w="144" w:type="dxa"/>
            </w:tcMar>
          </w:tcPr>
          <w:p w14:paraId="15453110" w14:textId="77777777" w:rsidR="003474F4" w:rsidRPr="002F2E59" w:rsidRDefault="003474F4" w:rsidP="00A84130">
            <w:pPr>
              <w:tabs>
                <w:tab w:val="left" w:pos="0"/>
              </w:tabs>
              <w:jc w:val="both"/>
              <w:rPr>
                <w:b/>
                <w:sz w:val="14"/>
                <w:szCs w:val="14"/>
              </w:rPr>
            </w:pPr>
            <w:r w:rsidRPr="002F2E59">
              <w:rPr>
                <w:b/>
                <w:bCs/>
                <w:sz w:val="14"/>
                <w:szCs w:val="14"/>
              </w:rPr>
              <w:t>NATIONAL PRIORITY OR GOAL</w:t>
            </w:r>
            <w:r w:rsidRPr="002F2E59">
              <w:rPr>
                <w:b/>
                <w:sz w:val="14"/>
                <w:szCs w:val="14"/>
              </w:rPr>
              <w:t>: Economic transformation and sustainable management of the natural capital</w:t>
            </w:r>
          </w:p>
        </w:tc>
      </w:tr>
      <w:tr w:rsidR="003474F4" w:rsidRPr="002F2E59" w14:paraId="5BB7A1CD" w14:textId="77777777" w:rsidTr="001D3FBF">
        <w:trPr>
          <w:jc w:val="center"/>
        </w:trPr>
        <w:tc>
          <w:tcPr>
            <w:tcW w:w="13579" w:type="dxa"/>
            <w:gridSpan w:val="5"/>
            <w:shd w:val="clear" w:color="auto" w:fill="auto"/>
            <w:tcMar>
              <w:top w:w="72" w:type="dxa"/>
              <w:left w:w="144" w:type="dxa"/>
              <w:bottom w:w="72" w:type="dxa"/>
              <w:right w:w="144" w:type="dxa"/>
            </w:tcMar>
          </w:tcPr>
          <w:p w14:paraId="089BCA96" w14:textId="25EED9D9" w:rsidR="003474F4" w:rsidRPr="002F2E59" w:rsidRDefault="003474F4" w:rsidP="00A84130">
            <w:pPr>
              <w:tabs>
                <w:tab w:val="left" w:pos="0"/>
              </w:tabs>
              <w:jc w:val="both"/>
              <w:rPr>
                <w:b/>
                <w:sz w:val="14"/>
                <w:szCs w:val="14"/>
              </w:rPr>
            </w:pPr>
            <w:r w:rsidRPr="002F2E59">
              <w:rPr>
                <w:b/>
                <w:bCs/>
                <w:sz w:val="14"/>
                <w:szCs w:val="14"/>
              </w:rPr>
              <w:t>UNDAF OUTCOME INVOLVING UNDP,</w:t>
            </w:r>
            <w:r w:rsidRPr="002F2E59">
              <w:rPr>
                <w:sz w:val="14"/>
                <w:szCs w:val="14"/>
              </w:rPr>
              <w:t xml:space="preserve"> </w:t>
            </w:r>
            <w:r w:rsidR="00352CD1" w:rsidRPr="002F2E59">
              <w:rPr>
                <w:b/>
                <w:sz w:val="14"/>
                <w:szCs w:val="14"/>
              </w:rPr>
              <w:t>Outcome</w:t>
            </w:r>
            <w:r w:rsidR="001E7228" w:rsidRPr="002F2E59">
              <w:rPr>
                <w:b/>
                <w:sz w:val="14"/>
                <w:szCs w:val="14"/>
              </w:rPr>
              <w:t xml:space="preserve"> </w:t>
            </w:r>
            <w:r w:rsidRPr="002F2E59">
              <w:rPr>
                <w:b/>
                <w:sz w:val="14"/>
                <w:szCs w:val="14"/>
              </w:rPr>
              <w:t>2:  By 2022, the national institutions, civil society and the private sector will have implemented the policies that improve food security, sustainable management of environment, resilience of populations to climate change and disaster risk management</w:t>
            </w:r>
          </w:p>
        </w:tc>
      </w:tr>
      <w:tr w:rsidR="003474F4" w:rsidRPr="002F2E59" w14:paraId="25BD2093" w14:textId="77777777" w:rsidTr="001D3FBF">
        <w:trPr>
          <w:jc w:val="center"/>
        </w:trPr>
        <w:tc>
          <w:tcPr>
            <w:tcW w:w="13579" w:type="dxa"/>
            <w:gridSpan w:val="5"/>
            <w:shd w:val="clear" w:color="auto" w:fill="auto"/>
            <w:tcMar>
              <w:top w:w="72" w:type="dxa"/>
              <w:left w:w="144" w:type="dxa"/>
              <w:bottom w:w="72" w:type="dxa"/>
              <w:right w:w="144" w:type="dxa"/>
            </w:tcMar>
          </w:tcPr>
          <w:p w14:paraId="2EC70FFD" w14:textId="69F9C9A4" w:rsidR="003474F4" w:rsidRPr="002F2E59" w:rsidRDefault="003474F4" w:rsidP="00A84130">
            <w:pPr>
              <w:tabs>
                <w:tab w:val="left" w:pos="0"/>
              </w:tabs>
              <w:jc w:val="both"/>
              <w:rPr>
                <w:b/>
                <w:bCs/>
                <w:sz w:val="14"/>
                <w:szCs w:val="14"/>
              </w:rPr>
            </w:pPr>
            <w:r w:rsidRPr="002F2E59">
              <w:rPr>
                <w:b/>
                <w:bCs/>
                <w:sz w:val="14"/>
                <w:szCs w:val="14"/>
              </w:rPr>
              <w:t xml:space="preserve">RELATED STRATEGIC PLAN OUTCOME: </w:t>
            </w:r>
            <w:r w:rsidR="00352CD1" w:rsidRPr="002F2E59">
              <w:rPr>
                <w:b/>
                <w:sz w:val="14"/>
                <w:szCs w:val="14"/>
              </w:rPr>
              <w:t>Outcome</w:t>
            </w:r>
            <w:r w:rsidR="001E7228" w:rsidRPr="002F2E59">
              <w:rPr>
                <w:b/>
                <w:sz w:val="14"/>
                <w:szCs w:val="14"/>
              </w:rPr>
              <w:t xml:space="preserve"> </w:t>
            </w:r>
            <w:r w:rsidR="007E79F6" w:rsidRPr="002F2E59">
              <w:rPr>
                <w:b/>
                <w:sz w:val="14"/>
                <w:szCs w:val="14"/>
              </w:rPr>
              <w:t xml:space="preserve">1: </w:t>
            </w:r>
            <w:r w:rsidRPr="002F2E59">
              <w:rPr>
                <w:b/>
                <w:sz w:val="14"/>
                <w:szCs w:val="14"/>
              </w:rPr>
              <w:t>Growth and development are inclusive and sustainable, incorporating productive capacities that create employment and livelihoods for the poor and excluded.</w:t>
            </w:r>
          </w:p>
        </w:tc>
      </w:tr>
      <w:tr w:rsidR="00610A93" w:rsidRPr="002F2E59" w14:paraId="4B9C14AA" w14:textId="77777777" w:rsidTr="001D3FBF">
        <w:trPr>
          <w:jc w:val="center"/>
        </w:trPr>
        <w:tc>
          <w:tcPr>
            <w:tcW w:w="2723" w:type="dxa"/>
            <w:vMerge w:val="restart"/>
            <w:tcMar>
              <w:top w:w="72" w:type="dxa"/>
              <w:left w:w="144" w:type="dxa"/>
              <w:bottom w:w="72" w:type="dxa"/>
              <w:right w:w="144" w:type="dxa"/>
            </w:tcMar>
          </w:tcPr>
          <w:p w14:paraId="63975BB3" w14:textId="6803632A" w:rsidR="003474F4" w:rsidRPr="002F2E59" w:rsidRDefault="00274B8F" w:rsidP="00A84130">
            <w:pPr>
              <w:tabs>
                <w:tab w:val="left" w:pos="0"/>
              </w:tabs>
              <w:rPr>
                <w:b/>
                <w:sz w:val="14"/>
                <w:szCs w:val="14"/>
              </w:rPr>
            </w:pPr>
            <w:r w:rsidRPr="002F2E59">
              <w:rPr>
                <w:b/>
                <w:bCs/>
                <w:sz w:val="14"/>
                <w:szCs w:val="14"/>
              </w:rPr>
              <w:t>Indicator</w:t>
            </w:r>
            <w:r w:rsidR="00B80FE8" w:rsidRPr="002F2E59">
              <w:rPr>
                <w:b/>
                <w:bCs/>
                <w:sz w:val="14"/>
                <w:szCs w:val="14"/>
              </w:rPr>
              <w:t xml:space="preserve"> 2.1</w:t>
            </w:r>
            <w:r w:rsidR="001E7228" w:rsidRPr="002F2E59">
              <w:rPr>
                <w:b/>
                <w:bCs/>
                <w:sz w:val="14"/>
                <w:szCs w:val="14"/>
              </w:rPr>
              <w:t xml:space="preserve"> and </w:t>
            </w:r>
            <w:r w:rsidR="003474F4" w:rsidRPr="002F2E59">
              <w:rPr>
                <w:b/>
                <w:bCs/>
                <w:sz w:val="14"/>
                <w:szCs w:val="14"/>
              </w:rPr>
              <w:t>2.2:</w:t>
            </w:r>
            <w:r w:rsidR="003474F4" w:rsidRPr="002F2E59">
              <w:rPr>
                <w:b/>
                <w:iCs/>
                <w:sz w:val="14"/>
                <w:szCs w:val="14"/>
              </w:rPr>
              <w:t xml:space="preserve"> </w:t>
            </w:r>
            <w:r w:rsidR="003474F4" w:rsidRPr="002F2E59">
              <w:rPr>
                <w:b/>
                <w:sz w:val="14"/>
                <w:szCs w:val="14"/>
              </w:rPr>
              <w:t xml:space="preserve">Unemployment rate of women. </w:t>
            </w:r>
          </w:p>
          <w:p w14:paraId="40A5D9FD" w14:textId="77777777" w:rsidR="003474F4" w:rsidRPr="002F2E59" w:rsidRDefault="003474F4" w:rsidP="00A84130">
            <w:pPr>
              <w:tabs>
                <w:tab w:val="left" w:pos="0"/>
              </w:tabs>
              <w:rPr>
                <w:bCs/>
                <w:sz w:val="14"/>
                <w:szCs w:val="14"/>
              </w:rPr>
            </w:pPr>
            <w:r w:rsidRPr="002F2E59">
              <w:rPr>
                <w:bCs/>
                <w:sz w:val="14"/>
                <w:szCs w:val="14"/>
              </w:rPr>
              <w:t>Baseline:3,9</w:t>
            </w:r>
          </w:p>
          <w:p w14:paraId="35A89155" w14:textId="77777777" w:rsidR="003474F4" w:rsidRPr="002F2E59" w:rsidRDefault="00456911" w:rsidP="00A84130">
            <w:pPr>
              <w:tabs>
                <w:tab w:val="left" w:pos="0"/>
              </w:tabs>
              <w:rPr>
                <w:bCs/>
                <w:sz w:val="14"/>
                <w:szCs w:val="14"/>
              </w:rPr>
            </w:pPr>
            <w:r w:rsidRPr="002F2E59">
              <w:rPr>
                <w:bCs/>
                <w:sz w:val="14"/>
                <w:szCs w:val="14"/>
              </w:rPr>
              <w:t>Target:</w:t>
            </w:r>
            <w:r w:rsidR="003474F4" w:rsidRPr="002F2E59">
              <w:rPr>
                <w:bCs/>
                <w:sz w:val="14"/>
                <w:szCs w:val="14"/>
              </w:rPr>
              <w:t>1,90</w:t>
            </w:r>
          </w:p>
          <w:p w14:paraId="01FF4874" w14:textId="77777777" w:rsidR="003474F4" w:rsidRPr="002F2E59" w:rsidRDefault="003474F4" w:rsidP="00A84130">
            <w:pPr>
              <w:tabs>
                <w:tab w:val="left" w:pos="0"/>
              </w:tabs>
              <w:ind w:left="720"/>
              <w:rPr>
                <w:bCs/>
                <w:sz w:val="14"/>
                <w:szCs w:val="14"/>
              </w:rPr>
            </w:pPr>
          </w:p>
          <w:p w14:paraId="398B3347" w14:textId="31FDC2B9" w:rsidR="003474F4" w:rsidRPr="002F2E59" w:rsidRDefault="003474F4" w:rsidP="00A84130">
            <w:pPr>
              <w:tabs>
                <w:tab w:val="left" w:pos="0"/>
              </w:tabs>
              <w:rPr>
                <w:b/>
                <w:sz w:val="14"/>
                <w:szCs w:val="14"/>
              </w:rPr>
            </w:pPr>
            <w:r w:rsidRPr="002F2E59">
              <w:rPr>
                <w:b/>
                <w:bCs/>
                <w:sz w:val="14"/>
                <w:szCs w:val="14"/>
              </w:rPr>
              <w:t>Indic</w:t>
            </w:r>
            <w:r w:rsidR="00352CD1" w:rsidRPr="002F2E59">
              <w:rPr>
                <w:b/>
                <w:bCs/>
                <w:sz w:val="14"/>
                <w:szCs w:val="14"/>
              </w:rPr>
              <w:t>ator</w:t>
            </w:r>
            <w:r w:rsidR="001E7228" w:rsidRPr="002F2E59">
              <w:rPr>
                <w:b/>
                <w:bCs/>
                <w:sz w:val="14"/>
                <w:szCs w:val="14"/>
              </w:rPr>
              <w:t xml:space="preserve"> </w:t>
            </w:r>
            <w:r w:rsidR="00352CD1" w:rsidRPr="002F2E59">
              <w:rPr>
                <w:b/>
                <w:bCs/>
                <w:sz w:val="14"/>
                <w:szCs w:val="14"/>
              </w:rPr>
              <w:t>2.1</w:t>
            </w:r>
            <w:r w:rsidR="001E7228" w:rsidRPr="002F2E59">
              <w:rPr>
                <w:b/>
                <w:bCs/>
                <w:sz w:val="14"/>
                <w:szCs w:val="14"/>
              </w:rPr>
              <w:t xml:space="preserve"> and </w:t>
            </w:r>
            <w:r w:rsidRPr="002F2E59">
              <w:rPr>
                <w:b/>
                <w:bCs/>
                <w:sz w:val="14"/>
                <w:szCs w:val="14"/>
              </w:rPr>
              <w:t>2.2</w:t>
            </w:r>
            <w:r w:rsidRPr="002F2E59">
              <w:rPr>
                <w:b/>
                <w:sz w:val="14"/>
                <w:szCs w:val="14"/>
              </w:rPr>
              <w:t>Youth unemployment rate</w:t>
            </w:r>
          </w:p>
          <w:p w14:paraId="2C3AF9EC" w14:textId="46E3D835" w:rsidR="003474F4" w:rsidRPr="002F2E59" w:rsidRDefault="003474F4" w:rsidP="00A84130">
            <w:pPr>
              <w:tabs>
                <w:tab w:val="left" w:pos="0"/>
              </w:tabs>
              <w:rPr>
                <w:bCs/>
                <w:sz w:val="14"/>
                <w:szCs w:val="14"/>
              </w:rPr>
            </w:pPr>
            <w:r w:rsidRPr="002F2E59">
              <w:rPr>
                <w:bCs/>
                <w:sz w:val="14"/>
                <w:szCs w:val="14"/>
              </w:rPr>
              <w:t>Baseline:</w:t>
            </w:r>
            <w:r w:rsidR="001E7228" w:rsidRPr="002F2E59">
              <w:rPr>
                <w:bCs/>
                <w:sz w:val="14"/>
                <w:szCs w:val="14"/>
              </w:rPr>
              <w:t xml:space="preserve"> </w:t>
            </w:r>
            <w:r w:rsidRPr="002F2E59">
              <w:rPr>
                <w:bCs/>
                <w:sz w:val="14"/>
                <w:szCs w:val="14"/>
              </w:rPr>
              <w:t>7,3</w:t>
            </w:r>
          </w:p>
          <w:p w14:paraId="6D929604" w14:textId="2DEA4A10" w:rsidR="003474F4" w:rsidRPr="002F2E59" w:rsidRDefault="00456911" w:rsidP="00A84130">
            <w:pPr>
              <w:tabs>
                <w:tab w:val="left" w:pos="0"/>
              </w:tabs>
              <w:rPr>
                <w:bCs/>
                <w:sz w:val="14"/>
                <w:szCs w:val="14"/>
              </w:rPr>
            </w:pPr>
            <w:r w:rsidRPr="002F2E59">
              <w:rPr>
                <w:bCs/>
                <w:sz w:val="14"/>
                <w:szCs w:val="14"/>
              </w:rPr>
              <w:t>Target:</w:t>
            </w:r>
            <w:r w:rsidR="001E7228" w:rsidRPr="002F2E59">
              <w:rPr>
                <w:bCs/>
                <w:sz w:val="14"/>
                <w:szCs w:val="14"/>
              </w:rPr>
              <w:t xml:space="preserve"> </w:t>
            </w:r>
            <w:r w:rsidR="003474F4" w:rsidRPr="002F2E59">
              <w:rPr>
                <w:bCs/>
                <w:sz w:val="14"/>
                <w:szCs w:val="14"/>
              </w:rPr>
              <w:t>5,30</w:t>
            </w:r>
          </w:p>
          <w:p w14:paraId="1F491248" w14:textId="77777777" w:rsidR="003474F4" w:rsidRPr="002F2E59" w:rsidRDefault="003474F4" w:rsidP="00A84130">
            <w:pPr>
              <w:tabs>
                <w:tab w:val="left" w:pos="0"/>
              </w:tabs>
              <w:rPr>
                <w:b/>
                <w:sz w:val="14"/>
                <w:szCs w:val="14"/>
              </w:rPr>
            </w:pPr>
          </w:p>
          <w:p w14:paraId="514F054F" w14:textId="42D54C75" w:rsidR="003474F4" w:rsidRPr="002F2E59" w:rsidRDefault="00352CD1" w:rsidP="00A84130">
            <w:pPr>
              <w:tabs>
                <w:tab w:val="left" w:pos="0"/>
              </w:tabs>
              <w:rPr>
                <w:bCs/>
                <w:sz w:val="14"/>
                <w:szCs w:val="14"/>
              </w:rPr>
            </w:pPr>
            <w:r w:rsidRPr="002F2E59">
              <w:rPr>
                <w:b/>
                <w:bCs/>
                <w:sz w:val="14"/>
                <w:szCs w:val="14"/>
              </w:rPr>
              <w:lastRenderedPageBreak/>
              <w:t>Indicator</w:t>
            </w:r>
            <w:r w:rsidR="001E7228" w:rsidRPr="002F2E59">
              <w:rPr>
                <w:b/>
                <w:bCs/>
                <w:sz w:val="14"/>
                <w:szCs w:val="14"/>
              </w:rPr>
              <w:t xml:space="preserve"> </w:t>
            </w:r>
            <w:r w:rsidRPr="002F2E59">
              <w:rPr>
                <w:b/>
                <w:bCs/>
                <w:sz w:val="14"/>
                <w:szCs w:val="14"/>
              </w:rPr>
              <w:t>2.1</w:t>
            </w:r>
            <w:r w:rsidR="001E7228" w:rsidRPr="002F2E59">
              <w:rPr>
                <w:b/>
                <w:bCs/>
                <w:sz w:val="14"/>
                <w:szCs w:val="14"/>
              </w:rPr>
              <w:t xml:space="preserve"> and </w:t>
            </w:r>
            <w:r w:rsidR="003474F4" w:rsidRPr="002F2E59">
              <w:rPr>
                <w:b/>
                <w:bCs/>
                <w:sz w:val="14"/>
                <w:szCs w:val="14"/>
              </w:rPr>
              <w:t xml:space="preserve">2.2: </w:t>
            </w:r>
            <w:r w:rsidR="003474F4" w:rsidRPr="002F2E59">
              <w:rPr>
                <w:b/>
                <w:sz w:val="14"/>
                <w:szCs w:val="14"/>
              </w:rPr>
              <w:t>Unemployment rate of people living with disabilities</w:t>
            </w:r>
          </w:p>
          <w:p w14:paraId="5F8B8788" w14:textId="77777777" w:rsidR="003474F4" w:rsidRPr="002F2E59" w:rsidRDefault="003474F4" w:rsidP="00A84130">
            <w:pPr>
              <w:tabs>
                <w:tab w:val="left" w:pos="0"/>
              </w:tabs>
              <w:rPr>
                <w:bCs/>
                <w:sz w:val="14"/>
                <w:szCs w:val="14"/>
              </w:rPr>
            </w:pPr>
            <w:r w:rsidRPr="002F2E59">
              <w:rPr>
                <w:bCs/>
                <w:sz w:val="14"/>
                <w:szCs w:val="14"/>
              </w:rPr>
              <w:t>Baseline:7</w:t>
            </w:r>
          </w:p>
          <w:p w14:paraId="06DB5276" w14:textId="77777777" w:rsidR="003474F4" w:rsidRPr="002F2E59" w:rsidRDefault="003474F4" w:rsidP="00A84130">
            <w:pPr>
              <w:tabs>
                <w:tab w:val="left" w:pos="0"/>
              </w:tabs>
              <w:rPr>
                <w:bCs/>
                <w:sz w:val="14"/>
                <w:szCs w:val="14"/>
              </w:rPr>
            </w:pPr>
            <w:r w:rsidRPr="002F2E59">
              <w:rPr>
                <w:bCs/>
                <w:sz w:val="14"/>
                <w:szCs w:val="14"/>
              </w:rPr>
              <w:t>Target</w:t>
            </w:r>
            <w:r w:rsidR="00456911" w:rsidRPr="002F2E59">
              <w:rPr>
                <w:bCs/>
                <w:sz w:val="14"/>
                <w:szCs w:val="14"/>
              </w:rPr>
              <w:t> </w:t>
            </w:r>
            <w:r w:rsidR="00B80FE8" w:rsidRPr="002F2E59">
              <w:rPr>
                <w:bCs/>
                <w:sz w:val="14"/>
                <w:szCs w:val="14"/>
              </w:rPr>
              <w:t>: 5</w:t>
            </w:r>
          </w:p>
          <w:p w14:paraId="26F73B7B" w14:textId="34561D02" w:rsidR="003474F4" w:rsidRPr="002F2E59" w:rsidRDefault="003474F4" w:rsidP="00A84130">
            <w:pPr>
              <w:tabs>
                <w:tab w:val="left" w:pos="0"/>
              </w:tabs>
              <w:rPr>
                <w:bCs/>
                <w:sz w:val="14"/>
                <w:szCs w:val="14"/>
              </w:rPr>
            </w:pPr>
          </w:p>
          <w:p w14:paraId="75B1A384" w14:textId="77777777" w:rsidR="003474F4" w:rsidRPr="002F2E59" w:rsidRDefault="003474F4" w:rsidP="00A84130">
            <w:pPr>
              <w:tabs>
                <w:tab w:val="left" w:pos="0"/>
              </w:tabs>
              <w:ind w:left="720"/>
              <w:rPr>
                <w:iCs/>
                <w:sz w:val="14"/>
                <w:szCs w:val="14"/>
              </w:rPr>
            </w:pPr>
          </w:p>
          <w:p w14:paraId="3ADAE3E2" w14:textId="50BE3AD4" w:rsidR="003474F4" w:rsidRPr="002F2E59" w:rsidRDefault="00D01E7C" w:rsidP="00A84130">
            <w:pPr>
              <w:tabs>
                <w:tab w:val="left" w:pos="0"/>
              </w:tabs>
              <w:rPr>
                <w:b/>
                <w:iCs/>
                <w:sz w:val="14"/>
                <w:szCs w:val="14"/>
              </w:rPr>
            </w:pPr>
            <w:r w:rsidRPr="002F2E59">
              <w:rPr>
                <w:b/>
                <w:bCs/>
                <w:sz w:val="14"/>
                <w:szCs w:val="14"/>
              </w:rPr>
              <w:t>Indicator</w:t>
            </w:r>
            <w:r w:rsidR="001E7228" w:rsidRPr="002F2E59">
              <w:rPr>
                <w:b/>
                <w:bCs/>
                <w:sz w:val="14"/>
                <w:szCs w:val="14"/>
              </w:rPr>
              <w:t xml:space="preserve"> </w:t>
            </w:r>
            <w:r w:rsidR="003474F4" w:rsidRPr="002F2E59">
              <w:rPr>
                <w:b/>
                <w:bCs/>
                <w:sz w:val="14"/>
                <w:szCs w:val="14"/>
              </w:rPr>
              <w:t>2.2 b:</w:t>
            </w:r>
            <w:r w:rsidR="003474F4" w:rsidRPr="002F2E59">
              <w:rPr>
                <w:b/>
                <w:iCs/>
                <w:sz w:val="14"/>
                <w:szCs w:val="14"/>
              </w:rPr>
              <w:t xml:space="preserve"> Rate of wage-earning women and youth in non-agricultural employment</w:t>
            </w:r>
          </w:p>
          <w:p w14:paraId="7A652259" w14:textId="1250F371" w:rsidR="003474F4" w:rsidRPr="002F2E59" w:rsidRDefault="003474F4" w:rsidP="00A84130">
            <w:pPr>
              <w:tabs>
                <w:tab w:val="left" w:pos="0"/>
              </w:tabs>
              <w:rPr>
                <w:bCs/>
                <w:sz w:val="14"/>
                <w:szCs w:val="14"/>
              </w:rPr>
            </w:pPr>
            <w:r w:rsidRPr="002F2E59">
              <w:rPr>
                <w:bCs/>
                <w:sz w:val="14"/>
                <w:szCs w:val="14"/>
              </w:rPr>
              <w:t>Baseline:</w:t>
            </w:r>
            <w:r w:rsidR="001E7228" w:rsidRPr="002F2E59">
              <w:rPr>
                <w:bCs/>
                <w:sz w:val="14"/>
                <w:szCs w:val="14"/>
              </w:rPr>
              <w:t xml:space="preserve"> </w:t>
            </w:r>
            <w:r w:rsidRPr="002F2E59">
              <w:rPr>
                <w:bCs/>
                <w:sz w:val="14"/>
                <w:szCs w:val="14"/>
              </w:rPr>
              <w:t>27,7%</w:t>
            </w:r>
          </w:p>
          <w:p w14:paraId="14E3BAF4" w14:textId="58D93AD8" w:rsidR="003474F4" w:rsidRPr="002F2E59" w:rsidRDefault="003474F4" w:rsidP="00A84130">
            <w:pPr>
              <w:tabs>
                <w:tab w:val="left" w:pos="0"/>
              </w:tabs>
              <w:rPr>
                <w:bCs/>
                <w:sz w:val="14"/>
                <w:szCs w:val="14"/>
              </w:rPr>
            </w:pPr>
            <w:r w:rsidRPr="002F2E59">
              <w:rPr>
                <w:bCs/>
                <w:sz w:val="14"/>
                <w:szCs w:val="14"/>
              </w:rPr>
              <w:t>Target</w:t>
            </w:r>
            <w:r w:rsidR="001E7228" w:rsidRPr="002F2E59">
              <w:rPr>
                <w:bCs/>
                <w:sz w:val="14"/>
                <w:szCs w:val="14"/>
              </w:rPr>
              <w:t xml:space="preserve"> </w:t>
            </w:r>
            <w:r w:rsidRPr="002F2E59">
              <w:rPr>
                <w:bCs/>
                <w:sz w:val="14"/>
                <w:szCs w:val="14"/>
              </w:rPr>
              <w:t>(2022)</w:t>
            </w:r>
            <w:r w:rsidR="001E7228" w:rsidRPr="002F2E59">
              <w:rPr>
                <w:bCs/>
                <w:sz w:val="14"/>
                <w:szCs w:val="14"/>
              </w:rPr>
              <w:t xml:space="preserve"> </w:t>
            </w:r>
            <w:r w:rsidRPr="002F2E59">
              <w:rPr>
                <w:bCs/>
                <w:sz w:val="14"/>
                <w:szCs w:val="14"/>
              </w:rPr>
              <w:t>:40%</w:t>
            </w:r>
          </w:p>
          <w:p w14:paraId="19678BFD" w14:textId="77777777" w:rsidR="003474F4" w:rsidRPr="002F2E59" w:rsidRDefault="003474F4" w:rsidP="00A84130">
            <w:pPr>
              <w:tabs>
                <w:tab w:val="left" w:pos="0"/>
              </w:tabs>
              <w:ind w:left="720"/>
              <w:rPr>
                <w:iCs/>
                <w:sz w:val="14"/>
                <w:szCs w:val="14"/>
              </w:rPr>
            </w:pPr>
          </w:p>
          <w:p w14:paraId="34721665" w14:textId="77777777" w:rsidR="003474F4" w:rsidRPr="002F2E59" w:rsidRDefault="003474F4" w:rsidP="00A84130">
            <w:pPr>
              <w:tabs>
                <w:tab w:val="left" w:pos="0"/>
              </w:tabs>
              <w:ind w:left="720"/>
              <w:rPr>
                <w:iCs/>
                <w:sz w:val="14"/>
                <w:szCs w:val="14"/>
              </w:rPr>
            </w:pPr>
          </w:p>
          <w:p w14:paraId="17D1DDFC" w14:textId="77777777" w:rsidR="003474F4" w:rsidRPr="002F2E59" w:rsidRDefault="003474F4" w:rsidP="00A84130">
            <w:pPr>
              <w:tabs>
                <w:tab w:val="left" w:pos="0"/>
              </w:tabs>
              <w:ind w:left="720"/>
              <w:rPr>
                <w:iCs/>
                <w:sz w:val="14"/>
                <w:szCs w:val="14"/>
              </w:rPr>
            </w:pPr>
          </w:p>
          <w:p w14:paraId="693DD659" w14:textId="77777777" w:rsidR="003474F4" w:rsidRPr="002F2E59" w:rsidRDefault="003474F4" w:rsidP="00A84130">
            <w:pPr>
              <w:tabs>
                <w:tab w:val="left" w:pos="0"/>
              </w:tabs>
              <w:ind w:left="720"/>
              <w:rPr>
                <w:iCs/>
                <w:sz w:val="14"/>
                <w:szCs w:val="14"/>
              </w:rPr>
            </w:pPr>
          </w:p>
          <w:p w14:paraId="04551151" w14:textId="77777777" w:rsidR="003474F4" w:rsidRPr="002F2E59" w:rsidRDefault="003474F4" w:rsidP="00A84130">
            <w:pPr>
              <w:tabs>
                <w:tab w:val="left" w:pos="0"/>
              </w:tabs>
              <w:ind w:left="720"/>
              <w:rPr>
                <w:iCs/>
                <w:sz w:val="14"/>
                <w:szCs w:val="14"/>
              </w:rPr>
            </w:pPr>
          </w:p>
          <w:p w14:paraId="4E860300" w14:textId="77777777" w:rsidR="003474F4" w:rsidRPr="002F2E59" w:rsidRDefault="003474F4" w:rsidP="00A84130">
            <w:pPr>
              <w:tabs>
                <w:tab w:val="left" w:pos="0"/>
              </w:tabs>
              <w:ind w:left="720"/>
              <w:rPr>
                <w:iCs/>
                <w:sz w:val="14"/>
                <w:szCs w:val="14"/>
              </w:rPr>
            </w:pPr>
          </w:p>
          <w:p w14:paraId="062E0825" w14:textId="77777777" w:rsidR="003474F4" w:rsidRPr="002F2E59" w:rsidRDefault="003474F4" w:rsidP="00A84130">
            <w:pPr>
              <w:tabs>
                <w:tab w:val="left" w:pos="0"/>
              </w:tabs>
              <w:ind w:left="720"/>
              <w:rPr>
                <w:iCs/>
                <w:sz w:val="14"/>
                <w:szCs w:val="14"/>
              </w:rPr>
            </w:pPr>
          </w:p>
          <w:p w14:paraId="2EFB318F" w14:textId="6B2B8199" w:rsidR="003474F4" w:rsidRPr="002F2E59" w:rsidRDefault="00D01E7C" w:rsidP="00A84130">
            <w:pPr>
              <w:tabs>
                <w:tab w:val="left" w:pos="0"/>
              </w:tabs>
              <w:rPr>
                <w:b/>
                <w:iCs/>
                <w:sz w:val="14"/>
                <w:szCs w:val="14"/>
              </w:rPr>
            </w:pPr>
            <w:r w:rsidRPr="002F2E59">
              <w:rPr>
                <w:b/>
                <w:bCs/>
                <w:sz w:val="14"/>
                <w:szCs w:val="14"/>
              </w:rPr>
              <w:t>Indicator</w:t>
            </w:r>
            <w:r w:rsidR="00121BFC" w:rsidRPr="002F2E59">
              <w:rPr>
                <w:b/>
                <w:bCs/>
                <w:sz w:val="14"/>
                <w:szCs w:val="14"/>
              </w:rPr>
              <w:t xml:space="preserve"> </w:t>
            </w:r>
            <w:r w:rsidR="003474F4" w:rsidRPr="002F2E59">
              <w:rPr>
                <w:b/>
                <w:bCs/>
                <w:sz w:val="14"/>
                <w:szCs w:val="14"/>
              </w:rPr>
              <w:t>2.3:</w:t>
            </w:r>
            <w:r w:rsidR="003474F4" w:rsidRPr="002F2E59">
              <w:rPr>
                <w:b/>
                <w:iCs/>
                <w:sz w:val="14"/>
                <w:szCs w:val="14"/>
              </w:rPr>
              <w:t xml:space="preserve"> Percentage of women and youth with access to credit</w:t>
            </w:r>
          </w:p>
          <w:p w14:paraId="75A904AD" w14:textId="77777777" w:rsidR="003474F4" w:rsidRPr="002F2E59" w:rsidRDefault="003474F4" w:rsidP="00A84130">
            <w:pPr>
              <w:tabs>
                <w:tab w:val="left" w:pos="0"/>
              </w:tabs>
              <w:rPr>
                <w:bCs/>
                <w:sz w:val="14"/>
                <w:szCs w:val="14"/>
                <w:lang w:val="fr-FR"/>
              </w:rPr>
            </w:pPr>
            <w:r w:rsidRPr="002F2E59">
              <w:rPr>
                <w:bCs/>
                <w:sz w:val="14"/>
                <w:szCs w:val="14"/>
                <w:lang w:val="fr-FR"/>
              </w:rPr>
              <w:t>Baseline:(2016):56%</w:t>
            </w:r>
          </w:p>
          <w:p w14:paraId="702556DB" w14:textId="77777777" w:rsidR="003474F4" w:rsidRPr="002F2E59" w:rsidRDefault="003474F4" w:rsidP="00A84130">
            <w:pPr>
              <w:tabs>
                <w:tab w:val="left" w:pos="0"/>
              </w:tabs>
              <w:rPr>
                <w:bCs/>
                <w:sz w:val="14"/>
                <w:szCs w:val="14"/>
                <w:lang w:val="fr-FR"/>
              </w:rPr>
            </w:pPr>
            <w:r w:rsidRPr="002F2E59">
              <w:rPr>
                <w:bCs/>
                <w:sz w:val="14"/>
                <w:szCs w:val="14"/>
                <w:lang w:val="fr-FR"/>
              </w:rPr>
              <w:t>Target:(2022):65%</w:t>
            </w:r>
          </w:p>
          <w:p w14:paraId="1021F7E6" w14:textId="77777777" w:rsidR="003474F4" w:rsidRPr="002F2E59" w:rsidRDefault="003474F4" w:rsidP="00A84130">
            <w:pPr>
              <w:tabs>
                <w:tab w:val="left" w:pos="0"/>
              </w:tabs>
              <w:rPr>
                <w:iCs/>
                <w:sz w:val="14"/>
                <w:szCs w:val="14"/>
                <w:lang w:val="fr-FR"/>
              </w:rPr>
            </w:pPr>
          </w:p>
          <w:p w14:paraId="022FF70B" w14:textId="77777777" w:rsidR="003474F4" w:rsidRPr="002F2E59" w:rsidRDefault="003474F4" w:rsidP="00A84130">
            <w:pPr>
              <w:tabs>
                <w:tab w:val="left" w:pos="0"/>
              </w:tabs>
              <w:rPr>
                <w:iCs/>
                <w:sz w:val="14"/>
                <w:szCs w:val="14"/>
                <w:lang w:val="fr-FR"/>
              </w:rPr>
            </w:pPr>
          </w:p>
          <w:p w14:paraId="0525153A" w14:textId="77777777" w:rsidR="003474F4" w:rsidRPr="002F2E59" w:rsidRDefault="003474F4" w:rsidP="00A84130">
            <w:pPr>
              <w:tabs>
                <w:tab w:val="left" w:pos="0"/>
              </w:tabs>
              <w:rPr>
                <w:iCs/>
                <w:sz w:val="14"/>
                <w:szCs w:val="14"/>
                <w:lang w:val="fr-FR"/>
              </w:rPr>
            </w:pPr>
          </w:p>
        </w:tc>
        <w:tc>
          <w:tcPr>
            <w:tcW w:w="2323" w:type="dxa"/>
          </w:tcPr>
          <w:p w14:paraId="7AABF656" w14:textId="77777777" w:rsidR="003474F4" w:rsidRPr="002F2E59" w:rsidRDefault="003474F4" w:rsidP="00A84130">
            <w:pPr>
              <w:tabs>
                <w:tab w:val="left" w:pos="0"/>
              </w:tabs>
              <w:rPr>
                <w:iCs/>
                <w:sz w:val="14"/>
                <w:szCs w:val="14"/>
                <w:lang w:val="fr-FR"/>
              </w:rPr>
            </w:pPr>
          </w:p>
          <w:p w14:paraId="32162EC7" w14:textId="77777777" w:rsidR="003474F4" w:rsidRPr="002F2E59" w:rsidRDefault="003474F4" w:rsidP="00A84130">
            <w:pPr>
              <w:tabs>
                <w:tab w:val="left" w:pos="0"/>
              </w:tabs>
              <w:rPr>
                <w:iCs/>
                <w:sz w:val="14"/>
                <w:szCs w:val="14"/>
                <w:lang w:val="fr-FR"/>
              </w:rPr>
            </w:pPr>
          </w:p>
          <w:p w14:paraId="180D686E" w14:textId="77777777" w:rsidR="003474F4" w:rsidRPr="002F2E59" w:rsidRDefault="003474F4" w:rsidP="00A84130">
            <w:pPr>
              <w:tabs>
                <w:tab w:val="left" w:pos="0"/>
              </w:tabs>
              <w:rPr>
                <w:iCs/>
                <w:sz w:val="14"/>
                <w:szCs w:val="14"/>
                <w:lang w:val="fr-FR"/>
              </w:rPr>
            </w:pPr>
          </w:p>
          <w:p w14:paraId="556BF929" w14:textId="77777777" w:rsidR="003474F4" w:rsidRPr="002F2E59" w:rsidRDefault="003474F4" w:rsidP="00A84130">
            <w:pPr>
              <w:tabs>
                <w:tab w:val="left" w:pos="0"/>
              </w:tabs>
              <w:rPr>
                <w:iCs/>
                <w:sz w:val="14"/>
                <w:szCs w:val="14"/>
                <w:lang w:val="fr-FR"/>
              </w:rPr>
            </w:pPr>
          </w:p>
          <w:p w14:paraId="2A427263" w14:textId="114EA0D5" w:rsidR="003474F4" w:rsidRPr="002F2E59" w:rsidRDefault="003474F4" w:rsidP="00A84130">
            <w:pPr>
              <w:tabs>
                <w:tab w:val="left" w:pos="0"/>
              </w:tabs>
              <w:rPr>
                <w:sz w:val="14"/>
                <w:szCs w:val="14"/>
              </w:rPr>
            </w:pPr>
            <w:r w:rsidRPr="002F2E59">
              <w:rPr>
                <w:sz w:val="14"/>
                <w:szCs w:val="14"/>
              </w:rPr>
              <w:t>Dat</w:t>
            </w:r>
            <w:r w:rsidR="00274B8F" w:rsidRPr="002F2E59">
              <w:rPr>
                <w:sz w:val="14"/>
                <w:szCs w:val="14"/>
              </w:rPr>
              <w:t xml:space="preserve">a </w:t>
            </w:r>
            <w:r w:rsidR="00B80FE8" w:rsidRPr="002F2E59">
              <w:rPr>
                <w:sz w:val="14"/>
                <w:szCs w:val="14"/>
              </w:rPr>
              <w:t>source: INS</w:t>
            </w:r>
            <w:r w:rsidRPr="002F2E59">
              <w:rPr>
                <w:sz w:val="14"/>
                <w:szCs w:val="14"/>
              </w:rPr>
              <w:t>/</w:t>
            </w:r>
            <w:r w:rsidR="00274B8F" w:rsidRPr="002F2E59">
              <w:rPr>
                <w:sz w:val="14"/>
                <w:szCs w:val="14"/>
              </w:rPr>
              <w:t xml:space="preserve">Sectoral Ministries; </w:t>
            </w:r>
          </w:p>
          <w:p w14:paraId="522B074C" w14:textId="77777777" w:rsidR="003474F4" w:rsidRPr="002F2E59" w:rsidRDefault="003474F4" w:rsidP="00A84130">
            <w:pPr>
              <w:tabs>
                <w:tab w:val="left" w:pos="0"/>
              </w:tabs>
              <w:rPr>
                <w:iCs/>
                <w:sz w:val="14"/>
                <w:szCs w:val="14"/>
              </w:rPr>
            </w:pPr>
          </w:p>
          <w:p w14:paraId="57C3C573" w14:textId="77777777" w:rsidR="003474F4" w:rsidRPr="002F2E59" w:rsidRDefault="003474F4" w:rsidP="00A84130">
            <w:pPr>
              <w:tabs>
                <w:tab w:val="left" w:pos="0"/>
              </w:tabs>
              <w:rPr>
                <w:iCs/>
                <w:sz w:val="14"/>
                <w:szCs w:val="14"/>
              </w:rPr>
            </w:pPr>
          </w:p>
          <w:p w14:paraId="0C7ABAA0" w14:textId="77777777" w:rsidR="003474F4" w:rsidRPr="002F2E59" w:rsidRDefault="003474F4" w:rsidP="00A84130">
            <w:pPr>
              <w:tabs>
                <w:tab w:val="left" w:pos="0"/>
              </w:tabs>
              <w:rPr>
                <w:iCs/>
                <w:sz w:val="14"/>
                <w:szCs w:val="14"/>
              </w:rPr>
            </w:pPr>
          </w:p>
        </w:tc>
        <w:tc>
          <w:tcPr>
            <w:tcW w:w="4336" w:type="dxa"/>
            <w:tcMar>
              <w:top w:w="72" w:type="dxa"/>
              <w:left w:w="144" w:type="dxa"/>
              <w:bottom w:w="72" w:type="dxa"/>
              <w:right w:w="144" w:type="dxa"/>
            </w:tcMar>
          </w:tcPr>
          <w:p w14:paraId="5B564A8A" w14:textId="3C137F96" w:rsidR="003474F4" w:rsidRPr="002F2E59" w:rsidRDefault="00352CD1" w:rsidP="00A84130">
            <w:pPr>
              <w:tabs>
                <w:tab w:val="left" w:pos="0"/>
              </w:tabs>
              <w:rPr>
                <w:b/>
                <w:sz w:val="14"/>
                <w:szCs w:val="14"/>
              </w:rPr>
            </w:pPr>
            <w:r w:rsidRPr="002F2E59">
              <w:rPr>
                <w:b/>
                <w:sz w:val="14"/>
                <w:szCs w:val="14"/>
              </w:rPr>
              <w:t>Output</w:t>
            </w:r>
            <w:r w:rsidR="00476254" w:rsidRPr="002F2E59">
              <w:rPr>
                <w:b/>
                <w:sz w:val="14"/>
                <w:szCs w:val="14"/>
              </w:rPr>
              <w:t xml:space="preserve"> </w:t>
            </w:r>
            <w:r w:rsidR="003474F4" w:rsidRPr="002F2E59">
              <w:rPr>
                <w:b/>
                <w:sz w:val="14"/>
                <w:szCs w:val="14"/>
              </w:rPr>
              <w:t>2.1: The professional unions and farmers’ associations are better organized and equipped to promote their activities</w:t>
            </w:r>
          </w:p>
          <w:p w14:paraId="187675BD" w14:textId="77777777" w:rsidR="003474F4" w:rsidRPr="002F2E59" w:rsidRDefault="003474F4" w:rsidP="00A84130">
            <w:pPr>
              <w:tabs>
                <w:tab w:val="left" w:pos="0"/>
              </w:tabs>
              <w:jc w:val="both"/>
              <w:rPr>
                <w:sz w:val="14"/>
                <w:szCs w:val="14"/>
              </w:rPr>
            </w:pPr>
          </w:p>
          <w:p w14:paraId="138F92D4" w14:textId="3A7CE75D" w:rsidR="003474F4" w:rsidRPr="002F2E59" w:rsidRDefault="00352CD1" w:rsidP="00A84130">
            <w:pPr>
              <w:tabs>
                <w:tab w:val="left" w:pos="0"/>
              </w:tabs>
              <w:jc w:val="both"/>
              <w:rPr>
                <w:sz w:val="14"/>
                <w:szCs w:val="14"/>
              </w:rPr>
            </w:pPr>
            <w:r w:rsidRPr="002F2E59">
              <w:rPr>
                <w:b/>
                <w:sz w:val="14"/>
                <w:szCs w:val="14"/>
              </w:rPr>
              <w:t>Indicator</w:t>
            </w:r>
            <w:r w:rsidR="001E7228" w:rsidRPr="002F2E59">
              <w:rPr>
                <w:b/>
                <w:sz w:val="14"/>
                <w:szCs w:val="14"/>
              </w:rPr>
              <w:t xml:space="preserve"> </w:t>
            </w:r>
            <w:r w:rsidR="003474F4" w:rsidRPr="002F2E59">
              <w:rPr>
                <w:b/>
                <w:sz w:val="14"/>
                <w:szCs w:val="14"/>
              </w:rPr>
              <w:t xml:space="preserve">2.1.1: </w:t>
            </w:r>
            <w:r w:rsidR="003474F4" w:rsidRPr="002F2E59">
              <w:rPr>
                <w:sz w:val="14"/>
                <w:szCs w:val="14"/>
              </w:rPr>
              <w:t>Number of professional unions and farmers’ associations that have action plans</w:t>
            </w:r>
          </w:p>
          <w:p w14:paraId="06008737" w14:textId="107CD87C" w:rsidR="003474F4" w:rsidRPr="002F2E59" w:rsidRDefault="00202EBB" w:rsidP="00A84130">
            <w:pPr>
              <w:tabs>
                <w:tab w:val="left" w:pos="0"/>
              </w:tabs>
              <w:jc w:val="both"/>
              <w:rPr>
                <w:sz w:val="14"/>
                <w:szCs w:val="14"/>
              </w:rPr>
            </w:pPr>
            <w:r w:rsidRPr="002F2E59">
              <w:rPr>
                <w:sz w:val="14"/>
                <w:szCs w:val="14"/>
              </w:rPr>
              <w:t>Baselin</w:t>
            </w:r>
            <w:r w:rsidRPr="002F2E59">
              <w:rPr>
                <w:b/>
                <w:sz w:val="14"/>
                <w:szCs w:val="14"/>
              </w:rPr>
              <w:t>e</w:t>
            </w:r>
            <w:r w:rsidRPr="002F2E59">
              <w:rPr>
                <w:sz w:val="14"/>
                <w:szCs w:val="14"/>
              </w:rPr>
              <w:t xml:space="preserve">: 4,100; Target: 16,400; Data source: INS/Sectoral Ministries; </w:t>
            </w:r>
          </w:p>
          <w:p w14:paraId="5D50054C" w14:textId="77777777" w:rsidR="003474F4" w:rsidRPr="002F2E59" w:rsidRDefault="003474F4" w:rsidP="00A84130">
            <w:pPr>
              <w:tabs>
                <w:tab w:val="left" w:pos="0"/>
              </w:tabs>
              <w:jc w:val="both"/>
              <w:rPr>
                <w:sz w:val="14"/>
                <w:szCs w:val="14"/>
              </w:rPr>
            </w:pPr>
          </w:p>
          <w:p w14:paraId="61E816EA" w14:textId="2089BD01" w:rsidR="003474F4" w:rsidRPr="002F2E59" w:rsidRDefault="00202EBB" w:rsidP="00A84130">
            <w:pPr>
              <w:tabs>
                <w:tab w:val="left" w:pos="0"/>
              </w:tabs>
              <w:jc w:val="both"/>
              <w:rPr>
                <w:sz w:val="14"/>
                <w:szCs w:val="14"/>
              </w:rPr>
            </w:pPr>
            <w:r w:rsidRPr="002F2E59">
              <w:rPr>
                <w:b/>
                <w:sz w:val="14"/>
                <w:szCs w:val="14"/>
              </w:rPr>
              <w:t>Indicator 2.1.2:</w:t>
            </w:r>
            <w:r w:rsidRPr="002F2E59">
              <w:rPr>
                <w:sz w:val="14"/>
                <w:szCs w:val="14"/>
              </w:rPr>
              <w:t xml:space="preserve"> Number of skill-building schemes which expand and diversify the productive base, based on the use of sustainable production technologies</w:t>
            </w:r>
          </w:p>
          <w:p w14:paraId="1FC3F4D6" w14:textId="182C333A" w:rsidR="003474F4" w:rsidRPr="002F2E59" w:rsidRDefault="00202EBB" w:rsidP="00A84130">
            <w:pPr>
              <w:tabs>
                <w:tab w:val="left" w:pos="0"/>
              </w:tabs>
              <w:jc w:val="both"/>
              <w:rPr>
                <w:b/>
                <w:sz w:val="14"/>
                <w:szCs w:val="14"/>
              </w:rPr>
            </w:pPr>
            <w:r w:rsidRPr="002F2E59">
              <w:rPr>
                <w:sz w:val="14"/>
                <w:szCs w:val="14"/>
              </w:rPr>
              <w:t xml:space="preserve">Baseline 5; Target: 7; Data source: INS/Sectoral ministries; </w:t>
            </w:r>
          </w:p>
        </w:tc>
        <w:tc>
          <w:tcPr>
            <w:tcW w:w="2774" w:type="dxa"/>
          </w:tcPr>
          <w:p w14:paraId="3B9489D0" w14:textId="77777777" w:rsidR="003474F4" w:rsidRPr="002F2E59" w:rsidRDefault="003474F4" w:rsidP="00A84130">
            <w:pPr>
              <w:tabs>
                <w:tab w:val="left" w:pos="0"/>
              </w:tabs>
              <w:rPr>
                <w:sz w:val="14"/>
                <w:szCs w:val="14"/>
              </w:rPr>
            </w:pPr>
          </w:p>
          <w:p w14:paraId="4C77C2C2" w14:textId="77777777" w:rsidR="003474F4" w:rsidRPr="002F2E59" w:rsidRDefault="00456911" w:rsidP="00A84130">
            <w:pPr>
              <w:tabs>
                <w:tab w:val="left" w:pos="0"/>
              </w:tabs>
              <w:rPr>
                <w:sz w:val="14"/>
                <w:szCs w:val="14"/>
              </w:rPr>
            </w:pPr>
            <w:r w:rsidRPr="002F2E59">
              <w:rPr>
                <w:sz w:val="14"/>
                <w:szCs w:val="14"/>
              </w:rPr>
              <w:t>Ministers: MPCI,</w:t>
            </w:r>
            <w:r w:rsidR="007E79F6" w:rsidRPr="002F2E59">
              <w:rPr>
                <w:sz w:val="14"/>
                <w:szCs w:val="14"/>
              </w:rPr>
              <w:t xml:space="preserve"> </w:t>
            </w:r>
            <w:r w:rsidR="00274B8F" w:rsidRPr="002F2E59">
              <w:rPr>
                <w:sz w:val="14"/>
                <w:szCs w:val="14"/>
              </w:rPr>
              <w:t>Youth-</w:t>
            </w:r>
            <w:r w:rsidR="003474F4" w:rsidRPr="002F2E59">
              <w:rPr>
                <w:sz w:val="14"/>
                <w:szCs w:val="14"/>
              </w:rPr>
              <w:t>Technical and Professional Training,</w:t>
            </w:r>
          </w:p>
          <w:p w14:paraId="29777048" w14:textId="77777777" w:rsidR="003474F4" w:rsidRPr="002F2E59" w:rsidRDefault="003474F4" w:rsidP="00A84130">
            <w:pPr>
              <w:tabs>
                <w:tab w:val="left" w:pos="0"/>
              </w:tabs>
              <w:rPr>
                <w:sz w:val="14"/>
                <w:szCs w:val="14"/>
              </w:rPr>
            </w:pPr>
            <w:r w:rsidRPr="002F2E59">
              <w:rPr>
                <w:sz w:val="14"/>
                <w:szCs w:val="14"/>
              </w:rPr>
              <w:t>Industry, Small- and Medium-size Enterprises, Mines and Geology, Agriculture, Fisheries</w:t>
            </w:r>
          </w:p>
          <w:p w14:paraId="661B51E5" w14:textId="77777777" w:rsidR="003474F4" w:rsidRPr="002F2E59" w:rsidRDefault="003474F4" w:rsidP="00A84130">
            <w:pPr>
              <w:tabs>
                <w:tab w:val="left" w:pos="0"/>
              </w:tabs>
              <w:rPr>
                <w:sz w:val="14"/>
                <w:szCs w:val="14"/>
              </w:rPr>
            </w:pPr>
            <w:r w:rsidRPr="002F2E59">
              <w:rPr>
                <w:sz w:val="14"/>
                <w:szCs w:val="14"/>
              </w:rPr>
              <w:t>-Civil society</w:t>
            </w:r>
          </w:p>
          <w:p w14:paraId="4121B2EE" w14:textId="77777777" w:rsidR="003474F4" w:rsidRPr="002F2E59" w:rsidRDefault="003474F4" w:rsidP="00A84130">
            <w:pPr>
              <w:tabs>
                <w:tab w:val="left" w:pos="0"/>
              </w:tabs>
              <w:rPr>
                <w:sz w:val="14"/>
                <w:szCs w:val="14"/>
              </w:rPr>
            </w:pPr>
            <w:r w:rsidRPr="002F2E59">
              <w:rPr>
                <w:sz w:val="14"/>
                <w:szCs w:val="14"/>
              </w:rPr>
              <w:t>-</w:t>
            </w:r>
            <w:r w:rsidR="006E4F29" w:rsidRPr="002F2E59">
              <w:rPr>
                <w:sz w:val="14"/>
                <w:szCs w:val="14"/>
              </w:rPr>
              <w:t>P</w:t>
            </w:r>
            <w:r w:rsidRPr="002F2E59">
              <w:rPr>
                <w:sz w:val="14"/>
                <w:szCs w:val="14"/>
              </w:rPr>
              <w:t>rivate sector (enter</w:t>
            </w:r>
            <w:r w:rsidR="00456911" w:rsidRPr="002F2E59">
              <w:rPr>
                <w:sz w:val="14"/>
                <w:szCs w:val="14"/>
              </w:rPr>
              <w:t>prises,</w:t>
            </w:r>
            <w:r w:rsidR="00274B8F" w:rsidRPr="002F2E59">
              <w:rPr>
                <w:sz w:val="14"/>
                <w:szCs w:val="14"/>
              </w:rPr>
              <w:t xml:space="preserve"> </w:t>
            </w:r>
            <w:r w:rsidR="00456911" w:rsidRPr="002F2E59">
              <w:rPr>
                <w:sz w:val="14"/>
                <w:szCs w:val="14"/>
              </w:rPr>
              <w:t>Employers’ Federations,</w:t>
            </w:r>
            <w:r w:rsidR="00274B8F" w:rsidRPr="002F2E59">
              <w:rPr>
                <w:sz w:val="14"/>
                <w:szCs w:val="14"/>
              </w:rPr>
              <w:t xml:space="preserve"> </w:t>
            </w:r>
            <w:r w:rsidRPr="002F2E59">
              <w:rPr>
                <w:sz w:val="14"/>
                <w:szCs w:val="14"/>
              </w:rPr>
              <w:t>Chamber of Mines)</w:t>
            </w:r>
          </w:p>
          <w:p w14:paraId="44DA2E26" w14:textId="77777777" w:rsidR="003474F4" w:rsidRPr="002F2E59" w:rsidRDefault="00274B8F" w:rsidP="00A84130">
            <w:pPr>
              <w:tabs>
                <w:tab w:val="left" w:pos="0"/>
              </w:tabs>
              <w:rPr>
                <w:sz w:val="14"/>
                <w:szCs w:val="14"/>
              </w:rPr>
            </w:pPr>
            <w:r w:rsidRPr="002F2E59">
              <w:rPr>
                <w:sz w:val="14"/>
                <w:szCs w:val="14"/>
              </w:rPr>
              <w:t>Decentralized authorities</w:t>
            </w:r>
          </w:p>
        </w:tc>
        <w:tc>
          <w:tcPr>
            <w:tcW w:w="1423" w:type="dxa"/>
            <w:tcMar>
              <w:top w:w="15" w:type="dxa"/>
              <w:left w:w="108" w:type="dxa"/>
              <w:bottom w:w="0" w:type="dxa"/>
              <w:right w:w="108" w:type="dxa"/>
            </w:tcMar>
          </w:tcPr>
          <w:p w14:paraId="012951E8" w14:textId="1C6FB935" w:rsidR="003474F4" w:rsidRPr="002F2E59" w:rsidRDefault="00456911" w:rsidP="00A84130">
            <w:pPr>
              <w:tabs>
                <w:tab w:val="left" w:pos="0"/>
              </w:tabs>
              <w:rPr>
                <w:b/>
                <w:sz w:val="14"/>
                <w:szCs w:val="14"/>
              </w:rPr>
            </w:pPr>
            <w:r w:rsidRPr="002F2E59">
              <w:rPr>
                <w:b/>
                <w:sz w:val="14"/>
                <w:szCs w:val="14"/>
              </w:rPr>
              <w:t>Regular:</w:t>
            </w:r>
            <w:r w:rsidR="001E7228" w:rsidRPr="002F2E59">
              <w:rPr>
                <w:b/>
                <w:sz w:val="14"/>
                <w:szCs w:val="14"/>
              </w:rPr>
              <w:t xml:space="preserve"> </w:t>
            </w:r>
            <w:r w:rsidR="003474F4" w:rsidRPr="002F2E59">
              <w:rPr>
                <w:b/>
                <w:sz w:val="14"/>
                <w:szCs w:val="14"/>
              </w:rPr>
              <w:t>3</w:t>
            </w:r>
            <w:r w:rsidR="001E7228" w:rsidRPr="002F2E59">
              <w:rPr>
                <w:b/>
                <w:sz w:val="14"/>
                <w:szCs w:val="14"/>
              </w:rPr>
              <w:t>,</w:t>
            </w:r>
            <w:r w:rsidR="00F345E5" w:rsidRPr="002F2E59">
              <w:rPr>
                <w:b/>
                <w:sz w:val="14"/>
                <w:szCs w:val="14"/>
              </w:rPr>
              <w:t>090,376</w:t>
            </w:r>
            <w:r w:rsidR="003474F4" w:rsidRPr="002F2E59">
              <w:rPr>
                <w:b/>
                <w:sz w:val="14"/>
                <w:szCs w:val="14"/>
              </w:rPr>
              <w:t xml:space="preserve">   </w:t>
            </w:r>
          </w:p>
          <w:p w14:paraId="2937EC8D" w14:textId="77777777" w:rsidR="003474F4" w:rsidRPr="002F2E59" w:rsidRDefault="003474F4" w:rsidP="00A84130">
            <w:pPr>
              <w:tabs>
                <w:tab w:val="left" w:pos="0"/>
              </w:tabs>
              <w:rPr>
                <w:b/>
                <w:sz w:val="14"/>
                <w:szCs w:val="14"/>
              </w:rPr>
            </w:pPr>
          </w:p>
          <w:p w14:paraId="617AAAB3" w14:textId="10725771" w:rsidR="003474F4" w:rsidRPr="002F2E59" w:rsidRDefault="00456911" w:rsidP="00A84130">
            <w:pPr>
              <w:tabs>
                <w:tab w:val="left" w:pos="0"/>
              </w:tabs>
              <w:rPr>
                <w:b/>
                <w:sz w:val="14"/>
                <w:szCs w:val="14"/>
              </w:rPr>
            </w:pPr>
            <w:r w:rsidRPr="002F2E59">
              <w:rPr>
                <w:b/>
                <w:sz w:val="14"/>
                <w:szCs w:val="14"/>
              </w:rPr>
              <w:t>Other:</w:t>
            </w:r>
            <w:r w:rsidR="001E7228" w:rsidRPr="002F2E59">
              <w:rPr>
                <w:b/>
                <w:sz w:val="14"/>
                <w:szCs w:val="14"/>
              </w:rPr>
              <w:t xml:space="preserve"> </w:t>
            </w:r>
            <w:r w:rsidR="003474F4" w:rsidRPr="002F2E59">
              <w:rPr>
                <w:b/>
                <w:sz w:val="14"/>
                <w:szCs w:val="14"/>
              </w:rPr>
              <w:t>1</w:t>
            </w:r>
            <w:r w:rsidR="0086616F" w:rsidRPr="002F2E59">
              <w:rPr>
                <w:b/>
                <w:sz w:val="14"/>
                <w:szCs w:val="14"/>
              </w:rPr>
              <w:t>5</w:t>
            </w:r>
            <w:r w:rsidR="001E7228" w:rsidRPr="002F2E59">
              <w:rPr>
                <w:b/>
                <w:sz w:val="14"/>
                <w:szCs w:val="14"/>
              </w:rPr>
              <w:t>,</w:t>
            </w:r>
            <w:r w:rsidR="0086616F" w:rsidRPr="002F2E59">
              <w:rPr>
                <w:b/>
                <w:sz w:val="14"/>
                <w:szCs w:val="14"/>
              </w:rPr>
              <w:t>769</w:t>
            </w:r>
            <w:r w:rsidR="001E7228" w:rsidRPr="002F2E59">
              <w:rPr>
                <w:b/>
                <w:sz w:val="14"/>
                <w:szCs w:val="14"/>
              </w:rPr>
              <w:t>,</w:t>
            </w:r>
            <w:r w:rsidR="0086616F" w:rsidRPr="002F2E59">
              <w:rPr>
                <w:b/>
                <w:sz w:val="14"/>
                <w:szCs w:val="14"/>
              </w:rPr>
              <w:t>696</w:t>
            </w:r>
            <w:r w:rsidR="003474F4" w:rsidRPr="002F2E59">
              <w:rPr>
                <w:b/>
                <w:sz w:val="14"/>
                <w:szCs w:val="14"/>
              </w:rPr>
              <w:t xml:space="preserve">   </w:t>
            </w:r>
          </w:p>
          <w:p w14:paraId="39F37353" w14:textId="77777777" w:rsidR="003474F4" w:rsidRPr="002F2E59" w:rsidRDefault="003474F4" w:rsidP="00A84130">
            <w:pPr>
              <w:tabs>
                <w:tab w:val="left" w:pos="0"/>
              </w:tabs>
              <w:jc w:val="both"/>
              <w:rPr>
                <w:b/>
                <w:sz w:val="14"/>
                <w:szCs w:val="14"/>
              </w:rPr>
            </w:pPr>
          </w:p>
        </w:tc>
      </w:tr>
      <w:tr w:rsidR="00610A93" w:rsidRPr="002F2E59" w14:paraId="79538864" w14:textId="77777777" w:rsidTr="001D3FBF">
        <w:trPr>
          <w:jc w:val="center"/>
        </w:trPr>
        <w:tc>
          <w:tcPr>
            <w:tcW w:w="2723" w:type="dxa"/>
            <w:vMerge/>
            <w:tcMar>
              <w:top w:w="72" w:type="dxa"/>
              <w:left w:w="144" w:type="dxa"/>
              <w:bottom w:w="72" w:type="dxa"/>
              <w:right w:w="144" w:type="dxa"/>
            </w:tcMar>
          </w:tcPr>
          <w:p w14:paraId="3DD18B9C" w14:textId="77777777" w:rsidR="003474F4" w:rsidRPr="002F2E59" w:rsidRDefault="003474F4" w:rsidP="00A84130">
            <w:pPr>
              <w:tabs>
                <w:tab w:val="left" w:pos="0"/>
              </w:tabs>
              <w:rPr>
                <w:iCs/>
                <w:sz w:val="14"/>
                <w:szCs w:val="14"/>
              </w:rPr>
            </w:pPr>
          </w:p>
        </w:tc>
        <w:tc>
          <w:tcPr>
            <w:tcW w:w="2323" w:type="dxa"/>
          </w:tcPr>
          <w:p w14:paraId="2AE5AEF3" w14:textId="72B5F4AF" w:rsidR="003474F4" w:rsidRPr="002F2E59" w:rsidRDefault="00274B8F" w:rsidP="00A84130">
            <w:pPr>
              <w:tabs>
                <w:tab w:val="left" w:pos="0"/>
              </w:tabs>
              <w:rPr>
                <w:iCs/>
                <w:sz w:val="14"/>
                <w:szCs w:val="14"/>
              </w:rPr>
            </w:pPr>
            <w:r w:rsidRPr="002F2E59">
              <w:rPr>
                <w:sz w:val="14"/>
                <w:szCs w:val="14"/>
              </w:rPr>
              <w:t xml:space="preserve">Data </w:t>
            </w:r>
            <w:r w:rsidR="00B80FE8" w:rsidRPr="002F2E59">
              <w:rPr>
                <w:sz w:val="14"/>
                <w:szCs w:val="14"/>
              </w:rPr>
              <w:t>source: INS</w:t>
            </w:r>
            <w:r w:rsidR="003474F4" w:rsidRPr="002F2E59">
              <w:rPr>
                <w:sz w:val="14"/>
                <w:szCs w:val="14"/>
              </w:rPr>
              <w:t>/</w:t>
            </w:r>
            <w:r w:rsidRPr="002F2E59">
              <w:rPr>
                <w:sz w:val="14"/>
                <w:szCs w:val="14"/>
              </w:rPr>
              <w:t xml:space="preserve">Sectoral ministries; </w:t>
            </w:r>
          </w:p>
          <w:p w14:paraId="48755A7F" w14:textId="77777777" w:rsidR="003474F4" w:rsidRPr="002F2E59" w:rsidRDefault="003474F4" w:rsidP="00A84130">
            <w:pPr>
              <w:tabs>
                <w:tab w:val="left" w:pos="0"/>
              </w:tabs>
              <w:rPr>
                <w:iCs/>
                <w:sz w:val="14"/>
                <w:szCs w:val="14"/>
              </w:rPr>
            </w:pPr>
          </w:p>
          <w:p w14:paraId="591D9925" w14:textId="77777777" w:rsidR="003474F4" w:rsidRPr="002F2E59" w:rsidRDefault="003474F4" w:rsidP="00A84130">
            <w:pPr>
              <w:tabs>
                <w:tab w:val="left" w:pos="0"/>
              </w:tabs>
              <w:rPr>
                <w:iCs/>
                <w:sz w:val="14"/>
                <w:szCs w:val="14"/>
              </w:rPr>
            </w:pPr>
          </w:p>
          <w:p w14:paraId="5F890691" w14:textId="77777777" w:rsidR="003474F4" w:rsidRPr="002F2E59" w:rsidRDefault="003474F4" w:rsidP="00A84130">
            <w:pPr>
              <w:tabs>
                <w:tab w:val="left" w:pos="0"/>
              </w:tabs>
              <w:rPr>
                <w:iCs/>
                <w:sz w:val="14"/>
                <w:szCs w:val="14"/>
              </w:rPr>
            </w:pPr>
          </w:p>
          <w:p w14:paraId="26CDD89F" w14:textId="77777777" w:rsidR="003474F4" w:rsidRPr="002F2E59" w:rsidRDefault="003474F4" w:rsidP="00A84130">
            <w:pPr>
              <w:tabs>
                <w:tab w:val="left" w:pos="0"/>
              </w:tabs>
              <w:rPr>
                <w:iCs/>
                <w:sz w:val="14"/>
                <w:szCs w:val="14"/>
              </w:rPr>
            </w:pPr>
          </w:p>
          <w:p w14:paraId="41FC0D79" w14:textId="77777777" w:rsidR="003474F4" w:rsidRPr="002F2E59" w:rsidRDefault="003474F4" w:rsidP="00A84130">
            <w:pPr>
              <w:tabs>
                <w:tab w:val="left" w:pos="0"/>
              </w:tabs>
              <w:rPr>
                <w:iCs/>
                <w:sz w:val="14"/>
                <w:szCs w:val="14"/>
              </w:rPr>
            </w:pPr>
          </w:p>
          <w:p w14:paraId="7D9DC042" w14:textId="70D1CD9D" w:rsidR="003474F4" w:rsidRPr="002F2E59" w:rsidRDefault="00D01E7C" w:rsidP="00A84130">
            <w:pPr>
              <w:tabs>
                <w:tab w:val="left" w:pos="0"/>
              </w:tabs>
              <w:rPr>
                <w:iCs/>
                <w:sz w:val="14"/>
                <w:szCs w:val="14"/>
              </w:rPr>
            </w:pPr>
            <w:r w:rsidRPr="002F2E59">
              <w:rPr>
                <w:iCs/>
                <w:sz w:val="14"/>
                <w:szCs w:val="14"/>
              </w:rPr>
              <w:t>Data source:</w:t>
            </w:r>
            <w:r w:rsidR="001E7228" w:rsidRPr="002F2E59">
              <w:rPr>
                <w:iCs/>
                <w:sz w:val="14"/>
                <w:szCs w:val="14"/>
              </w:rPr>
              <w:t xml:space="preserve"> </w:t>
            </w:r>
            <w:r w:rsidR="003474F4" w:rsidRPr="002F2E59">
              <w:rPr>
                <w:iCs/>
                <w:sz w:val="14"/>
                <w:szCs w:val="14"/>
              </w:rPr>
              <w:t>MJ/METFP/ME/OSC</w:t>
            </w:r>
          </w:p>
          <w:p w14:paraId="2D6B6665" w14:textId="77777777" w:rsidR="003474F4" w:rsidRPr="002F2E59" w:rsidRDefault="003474F4" w:rsidP="00A84130">
            <w:pPr>
              <w:tabs>
                <w:tab w:val="left" w:pos="0"/>
              </w:tabs>
              <w:rPr>
                <w:iCs/>
                <w:sz w:val="14"/>
                <w:szCs w:val="14"/>
              </w:rPr>
            </w:pPr>
          </w:p>
          <w:p w14:paraId="0C43F27B" w14:textId="77777777" w:rsidR="003474F4" w:rsidRPr="002F2E59" w:rsidRDefault="003474F4" w:rsidP="00A84130">
            <w:pPr>
              <w:tabs>
                <w:tab w:val="left" w:pos="0"/>
              </w:tabs>
              <w:rPr>
                <w:iCs/>
                <w:sz w:val="14"/>
                <w:szCs w:val="14"/>
              </w:rPr>
            </w:pPr>
          </w:p>
          <w:p w14:paraId="25BA1E98" w14:textId="77777777" w:rsidR="003474F4" w:rsidRPr="002F2E59" w:rsidRDefault="003474F4" w:rsidP="00A84130">
            <w:pPr>
              <w:tabs>
                <w:tab w:val="left" w:pos="0"/>
              </w:tabs>
              <w:ind w:left="360"/>
              <w:rPr>
                <w:iCs/>
                <w:sz w:val="14"/>
                <w:szCs w:val="14"/>
              </w:rPr>
            </w:pPr>
          </w:p>
          <w:p w14:paraId="703472C0" w14:textId="77777777" w:rsidR="003474F4" w:rsidRPr="002F2E59" w:rsidRDefault="003474F4" w:rsidP="00A84130">
            <w:pPr>
              <w:tabs>
                <w:tab w:val="left" w:pos="0"/>
              </w:tabs>
              <w:rPr>
                <w:iCs/>
                <w:sz w:val="14"/>
                <w:szCs w:val="14"/>
              </w:rPr>
            </w:pPr>
          </w:p>
        </w:tc>
        <w:tc>
          <w:tcPr>
            <w:tcW w:w="4336" w:type="dxa"/>
            <w:tcMar>
              <w:top w:w="72" w:type="dxa"/>
              <w:left w:w="144" w:type="dxa"/>
              <w:bottom w:w="72" w:type="dxa"/>
              <w:right w:w="144" w:type="dxa"/>
            </w:tcMar>
          </w:tcPr>
          <w:p w14:paraId="27231F2C" w14:textId="54B545C0" w:rsidR="003474F4" w:rsidRPr="002F2E59" w:rsidRDefault="00352CD1" w:rsidP="00A84130">
            <w:pPr>
              <w:tabs>
                <w:tab w:val="left" w:pos="0"/>
              </w:tabs>
              <w:rPr>
                <w:b/>
                <w:sz w:val="14"/>
                <w:szCs w:val="14"/>
              </w:rPr>
            </w:pPr>
            <w:r w:rsidRPr="002F2E59">
              <w:rPr>
                <w:b/>
                <w:sz w:val="14"/>
                <w:szCs w:val="14"/>
              </w:rPr>
              <w:t>Output</w:t>
            </w:r>
            <w:r w:rsidR="001E7228" w:rsidRPr="002F2E59">
              <w:rPr>
                <w:b/>
                <w:sz w:val="14"/>
                <w:szCs w:val="14"/>
              </w:rPr>
              <w:t xml:space="preserve"> </w:t>
            </w:r>
            <w:r w:rsidR="003474F4" w:rsidRPr="002F2E59">
              <w:rPr>
                <w:b/>
                <w:sz w:val="14"/>
                <w:szCs w:val="14"/>
              </w:rPr>
              <w:t>2.2: Women and youth benefit from income-generating activities and decent employment within sustainable value chains developed in the mining, agricultural and fisheries sector</w:t>
            </w:r>
            <w:r w:rsidR="006E4F29" w:rsidRPr="002F2E59">
              <w:rPr>
                <w:b/>
                <w:sz w:val="14"/>
                <w:szCs w:val="14"/>
              </w:rPr>
              <w:t>s</w:t>
            </w:r>
          </w:p>
          <w:p w14:paraId="096F925C" w14:textId="77777777" w:rsidR="003474F4" w:rsidRPr="002F2E59" w:rsidRDefault="003474F4" w:rsidP="00A84130">
            <w:pPr>
              <w:tabs>
                <w:tab w:val="left" w:pos="0"/>
              </w:tabs>
              <w:rPr>
                <w:sz w:val="14"/>
                <w:szCs w:val="14"/>
                <w:lang w:eastAsia="fr-FR"/>
              </w:rPr>
            </w:pPr>
          </w:p>
          <w:p w14:paraId="184E8FD1" w14:textId="77777777" w:rsidR="003474F4" w:rsidRPr="002F2E59" w:rsidRDefault="003474F4" w:rsidP="00A84130">
            <w:pPr>
              <w:tabs>
                <w:tab w:val="left" w:pos="0"/>
              </w:tabs>
              <w:rPr>
                <w:iCs/>
                <w:sz w:val="14"/>
                <w:szCs w:val="14"/>
              </w:rPr>
            </w:pPr>
          </w:p>
          <w:p w14:paraId="18F007D7" w14:textId="787B99A5" w:rsidR="003474F4" w:rsidRPr="002F2E59" w:rsidRDefault="00D62E1C" w:rsidP="00A84130">
            <w:pPr>
              <w:tabs>
                <w:tab w:val="left" w:pos="0"/>
              </w:tabs>
              <w:rPr>
                <w:iCs/>
                <w:sz w:val="14"/>
                <w:szCs w:val="14"/>
              </w:rPr>
            </w:pPr>
            <w:r w:rsidRPr="002F2E59">
              <w:rPr>
                <w:b/>
                <w:iCs/>
                <w:sz w:val="14"/>
                <w:szCs w:val="14"/>
              </w:rPr>
              <w:t>Indicator</w:t>
            </w:r>
            <w:r w:rsidR="001E7228" w:rsidRPr="002F2E59">
              <w:rPr>
                <w:b/>
                <w:iCs/>
                <w:sz w:val="14"/>
                <w:szCs w:val="14"/>
              </w:rPr>
              <w:t xml:space="preserve"> </w:t>
            </w:r>
            <w:r w:rsidR="003474F4" w:rsidRPr="002F2E59">
              <w:rPr>
                <w:b/>
                <w:iCs/>
                <w:sz w:val="14"/>
                <w:szCs w:val="14"/>
              </w:rPr>
              <w:t>2.2.1:</w:t>
            </w:r>
            <w:r w:rsidR="003474F4" w:rsidRPr="002F2E59">
              <w:rPr>
                <w:iCs/>
                <w:sz w:val="14"/>
                <w:szCs w:val="14"/>
              </w:rPr>
              <w:t xml:space="preserve"> Number of new full time equivalent jobs created for women and men 18+ years old </w:t>
            </w:r>
          </w:p>
          <w:p w14:paraId="4B697E73" w14:textId="3C935075" w:rsidR="003474F4" w:rsidRPr="002F2E59" w:rsidRDefault="003474F4" w:rsidP="00A84130">
            <w:pPr>
              <w:tabs>
                <w:tab w:val="left" w:pos="0"/>
              </w:tabs>
              <w:rPr>
                <w:iCs/>
                <w:sz w:val="14"/>
                <w:szCs w:val="14"/>
              </w:rPr>
            </w:pPr>
            <w:r w:rsidRPr="002F2E59">
              <w:rPr>
                <w:iCs/>
                <w:sz w:val="14"/>
                <w:szCs w:val="14"/>
              </w:rPr>
              <w:t>Baseline: 46736 (W:</w:t>
            </w:r>
            <w:r w:rsidR="001E7228" w:rsidRPr="002F2E59">
              <w:rPr>
                <w:iCs/>
                <w:sz w:val="14"/>
                <w:szCs w:val="14"/>
              </w:rPr>
              <w:t xml:space="preserve"> </w:t>
            </w:r>
            <w:r w:rsidRPr="002F2E59">
              <w:rPr>
                <w:iCs/>
                <w:sz w:val="14"/>
                <w:szCs w:val="14"/>
              </w:rPr>
              <w:t>11</w:t>
            </w:r>
            <w:r w:rsidR="001E7228" w:rsidRPr="002F2E59">
              <w:rPr>
                <w:iCs/>
                <w:sz w:val="14"/>
                <w:szCs w:val="14"/>
              </w:rPr>
              <w:t>,</w:t>
            </w:r>
            <w:r w:rsidRPr="002F2E59">
              <w:rPr>
                <w:iCs/>
                <w:sz w:val="14"/>
                <w:szCs w:val="14"/>
              </w:rPr>
              <w:t>682, M:</w:t>
            </w:r>
            <w:r w:rsidR="001E7228" w:rsidRPr="002F2E59">
              <w:rPr>
                <w:iCs/>
                <w:sz w:val="14"/>
                <w:szCs w:val="14"/>
              </w:rPr>
              <w:t xml:space="preserve"> </w:t>
            </w:r>
            <w:r w:rsidR="00456911" w:rsidRPr="002F2E59">
              <w:rPr>
                <w:iCs/>
                <w:sz w:val="14"/>
                <w:szCs w:val="14"/>
              </w:rPr>
              <w:t>35</w:t>
            </w:r>
            <w:r w:rsidR="001E7228" w:rsidRPr="002F2E59">
              <w:rPr>
                <w:iCs/>
                <w:sz w:val="14"/>
                <w:szCs w:val="14"/>
              </w:rPr>
              <w:t>,</w:t>
            </w:r>
            <w:r w:rsidR="00456911" w:rsidRPr="002F2E59">
              <w:rPr>
                <w:iCs/>
                <w:sz w:val="14"/>
                <w:szCs w:val="14"/>
              </w:rPr>
              <w:t>054); Target:</w:t>
            </w:r>
            <w:r w:rsidR="001E7228" w:rsidRPr="002F2E59">
              <w:rPr>
                <w:iCs/>
                <w:sz w:val="14"/>
                <w:szCs w:val="14"/>
              </w:rPr>
              <w:t xml:space="preserve"> </w:t>
            </w:r>
            <w:r w:rsidRPr="002F2E59">
              <w:rPr>
                <w:iCs/>
                <w:sz w:val="14"/>
                <w:szCs w:val="14"/>
              </w:rPr>
              <w:t>50</w:t>
            </w:r>
            <w:r w:rsidR="001E7228" w:rsidRPr="002F2E59">
              <w:rPr>
                <w:iCs/>
                <w:sz w:val="14"/>
                <w:szCs w:val="14"/>
              </w:rPr>
              <w:t>,</w:t>
            </w:r>
            <w:r w:rsidRPr="002F2E59">
              <w:rPr>
                <w:iCs/>
                <w:sz w:val="14"/>
                <w:szCs w:val="14"/>
              </w:rPr>
              <w:t>236 (W:</w:t>
            </w:r>
            <w:r w:rsidR="001E7228" w:rsidRPr="002F2E59">
              <w:rPr>
                <w:iCs/>
                <w:sz w:val="14"/>
                <w:szCs w:val="14"/>
              </w:rPr>
              <w:t xml:space="preserve"> </w:t>
            </w:r>
            <w:r w:rsidRPr="002F2E59">
              <w:rPr>
                <w:iCs/>
                <w:sz w:val="14"/>
                <w:szCs w:val="14"/>
              </w:rPr>
              <w:t>13</w:t>
            </w:r>
            <w:r w:rsidR="001E7228" w:rsidRPr="002F2E59">
              <w:rPr>
                <w:iCs/>
                <w:sz w:val="14"/>
                <w:szCs w:val="14"/>
              </w:rPr>
              <w:t>,</w:t>
            </w:r>
            <w:r w:rsidRPr="002F2E59">
              <w:rPr>
                <w:iCs/>
                <w:sz w:val="14"/>
                <w:szCs w:val="14"/>
              </w:rPr>
              <w:t>182; M:</w:t>
            </w:r>
            <w:r w:rsidR="001E7228" w:rsidRPr="002F2E59">
              <w:rPr>
                <w:iCs/>
                <w:sz w:val="14"/>
                <w:szCs w:val="14"/>
              </w:rPr>
              <w:t xml:space="preserve"> </w:t>
            </w:r>
            <w:r w:rsidRPr="002F2E59">
              <w:rPr>
                <w:iCs/>
                <w:sz w:val="14"/>
                <w:szCs w:val="14"/>
              </w:rPr>
              <w:t>37</w:t>
            </w:r>
            <w:r w:rsidR="001E7228" w:rsidRPr="002F2E59">
              <w:rPr>
                <w:iCs/>
                <w:sz w:val="14"/>
                <w:szCs w:val="14"/>
              </w:rPr>
              <w:t>,</w:t>
            </w:r>
            <w:r w:rsidRPr="002F2E59">
              <w:rPr>
                <w:iCs/>
                <w:sz w:val="14"/>
                <w:szCs w:val="14"/>
              </w:rPr>
              <w:t>054); Data sour</w:t>
            </w:r>
            <w:r w:rsidR="00456911" w:rsidRPr="002F2E59">
              <w:rPr>
                <w:iCs/>
                <w:sz w:val="14"/>
                <w:szCs w:val="14"/>
              </w:rPr>
              <w:t>ce:</w:t>
            </w:r>
            <w:r w:rsidR="001E7228" w:rsidRPr="002F2E59">
              <w:rPr>
                <w:iCs/>
                <w:sz w:val="14"/>
                <w:szCs w:val="14"/>
              </w:rPr>
              <w:t xml:space="preserve"> </w:t>
            </w:r>
            <w:r w:rsidR="00456911" w:rsidRPr="002F2E59">
              <w:rPr>
                <w:iCs/>
                <w:sz w:val="14"/>
                <w:szCs w:val="14"/>
              </w:rPr>
              <w:t xml:space="preserve">MJ/METFP/ME/OSC; </w:t>
            </w:r>
          </w:p>
          <w:p w14:paraId="2924D639" w14:textId="77777777" w:rsidR="003474F4" w:rsidRPr="002F2E59" w:rsidRDefault="003474F4" w:rsidP="00A84130">
            <w:pPr>
              <w:tabs>
                <w:tab w:val="left" w:pos="0"/>
              </w:tabs>
              <w:rPr>
                <w:iCs/>
                <w:sz w:val="14"/>
                <w:szCs w:val="14"/>
              </w:rPr>
            </w:pPr>
          </w:p>
          <w:p w14:paraId="053B1763" w14:textId="4314E086" w:rsidR="003474F4" w:rsidRPr="002F2E59" w:rsidRDefault="00D62E1C" w:rsidP="00A84130">
            <w:pPr>
              <w:tabs>
                <w:tab w:val="left" w:pos="0"/>
              </w:tabs>
              <w:rPr>
                <w:sz w:val="14"/>
                <w:szCs w:val="14"/>
                <w:lang w:eastAsia="fr-FR"/>
              </w:rPr>
            </w:pPr>
            <w:r w:rsidRPr="002F2E59">
              <w:rPr>
                <w:b/>
                <w:iCs/>
                <w:sz w:val="14"/>
                <w:szCs w:val="14"/>
              </w:rPr>
              <w:t>Indicator</w:t>
            </w:r>
            <w:r w:rsidR="001E7228" w:rsidRPr="002F2E59">
              <w:rPr>
                <w:b/>
                <w:iCs/>
                <w:sz w:val="14"/>
                <w:szCs w:val="14"/>
              </w:rPr>
              <w:t xml:space="preserve"> </w:t>
            </w:r>
            <w:r w:rsidR="003474F4" w:rsidRPr="002F2E59">
              <w:rPr>
                <w:b/>
                <w:iCs/>
                <w:sz w:val="14"/>
                <w:szCs w:val="14"/>
              </w:rPr>
              <w:t>2.2.2:</w:t>
            </w:r>
            <w:r w:rsidR="003474F4" w:rsidRPr="002F2E59">
              <w:rPr>
                <w:iCs/>
                <w:sz w:val="14"/>
                <w:szCs w:val="14"/>
              </w:rPr>
              <w:t xml:space="preserve"> </w:t>
            </w:r>
            <w:r w:rsidR="003474F4" w:rsidRPr="002F2E59">
              <w:rPr>
                <w:sz w:val="14"/>
                <w:szCs w:val="14"/>
              </w:rPr>
              <w:t>Number of additional females that benefit from UNDP's livelihoods interventions</w:t>
            </w:r>
          </w:p>
          <w:p w14:paraId="46FCD9CD" w14:textId="7A826E12" w:rsidR="003474F4" w:rsidRPr="002F2E59" w:rsidRDefault="003474F4" w:rsidP="00A84130">
            <w:pPr>
              <w:tabs>
                <w:tab w:val="left" w:pos="0"/>
              </w:tabs>
              <w:rPr>
                <w:iCs/>
                <w:sz w:val="14"/>
                <w:szCs w:val="14"/>
              </w:rPr>
            </w:pPr>
            <w:r w:rsidRPr="002F2E59">
              <w:rPr>
                <w:iCs/>
                <w:sz w:val="14"/>
                <w:szCs w:val="14"/>
              </w:rPr>
              <w:t>B</w:t>
            </w:r>
            <w:r w:rsidR="00456911" w:rsidRPr="002F2E59">
              <w:rPr>
                <w:iCs/>
                <w:sz w:val="14"/>
                <w:szCs w:val="14"/>
              </w:rPr>
              <w:t>aseline:</w:t>
            </w:r>
            <w:r w:rsidR="001E7228" w:rsidRPr="002F2E59">
              <w:rPr>
                <w:iCs/>
                <w:sz w:val="14"/>
                <w:szCs w:val="14"/>
              </w:rPr>
              <w:t xml:space="preserve"> </w:t>
            </w:r>
            <w:r w:rsidRPr="002F2E59">
              <w:rPr>
                <w:iCs/>
                <w:sz w:val="14"/>
                <w:szCs w:val="14"/>
              </w:rPr>
              <w:t>131</w:t>
            </w:r>
            <w:r w:rsidR="001E7228" w:rsidRPr="002F2E59">
              <w:rPr>
                <w:iCs/>
                <w:sz w:val="14"/>
                <w:szCs w:val="14"/>
              </w:rPr>
              <w:t>,</w:t>
            </w:r>
            <w:r w:rsidRPr="002F2E59">
              <w:rPr>
                <w:iCs/>
                <w:sz w:val="14"/>
                <w:szCs w:val="14"/>
              </w:rPr>
              <w:t>736 (F:</w:t>
            </w:r>
            <w:r w:rsidR="001E7228" w:rsidRPr="002F2E59">
              <w:rPr>
                <w:iCs/>
                <w:sz w:val="14"/>
                <w:szCs w:val="14"/>
              </w:rPr>
              <w:t xml:space="preserve"> </w:t>
            </w:r>
            <w:r w:rsidRPr="002F2E59">
              <w:rPr>
                <w:iCs/>
                <w:sz w:val="14"/>
                <w:szCs w:val="14"/>
              </w:rPr>
              <w:t>46</w:t>
            </w:r>
            <w:r w:rsidR="001E7228" w:rsidRPr="002F2E59">
              <w:rPr>
                <w:iCs/>
                <w:sz w:val="14"/>
                <w:szCs w:val="14"/>
              </w:rPr>
              <w:t>,</w:t>
            </w:r>
            <w:r w:rsidRPr="002F2E59">
              <w:rPr>
                <w:iCs/>
                <w:sz w:val="14"/>
                <w:szCs w:val="14"/>
              </w:rPr>
              <w:t xml:space="preserve">736; </w:t>
            </w:r>
            <w:r w:rsidR="00456911" w:rsidRPr="002F2E59">
              <w:rPr>
                <w:iCs/>
                <w:sz w:val="14"/>
                <w:szCs w:val="14"/>
              </w:rPr>
              <w:t>M:</w:t>
            </w:r>
            <w:r w:rsidR="001E7228" w:rsidRPr="002F2E59">
              <w:rPr>
                <w:iCs/>
                <w:sz w:val="14"/>
                <w:szCs w:val="14"/>
              </w:rPr>
              <w:t xml:space="preserve"> </w:t>
            </w:r>
            <w:r w:rsidRPr="002F2E59">
              <w:rPr>
                <w:iCs/>
                <w:sz w:val="14"/>
                <w:szCs w:val="14"/>
              </w:rPr>
              <w:t>85</w:t>
            </w:r>
            <w:r w:rsidR="001E7228" w:rsidRPr="002F2E59">
              <w:rPr>
                <w:iCs/>
                <w:sz w:val="14"/>
                <w:szCs w:val="14"/>
              </w:rPr>
              <w:t>,</w:t>
            </w:r>
            <w:r w:rsidRPr="002F2E59">
              <w:rPr>
                <w:iCs/>
                <w:sz w:val="14"/>
                <w:szCs w:val="14"/>
              </w:rPr>
              <w:t>000</w:t>
            </w:r>
            <w:r w:rsidR="00456911" w:rsidRPr="002F2E59">
              <w:rPr>
                <w:iCs/>
                <w:sz w:val="14"/>
                <w:szCs w:val="14"/>
              </w:rPr>
              <w:t>); Target: 137</w:t>
            </w:r>
            <w:r w:rsidR="001E7228" w:rsidRPr="002F2E59">
              <w:rPr>
                <w:iCs/>
                <w:sz w:val="14"/>
                <w:szCs w:val="14"/>
              </w:rPr>
              <w:t>,</w:t>
            </w:r>
            <w:r w:rsidR="00456911" w:rsidRPr="002F2E59">
              <w:rPr>
                <w:iCs/>
                <w:sz w:val="14"/>
                <w:szCs w:val="14"/>
              </w:rPr>
              <w:t>736 (F:</w:t>
            </w:r>
            <w:r w:rsidR="001E7228" w:rsidRPr="002F2E59">
              <w:rPr>
                <w:iCs/>
                <w:sz w:val="14"/>
                <w:szCs w:val="14"/>
              </w:rPr>
              <w:t xml:space="preserve"> </w:t>
            </w:r>
            <w:r w:rsidR="00456911" w:rsidRPr="002F2E59">
              <w:rPr>
                <w:iCs/>
                <w:sz w:val="14"/>
                <w:szCs w:val="14"/>
              </w:rPr>
              <w:t>49</w:t>
            </w:r>
            <w:r w:rsidR="001E7228" w:rsidRPr="002F2E59">
              <w:rPr>
                <w:iCs/>
                <w:sz w:val="14"/>
                <w:szCs w:val="14"/>
              </w:rPr>
              <w:t>,</w:t>
            </w:r>
            <w:r w:rsidR="00456911" w:rsidRPr="002F2E59">
              <w:rPr>
                <w:iCs/>
                <w:sz w:val="14"/>
                <w:szCs w:val="14"/>
              </w:rPr>
              <w:t>736; M:</w:t>
            </w:r>
            <w:r w:rsidR="001E7228" w:rsidRPr="002F2E59">
              <w:rPr>
                <w:iCs/>
                <w:sz w:val="14"/>
                <w:szCs w:val="14"/>
              </w:rPr>
              <w:t xml:space="preserve"> </w:t>
            </w:r>
            <w:r w:rsidRPr="002F2E59">
              <w:rPr>
                <w:iCs/>
                <w:sz w:val="14"/>
                <w:szCs w:val="14"/>
              </w:rPr>
              <w:t>88</w:t>
            </w:r>
            <w:r w:rsidR="001E7228" w:rsidRPr="002F2E59">
              <w:rPr>
                <w:iCs/>
                <w:sz w:val="14"/>
                <w:szCs w:val="14"/>
              </w:rPr>
              <w:t>,</w:t>
            </w:r>
            <w:r w:rsidRPr="002F2E59">
              <w:rPr>
                <w:iCs/>
                <w:sz w:val="14"/>
                <w:szCs w:val="14"/>
              </w:rPr>
              <w:t>000); Data sour</w:t>
            </w:r>
            <w:r w:rsidR="00456911" w:rsidRPr="002F2E59">
              <w:rPr>
                <w:iCs/>
                <w:sz w:val="14"/>
                <w:szCs w:val="14"/>
              </w:rPr>
              <w:t xml:space="preserve">ce: MJ/METFP/ME/OSC; </w:t>
            </w:r>
          </w:p>
          <w:p w14:paraId="6D3C6716" w14:textId="77777777" w:rsidR="003474F4" w:rsidRPr="002F2E59" w:rsidRDefault="003474F4" w:rsidP="00A84130">
            <w:pPr>
              <w:tabs>
                <w:tab w:val="left" w:pos="0"/>
              </w:tabs>
              <w:rPr>
                <w:iCs/>
                <w:sz w:val="14"/>
                <w:szCs w:val="14"/>
              </w:rPr>
            </w:pPr>
          </w:p>
          <w:p w14:paraId="414B9A1F" w14:textId="56D5C9DF" w:rsidR="003474F4" w:rsidRPr="002F2E59" w:rsidRDefault="00D62E1C" w:rsidP="00A84130">
            <w:pPr>
              <w:tabs>
                <w:tab w:val="left" w:pos="0"/>
              </w:tabs>
              <w:rPr>
                <w:iCs/>
                <w:sz w:val="14"/>
                <w:szCs w:val="14"/>
              </w:rPr>
            </w:pPr>
            <w:r w:rsidRPr="002F2E59">
              <w:rPr>
                <w:b/>
                <w:iCs/>
                <w:sz w:val="14"/>
                <w:szCs w:val="14"/>
              </w:rPr>
              <w:t>Indicator</w:t>
            </w:r>
            <w:r w:rsidR="001E7228" w:rsidRPr="002F2E59">
              <w:rPr>
                <w:b/>
                <w:iCs/>
                <w:sz w:val="14"/>
                <w:szCs w:val="14"/>
              </w:rPr>
              <w:t xml:space="preserve"> </w:t>
            </w:r>
            <w:r w:rsidR="003474F4" w:rsidRPr="002F2E59">
              <w:rPr>
                <w:b/>
                <w:iCs/>
                <w:sz w:val="14"/>
                <w:szCs w:val="14"/>
              </w:rPr>
              <w:t>2.2.3</w:t>
            </w:r>
            <w:r w:rsidR="003474F4" w:rsidRPr="002F2E59">
              <w:rPr>
                <w:iCs/>
                <w:sz w:val="14"/>
                <w:szCs w:val="14"/>
              </w:rPr>
              <w:t xml:space="preserve">: Number of new full time </w:t>
            </w:r>
            <w:r w:rsidR="00D01E7C" w:rsidRPr="002F2E59">
              <w:rPr>
                <w:iCs/>
                <w:sz w:val="14"/>
                <w:szCs w:val="14"/>
              </w:rPr>
              <w:t>equivalent jobs created for</w:t>
            </w:r>
            <w:r w:rsidR="006157DD" w:rsidRPr="002F2E59">
              <w:rPr>
                <w:iCs/>
                <w:sz w:val="14"/>
                <w:szCs w:val="14"/>
              </w:rPr>
              <w:t xml:space="preserve"> people with disabilities</w:t>
            </w:r>
          </w:p>
          <w:p w14:paraId="0C647D18" w14:textId="78C59302" w:rsidR="003474F4" w:rsidRPr="002F2E59" w:rsidRDefault="003474F4" w:rsidP="00A84130">
            <w:pPr>
              <w:tabs>
                <w:tab w:val="left" w:pos="0"/>
              </w:tabs>
              <w:rPr>
                <w:iCs/>
                <w:sz w:val="14"/>
                <w:szCs w:val="14"/>
              </w:rPr>
            </w:pPr>
            <w:r w:rsidRPr="002F2E59">
              <w:rPr>
                <w:iCs/>
                <w:sz w:val="14"/>
                <w:szCs w:val="14"/>
              </w:rPr>
              <w:t>Baseline:</w:t>
            </w:r>
            <w:r w:rsidR="001E7228" w:rsidRPr="002F2E59">
              <w:rPr>
                <w:iCs/>
                <w:sz w:val="14"/>
                <w:szCs w:val="14"/>
              </w:rPr>
              <w:t xml:space="preserve"> </w:t>
            </w:r>
            <w:r w:rsidR="00F54771" w:rsidRPr="002F2E59">
              <w:rPr>
                <w:iCs/>
                <w:sz w:val="14"/>
                <w:szCs w:val="14"/>
              </w:rPr>
              <w:t>904</w:t>
            </w:r>
            <w:r w:rsidR="00D62E1C" w:rsidRPr="002F2E59">
              <w:rPr>
                <w:iCs/>
                <w:sz w:val="14"/>
                <w:szCs w:val="14"/>
              </w:rPr>
              <w:t xml:space="preserve"> </w:t>
            </w:r>
            <w:r w:rsidR="00456911" w:rsidRPr="002F2E59">
              <w:rPr>
                <w:iCs/>
                <w:sz w:val="14"/>
                <w:szCs w:val="14"/>
              </w:rPr>
              <w:t>Target:</w:t>
            </w:r>
            <w:r w:rsidR="001E7228" w:rsidRPr="002F2E59">
              <w:rPr>
                <w:iCs/>
                <w:sz w:val="14"/>
                <w:szCs w:val="14"/>
              </w:rPr>
              <w:t xml:space="preserve"> </w:t>
            </w:r>
            <w:r w:rsidR="00456911" w:rsidRPr="002F2E59">
              <w:rPr>
                <w:iCs/>
                <w:sz w:val="14"/>
                <w:szCs w:val="14"/>
              </w:rPr>
              <w:t>2</w:t>
            </w:r>
            <w:r w:rsidR="001E7228" w:rsidRPr="002F2E59">
              <w:rPr>
                <w:iCs/>
                <w:sz w:val="14"/>
                <w:szCs w:val="14"/>
              </w:rPr>
              <w:t>,</w:t>
            </w:r>
            <w:r w:rsidR="00456911" w:rsidRPr="002F2E59">
              <w:rPr>
                <w:iCs/>
                <w:sz w:val="14"/>
                <w:szCs w:val="14"/>
              </w:rPr>
              <w:t>512; Data source:</w:t>
            </w:r>
            <w:r w:rsidR="001E7228" w:rsidRPr="002F2E59">
              <w:rPr>
                <w:iCs/>
                <w:sz w:val="14"/>
                <w:szCs w:val="14"/>
              </w:rPr>
              <w:t xml:space="preserve"> </w:t>
            </w:r>
            <w:r w:rsidRPr="002F2E59">
              <w:rPr>
                <w:iCs/>
                <w:sz w:val="14"/>
                <w:szCs w:val="14"/>
              </w:rPr>
              <w:t>MJ/METFP/ME/OSC;</w:t>
            </w:r>
            <w:r w:rsidR="00456911" w:rsidRPr="002F2E59">
              <w:rPr>
                <w:iCs/>
                <w:sz w:val="14"/>
                <w:szCs w:val="14"/>
              </w:rPr>
              <w:t xml:space="preserve"> </w:t>
            </w:r>
          </w:p>
          <w:p w14:paraId="061FAF6E" w14:textId="77777777" w:rsidR="003474F4" w:rsidRPr="002F2E59" w:rsidRDefault="003474F4" w:rsidP="00A84130">
            <w:pPr>
              <w:tabs>
                <w:tab w:val="left" w:pos="0"/>
              </w:tabs>
              <w:rPr>
                <w:iCs/>
                <w:sz w:val="14"/>
                <w:szCs w:val="14"/>
              </w:rPr>
            </w:pPr>
          </w:p>
          <w:p w14:paraId="0899BACC" w14:textId="7DDEB142" w:rsidR="003474F4" w:rsidRPr="002F2E59" w:rsidRDefault="00D62E1C" w:rsidP="00A84130">
            <w:pPr>
              <w:tabs>
                <w:tab w:val="left" w:pos="0"/>
              </w:tabs>
              <w:rPr>
                <w:sz w:val="14"/>
                <w:szCs w:val="14"/>
                <w:lang w:eastAsia="fr-FR"/>
              </w:rPr>
            </w:pPr>
            <w:r w:rsidRPr="002F2E59">
              <w:rPr>
                <w:b/>
                <w:iCs/>
                <w:sz w:val="14"/>
                <w:szCs w:val="14"/>
              </w:rPr>
              <w:t>Indicator</w:t>
            </w:r>
            <w:r w:rsidR="001E7228" w:rsidRPr="002F2E59">
              <w:rPr>
                <w:b/>
                <w:iCs/>
                <w:sz w:val="14"/>
                <w:szCs w:val="14"/>
              </w:rPr>
              <w:t xml:space="preserve"> </w:t>
            </w:r>
            <w:r w:rsidR="003474F4" w:rsidRPr="002F2E59">
              <w:rPr>
                <w:b/>
                <w:iCs/>
                <w:sz w:val="14"/>
                <w:szCs w:val="14"/>
              </w:rPr>
              <w:t>2.2.4</w:t>
            </w:r>
            <w:r w:rsidR="003474F4" w:rsidRPr="002F2E59">
              <w:rPr>
                <w:iCs/>
                <w:sz w:val="14"/>
                <w:szCs w:val="14"/>
              </w:rPr>
              <w:t xml:space="preserve">: </w:t>
            </w:r>
            <w:r w:rsidR="003474F4" w:rsidRPr="002F2E59">
              <w:rPr>
                <w:sz w:val="14"/>
                <w:szCs w:val="14"/>
              </w:rPr>
              <w:t xml:space="preserve">Number of additional </w:t>
            </w:r>
            <w:r w:rsidR="001E7228" w:rsidRPr="002F2E59">
              <w:rPr>
                <w:sz w:val="14"/>
                <w:szCs w:val="14"/>
              </w:rPr>
              <w:t xml:space="preserve">people with disabilities </w:t>
            </w:r>
            <w:r w:rsidR="003474F4" w:rsidRPr="002F2E59">
              <w:rPr>
                <w:sz w:val="14"/>
                <w:szCs w:val="14"/>
              </w:rPr>
              <w:t>that benefit from UNDP's livelihoods interventions</w:t>
            </w:r>
          </w:p>
          <w:p w14:paraId="0C9FE18E" w14:textId="4EA5B846" w:rsidR="003474F4" w:rsidRPr="002F2E59" w:rsidRDefault="00456911" w:rsidP="00A84130">
            <w:pPr>
              <w:tabs>
                <w:tab w:val="left" w:pos="0"/>
              </w:tabs>
              <w:rPr>
                <w:iCs/>
                <w:sz w:val="14"/>
                <w:szCs w:val="14"/>
              </w:rPr>
            </w:pPr>
            <w:r w:rsidRPr="002F2E59">
              <w:rPr>
                <w:iCs/>
                <w:sz w:val="14"/>
                <w:szCs w:val="14"/>
              </w:rPr>
              <w:t>Baseline:</w:t>
            </w:r>
            <w:r w:rsidR="001E7228" w:rsidRPr="002F2E59">
              <w:rPr>
                <w:iCs/>
                <w:sz w:val="14"/>
                <w:szCs w:val="14"/>
              </w:rPr>
              <w:t xml:space="preserve"> </w:t>
            </w:r>
            <w:r w:rsidR="00F54771" w:rsidRPr="002F2E59">
              <w:rPr>
                <w:iCs/>
                <w:sz w:val="14"/>
                <w:szCs w:val="14"/>
              </w:rPr>
              <w:t>2</w:t>
            </w:r>
            <w:r w:rsidR="001E7228" w:rsidRPr="002F2E59">
              <w:rPr>
                <w:iCs/>
                <w:sz w:val="14"/>
                <w:szCs w:val="14"/>
              </w:rPr>
              <w:t>,</w:t>
            </w:r>
            <w:r w:rsidR="00F54771" w:rsidRPr="002F2E59">
              <w:rPr>
                <w:iCs/>
                <w:sz w:val="14"/>
                <w:szCs w:val="14"/>
              </w:rPr>
              <w:t>479</w:t>
            </w:r>
            <w:r w:rsidRPr="002F2E59">
              <w:rPr>
                <w:iCs/>
                <w:sz w:val="14"/>
                <w:szCs w:val="14"/>
              </w:rPr>
              <w:t xml:space="preserve"> Target:</w:t>
            </w:r>
            <w:r w:rsidR="00121BFC" w:rsidRPr="002F2E59">
              <w:rPr>
                <w:iCs/>
                <w:sz w:val="14"/>
                <w:szCs w:val="14"/>
              </w:rPr>
              <w:t xml:space="preserve"> </w:t>
            </w:r>
            <w:r w:rsidR="003474F4" w:rsidRPr="002F2E59">
              <w:rPr>
                <w:iCs/>
                <w:sz w:val="14"/>
                <w:szCs w:val="14"/>
              </w:rPr>
              <w:t>6</w:t>
            </w:r>
            <w:r w:rsidR="00121BFC" w:rsidRPr="002F2E59">
              <w:rPr>
                <w:iCs/>
                <w:sz w:val="14"/>
                <w:szCs w:val="14"/>
              </w:rPr>
              <w:t>,</w:t>
            </w:r>
            <w:r w:rsidR="003474F4" w:rsidRPr="002F2E59">
              <w:rPr>
                <w:iCs/>
                <w:sz w:val="14"/>
                <w:szCs w:val="14"/>
              </w:rPr>
              <w:t>887; Data sour</w:t>
            </w:r>
            <w:r w:rsidRPr="002F2E59">
              <w:rPr>
                <w:iCs/>
                <w:sz w:val="14"/>
                <w:szCs w:val="14"/>
              </w:rPr>
              <w:t>ce:</w:t>
            </w:r>
            <w:r w:rsidR="00121BFC" w:rsidRPr="002F2E59">
              <w:rPr>
                <w:iCs/>
                <w:sz w:val="14"/>
                <w:szCs w:val="14"/>
              </w:rPr>
              <w:t xml:space="preserve"> </w:t>
            </w:r>
            <w:r w:rsidRPr="002F2E59">
              <w:rPr>
                <w:iCs/>
                <w:sz w:val="14"/>
                <w:szCs w:val="14"/>
              </w:rPr>
              <w:t xml:space="preserve">MJ/METFP/ME/OSC; </w:t>
            </w:r>
          </w:p>
        </w:tc>
        <w:tc>
          <w:tcPr>
            <w:tcW w:w="2774" w:type="dxa"/>
          </w:tcPr>
          <w:p w14:paraId="6C9CB5F6" w14:textId="77777777" w:rsidR="003474F4" w:rsidRPr="002F2E59" w:rsidRDefault="00456911" w:rsidP="00A84130">
            <w:pPr>
              <w:tabs>
                <w:tab w:val="left" w:pos="0"/>
              </w:tabs>
              <w:rPr>
                <w:sz w:val="14"/>
                <w:szCs w:val="14"/>
              </w:rPr>
            </w:pPr>
            <w:r w:rsidRPr="002F2E59">
              <w:rPr>
                <w:sz w:val="14"/>
                <w:szCs w:val="14"/>
              </w:rPr>
              <w:t>Ministries:</w:t>
            </w:r>
            <w:r w:rsidR="007E79F6" w:rsidRPr="002F2E59">
              <w:rPr>
                <w:sz w:val="14"/>
                <w:szCs w:val="14"/>
              </w:rPr>
              <w:t xml:space="preserve"> MPCI, </w:t>
            </w:r>
            <w:r w:rsidR="00274B8F" w:rsidRPr="002F2E59">
              <w:rPr>
                <w:sz w:val="14"/>
                <w:szCs w:val="14"/>
              </w:rPr>
              <w:t>Youth-</w:t>
            </w:r>
            <w:r w:rsidR="003474F4" w:rsidRPr="002F2E59">
              <w:rPr>
                <w:sz w:val="14"/>
                <w:szCs w:val="14"/>
              </w:rPr>
              <w:t>Technic</w:t>
            </w:r>
            <w:r w:rsidRPr="002F2E59">
              <w:rPr>
                <w:sz w:val="14"/>
                <w:szCs w:val="14"/>
              </w:rPr>
              <w:t>al and Professional Training,</w:t>
            </w:r>
            <w:r w:rsidR="00274B8F" w:rsidRPr="002F2E59">
              <w:rPr>
                <w:sz w:val="14"/>
                <w:szCs w:val="14"/>
              </w:rPr>
              <w:t xml:space="preserve"> I</w:t>
            </w:r>
            <w:r w:rsidRPr="002F2E59">
              <w:rPr>
                <w:sz w:val="14"/>
                <w:szCs w:val="14"/>
              </w:rPr>
              <w:t>ndustry,</w:t>
            </w:r>
            <w:r w:rsidR="00274B8F" w:rsidRPr="002F2E59">
              <w:rPr>
                <w:sz w:val="14"/>
                <w:szCs w:val="14"/>
              </w:rPr>
              <w:t xml:space="preserve"> </w:t>
            </w:r>
            <w:r w:rsidR="003474F4" w:rsidRPr="002F2E59">
              <w:rPr>
                <w:sz w:val="14"/>
                <w:szCs w:val="14"/>
              </w:rPr>
              <w:t>Small</w:t>
            </w:r>
            <w:r w:rsidRPr="002F2E59">
              <w:rPr>
                <w:sz w:val="14"/>
                <w:szCs w:val="14"/>
              </w:rPr>
              <w:t xml:space="preserve"> and Medium-Sized Enterprises,</w:t>
            </w:r>
            <w:r w:rsidR="00274B8F" w:rsidRPr="002F2E59">
              <w:rPr>
                <w:sz w:val="14"/>
                <w:szCs w:val="14"/>
              </w:rPr>
              <w:t xml:space="preserve"> </w:t>
            </w:r>
            <w:r w:rsidRPr="002F2E59">
              <w:rPr>
                <w:sz w:val="14"/>
                <w:szCs w:val="14"/>
              </w:rPr>
              <w:t>Mines and Geology,</w:t>
            </w:r>
            <w:r w:rsidR="00274B8F" w:rsidRPr="002F2E59">
              <w:rPr>
                <w:sz w:val="14"/>
                <w:szCs w:val="14"/>
              </w:rPr>
              <w:t xml:space="preserve"> </w:t>
            </w:r>
            <w:r w:rsidRPr="002F2E59">
              <w:rPr>
                <w:sz w:val="14"/>
                <w:szCs w:val="14"/>
              </w:rPr>
              <w:t>Agriculture,</w:t>
            </w:r>
            <w:r w:rsidR="00274B8F" w:rsidRPr="002F2E59">
              <w:rPr>
                <w:sz w:val="14"/>
                <w:szCs w:val="14"/>
              </w:rPr>
              <w:t xml:space="preserve"> </w:t>
            </w:r>
            <w:r w:rsidR="003474F4" w:rsidRPr="002F2E59">
              <w:rPr>
                <w:sz w:val="14"/>
                <w:szCs w:val="14"/>
              </w:rPr>
              <w:t>Fishing;</w:t>
            </w:r>
          </w:p>
          <w:p w14:paraId="52FD931B" w14:textId="77777777" w:rsidR="003474F4" w:rsidRPr="002F2E59" w:rsidRDefault="003474F4" w:rsidP="00A84130">
            <w:pPr>
              <w:tabs>
                <w:tab w:val="left" w:pos="0"/>
              </w:tabs>
              <w:rPr>
                <w:sz w:val="14"/>
                <w:szCs w:val="14"/>
              </w:rPr>
            </w:pPr>
            <w:r w:rsidRPr="002F2E59">
              <w:rPr>
                <w:sz w:val="14"/>
                <w:szCs w:val="14"/>
              </w:rPr>
              <w:t>- civil society</w:t>
            </w:r>
          </w:p>
          <w:p w14:paraId="65014CA5" w14:textId="554FF963" w:rsidR="003474F4" w:rsidRPr="002F2E59" w:rsidRDefault="003474F4" w:rsidP="00A84130">
            <w:pPr>
              <w:tabs>
                <w:tab w:val="left" w:pos="0"/>
              </w:tabs>
              <w:rPr>
                <w:sz w:val="14"/>
                <w:szCs w:val="14"/>
              </w:rPr>
            </w:pPr>
            <w:r w:rsidRPr="002F2E59">
              <w:rPr>
                <w:sz w:val="14"/>
                <w:szCs w:val="14"/>
              </w:rPr>
              <w:t>- private sector (enterprises, employers’ federations; Chamber of Mines</w:t>
            </w:r>
            <w:r w:rsidR="006157DD" w:rsidRPr="002F2E59">
              <w:rPr>
                <w:sz w:val="14"/>
                <w:szCs w:val="14"/>
              </w:rPr>
              <w:t>;</w:t>
            </w:r>
          </w:p>
          <w:p w14:paraId="7DE64DF9" w14:textId="5F0619CB" w:rsidR="003474F4" w:rsidRPr="002F2E59" w:rsidRDefault="003474F4" w:rsidP="00A84130">
            <w:pPr>
              <w:tabs>
                <w:tab w:val="left" w:pos="0"/>
              </w:tabs>
              <w:rPr>
                <w:sz w:val="14"/>
                <w:szCs w:val="14"/>
              </w:rPr>
            </w:pPr>
            <w:r w:rsidRPr="002F2E59">
              <w:rPr>
                <w:sz w:val="14"/>
                <w:szCs w:val="14"/>
              </w:rPr>
              <w:t>Decentralized authorities</w:t>
            </w:r>
            <w:r w:rsidR="006157DD" w:rsidRPr="002F2E59">
              <w:rPr>
                <w:sz w:val="14"/>
                <w:szCs w:val="14"/>
              </w:rPr>
              <w:t>)</w:t>
            </w:r>
          </w:p>
          <w:p w14:paraId="074A4937" w14:textId="77777777" w:rsidR="00F56D65" w:rsidRPr="002F2E59" w:rsidRDefault="00456911" w:rsidP="00A84130">
            <w:pPr>
              <w:tabs>
                <w:tab w:val="left" w:pos="0"/>
              </w:tabs>
              <w:jc w:val="both"/>
              <w:rPr>
                <w:sz w:val="14"/>
                <w:szCs w:val="14"/>
              </w:rPr>
            </w:pPr>
            <w:r w:rsidRPr="002F2E59">
              <w:rPr>
                <w:sz w:val="14"/>
                <w:szCs w:val="14"/>
              </w:rPr>
              <w:t>IOM,</w:t>
            </w:r>
            <w:r w:rsidR="00274B8F" w:rsidRPr="002F2E59">
              <w:rPr>
                <w:sz w:val="14"/>
                <w:szCs w:val="14"/>
              </w:rPr>
              <w:t xml:space="preserve"> </w:t>
            </w:r>
            <w:r w:rsidRPr="002F2E59">
              <w:rPr>
                <w:sz w:val="14"/>
                <w:szCs w:val="14"/>
              </w:rPr>
              <w:t>UNICEF,</w:t>
            </w:r>
            <w:r w:rsidR="00274B8F" w:rsidRPr="002F2E59">
              <w:rPr>
                <w:sz w:val="14"/>
                <w:szCs w:val="14"/>
              </w:rPr>
              <w:t xml:space="preserve"> </w:t>
            </w:r>
            <w:r w:rsidRPr="002F2E59">
              <w:rPr>
                <w:sz w:val="14"/>
                <w:szCs w:val="14"/>
              </w:rPr>
              <w:t>UNFPA,</w:t>
            </w:r>
            <w:r w:rsidR="00274B8F" w:rsidRPr="002F2E59">
              <w:rPr>
                <w:sz w:val="14"/>
                <w:szCs w:val="14"/>
              </w:rPr>
              <w:t xml:space="preserve"> </w:t>
            </w:r>
            <w:r w:rsidRPr="002F2E59">
              <w:rPr>
                <w:sz w:val="14"/>
                <w:szCs w:val="14"/>
              </w:rPr>
              <w:t>UN-Women,</w:t>
            </w:r>
            <w:r w:rsidR="00274B8F" w:rsidRPr="002F2E59">
              <w:rPr>
                <w:sz w:val="14"/>
                <w:szCs w:val="14"/>
              </w:rPr>
              <w:t xml:space="preserve"> </w:t>
            </w:r>
            <w:r w:rsidR="00F56D65" w:rsidRPr="002F2E59">
              <w:rPr>
                <w:sz w:val="14"/>
                <w:szCs w:val="14"/>
              </w:rPr>
              <w:t>WHO, UNCDF</w:t>
            </w:r>
          </w:p>
          <w:p w14:paraId="47E76AEB" w14:textId="77777777" w:rsidR="003474F4" w:rsidRPr="002F2E59" w:rsidRDefault="00456911" w:rsidP="00A84130">
            <w:pPr>
              <w:tabs>
                <w:tab w:val="left" w:pos="0"/>
              </w:tabs>
              <w:jc w:val="both"/>
              <w:rPr>
                <w:sz w:val="14"/>
                <w:szCs w:val="14"/>
              </w:rPr>
            </w:pPr>
            <w:r w:rsidRPr="002F2E59">
              <w:rPr>
                <w:sz w:val="14"/>
                <w:szCs w:val="14"/>
              </w:rPr>
              <w:t>AfDB,</w:t>
            </w:r>
            <w:r w:rsidR="00D01E7C" w:rsidRPr="002F2E59">
              <w:rPr>
                <w:sz w:val="14"/>
                <w:szCs w:val="14"/>
              </w:rPr>
              <w:t xml:space="preserve"> </w:t>
            </w:r>
            <w:r w:rsidRPr="002F2E59">
              <w:rPr>
                <w:sz w:val="14"/>
                <w:szCs w:val="14"/>
              </w:rPr>
              <w:t>IsDB,</w:t>
            </w:r>
            <w:r w:rsidR="00274B8F" w:rsidRPr="002F2E59">
              <w:rPr>
                <w:sz w:val="14"/>
                <w:szCs w:val="14"/>
              </w:rPr>
              <w:t xml:space="preserve"> </w:t>
            </w:r>
            <w:r w:rsidRPr="002F2E59">
              <w:rPr>
                <w:sz w:val="14"/>
                <w:szCs w:val="14"/>
              </w:rPr>
              <w:t>EU,</w:t>
            </w:r>
            <w:r w:rsidR="00274B8F" w:rsidRPr="002F2E59">
              <w:rPr>
                <w:sz w:val="14"/>
                <w:szCs w:val="14"/>
              </w:rPr>
              <w:t xml:space="preserve"> </w:t>
            </w:r>
            <w:r w:rsidRPr="002F2E59">
              <w:rPr>
                <w:sz w:val="14"/>
                <w:szCs w:val="14"/>
              </w:rPr>
              <w:t>GEF/GCF,</w:t>
            </w:r>
            <w:r w:rsidR="00274B8F" w:rsidRPr="002F2E59">
              <w:rPr>
                <w:sz w:val="14"/>
                <w:szCs w:val="14"/>
              </w:rPr>
              <w:t xml:space="preserve"> </w:t>
            </w:r>
            <w:r w:rsidRPr="002F2E59">
              <w:rPr>
                <w:sz w:val="14"/>
                <w:szCs w:val="14"/>
              </w:rPr>
              <w:t>WB,</w:t>
            </w:r>
            <w:r w:rsidR="00274B8F" w:rsidRPr="002F2E59">
              <w:rPr>
                <w:sz w:val="14"/>
                <w:szCs w:val="14"/>
              </w:rPr>
              <w:t xml:space="preserve"> </w:t>
            </w:r>
            <w:r w:rsidRPr="002F2E59">
              <w:rPr>
                <w:sz w:val="14"/>
                <w:szCs w:val="14"/>
              </w:rPr>
              <w:t>Japan,</w:t>
            </w:r>
            <w:r w:rsidR="00274B8F" w:rsidRPr="002F2E59">
              <w:rPr>
                <w:sz w:val="14"/>
                <w:szCs w:val="14"/>
              </w:rPr>
              <w:t xml:space="preserve"> </w:t>
            </w:r>
            <w:r w:rsidR="00F56D65" w:rsidRPr="002F2E59">
              <w:rPr>
                <w:sz w:val="14"/>
                <w:szCs w:val="14"/>
              </w:rPr>
              <w:t>GoG</w:t>
            </w:r>
          </w:p>
        </w:tc>
        <w:tc>
          <w:tcPr>
            <w:tcW w:w="1423" w:type="dxa"/>
            <w:tcMar>
              <w:top w:w="15" w:type="dxa"/>
              <w:left w:w="108" w:type="dxa"/>
              <w:bottom w:w="0" w:type="dxa"/>
              <w:right w:w="108" w:type="dxa"/>
            </w:tcMar>
          </w:tcPr>
          <w:p w14:paraId="13FD8C18" w14:textId="41C86F41" w:rsidR="003474F4" w:rsidRPr="002F2E59" w:rsidRDefault="00456911" w:rsidP="00A84130">
            <w:pPr>
              <w:tabs>
                <w:tab w:val="left" w:pos="0"/>
              </w:tabs>
              <w:rPr>
                <w:b/>
                <w:sz w:val="14"/>
                <w:szCs w:val="14"/>
              </w:rPr>
            </w:pPr>
            <w:r w:rsidRPr="002F2E59">
              <w:rPr>
                <w:b/>
                <w:sz w:val="14"/>
                <w:szCs w:val="14"/>
              </w:rPr>
              <w:t>Regular:</w:t>
            </w:r>
            <w:r w:rsidR="001E7228" w:rsidRPr="002F2E59">
              <w:rPr>
                <w:b/>
                <w:sz w:val="14"/>
                <w:szCs w:val="14"/>
              </w:rPr>
              <w:t xml:space="preserve"> </w:t>
            </w:r>
            <w:r w:rsidR="00F345E5" w:rsidRPr="002F2E59">
              <w:rPr>
                <w:b/>
                <w:sz w:val="14"/>
                <w:szCs w:val="14"/>
              </w:rPr>
              <w:t>3,533,974</w:t>
            </w:r>
            <w:r w:rsidR="003474F4" w:rsidRPr="002F2E59">
              <w:rPr>
                <w:sz w:val="14"/>
                <w:szCs w:val="14"/>
                <w:lang w:eastAsia="fr-FR"/>
              </w:rPr>
              <w:t xml:space="preserve">  </w:t>
            </w:r>
          </w:p>
          <w:p w14:paraId="00F43C94" w14:textId="77777777" w:rsidR="003474F4" w:rsidRPr="002F2E59" w:rsidRDefault="003474F4" w:rsidP="00A84130">
            <w:pPr>
              <w:tabs>
                <w:tab w:val="left" w:pos="0"/>
              </w:tabs>
              <w:rPr>
                <w:b/>
                <w:sz w:val="14"/>
                <w:szCs w:val="14"/>
              </w:rPr>
            </w:pPr>
          </w:p>
          <w:p w14:paraId="34C4B4A9" w14:textId="661D691F" w:rsidR="003474F4" w:rsidRPr="002F2E59" w:rsidRDefault="004A3224" w:rsidP="00A84130">
            <w:pPr>
              <w:tabs>
                <w:tab w:val="left" w:pos="0"/>
              </w:tabs>
              <w:rPr>
                <w:b/>
                <w:sz w:val="14"/>
                <w:szCs w:val="14"/>
              </w:rPr>
            </w:pPr>
            <w:r w:rsidRPr="002F2E59">
              <w:rPr>
                <w:b/>
                <w:sz w:val="14"/>
                <w:szCs w:val="14"/>
              </w:rPr>
              <w:t>Other: 18,022,510</w:t>
            </w:r>
          </w:p>
        </w:tc>
      </w:tr>
      <w:tr w:rsidR="00610A93" w:rsidRPr="002F2E59" w14:paraId="5706F86B" w14:textId="77777777" w:rsidTr="001D3FBF">
        <w:trPr>
          <w:jc w:val="center"/>
        </w:trPr>
        <w:tc>
          <w:tcPr>
            <w:tcW w:w="2723" w:type="dxa"/>
            <w:vMerge/>
            <w:tcMar>
              <w:top w:w="72" w:type="dxa"/>
              <w:left w:w="144" w:type="dxa"/>
              <w:bottom w:w="72" w:type="dxa"/>
              <w:right w:w="144" w:type="dxa"/>
            </w:tcMar>
          </w:tcPr>
          <w:p w14:paraId="14A4573C" w14:textId="77777777" w:rsidR="003474F4" w:rsidRPr="002F2E59" w:rsidRDefault="003474F4" w:rsidP="00A84130">
            <w:pPr>
              <w:tabs>
                <w:tab w:val="left" w:pos="0"/>
              </w:tabs>
              <w:jc w:val="both"/>
              <w:rPr>
                <w:iCs/>
                <w:sz w:val="14"/>
                <w:szCs w:val="14"/>
              </w:rPr>
            </w:pPr>
          </w:p>
        </w:tc>
        <w:tc>
          <w:tcPr>
            <w:tcW w:w="2323" w:type="dxa"/>
          </w:tcPr>
          <w:p w14:paraId="7FB34E11" w14:textId="77777777" w:rsidR="003474F4" w:rsidRPr="002F2E59" w:rsidRDefault="003474F4" w:rsidP="00A84130">
            <w:pPr>
              <w:tabs>
                <w:tab w:val="left" w:pos="0"/>
              </w:tabs>
              <w:jc w:val="both"/>
              <w:rPr>
                <w:iCs/>
                <w:sz w:val="14"/>
                <w:szCs w:val="14"/>
              </w:rPr>
            </w:pPr>
          </w:p>
          <w:p w14:paraId="1CC6E800" w14:textId="77777777" w:rsidR="003474F4" w:rsidRPr="002F2E59" w:rsidRDefault="003474F4" w:rsidP="00A84130">
            <w:pPr>
              <w:tabs>
                <w:tab w:val="left" w:pos="0"/>
              </w:tabs>
              <w:jc w:val="both"/>
              <w:rPr>
                <w:iCs/>
                <w:sz w:val="14"/>
                <w:szCs w:val="14"/>
              </w:rPr>
            </w:pPr>
          </w:p>
          <w:p w14:paraId="15BF0B5D" w14:textId="77777777" w:rsidR="003474F4" w:rsidRPr="002F2E59" w:rsidRDefault="003474F4" w:rsidP="00A84130">
            <w:pPr>
              <w:tabs>
                <w:tab w:val="left" w:pos="0"/>
              </w:tabs>
              <w:jc w:val="both"/>
              <w:rPr>
                <w:iCs/>
                <w:sz w:val="14"/>
                <w:szCs w:val="14"/>
              </w:rPr>
            </w:pPr>
          </w:p>
          <w:p w14:paraId="5D23AD93" w14:textId="77777777" w:rsidR="003474F4" w:rsidRPr="002F2E59" w:rsidRDefault="003474F4" w:rsidP="00A84130">
            <w:pPr>
              <w:tabs>
                <w:tab w:val="left" w:pos="0"/>
              </w:tabs>
              <w:jc w:val="both"/>
              <w:rPr>
                <w:iCs/>
                <w:sz w:val="14"/>
                <w:szCs w:val="14"/>
              </w:rPr>
            </w:pPr>
          </w:p>
          <w:p w14:paraId="3CC6C27C" w14:textId="77777777" w:rsidR="003474F4" w:rsidRPr="002F2E59" w:rsidRDefault="003474F4" w:rsidP="00A84130">
            <w:pPr>
              <w:tabs>
                <w:tab w:val="left" w:pos="0"/>
              </w:tabs>
              <w:jc w:val="both"/>
              <w:rPr>
                <w:iCs/>
                <w:sz w:val="14"/>
                <w:szCs w:val="14"/>
              </w:rPr>
            </w:pPr>
          </w:p>
          <w:p w14:paraId="301FDFF9" w14:textId="77777777" w:rsidR="003474F4" w:rsidRPr="002F2E59" w:rsidRDefault="00D62E1C" w:rsidP="00A84130">
            <w:pPr>
              <w:tabs>
                <w:tab w:val="left" w:pos="0"/>
              </w:tabs>
              <w:jc w:val="both"/>
              <w:rPr>
                <w:iCs/>
                <w:sz w:val="14"/>
                <w:szCs w:val="14"/>
              </w:rPr>
            </w:pPr>
            <w:r w:rsidRPr="002F2E59">
              <w:rPr>
                <w:iCs/>
                <w:sz w:val="14"/>
                <w:szCs w:val="14"/>
              </w:rPr>
              <w:t xml:space="preserve">Data </w:t>
            </w:r>
            <w:r w:rsidR="00E06AEF" w:rsidRPr="002F2E59">
              <w:rPr>
                <w:iCs/>
                <w:sz w:val="14"/>
                <w:szCs w:val="14"/>
              </w:rPr>
              <w:t>source: INS</w:t>
            </w:r>
          </w:p>
          <w:p w14:paraId="51E00D87" w14:textId="469B3BB5" w:rsidR="003474F4" w:rsidRPr="002F2E59" w:rsidRDefault="003474F4" w:rsidP="00A84130">
            <w:pPr>
              <w:tabs>
                <w:tab w:val="left" w:pos="0"/>
              </w:tabs>
              <w:jc w:val="both"/>
              <w:rPr>
                <w:iCs/>
                <w:sz w:val="14"/>
                <w:szCs w:val="14"/>
              </w:rPr>
            </w:pPr>
          </w:p>
        </w:tc>
        <w:tc>
          <w:tcPr>
            <w:tcW w:w="4336" w:type="dxa"/>
            <w:tcMar>
              <w:top w:w="72" w:type="dxa"/>
              <w:left w:w="144" w:type="dxa"/>
              <w:bottom w:w="72" w:type="dxa"/>
              <w:right w:w="144" w:type="dxa"/>
            </w:tcMar>
          </w:tcPr>
          <w:p w14:paraId="1B73C51E" w14:textId="70C1D086" w:rsidR="003474F4" w:rsidRPr="002F2E59" w:rsidRDefault="00D01E7C" w:rsidP="00A84130">
            <w:pPr>
              <w:pStyle w:val="CommentText"/>
              <w:tabs>
                <w:tab w:val="left" w:pos="0"/>
              </w:tabs>
            </w:pPr>
            <w:r w:rsidRPr="002F2E59">
              <w:rPr>
                <w:b/>
                <w:sz w:val="14"/>
                <w:szCs w:val="14"/>
              </w:rPr>
              <w:t>Output</w:t>
            </w:r>
            <w:r w:rsidR="001E7228" w:rsidRPr="002F2E59">
              <w:rPr>
                <w:b/>
                <w:sz w:val="14"/>
                <w:szCs w:val="14"/>
              </w:rPr>
              <w:t xml:space="preserve"> </w:t>
            </w:r>
            <w:r w:rsidR="003474F4" w:rsidRPr="002F2E59">
              <w:rPr>
                <w:b/>
                <w:sz w:val="14"/>
                <w:szCs w:val="14"/>
              </w:rPr>
              <w:t>2.3: The capacities</w:t>
            </w:r>
            <w:r w:rsidR="003474F4" w:rsidRPr="002F2E59" w:rsidDel="003B3062">
              <w:rPr>
                <w:b/>
                <w:sz w:val="14"/>
                <w:szCs w:val="14"/>
              </w:rPr>
              <w:t xml:space="preserve"> </w:t>
            </w:r>
            <w:r w:rsidR="003474F4" w:rsidRPr="002F2E59">
              <w:rPr>
                <w:b/>
                <w:sz w:val="14"/>
                <w:szCs w:val="14"/>
              </w:rPr>
              <w:t>of National Statistical Institute are enhanced to provide quality data and analysis for development planning monitoring and evaluation and decision-making.</w:t>
            </w:r>
          </w:p>
          <w:p w14:paraId="435DD7E8" w14:textId="77777777" w:rsidR="003474F4" w:rsidRPr="002F2E59" w:rsidRDefault="003474F4" w:rsidP="00A84130">
            <w:pPr>
              <w:tabs>
                <w:tab w:val="left" w:pos="0"/>
              </w:tabs>
              <w:jc w:val="both"/>
              <w:rPr>
                <w:b/>
                <w:sz w:val="14"/>
                <w:szCs w:val="14"/>
              </w:rPr>
            </w:pPr>
          </w:p>
          <w:p w14:paraId="0230A81E" w14:textId="4C4E6645" w:rsidR="003474F4" w:rsidRPr="002F2E59" w:rsidRDefault="00D62E1C" w:rsidP="00A84130">
            <w:pPr>
              <w:tabs>
                <w:tab w:val="left" w:pos="0"/>
              </w:tabs>
              <w:rPr>
                <w:sz w:val="14"/>
                <w:szCs w:val="14"/>
              </w:rPr>
            </w:pPr>
            <w:r w:rsidRPr="002F2E59">
              <w:rPr>
                <w:b/>
                <w:iCs/>
                <w:sz w:val="14"/>
                <w:szCs w:val="14"/>
              </w:rPr>
              <w:t>Indicator</w:t>
            </w:r>
            <w:r w:rsidR="001E7228" w:rsidRPr="002F2E59">
              <w:rPr>
                <w:b/>
                <w:iCs/>
                <w:sz w:val="14"/>
                <w:szCs w:val="14"/>
              </w:rPr>
              <w:t xml:space="preserve"> </w:t>
            </w:r>
            <w:r w:rsidR="003474F4" w:rsidRPr="002F2E59">
              <w:rPr>
                <w:b/>
                <w:iCs/>
                <w:sz w:val="14"/>
                <w:szCs w:val="14"/>
              </w:rPr>
              <w:t>2.3.1</w:t>
            </w:r>
            <w:r w:rsidRPr="002F2E59">
              <w:rPr>
                <w:iCs/>
                <w:sz w:val="14"/>
                <w:szCs w:val="14"/>
              </w:rPr>
              <w:t>:</w:t>
            </w:r>
            <w:r w:rsidR="003474F4" w:rsidRPr="002F2E59">
              <w:rPr>
                <w:b/>
                <w:sz w:val="14"/>
                <w:szCs w:val="14"/>
              </w:rPr>
              <w:t xml:space="preserve"> </w:t>
            </w:r>
            <w:r w:rsidR="003474F4" w:rsidRPr="002F2E59">
              <w:rPr>
                <w:sz w:val="14"/>
                <w:szCs w:val="14"/>
              </w:rPr>
              <w:t>Number of national frameworks with data collection and analysis capabilities Baseline:</w:t>
            </w:r>
            <w:r w:rsidR="00121BFC" w:rsidRPr="002F2E59">
              <w:rPr>
                <w:sz w:val="14"/>
                <w:szCs w:val="14"/>
              </w:rPr>
              <w:t xml:space="preserve"> </w:t>
            </w:r>
            <w:r w:rsidR="00F54771" w:rsidRPr="002F2E59">
              <w:rPr>
                <w:sz w:val="14"/>
                <w:szCs w:val="14"/>
              </w:rPr>
              <w:t>1</w:t>
            </w:r>
            <w:r w:rsidR="003474F4" w:rsidRPr="002F2E59">
              <w:rPr>
                <w:sz w:val="14"/>
                <w:szCs w:val="14"/>
              </w:rPr>
              <w:t>; Target:</w:t>
            </w:r>
            <w:r w:rsidR="00121BFC" w:rsidRPr="002F2E59">
              <w:rPr>
                <w:sz w:val="14"/>
                <w:szCs w:val="14"/>
              </w:rPr>
              <w:t xml:space="preserve"> </w:t>
            </w:r>
            <w:r w:rsidR="003474F4" w:rsidRPr="002F2E59">
              <w:rPr>
                <w:sz w:val="14"/>
                <w:szCs w:val="14"/>
              </w:rPr>
              <w:t>25 Da</w:t>
            </w:r>
            <w:r w:rsidRPr="002F2E59">
              <w:rPr>
                <w:sz w:val="14"/>
                <w:szCs w:val="14"/>
              </w:rPr>
              <w:t>ta source:</w:t>
            </w:r>
            <w:r w:rsidR="00121BFC" w:rsidRPr="002F2E59">
              <w:rPr>
                <w:sz w:val="14"/>
                <w:szCs w:val="14"/>
              </w:rPr>
              <w:t xml:space="preserve"> </w:t>
            </w:r>
            <w:r w:rsidRPr="002F2E59">
              <w:rPr>
                <w:sz w:val="14"/>
                <w:szCs w:val="14"/>
              </w:rPr>
              <w:t xml:space="preserve">MPCI/INS </w:t>
            </w:r>
          </w:p>
          <w:p w14:paraId="1FAE294B" w14:textId="77777777" w:rsidR="003474F4" w:rsidRPr="002F2E59" w:rsidRDefault="003474F4" w:rsidP="00A84130">
            <w:pPr>
              <w:tabs>
                <w:tab w:val="left" w:pos="0"/>
              </w:tabs>
              <w:jc w:val="both"/>
              <w:rPr>
                <w:b/>
                <w:sz w:val="14"/>
                <w:szCs w:val="14"/>
              </w:rPr>
            </w:pPr>
          </w:p>
          <w:p w14:paraId="7772E408" w14:textId="79DF8EE8" w:rsidR="003474F4" w:rsidRPr="002F2E59" w:rsidRDefault="00D62E1C" w:rsidP="00A84130">
            <w:pPr>
              <w:tabs>
                <w:tab w:val="left" w:pos="0"/>
              </w:tabs>
              <w:rPr>
                <w:sz w:val="14"/>
                <w:szCs w:val="14"/>
              </w:rPr>
            </w:pPr>
            <w:r w:rsidRPr="002F2E59">
              <w:rPr>
                <w:b/>
                <w:iCs/>
                <w:sz w:val="14"/>
                <w:szCs w:val="14"/>
              </w:rPr>
              <w:t>Indicator</w:t>
            </w:r>
            <w:r w:rsidR="00121BFC" w:rsidRPr="002F2E59">
              <w:rPr>
                <w:b/>
                <w:iCs/>
                <w:sz w:val="14"/>
                <w:szCs w:val="14"/>
              </w:rPr>
              <w:t xml:space="preserve"> </w:t>
            </w:r>
            <w:r w:rsidR="003474F4" w:rsidRPr="002F2E59">
              <w:rPr>
                <w:b/>
                <w:iCs/>
                <w:sz w:val="14"/>
                <w:szCs w:val="14"/>
              </w:rPr>
              <w:t>2.3.2:</w:t>
            </w:r>
            <w:r w:rsidR="003474F4" w:rsidRPr="002F2E59">
              <w:rPr>
                <w:b/>
                <w:sz w:val="14"/>
                <w:szCs w:val="14"/>
              </w:rPr>
              <w:t xml:space="preserve"> </w:t>
            </w:r>
            <w:r w:rsidR="003474F4" w:rsidRPr="002F2E59">
              <w:rPr>
                <w:sz w:val="14"/>
                <w:szCs w:val="14"/>
              </w:rPr>
              <w:t>Number of national surveys supported that include disaggregated data on vulnerable groups</w:t>
            </w:r>
          </w:p>
          <w:p w14:paraId="0DA30A2F" w14:textId="76B644E6" w:rsidR="003474F4" w:rsidRPr="002F2E59" w:rsidRDefault="00D62E1C" w:rsidP="00A84130">
            <w:pPr>
              <w:tabs>
                <w:tab w:val="left" w:pos="0"/>
              </w:tabs>
              <w:rPr>
                <w:sz w:val="14"/>
                <w:szCs w:val="14"/>
              </w:rPr>
            </w:pPr>
            <w:r w:rsidRPr="002F2E59">
              <w:rPr>
                <w:sz w:val="14"/>
                <w:szCs w:val="14"/>
              </w:rPr>
              <w:t>Baseline:0; Target:</w:t>
            </w:r>
            <w:r w:rsidR="00121BFC" w:rsidRPr="002F2E59">
              <w:rPr>
                <w:sz w:val="14"/>
                <w:szCs w:val="14"/>
              </w:rPr>
              <w:t xml:space="preserve"> </w:t>
            </w:r>
            <w:r w:rsidRPr="002F2E59">
              <w:rPr>
                <w:sz w:val="14"/>
                <w:szCs w:val="14"/>
              </w:rPr>
              <w:t xml:space="preserve">8 Data </w:t>
            </w:r>
            <w:r w:rsidR="00E06AEF" w:rsidRPr="002F2E59">
              <w:rPr>
                <w:sz w:val="14"/>
                <w:szCs w:val="14"/>
              </w:rPr>
              <w:t>source: INS</w:t>
            </w:r>
            <w:r w:rsidR="003474F4" w:rsidRPr="002F2E59">
              <w:rPr>
                <w:sz w:val="14"/>
                <w:szCs w:val="14"/>
              </w:rPr>
              <w:t xml:space="preserve"> </w:t>
            </w:r>
          </w:p>
        </w:tc>
        <w:tc>
          <w:tcPr>
            <w:tcW w:w="2774" w:type="dxa"/>
          </w:tcPr>
          <w:p w14:paraId="42CA698B" w14:textId="36BBE391" w:rsidR="003474F4" w:rsidRPr="002F2E59" w:rsidRDefault="004A3224" w:rsidP="00A84130">
            <w:pPr>
              <w:tabs>
                <w:tab w:val="left" w:pos="0"/>
              </w:tabs>
              <w:rPr>
                <w:sz w:val="14"/>
                <w:szCs w:val="14"/>
              </w:rPr>
            </w:pPr>
            <w:r w:rsidRPr="002F2E59">
              <w:rPr>
                <w:sz w:val="14"/>
                <w:szCs w:val="14"/>
              </w:rPr>
              <w:t>AfDB, WB</w:t>
            </w:r>
            <w:r w:rsidR="003474F4" w:rsidRPr="002F2E59">
              <w:rPr>
                <w:sz w:val="14"/>
                <w:szCs w:val="14"/>
              </w:rPr>
              <w:t>,</w:t>
            </w:r>
          </w:p>
          <w:p w14:paraId="6A3FC360" w14:textId="22B99BAD" w:rsidR="003474F4" w:rsidRPr="002F2E59" w:rsidRDefault="004A3224" w:rsidP="00A84130">
            <w:pPr>
              <w:tabs>
                <w:tab w:val="left" w:pos="0"/>
              </w:tabs>
              <w:rPr>
                <w:sz w:val="14"/>
                <w:szCs w:val="14"/>
              </w:rPr>
            </w:pPr>
            <w:r w:rsidRPr="002F2E59">
              <w:rPr>
                <w:sz w:val="14"/>
                <w:szCs w:val="14"/>
              </w:rPr>
              <w:t>MPCI, INS;</w:t>
            </w:r>
          </w:p>
          <w:p w14:paraId="2B371776" w14:textId="77777777" w:rsidR="003474F4" w:rsidRPr="002F2E59" w:rsidRDefault="003474F4" w:rsidP="00A84130">
            <w:pPr>
              <w:tabs>
                <w:tab w:val="left" w:pos="0"/>
              </w:tabs>
              <w:rPr>
                <w:sz w:val="14"/>
                <w:szCs w:val="14"/>
              </w:rPr>
            </w:pPr>
            <w:r w:rsidRPr="002F2E59">
              <w:rPr>
                <w:sz w:val="14"/>
                <w:szCs w:val="14"/>
              </w:rPr>
              <w:t>- civil society- private sector</w:t>
            </w:r>
          </w:p>
        </w:tc>
        <w:tc>
          <w:tcPr>
            <w:tcW w:w="1423" w:type="dxa"/>
            <w:tcMar>
              <w:top w:w="15" w:type="dxa"/>
              <w:left w:w="108" w:type="dxa"/>
              <w:bottom w:w="0" w:type="dxa"/>
              <w:right w:w="108" w:type="dxa"/>
            </w:tcMar>
          </w:tcPr>
          <w:p w14:paraId="7B8BDEAF" w14:textId="6EE083AD" w:rsidR="003474F4" w:rsidRPr="002F2E59" w:rsidRDefault="00456911" w:rsidP="00A84130">
            <w:pPr>
              <w:tabs>
                <w:tab w:val="left" w:pos="0"/>
              </w:tabs>
              <w:rPr>
                <w:b/>
                <w:sz w:val="14"/>
                <w:szCs w:val="14"/>
              </w:rPr>
            </w:pPr>
            <w:r w:rsidRPr="002F2E59">
              <w:rPr>
                <w:b/>
                <w:sz w:val="14"/>
                <w:szCs w:val="14"/>
              </w:rPr>
              <w:t>Regular:</w:t>
            </w:r>
            <w:r w:rsidR="001E7228" w:rsidRPr="002F2E59">
              <w:rPr>
                <w:b/>
                <w:sz w:val="14"/>
                <w:szCs w:val="14"/>
              </w:rPr>
              <w:t xml:space="preserve"> </w:t>
            </w:r>
            <w:r w:rsidR="003474F4" w:rsidRPr="002F2E59">
              <w:rPr>
                <w:b/>
                <w:sz w:val="14"/>
                <w:szCs w:val="14"/>
              </w:rPr>
              <w:t>2</w:t>
            </w:r>
            <w:r w:rsidR="001E7228" w:rsidRPr="002F2E59">
              <w:rPr>
                <w:b/>
                <w:sz w:val="14"/>
                <w:szCs w:val="14"/>
              </w:rPr>
              <w:t>,</w:t>
            </w:r>
            <w:r w:rsidR="00F345E5" w:rsidRPr="002F2E59">
              <w:rPr>
                <w:b/>
                <w:sz w:val="14"/>
                <w:szCs w:val="14"/>
              </w:rPr>
              <w:t>217,996</w:t>
            </w:r>
            <w:r w:rsidR="003474F4" w:rsidRPr="002F2E59">
              <w:rPr>
                <w:sz w:val="14"/>
                <w:szCs w:val="14"/>
                <w:lang w:eastAsia="fr-FR"/>
              </w:rPr>
              <w:t xml:space="preserve">   </w:t>
            </w:r>
          </w:p>
          <w:p w14:paraId="3FEAD117" w14:textId="77777777" w:rsidR="003474F4" w:rsidRPr="002F2E59" w:rsidRDefault="003474F4" w:rsidP="00A84130">
            <w:pPr>
              <w:tabs>
                <w:tab w:val="left" w:pos="0"/>
              </w:tabs>
              <w:rPr>
                <w:b/>
                <w:sz w:val="14"/>
                <w:szCs w:val="14"/>
              </w:rPr>
            </w:pPr>
          </w:p>
          <w:p w14:paraId="2E644064" w14:textId="44C623CC" w:rsidR="003474F4" w:rsidRPr="002F2E59" w:rsidRDefault="00456911" w:rsidP="00A84130">
            <w:pPr>
              <w:tabs>
                <w:tab w:val="left" w:pos="0"/>
              </w:tabs>
              <w:rPr>
                <w:b/>
                <w:sz w:val="14"/>
                <w:szCs w:val="14"/>
              </w:rPr>
            </w:pPr>
            <w:r w:rsidRPr="002F2E59">
              <w:rPr>
                <w:b/>
                <w:sz w:val="14"/>
                <w:szCs w:val="14"/>
              </w:rPr>
              <w:t>Other:</w:t>
            </w:r>
            <w:r w:rsidR="001E7228" w:rsidRPr="002F2E59">
              <w:rPr>
                <w:b/>
                <w:sz w:val="14"/>
                <w:szCs w:val="14"/>
              </w:rPr>
              <w:t xml:space="preserve"> </w:t>
            </w:r>
            <w:r w:rsidR="003474F4" w:rsidRPr="002F2E59">
              <w:rPr>
                <w:b/>
                <w:sz w:val="14"/>
                <w:szCs w:val="14"/>
              </w:rPr>
              <w:t>1</w:t>
            </w:r>
            <w:r w:rsidR="0086616F" w:rsidRPr="002F2E59">
              <w:rPr>
                <w:b/>
                <w:sz w:val="14"/>
                <w:szCs w:val="14"/>
              </w:rPr>
              <w:t>1</w:t>
            </w:r>
            <w:r w:rsidR="001E7228" w:rsidRPr="002F2E59">
              <w:rPr>
                <w:b/>
                <w:sz w:val="14"/>
                <w:szCs w:val="14"/>
              </w:rPr>
              <w:t>,</w:t>
            </w:r>
            <w:r w:rsidR="0086616F" w:rsidRPr="002F2E59">
              <w:rPr>
                <w:b/>
                <w:sz w:val="14"/>
                <w:szCs w:val="14"/>
              </w:rPr>
              <w:t>264</w:t>
            </w:r>
            <w:r w:rsidR="001E7228" w:rsidRPr="002F2E59">
              <w:rPr>
                <w:b/>
                <w:sz w:val="14"/>
                <w:szCs w:val="14"/>
              </w:rPr>
              <w:t>,</w:t>
            </w:r>
            <w:r w:rsidR="0086616F" w:rsidRPr="002F2E59">
              <w:rPr>
                <w:b/>
                <w:sz w:val="14"/>
                <w:szCs w:val="14"/>
              </w:rPr>
              <w:t>069</w:t>
            </w:r>
            <w:r w:rsidR="003474F4" w:rsidRPr="002F2E59">
              <w:rPr>
                <w:sz w:val="14"/>
                <w:szCs w:val="14"/>
                <w:lang w:eastAsia="fr-FR"/>
              </w:rPr>
              <w:t xml:space="preserve">   </w:t>
            </w:r>
          </w:p>
        </w:tc>
      </w:tr>
      <w:tr w:rsidR="00610A93" w:rsidRPr="002F2E59" w14:paraId="07483289" w14:textId="77777777" w:rsidTr="001D3FBF">
        <w:trPr>
          <w:jc w:val="center"/>
        </w:trPr>
        <w:tc>
          <w:tcPr>
            <w:tcW w:w="2723" w:type="dxa"/>
            <w:vMerge w:val="restart"/>
            <w:tcMar>
              <w:top w:w="72" w:type="dxa"/>
              <w:left w:w="144" w:type="dxa"/>
              <w:bottom w:w="72" w:type="dxa"/>
              <w:right w:w="144" w:type="dxa"/>
            </w:tcMar>
          </w:tcPr>
          <w:p w14:paraId="417514A3" w14:textId="28D63A97" w:rsidR="003474F4" w:rsidRPr="002F2E59" w:rsidRDefault="003474F4" w:rsidP="00A84130">
            <w:pPr>
              <w:tabs>
                <w:tab w:val="left" w:pos="0"/>
              </w:tabs>
              <w:jc w:val="both"/>
              <w:rPr>
                <w:b/>
                <w:iCs/>
                <w:sz w:val="14"/>
                <w:szCs w:val="14"/>
              </w:rPr>
            </w:pPr>
            <w:r w:rsidRPr="002F2E59">
              <w:rPr>
                <w:b/>
                <w:bCs/>
                <w:sz w:val="14"/>
                <w:szCs w:val="14"/>
              </w:rPr>
              <w:t>Indicator</w:t>
            </w:r>
            <w:r w:rsidR="00121BFC" w:rsidRPr="002F2E59">
              <w:rPr>
                <w:b/>
                <w:iCs/>
                <w:sz w:val="14"/>
                <w:szCs w:val="14"/>
              </w:rPr>
              <w:t xml:space="preserve"> </w:t>
            </w:r>
            <w:r w:rsidRPr="002F2E59">
              <w:rPr>
                <w:b/>
                <w:iCs/>
                <w:sz w:val="14"/>
                <w:szCs w:val="14"/>
              </w:rPr>
              <w:t>2.4 a Food insecurity rate</w:t>
            </w:r>
          </w:p>
          <w:p w14:paraId="43A57D0B" w14:textId="0C9FE226" w:rsidR="003474F4" w:rsidRPr="002F2E59" w:rsidRDefault="00D62E1C" w:rsidP="00A84130">
            <w:pPr>
              <w:tabs>
                <w:tab w:val="left" w:pos="0"/>
              </w:tabs>
              <w:jc w:val="both"/>
              <w:rPr>
                <w:iCs/>
                <w:sz w:val="14"/>
                <w:szCs w:val="14"/>
              </w:rPr>
            </w:pPr>
            <w:r w:rsidRPr="002F2E59">
              <w:rPr>
                <w:iCs/>
                <w:sz w:val="14"/>
                <w:szCs w:val="14"/>
              </w:rPr>
              <w:t>Baseline:</w:t>
            </w:r>
            <w:r w:rsidR="00121BFC" w:rsidRPr="002F2E59">
              <w:rPr>
                <w:iCs/>
                <w:sz w:val="14"/>
                <w:szCs w:val="14"/>
              </w:rPr>
              <w:t xml:space="preserve"> </w:t>
            </w:r>
            <w:r w:rsidR="003474F4" w:rsidRPr="002F2E59">
              <w:rPr>
                <w:iCs/>
                <w:sz w:val="14"/>
                <w:szCs w:val="14"/>
              </w:rPr>
              <w:t>18.2%</w:t>
            </w:r>
          </w:p>
          <w:p w14:paraId="3EBAE1F1" w14:textId="6CB38772" w:rsidR="003474F4" w:rsidRPr="002F2E59" w:rsidRDefault="003474F4" w:rsidP="00A84130">
            <w:pPr>
              <w:tabs>
                <w:tab w:val="left" w:pos="0"/>
              </w:tabs>
              <w:jc w:val="both"/>
              <w:rPr>
                <w:iCs/>
                <w:sz w:val="14"/>
                <w:szCs w:val="14"/>
              </w:rPr>
            </w:pPr>
            <w:r w:rsidRPr="002F2E59">
              <w:rPr>
                <w:iCs/>
                <w:sz w:val="14"/>
                <w:szCs w:val="14"/>
              </w:rPr>
              <w:t>Targe</w:t>
            </w:r>
            <w:r w:rsidR="00D62E1C" w:rsidRPr="002F2E59">
              <w:rPr>
                <w:iCs/>
                <w:sz w:val="14"/>
                <w:szCs w:val="14"/>
              </w:rPr>
              <w:t>t:</w:t>
            </w:r>
            <w:r w:rsidR="00121BFC" w:rsidRPr="002F2E59">
              <w:rPr>
                <w:iCs/>
                <w:sz w:val="14"/>
                <w:szCs w:val="14"/>
              </w:rPr>
              <w:t xml:space="preserve"> </w:t>
            </w:r>
            <w:r w:rsidRPr="002F2E59">
              <w:rPr>
                <w:iCs/>
                <w:sz w:val="14"/>
                <w:szCs w:val="14"/>
              </w:rPr>
              <w:t>9.02%</w:t>
            </w:r>
          </w:p>
          <w:p w14:paraId="227AB750" w14:textId="77777777" w:rsidR="003474F4" w:rsidRPr="002F2E59" w:rsidRDefault="003474F4" w:rsidP="00A84130">
            <w:pPr>
              <w:tabs>
                <w:tab w:val="left" w:pos="0"/>
              </w:tabs>
              <w:jc w:val="both"/>
              <w:rPr>
                <w:b/>
                <w:iCs/>
                <w:sz w:val="14"/>
                <w:szCs w:val="14"/>
              </w:rPr>
            </w:pPr>
          </w:p>
          <w:p w14:paraId="58D74CF4" w14:textId="77777777" w:rsidR="003474F4" w:rsidRPr="002F2E59" w:rsidRDefault="003474F4" w:rsidP="00A84130">
            <w:pPr>
              <w:tabs>
                <w:tab w:val="left" w:pos="0"/>
              </w:tabs>
              <w:jc w:val="both"/>
              <w:rPr>
                <w:b/>
                <w:iCs/>
                <w:sz w:val="14"/>
                <w:szCs w:val="14"/>
              </w:rPr>
            </w:pPr>
          </w:p>
          <w:p w14:paraId="56B02520" w14:textId="77777777" w:rsidR="003474F4" w:rsidRPr="002F2E59" w:rsidRDefault="003474F4" w:rsidP="00A84130">
            <w:pPr>
              <w:tabs>
                <w:tab w:val="left" w:pos="0"/>
              </w:tabs>
              <w:jc w:val="both"/>
              <w:rPr>
                <w:b/>
                <w:iCs/>
                <w:sz w:val="14"/>
                <w:szCs w:val="14"/>
              </w:rPr>
            </w:pPr>
          </w:p>
          <w:p w14:paraId="3E8D1976" w14:textId="77777777" w:rsidR="003474F4" w:rsidRPr="002F2E59" w:rsidRDefault="003474F4" w:rsidP="00A84130">
            <w:pPr>
              <w:tabs>
                <w:tab w:val="left" w:pos="0"/>
              </w:tabs>
              <w:jc w:val="both"/>
              <w:rPr>
                <w:b/>
                <w:iCs/>
                <w:sz w:val="14"/>
                <w:szCs w:val="14"/>
              </w:rPr>
            </w:pPr>
          </w:p>
          <w:p w14:paraId="46169FBB" w14:textId="77777777" w:rsidR="003474F4" w:rsidRPr="002F2E59" w:rsidRDefault="003474F4" w:rsidP="00A84130">
            <w:pPr>
              <w:tabs>
                <w:tab w:val="left" w:pos="0"/>
              </w:tabs>
              <w:jc w:val="both"/>
              <w:rPr>
                <w:b/>
                <w:iCs/>
                <w:sz w:val="14"/>
                <w:szCs w:val="14"/>
              </w:rPr>
            </w:pPr>
          </w:p>
          <w:p w14:paraId="6CFA96EE" w14:textId="733A2B50" w:rsidR="003474F4" w:rsidRPr="002F2E59" w:rsidRDefault="004A3224" w:rsidP="00A84130">
            <w:pPr>
              <w:tabs>
                <w:tab w:val="left" w:pos="0"/>
              </w:tabs>
              <w:rPr>
                <w:b/>
                <w:iCs/>
                <w:sz w:val="14"/>
                <w:szCs w:val="14"/>
              </w:rPr>
            </w:pPr>
            <w:r w:rsidRPr="002F2E59">
              <w:rPr>
                <w:b/>
                <w:bCs/>
                <w:sz w:val="14"/>
                <w:szCs w:val="14"/>
              </w:rPr>
              <w:t xml:space="preserve">Indicator </w:t>
            </w:r>
            <w:r w:rsidRPr="002F2E59">
              <w:rPr>
                <w:b/>
                <w:iCs/>
                <w:sz w:val="14"/>
                <w:szCs w:val="14"/>
              </w:rPr>
              <w:t>2.4 b Rate of access of populations to a waste disposal system</w:t>
            </w:r>
          </w:p>
          <w:p w14:paraId="647D2C08" w14:textId="0FA39E7C" w:rsidR="003474F4" w:rsidRPr="002F2E59" w:rsidRDefault="003474F4" w:rsidP="00A84130">
            <w:pPr>
              <w:tabs>
                <w:tab w:val="left" w:pos="0"/>
              </w:tabs>
              <w:jc w:val="both"/>
              <w:rPr>
                <w:iCs/>
                <w:sz w:val="14"/>
                <w:szCs w:val="14"/>
              </w:rPr>
            </w:pPr>
            <w:r w:rsidRPr="002F2E59">
              <w:rPr>
                <w:iCs/>
                <w:sz w:val="14"/>
                <w:szCs w:val="14"/>
              </w:rPr>
              <w:t>Baseline:</w:t>
            </w:r>
            <w:r w:rsidR="00121BFC" w:rsidRPr="002F2E59">
              <w:rPr>
                <w:iCs/>
                <w:sz w:val="14"/>
                <w:szCs w:val="14"/>
              </w:rPr>
              <w:t xml:space="preserve"> </w:t>
            </w:r>
            <w:r w:rsidRPr="002F2E59">
              <w:rPr>
                <w:iCs/>
                <w:sz w:val="14"/>
                <w:szCs w:val="14"/>
              </w:rPr>
              <w:t>33.7%</w:t>
            </w:r>
          </w:p>
          <w:p w14:paraId="310F2D9C" w14:textId="1303B9EA" w:rsidR="003474F4" w:rsidRPr="002F2E59" w:rsidRDefault="003474F4" w:rsidP="00A84130">
            <w:pPr>
              <w:tabs>
                <w:tab w:val="left" w:pos="0"/>
              </w:tabs>
              <w:jc w:val="both"/>
              <w:rPr>
                <w:iCs/>
                <w:sz w:val="14"/>
                <w:szCs w:val="14"/>
              </w:rPr>
            </w:pPr>
            <w:r w:rsidRPr="002F2E59">
              <w:rPr>
                <w:iCs/>
                <w:sz w:val="14"/>
                <w:szCs w:val="14"/>
              </w:rPr>
              <w:t>Target:</w:t>
            </w:r>
            <w:r w:rsidR="00121BFC" w:rsidRPr="002F2E59">
              <w:rPr>
                <w:iCs/>
                <w:sz w:val="14"/>
                <w:szCs w:val="14"/>
              </w:rPr>
              <w:t xml:space="preserve"> </w:t>
            </w:r>
            <w:r w:rsidRPr="002F2E59">
              <w:rPr>
                <w:iCs/>
                <w:sz w:val="14"/>
                <w:szCs w:val="14"/>
              </w:rPr>
              <w:t>60%</w:t>
            </w:r>
          </w:p>
          <w:p w14:paraId="2E55996E" w14:textId="77777777" w:rsidR="003474F4" w:rsidRPr="002F2E59" w:rsidRDefault="003474F4" w:rsidP="00A84130">
            <w:pPr>
              <w:tabs>
                <w:tab w:val="left" w:pos="0"/>
              </w:tabs>
              <w:jc w:val="both"/>
              <w:rPr>
                <w:iCs/>
                <w:sz w:val="14"/>
                <w:szCs w:val="14"/>
              </w:rPr>
            </w:pPr>
          </w:p>
          <w:p w14:paraId="24EBF00C" w14:textId="77777777" w:rsidR="003474F4" w:rsidRPr="002F2E59" w:rsidRDefault="003474F4" w:rsidP="00A84130">
            <w:pPr>
              <w:tabs>
                <w:tab w:val="left" w:pos="0"/>
              </w:tabs>
              <w:jc w:val="both"/>
              <w:rPr>
                <w:iCs/>
                <w:sz w:val="14"/>
                <w:szCs w:val="14"/>
              </w:rPr>
            </w:pPr>
          </w:p>
          <w:p w14:paraId="0A64C318" w14:textId="77777777" w:rsidR="003474F4" w:rsidRPr="002F2E59" w:rsidRDefault="003474F4" w:rsidP="00A84130">
            <w:pPr>
              <w:tabs>
                <w:tab w:val="left" w:pos="0"/>
              </w:tabs>
              <w:jc w:val="both"/>
              <w:rPr>
                <w:iCs/>
                <w:sz w:val="14"/>
                <w:szCs w:val="14"/>
              </w:rPr>
            </w:pPr>
          </w:p>
          <w:p w14:paraId="569D352D" w14:textId="77777777" w:rsidR="003474F4" w:rsidRPr="002F2E59" w:rsidRDefault="003474F4" w:rsidP="00A84130">
            <w:pPr>
              <w:tabs>
                <w:tab w:val="left" w:pos="0"/>
              </w:tabs>
              <w:jc w:val="both"/>
              <w:rPr>
                <w:iCs/>
                <w:sz w:val="14"/>
                <w:szCs w:val="14"/>
              </w:rPr>
            </w:pPr>
          </w:p>
          <w:p w14:paraId="680DE7CC" w14:textId="77777777" w:rsidR="003474F4" w:rsidRPr="002F2E59" w:rsidRDefault="003474F4" w:rsidP="00A84130">
            <w:pPr>
              <w:tabs>
                <w:tab w:val="left" w:pos="0"/>
              </w:tabs>
              <w:jc w:val="both"/>
              <w:rPr>
                <w:iCs/>
                <w:sz w:val="14"/>
                <w:szCs w:val="14"/>
              </w:rPr>
            </w:pPr>
          </w:p>
          <w:p w14:paraId="78825EE3" w14:textId="77777777" w:rsidR="003474F4" w:rsidRPr="002F2E59" w:rsidRDefault="003474F4" w:rsidP="00A84130">
            <w:pPr>
              <w:tabs>
                <w:tab w:val="left" w:pos="0"/>
              </w:tabs>
              <w:jc w:val="both"/>
              <w:rPr>
                <w:iCs/>
                <w:sz w:val="14"/>
                <w:szCs w:val="14"/>
              </w:rPr>
            </w:pPr>
          </w:p>
          <w:p w14:paraId="3C7F2C3E" w14:textId="77777777" w:rsidR="003474F4" w:rsidRPr="002F2E59" w:rsidRDefault="003474F4" w:rsidP="00A84130">
            <w:pPr>
              <w:tabs>
                <w:tab w:val="left" w:pos="0"/>
              </w:tabs>
              <w:jc w:val="both"/>
              <w:rPr>
                <w:iCs/>
                <w:sz w:val="14"/>
                <w:szCs w:val="14"/>
              </w:rPr>
            </w:pPr>
          </w:p>
          <w:p w14:paraId="75D11113" w14:textId="77777777" w:rsidR="003474F4" w:rsidRPr="002F2E59" w:rsidRDefault="003474F4" w:rsidP="00A84130">
            <w:pPr>
              <w:tabs>
                <w:tab w:val="left" w:pos="0"/>
              </w:tabs>
              <w:jc w:val="both"/>
              <w:rPr>
                <w:iCs/>
                <w:sz w:val="14"/>
                <w:szCs w:val="14"/>
              </w:rPr>
            </w:pPr>
          </w:p>
          <w:p w14:paraId="7088FBD6" w14:textId="77777777" w:rsidR="003474F4" w:rsidRPr="002F2E59" w:rsidRDefault="003474F4" w:rsidP="00A84130">
            <w:pPr>
              <w:tabs>
                <w:tab w:val="left" w:pos="0"/>
              </w:tabs>
              <w:rPr>
                <w:b/>
                <w:iCs/>
                <w:sz w:val="14"/>
                <w:szCs w:val="14"/>
              </w:rPr>
            </w:pPr>
            <w:r w:rsidRPr="002F2E59">
              <w:rPr>
                <w:b/>
                <w:bCs/>
                <w:sz w:val="14"/>
                <w:szCs w:val="14"/>
              </w:rPr>
              <w:t>Indicator</w:t>
            </w:r>
            <w:r w:rsidR="00D01E7C" w:rsidRPr="002F2E59">
              <w:rPr>
                <w:b/>
                <w:iCs/>
                <w:sz w:val="14"/>
                <w:szCs w:val="14"/>
              </w:rPr>
              <w:t>-</w:t>
            </w:r>
            <w:r w:rsidRPr="002F2E59">
              <w:rPr>
                <w:b/>
                <w:iCs/>
                <w:sz w:val="14"/>
                <w:szCs w:val="14"/>
              </w:rPr>
              <w:t>2.5 Number of persons affected by natural disasters per 100,000 inhabitants (by sex)</w:t>
            </w:r>
          </w:p>
          <w:p w14:paraId="52323D59" w14:textId="2721E0DF" w:rsidR="003474F4" w:rsidRPr="002F2E59" w:rsidRDefault="003474F4" w:rsidP="00A84130">
            <w:pPr>
              <w:tabs>
                <w:tab w:val="left" w:pos="0"/>
              </w:tabs>
              <w:jc w:val="both"/>
              <w:rPr>
                <w:iCs/>
                <w:sz w:val="14"/>
                <w:szCs w:val="14"/>
              </w:rPr>
            </w:pPr>
            <w:r w:rsidRPr="002F2E59">
              <w:rPr>
                <w:iCs/>
                <w:sz w:val="14"/>
                <w:szCs w:val="14"/>
              </w:rPr>
              <w:t>Baseline:</w:t>
            </w:r>
            <w:r w:rsidR="00121BFC" w:rsidRPr="002F2E59">
              <w:rPr>
                <w:iCs/>
                <w:sz w:val="14"/>
                <w:szCs w:val="14"/>
              </w:rPr>
              <w:t xml:space="preserve"> </w:t>
            </w:r>
            <w:r w:rsidRPr="002F2E59">
              <w:rPr>
                <w:iCs/>
                <w:sz w:val="14"/>
                <w:szCs w:val="14"/>
              </w:rPr>
              <w:t>295</w:t>
            </w:r>
          </w:p>
          <w:p w14:paraId="6C685BDE" w14:textId="59BC8F7F" w:rsidR="003474F4" w:rsidRPr="002F2E59" w:rsidRDefault="003474F4" w:rsidP="00A84130">
            <w:pPr>
              <w:tabs>
                <w:tab w:val="left" w:pos="0"/>
              </w:tabs>
              <w:jc w:val="both"/>
              <w:rPr>
                <w:iCs/>
                <w:sz w:val="14"/>
                <w:szCs w:val="14"/>
              </w:rPr>
            </w:pPr>
            <w:r w:rsidRPr="002F2E59">
              <w:rPr>
                <w:iCs/>
                <w:sz w:val="14"/>
                <w:szCs w:val="14"/>
              </w:rPr>
              <w:t>Target:</w:t>
            </w:r>
            <w:r w:rsidR="00121BFC" w:rsidRPr="002F2E59">
              <w:rPr>
                <w:iCs/>
                <w:sz w:val="14"/>
                <w:szCs w:val="14"/>
              </w:rPr>
              <w:t xml:space="preserve"> </w:t>
            </w:r>
            <w:r w:rsidRPr="002F2E59">
              <w:rPr>
                <w:iCs/>
                <w:sz w:val="14"/>
                <w:szCs w:val="14"/>
              </w:rPr>
              <w:t>100</w:t>
            </w:r>
          </w:p>
          <w:p w14:paraId="7A9939FF" w14:textId="77777777" w:rsidR="003474F4" w:rsidRPr="002F2E59" w:rsidRDefault="003474F4" w:rsidP="00A84130">
            <w:pPr>
              <w:tabs>
                <w:tab w:val="left" w:pos="0"/>
              </w:tabs>
              <w:jc w:val="both"/>
              <w:rPr>
                <w:b/>
                <w:bCs/>
                <w:sz w:val="14"/>
                <w:szCs w:val="14"/>
              </w:rPr>
            </w:pPr>
          </w:p>
          <w:p w14:paraId="6352F0A2" w14:textId="77777777" w:rsidR="003474F4" w:rsidRPr="002F2E59" w:rsidRDefault="003474F4" w:rsidP="00A84130">
            <w:pPr>
              <w:tabs>
                <w:tab w:val="left" w:pos="0"/>
              </w:tabs>
              <w:jc w:val="both"/>
              <w:rPr>
                <w:b/>
                <w:bCs/>
                <w:sz w:val="14"/>
                <w:szCs w:val="14"/>
              </w:rPr>
            </w:pPr>
          </w:p>
          <w:p w14:paraId="7FE66092" w14:textId="77777777" w:rsidR="003474F4" w:rsidRPr="002F2E59" w:rsidRDefault="003474F4" w:rsidP="00A84130">
            <w:pPr>
              <w:tabs>
                <w:tab w:val="left" w:pos="0"/>
              </w:tabs>
              <w:jc w:val="both"/>
              <w:rPr>
                <w:b/>
                <w:bCs/>
                <w:sz w:val="14"/>
                <w:szCs w:val="14"/>
              </w:rPr>
            </w:pPr>
          </w:p>
          <w:p w14:paraId="4413CC8E" w14:textId="77777777" w:rsidR="003474F4" w:rsidRPr="002F2E59" w:rsidRDefault="003474F4" w:rsidP="00A84130">
            <w:pPr>
              <w:tabs>
                <w:tab w:val="left" w:pos="0"/>
              </w:tabs>
              <w:jc w:val="both"/>
              <w:rPr>
                <w:b/>
                <w:bCs/>
                <w:sz w:val="14"/>
                <w:szCs w:val="14"/>
              </w:rPr>
            </w:pPr>
          </w:p>
          <w:p w14:paraId="469B45D1" w14:textId="77777777" w:rsidR="003474F4" w:rsidRPr="002F2E59" w:rsidRDefault="003474F4" w:rsidP="00A84130">
            <w:pPr>
              <w:tabs>
                <w:tab w:val="left" w:pos="0"/>
              </w:tabs>
              <w:jc w:val="both"/>
              <w:rPr>
                <w:b/>
                <w:bCs/>
                <w:sz w:val="14"/>
                <w:szCs w:val="14"/>
              </w:rPr>
            </w:pPr>
          </w:p>
          <w:p w14:paraId="4DD241C9" w14:textId="77777777" w:rsidR="003474F4" w:rsidRPr="002F2E59" w:rsidRDefault="003474F4" w:rsidP="00A84130">
            <w:pPr>
              <w:tabs>
                <w:tab w:val="left" w:pos="0"/>
              </w:tabs>
              <w:jc w:val="both"/>
              <w:rPr>
                <w:b/>
                <w:bCs/>
                <w:sz w:val="14"/>
                <w:szCs w:val="14"/>
              </w:rPr>
            </w:pPr>
          </w:p>
          <w:p w14:paraId="16329437" w14:textId="77777777" w:rsidR="003474F4" w:rsidRPr="002F2E59" w:rsidRDefault="003474F4" w:rsidP="00A84130">
            <w:pPr>
              <w:tabs>
                <w:tab w:val="left" w:pos="0"/>
              </w:tabs>
              <w:jc w:val="both"/>
              <w:rPr>
                <w:b/>
                <w:bCs/>
                <w:sz w:val="14"/>
                <w:szCs w:val="14"/>
              </w:rPr>
            </w:pPr>
          </w:p>
          <w:p w14:paraId="2D6CAD71" w14:textId="77777777" w:rsidR="003474F4" w:rsidRPr="002F2E59" w:rsidRDefault="003474F4" w:rsidP="00A84130">
            <w:pPr>
              <w:tabs>
                <w:tab w:val="left" w:pos="0"/>
              </w:tabs>
              <w:jc w:val="both"/>
              <w:rPr>
                <w:b/>
                <w:bCs/>
                <w:sz w:val="14"/>
                <w:szCs w:val="14"/>
              </w:rPr>
            </w:pPr>
          </w:p>
          <w:p w14:paraId="3D468904" w14:textId="77777777" w:rsidR="003474F4" w:rsidRPr="002F2E59" w:rsidRDefault="003474F4" w:rsidP="00A84130">
            <w:pPr>
              <w:tabs>
                <w:tab w:val="left" w:pos="0"/>
              </w:tabs>
              <w:jc w:val="both"/>
              <w:rPr>
                <w:b/>
                <w:bCs/>
                <w:sz w:val="14"/>
                <w:szCs w:val="14"/>
              </w:rPr>
            </w:pPr>
          </w:p>
          <w:p w14:paraId="5603246F" w14:textId="77777777" w:rsidR="003474F4" w:rsidRPr="002F2E59" w:rsidRDefault="003474F4" w:rsidP="00A84130">
            <w:pPr>
              <w:tabs>
                <w:tab w:val="left" w:pos="0"/>
              </w:tabs>
              <w:jc w:val="both"/>
              <w:rPr>
                <w:b/>
                <w:bCs/>
                <w:sz w:val="14"/>
                <w:szCs w:val="14"/>
              </w:rPr>
            </w:pPr>
          </w:p>
          <w:p w14:paraId="5199A930" w14:textId="77777777" w:rsidR="003474F4" w:rsidRPr="002F2E59" w:rsidRDefault="003474F4" w:rsidP="00A84130">
            <w:pPr>
              <w:tabs>
                <w:tab w:val="left" w:pos="0"/>
              </w:tabs>
              <w:jc w:val="both"/>
              <w:rPr>
                <w:b/>
                <w:bCs/>
                <w:sz w:val="14"/>
                <w:szCs w:val="14"/>
              </w:rPr>
            </w:pPr>
          </w:p>
          <w:p w14:paraId="0EFC81BD" w14:textId="77777777" w:rsidR="003474F4" w:rsidRPr="002F2E59" w:rsidRDefault="003474F4" w:rsidP="00A84130">
            <w:pPr>
              <w:tabs>
                <w:tab w:val="left" w:pos="0"/>
              </w:tabs>
              <w:jc w:val="both"/>
              <w:rPr>
                <w:b/>
                <w:bCs/>
                <w:sz w:val="14"/>
                <w:szCs w:val="14"/>
              </w:rPr>
            </w:pPr>
          </w:p>
          <w:p w14:paraId="0809E756" w14:textId="77777777" w:rsidR="003474F4" w:rsidRPr="002F2E59" w:rsidRDefault="003474F4" w:rsidP="00A84130">
            <w:pPr>
              <w:tabs>
                <w:tab w:val="left" w:pos="0"/>
              </w:tabs>
              <w:jc w:val="both"/>
              <w:rPr>
                <w:b/>
                <w:bCs/>
                <w:sz w:val="14"/>
                <w:szCs w:val="14"/>
              </w:rPr>
            </w:pPr>
          </w:p>
          <w:p w14:paraId="7EFC8024" w14:textId="77777777" w:rsidR="003474F4" w:rsidRPr="002F2E59" w:rsidRDefault="003474F4" w:rsidP="00A84130">
            <w:pPr>
              <w:tabs>
                <w:tab w:val="left" w:pos="0"/>
              </w:tabs>
              <w:jc w:val="both"/>
              <w:rPr>
                <w:b/>
                <w:bCs/>
                <w:sz w:val="14"/>
                <w:szCs w:val="14"/>
              </w:rPr>
            </w:pPr>
          </w:p>
          <w:p w14:paraId="37CCE43B" w14:textId="77777777" w:rsidR="003474F4" w:rsidRPr="002F2E59" w:rsidRDefault="003474F4" w:rsidP="00A84130">
            <w:pPr>
              <w:tabs>
                <w:tab w:val="left" w:pos="0"/>
              </w:tabs>
              <w:jc w:val="both"/>
              <w:rPr>
                <w:b/>
                <w:bCs/>
                <w:sz w:val="14"/>
                <w:szCs w:val="14"/>
              </w:rPr>
            </w:pPr>
          </w:p>
          <w:p w14:paraId="4A5C8EB7" w14:textId="77777777" w:rsidR="003474F4" w:rsidRPr="002F2E59" w:rsidRDefault="003474F4" w:rsidP="00A84130">
            <w:pPr>
              <w:tabs>
                <w:tab w:val="left" w:pos="0"/>
              </w:tabs>
              <w:jc w:val="both"/>
              <w:rPr>
                <w:b/>
                <w:bCs/>
                <w:sz w:val="14"/>
                <w:szCs w:val="14"/>
              </w:rPr>
            </w:pPr>
          </w:p>
          <w:p w14:paraId="5BDBCFCE" w14:textId="77777777" w:rsidR="003474F4" w:rsidRPr="002F2E59" w:rsidRDefault="003474F4" w:rsidP="00A84130">
            <w:pPr>
              <w:tabs>
                <w:tab w:val="left" w:pos="0"/>
              </w:tabs>
              <w:jc w:val="both"/>
              <w:rPr>
                <w:b/>
                <w:bCs/>
                <w:sz w:val="14"/>
                <w:szCs w:val="14"/>
              </w:rPr>
            </w:pPr>
          </w:p>
          <w:p w14:paraId="1ABFFD10" w14:textId="77777777" w:rsidR="003474F4" w:rsidRPr="002F2E59" w:rsidRDefault="003474F4" w:rsidP="00A84130">
            <w:pPr>
              <w:tabs>
                <w:tab w:val="left" w:pos="0"/>
              </w:tabs>
              <w:jc w:val="both"/>
              <w:rPr>
                <w:b/>
                <w:iCs/>
                <w:sz w:val="14"/>
                <w:szCs w:val="14"/>
              </w:rPr>
            </w:pPr>
            <w:r w:rsidRPr="002F2E59">
              <w:rPr>
                <w:b/>
                <w:bCs/>
                <w:sz w:val="14"/>
                <w:szCs w:val="14"/>
              </w:rPr>
              <w:t>Indicator</w:t>
            </w:r>
            <w:r w:rsidR="00D01E7C" w:rsidRPr="002F2E59">
              <w:rPr>
                <w:b/>
                <w:bCs/>
                <w:sz w:val="14"/>
                <w:szCs w:val="14"/>
              </w:rPr>
              <w:t>-</w:t>
            </w:r>
            <w:r w:rsidRPr="002F2E59">
              <w:rPr>
                <w:b/>
                <w:iCs/>
                <w:sz w:val="14"/>
                <w:szCs w:val="14"/>
              </w:rPr>
              <w:t>2.6. Reforested areas (ha)</w:t>
            </w:r>
          </w:p>
          <w:p w14:paraId="525BFF84" w14:textId="1B6C2DC9" w:rsidR="003474F4" w:rsidRPr="002F2E59" w:rsidRDefault="003474F4" w:rsidP="00A84130">
            <w:pPr>
              <w:tabs>
                <w:tab w:val="left" w:pos="0"/>
              </w:tabs>
              <w:jc w:val="both"/>
              <w:rPr>
                <w:iCs/>
                <w:sz w:val="14"/>
                <w:szCs w:val="14"/>
              </w:rPr>
            </w:pPr>
            <w:r w:rsidRPr="002F2E59">
              <w:rPr>
                <w:iCs/>
                <w:sz w:val="14"/>
                <w:szCs w:val="14"/>
              </w:rPr>
              <w:t>Baseline:</w:t>
            </w:r>
            <w:r w:rsidR="00476254" w:rsidRPr="002F2E59">
              <w:rPr>
                <w:iCs/>
                <w:sz w:val="14"/>
                <w:szCs w:val="14"/>
              </w:rPr>
              <w:t xml:space="preserve"> </w:t>
            </w:r>
            <w:r w:rsidRPr="002F2E59">
              <w:rPr>
                <w:iCs/>
                <w:sz w:val="14"/>
                <w:szCs w:val="14"/>
              </w:rPr>
              <w:t>199</w:t>
            </w:r>
            <w:r w:rsidR="00476254" w:rsidRPr="002F2E59">
              <w:rPr>
                <w:iCs/>
                <w:sz w:val="14"/>
                <w:szCs w:val="14"/>
              </w:rPr>
              <w:t>,</w:t>
            </w:r>
            <w:r w:rsidRPr="002F2E59">
              <w:rPr>
                <w:iCs/>
                <w:sz w:val="14"/>
                <w:szCs w:val="14"/>
              </w:rPr>
              <w:t>200 ha</w:t>
            </w:r>
          </w:p>
          <w:p w14:paraId="2E664757" w14:textId="6AACB6DA" w:rsidR="003474F4" w:rsidRPr="002F2E59" w:rsidRDefault="003474F4" w:rsidP="00A84130">
            <w:pPr>
              <w:tabs>
                <w:tab w:val="left" w:pos="0"/>
              </w:tabs>
              <w:jc w:val="both"/>
              <w:rPr>
                <w:iCs/>
                <w:sz w:val="14"/>
                <w:szCs w:val="14"/>
              </w:rPr>
            </w:pPr>
            <w:r w:rsidRPr="002F2E59">
              <w:rPr>
                <w:iCs/>
                <w:sz w:val="14"/>
                <w:szCs w:val="14"/>
              </w:rPr>
              <w:t>Target:</w:t>
            </w:r>
            <w:r w:rsidR="00476254" w:rsidRPr="002F2E59">
              <w:rPr>
                <w:iCs/>
                <w:sz w:val="14"/>
                <w:szCs w:val="14"/>
              </w:rPr>
              <w:t xml:space="preserve"> </w:t>
            </w:r>
            <w:r w:rsidRPr="002F2E59">
              <w:rPr>
                <w:iCs/>
                <w:sz w:val="14"/>
                <w:szCs w:val="14"/>
              </w:rPr>
              <w:t>300</w:t>
            </w:r>
            <w:r w:rsidR="00476254" w:rsidRPr="002F2E59">
              <w:rPr>
                <w:iCs/>
                <w:sz w:val="14"/>
                <w:szCs w:val="14"/>
              </w:rPr>
              <w:t>,</w:t>
            </w:r>
            <w:r w:rsidRPr="002F2E59">
              <w:rPr>
                <w:iCs/>
                <w:sz w:val="14"/>
                <w:szCs w:val="14"/>
              </w:rPr>
              <w:t>000 ha</w:t>
            </w:r>
          </w:p>
          <w:p w14:paraId="24CBAD06" w14:textId="77777777" w:rsidR="003474F4" w:rsidRPr="002F2E59" w:rsidRDefault="003474F4" w:rsidP="00A84130">
            <w:pPr>
              <w:tabs>
                <w:tab w:val="left" w:pos="0"/>
              </w:tabs>
              <w:jc w:val="both"/>
              <w:rPr>
                <w:iCs/>
                <w:sz w:val="14"/>
                <w:szCs w:val="14"/>
              </w:rPr>
            </w:pPr>
          </w:p>
          <w:p w14:paraId="34B97F8B" w14:textId="77777777" w:rsidR="003474F4" w:rsidRPr="002F2E59" w:rsidRDefault="003474F4" w:rsidP="00A84130">
            <w:pPr>
              <w:tabs>
                <w:tab w:val="left" w:pos="0"/>
              </w:tabs>
              <w:rPr>
                <w:sz w:val="14"/>
                <w:szCs w:val="14"/>
              </w:rPr>
            </w:pPr>
          </w:p>
          <w:p w14:paraId="4B5ED275" w14:textId="77777777" w:rsidR="003474F4" w:rsidRPr="002F2E59" w:rsidRDefault="003474F4" w:rsidP="00A84130">
            <w:pPr>
              <w:tabs>
                <w:tab w:val="left" w:pos="0"/>
              </w:tabs>
              <w:rPr>
                <w:sz w:val="14"/>
                <w:szCs w:val="14"/>
              </w:rPr>
            </w:pPr>
          </w:p>
          <w:p w14:paraId="0FBCBFFA" w14:textId="77777777" w:rsidR="003474F4" w:rsidRPr="002F2E59" w:rsidRDefault="003474F4" w:rsidP="00A84130">
            <w:pPr>
              <w:tabs>
                <w:tab w:val="left" w:pos="0"/>
              </w:tabs>
              <w:rPr>
                <w:sz w:val="14"/>
                <w:szCs w:val="14"/>
              </w:rPr>
            </w:pPr>
          </w:p>
          <w:p w14:paraId="571D9BC2" w14:textId="77777777" w:rsidR="003474F4" w:rsidRPr="002F2E59" w:rsidRDefault="003474F4" w:rsidP="00A84130">
            <w:pPr>
              <w:tabs>
                <w:tab w:val="left" w:pos="0"/>
              </w:tabs>
              <w:rPr>
                <w:sz w:val="14"/>
                <w:szCs w:val="14"/>
              </w:rPr>
            </w:pPr>
          </w:p>
          <w:p w14:paraId="25ED3553" w14:textId="77777777" w:rsidR="003474F4" w:rsidRPr="002F2E59" w:rsidRDefault="003474F4" w:rsidP="00A84130">
            <w:pPr>
              <w:tabs>
                <w:tab w:val="left" w:pos="0"/>
              </w:tabs>
              <w:rPr>
                <w:sz w:val="14"/>
                <w:szCs w:val="14"/>
              </w:rPr>
            </w:pPr>
          </w:p>
          <w:p w14:paraId="18236E72" w14:textId="77777777" w:rsidR="003474F4" w:rsidRPr="002F2E59" w:rsidRDefault="003474F4" w:rsidP="00A84130">
            <w:pPr>
              <w:tabs>
                <w:tab w:val="left" w:pos="0"/>
              </w:tabs>
              <w:rPr>
                <w:sz w:val="14"/>
                <w:szCs w:val="14"/>
              </w:rPr>
            </w:pPr>
          </w:p>
          <w:p w14:paraId="2250D538" w14:textId="77777777" w:rsidR="003474F4" w:rsidRPr="002F2E59" w:rsidRDefault="003474F4" w:rsidP="00A84130">
            <w:pPr>
              <w:tabs>
                <w:tab w:val="left" w:pos="0"/>
              </w:tabs>
              <w:rPr>
                <w:sz w:val="14"/>
                <w:szCs w:val="14"/>
              </w:rPr>
            </w:pPr>
          </w:p>
          <w:p w14:paraId="12109BF7" w14:textId="77777777" w:rsidR="003474F4" w:rsidRPr="002F2E59" w:rsidRDefault="003474F4" w:rsidP="00A84130">
            <w:pPr>
              <w:tabs>
                <w:tab w:val="left" w:pos="0"/>
              </w:tabs>
              <w:rPr>
                <w:sz w:val="14"/>
                <w:szCs w:val="14"/>
              </w:rPr>
            </w:pPr>
          </w:p>
          <w:p w14:paraId="223C054F" w14:textId="77777777" w:rsidR="003474F4" w:rsidRPr="002F2E59" w:rsidRDefault="003474F4" w:rsidP="00A84130">
            <w:pPr>
              <w:tabs>
                <w:tab w:val="left" w:pos="0"/>
              </w:tabs>
              <w:rPr>
                <w:sz w:val="14"/>
                <w:szCs w:val="14"/>
              </w:rPr>
            </w:pPr>
          </w:p>
          <w:p w14:paraId="73A4727A" w14:textId="77777777" w:rsidR="003474F4" w:rsidRPr="002F2E59" w:rsidRDefault="003474F4" w:rsidP="00A84130">
            <w:pPr>
              <w:tabs>
                <w:tab w:val="left" w:pos="0"/>
              </w:tabs>
              <w:rPr>
                <w:sz w:val="14"/>
                <w:szCs w:val="14"/>
              </w:rPr>
            </w:pPr>
          </w:p>
          <w:p w14:paraId="06C896CE" w14:textId="77777777" w:rsidR="003474F4" w:rsidRPr="002F2E59" w:rsidRDefault="003474F4" w:rsidP="00A84130">
            <w:pPr>
              <w:tabs>
                <w:tab w:val="left" w:pos="0"/>
              </w:tabs>
              <w:rPr>
                <w:sz w:val="14"/>
                <w:szCs w:val="14"/>
              </w:rPr>
            </w:pPr>
          </w:p>
        </w:tc>
        <w:tc>
          <w:tcPr>
            <w:tcW w:w="2323" w:type="dxa"/>
          </w:tcPr>
          <w:p w14:paraId="584E0047" w14:textId="60F7FDFA" w:rsidR="003474F4" w:rsidRPr="002F2E59" w:rsidRDefault="003474F4" w:rsidP="00A84130">
            <w:pPr>
              <w:tabs>
                <w:tab w:val="left" w:pos="0"/>
              </w:tabs>
              <w:rPr>
                <w:iCs/>
                <w:sz w:val="14"/>
                <w:szCs w:val="14"/>
              </w:rPr>
            </w:pPr>
            <w:r w:rsidRPr="002F2E59">
              <w:rPr>
                <w:iCs/>
                <w:sz w:val="14"/>
                <w:szCs w:val="14"/>
              </w:rPr>
              <w:lastRenderedPageBreak/>
              <w:t>Data source:</w:t>
            </w:r>
            <w:r w:rsidR="00121BFC" w:rsidRPr="002F2E59">
              <w:rPr>
                <w:iCs/>
                <w:sz w:val="14"/>
                <w:szCs w:val="14"/>
              </w:rPr>
              <w:t xml:space="preserve"> </w:t>
            </w:r>
            <w:r w:rsidRPr="002F2E59">
              <w:rPr>
                <w:iCs/>
                <w:sz w:val="14"/>
                <w:szCs w:val="14"/>
              </w:rPr>
              <w:t>MEEF sectoral reports/sectoral reports</w:t>
            </w:r>
          </w:p>
          <w:p w14:paraId="59FDE715" w14:textId="77777777" w:rsidR="003474F4" w:rsidRPr="002F2E59" w:rsidRDefault="003474F4" w:rsidP="00A84130">
            <w:pPr>
              <w:tabs>
                <w:tab w:val="left" w:pos="0"/>
              </w:tabs>
              <w:jc w:val="both"/>
              <w:rPr>
                <w:iCs/>
                <w:sz w:val="14"/>
                <w:szCs w:val="14"/>
              </w:rPr>
            </w:pPr>
          </w:p>
          <w:p w14:paraId="7C9701C4" w14:textId="77777777" w:rsidR="003474F4" w:rsidRPr="002F2E59" w:rsidRDefault="003474F4" w:rsidP="00A84130">
            <w:pPr>
              <w:tabs>
                <w:tab w:val="left" w:pos="0"/>
              </w:tabs>
              <w:jc w:val="both"/>
              <w:rPr>
                <w:iCs/>
                <w:sz w:val="14"/>
                <w:szCs w:val="14"/>
              </w:rPr>
            </w:pPr>
          </w:p>
          <w:p w14:paraId="482BC70C" w14:textId="77777777" w:rsidR="003474F4" w:rsidRPr="002F2E59" w:rsidRDefault="003474F4" w:rsidP="00A84130">
            <w:pPr>
              <w:tabs>
                <w:tab w:val="left" w:pos="0"/>
              </w:tabs>
              <w:rPr>
                <w:iCs/>
                <w:sz w:val="14"/>
                <w:szCs w:val="14"/>
              </w:rPr>
            </w:pPr>
          </w:p>
          <w:p w14:paraId="527FE12A" w14:textId="77777777" w:rsidR="003474F4" w:rsidRPr="002F2E59" w:rsidRDefault="003474F4" w:rsidP="00A84130">
            <w:pPr>
              <w:tabs>
                <w:tab w:val="left" w:pos="0"/>
              </w:tabs>
              <w:rPr>
                <w:iCs/>
                <w:sz w:val="14"/>
                <w:szCs w:val="14"/>
              </w:rPr>
            </w:pPr>
          </w:p>
          <w:p w14:paraId="0EEDDEE1" w14:textId="77777777" w:rsidR="003474F4" w:rsidRPr="002F2E59" w:rsidRDefault="003474F4" w:rsidP="00A84130">
            <w:pPr>
              <w:tabs>
                <w:tab w:val="left" w:pos="0"/>
              </w:tabs>
              <w:rPr>
                <w:iCs/>
                <w:sz w:val="14"/>
                <w:szCs w:val="14"/>
              </w:rPr>
            </w:pPr>
          </w:p>
          <w:p w14:paraId="568C1050" w14:textId="24D74D98" w:rsidR="003474F4" w:rsidRPr="002F2E59" w:rsidRDefault="003474F4" w:rsidP="00A84130">
            <w:pPr>
              <w:tabs>
                <w:tab w:val="left" w:pos="0"/>
              </w:tabs>
              <w:rPr>
                <w:iCs/>
                <w:sz w:val="14"/>
                <w:szCs w:val="14"/>
              </w:rPr>
            </w:pPr>
            <w:r w:rsidRPr="002F2E59">
              <w:rPr>
                <w:iCs/>
                <w:sz w:val="14"/>
                <w:szCs w:val="14"/>
              </w:rPr>
              <w:t>Data source:</w:t>
            </w:r>
            <w:r w:rsidR="00121BFC" w:rsidRPr="002F2E59">
              <w:rPr>
                <w:iCs/>
                <w:sz w:val="14"/>
                <w:szCs w:val="14"/>
              </w:rPr>
              <w:t xml:space="preserve"> </w:t>
            </w:r>
            <w:r w:rsidRPr="002F2E59">
              <w:rPr>
                <w:iCs/>
                <w:sz w:val="14"/>
                <w:szCs w:val="14"/>
              </w:rPr>
              <w:t>MEEF sectoral reports/sectoral reports</w:t>
            </w:r>
          </w:p>
          <w:p w14:paraId="723FB55E" w14:textId="77777777" w:rsidR="003474F4" w:rsidRPr="002F2E59" w:rsidRDefault="003474F4" w:rsidP="0056555D">
            <w:pPr>
              <w:tabs>
                <w:tab w:val="left" w:pos="0"/>
              </w:tabs>
              <w:rPr>
                <w:iCs/>
                <w:sz w:val="14"/>
                <w:szCs w:val="14"/>
              </w:rPr>
            </w:pPr>
          </w:p>
        </w:tc>
        <w:tc>
          <w:tcPr>
            <w:tcW w:w="4336" w:type="dxa"/>
            <w:tcMar>
              <w:top w:w="72" w:type="dxa"/>
              <w:left w:w="144" w:type="dxa"/>
              <w:bottom w:w="72" w:type="dxa"/>
              <w:right w:w="144" w:type="dxa"/>
            </w:tcMar>
          </w:tcPr>
          <w:p w14:paraId="111DC73F" w14:textId="45A9C77A" w:rsidR="003474F4" w:rsidRPr="002F2E59" w:rsidRDefault="00D01E7C" w:rsidP="00A84130">
            <w:pPr>
              <w:tabs>
                <w:tab w:val="left" w:pos="0"/>
              </w:tabs>
              <w:rPr>
                <w:b/>
                <w:sz w:val="14"/>
                <w:szCs w:val="14"/>
                <w:lang w:eastAsia="fr-FR"/>
              </w:rPr>
            </w:pPr>
            <w:r w:rsidRPr="002F2E59">
              <w:rPr>
                <w:b/>
                <w:sz w:val="14"/>
                <w:szCs w:val="14"/>
                <w:lang w:eastAsia="fr-FR"/>
              </w:rPr>
              <w:t>Output</w:t>
            </w:r>
            <w:r w:rsidR="00121BFC" w:rsidRPr="002F2E59">
              <w:rPr>
                <w:b/>
                <w:sz w:val="14"/>
                <w:szCs w:val="14"/>
                <w:lang w:eastAsia="fr-FR"/>
              </w:rPr>
              <w:t xml:space="preserve"> </w:t>
            </w:r>
            <w:r w:rsidR="003474F4" w:rsidRPr="002F2E59">
              <w:rPr>
                <w:b/>
                <w:sz w:val="14"/>
                <w:szCs w:val="14"/>
                <w:lang w:eastAsia="fr-FR"/>
              </w:rPr>
              <w:t>2.4:</w:t>
            </w:r>
            <w:r w:rsidR="003474F4" w:rsidRPr="002F2E59">
              <w:rPr>
                <w:sz w:val="14"/>
                <w:szCs w:val="14"/>
                <w:lang w:eastAsia="fr-FR"/>
              </w:rPr>
              <w:t xml:space="preserve"> </w:t>
            </w:r>
            <w:r w:rsidR="003474F4" w:rsidRPr="002F2E59">
              <w:rPr>
                <w:b/>
                <w:sz w:val="14"/>
                <w:szCs w:val="14"/>
                <w:lang w:eastAsia="fr-FR"/>
              </w:rPr>
              <w:t>Households of targeted cities and villages have better access to alternative technologies, renewable energies and healthy living environment.</w:t>
            </w:r>
          </w:p>
          <w:p w14:paraId="3E71652C" w14:textId="77777777" w:rsidR="003474F4" w:rsidRPr="002F2E59" w:rsidRDefault="003474F4" w:rsidP="00A84130">
            <w:pPr>
              <w:tabs>
                <w:tab w:val="left" w:pos="0"/>
              </w:tabs>
              <w:rPr>
                <w:sz w:val="14"/>
                <w:szCs w:val="14"/>
                <w:lang w:eastAsia="fr-FR"/>
              </w:rPr>
            </w:pPr>
          </w:p>
          <w:p w14:paraId="1F43260C" w14:textId="05B146C3" w:rsidR="003474F4" w:rsidRPr="002F2E59" w:rsidRDefault="00D01E7C" w:rsidP="00A84130">
            <w:pPr>
              <w:tabs>
                <w:tab w:val="left" w:pos="0"/>
              </w:tabs>
              <w:rPr>
                <w:sz w:val="14"/>
                <w:szCs w:val="14"/>
              </w:rPr>
            </w:pPr>
            <w:r w:rsidRPr="002F2E59">
              <w:rPr>
                <w:b/>
                <w:iCs/>
                <w:sz w:val="14"/>
                <w:szCs w:val="14"/>
              </w:rPr>
              <w:t>Indicator</w:t>
            </w:r>
            <w:r w:rsidR="00121BFC" w:rsidRPr="002F2E59">
              <w:rPr>
                <w:b/>
                <w:iCs/>
                <w:sz w:val="14"/>
                <w:szCs w:val="14"/>
              </w:rPr>
              <w:t xml:space="preserve"> </w:t>
            </w:r>
            <w:r w:rsidR="003474F4" w:rsidRPr="002F2E59">
              <w:rPr>
                <w:b/>
                <w:iCs/>
                <w:sz w:val="14"/>
                <w:szCs w:val="14"/>
              </w:rPr>
              <w:t>2.4.1</w:t>
            </w:r>
            <w:r w:rsidR="003474F4" w:rsidRPr="002F2E59">
              <w:rPr>
                <w:iCs/>
                <w:sz w:val="14"/>
                <w:szCs w:val="14"/>
              </w:rPr>
              <w:t>:</w:t>
            </w:r>
            <w:r w:rsidR="003474F4" w:rsidRPr="002F2E59">
              <w:rPr>
                <w:sz w:val="14"/>
                <w:szCs w:val="14"/>
              </w:rPr>
              <w:t xml:space="preserve"> Number of households benefitting from alternative technologies and renewable energies</w:t>
            </w:r>
          </w:p>
          <w:p w14:paraId="6E1764C3" w14:textId="690167FF" w:rsidR="003474F4" w:rsidRPr="002F2E59" w:rsidRDefault="003474F4" w:rsidP="00A84130">
            <w:pPr>
              <w:tabs>
                <w:tab w:val="left" w:pos="0"/>
              </w:tabs>
              <w:rPr>
                <w:iCs/>
                <w:sz w:val="14"/>
                <w:szCs w:val="14"/>
              </w:rPr>
            </w:pPr>
            <w:r w:rsidRPr="002F2E59">
              <w:rPr>
                <w:iCs/>
                <w:sz w:val="14"/>
                <w:szCs w:val="14"/>
              </w:rPr>
              <w:t>Baseline:</w:t>
            </w:r>
            <w:r w:rsidR="00121BFC" w:rsidRPr="002F2E59">
              <w:rPr>
                <w:iCs/>
                <w:sz w:val="14"/>
                <w:szCs w:val="14"/>
              </w:rPr>
              <w:t xml:space="preserve"> </w:t>
            </w:r>
            <w:r w:rsidRPr="002F2E59">
              <w:rPr>
                <w:color w:val="000000"/>
                <w:sz w:val="14"/>
                <w:szCs w:val="14"/>
                <w:lang w:eastAsia="fr-CA"/>
              </w:rPr>
              <w:t>10</w:t>
            </w:r>
            <w:r w:rsidR="00121BFC" w:rsidRPr="002F2E59">
              <w:rPr>
                <w:color w:val="000000"/>
                <w:sz w:val="14"/>
                <w:szCs w:val="14"/>
                <w:lang w:eastAsia="fr-CA"/>
              </w:rPr>
              <w:t>,</w:t>
            </w:r>
            <w:r w:rsidRPr="002F2E59">
              <w:rPr>
                <w:color w:val="000000"/>
                <w:sz w:val="14"/>
                <w:szCs w:val="14"/>
                <w:lang w:eastAsia="fr-CA"/>
              </w:rPr>
              <w:t>126</w:t>
            </w:r>
            <w:r w:rsidRPr="002F2E59">
              <w:rPr>
                <w:iCs/>
                <w:sz w:val="14"/>
                <w:szCs w:val="14"/>
              </w:rPr>
              <w:t>; Target:</w:t>
            </w:r>
            <w:r w:rsidR="00121BFC" w:rsidRPr="002F2E59">
              <w:rPr>
                <w:iCs/>
                <w:sz w:val="14"/>
                <w:szCs w:val="14"/>
              </w:rPr>
              <w:t xml:space="preserve"> </w:t>
            </w:r>
            <w:r w:rsidRPr="002F2E59">
              <w:rPr>
                <w:iCs/>
                <w:sz w:val="14"/>
                <w:szCs w:val="14"/>
              </w:rPr>
              <w:t>15</w:t>
            </w:r>
            <w:r w:rsidR="00121BFC" w:rsidRPr="002F2E59">
              <w:rPr>
                <w:iCs/>
                <w:sz w:val="14"/>
                <w:szCs w:val="14"/>
              </w:rPr>
              <w:t>,</w:t>
            </w:r>
            <w:r w:rsidRPr="002F2E59">
              <w:rPr>
                <w:iCs/>
                <w:sz w:val="14"/>
                <w:szCs w:val="14"/>
              </w:rPr>
              <w:t>126; Data source:</w:t>
            </w:r>
            <w:r w:rsidR="00121BFC" w:rsidRPr="002F2E59">
              <w:rPr>
                <w:iCs/>
                <w:sz w:val="14"/>
                <w:szCs w:val="14"/>
              </w:rPr>
              <w:t xml:space="preserve"> </w:t>
            </w:r>
            <w:r w:rsidRPr="002F2E59">
              <w:rPr>
                <w:sz w:val="14"/>
                <w:szCs w:val="14"/>
              </w:rPr>
              <w:t>MEEF sectoral reports/ </w:t>
            </w:r>
            <w:r w:rsidRPr="002F2E59">
              <w:rPr>
                <w:iCs/>
                <w:sz w:val="14"/>
                <w:szCs w:val="14"/>
              </w:rPr>
              <w:t>sectoral reports;</w:t>
            </w:r>
            <w:r w:rsidR="00D62E1C" w:rsidRPr="002F2E59">
              <w:rPr>
                <w:iCs/>
                <w:sz w:val="14"/>
                <w:szCs w:val="14"/>
              </w:rPr>
              <w:t xml:space="preserve"> </w:t>
            </w:r>
          </w:p>
          <w:p w14:paraId="128174D8" w14:textId="77777777" w:rsidR="003474F4" w:rsidRPr="002F2E59" w:rsidRDefault="003474F4" w:rsidP="00A84130">
            <w:pPr>
              <w:tabs>
                <w:tab w:val="left" w:pos="0"/>
              </w:tabs>
              <w:rPr>
                <w:iCs/>
                <w:sz w:val="14"/>
                <w:szCs w:val="14"/>
              </w:rPr>
            </w:pPr>
          </w:p>
          <w:p w14:paraId="0B6C3A72" w14:textId="75FF7E18" w:rsidR="003474F4" w:rsidRPr="002F2E59" w:rsidRDefault="00D01E7C" w:rsidP="00A84130">
            <w:pPr>
              <w:tabs>
                <w:tab w:val="left" w:pos="0"/>
              </w:tabs>
              <w:rPr>
                <w:iCs/>
                <w:sz w:val="14"/>
                <w:szCs w:val="14"/>
              </w:rPr>
            </w:pPr>
            <w:r w:rsidRPr="002F2E59">
              <w:rPr>
                <w:b/>
                <w:iCs/>
                <w:sz w:val="14"/>
                <w:szCs w:val="14"/>
              </w:rPr>
              <w:t>Indicator</w:t>
            </w:r>
            <w:r w:rsidR="00121BFC" w:rsidRPr="002F2E59">
              <w:rPr>
                <w:b/>
                <w:iCs/>
                <w:sz w:val="14"/>
                <w:szCs w:val="14"/>
              </w:rPr>
              <w:t xml:space="preserve"> </w:t>
            </w:r>
            <w:r w:rsidR="003474F4" w:rsidRPr="002F2E59">
              <w:rPr>
                <w:b/>
                <w:iCs/>
                <w:sz w:val="14"/>
                <w:szCs w:val="14"/>
              </w:rPr>
              <w:t>2.4.2</w:t>
            </w:r>
            <w:r w:rsidR="003474F4" w:rsidRPr="002F2E59">
              <w:rPr>
                <w:iCs/>
                <w:sz w:val="14"/>
                <w:szCs w:val="14"/>
              </w:rPr>
              <w:t xml:space="preserve">: </w:t>
            </w:r>
            <w:r w:rsidR="003474F4" w:rsidRPr="002F2E59">
              <w:rPr>
                <w:sz w:val="14"/>
                <w:szCs w:val="14"/>
              </w:rPr>
              <w:t xml:space="preserve">Number of new partnership mechanisms with funding for sustainable management solutions of natural resources, ecosystem services, chemicals and waste at national and/or sub-national level; </w:t>
            </w:r>
            <w:r w:rsidR="003474F4" w:rsidRPr="002F2E59">
              <w:rPr>
                <w:iCs/>
                <w:sz w:val="14"/>
                <w:szCs w:val="14"/>
              </w:rPr>
              <w:t>Baselin</w:t>
            </w:r>
            <w:r w:rsidR="00121BFC" w:rsidRPr="002F2E59">
              <w:rPr>
                <w:iCs/>
                <w:sz w:val="14"/>
                <w:szCs w:val="14"/>
              </w:rPr>
              <w:t>e</w:t>
            </w:r>
            <w:r w:rsidR="003474F4" w:rsidRPr="002F2E59">
              <w:rPr>
                <w:iCs/>
                <w:sz w:val="14"/>
                <w:szCs w:val="14"/>
              </w:rPr>
              <w:t>:</w:t>
            </w:r>
            <w:r w:rsidR="00121BFC" w:rsidRPr="002F2E59">
              <w:rPr>
                <w:iCs/>
                <w:sz w:val="14"/>
                <w:szCs w:val="14"/>
              </w:rPr>
              <w:t xml:space="preserve"> </w:t>
            </w:r>
            <w:r w:rsidR="003474F4" w:rsidRPr="002F2E59">
              <w:rPr>
                <w:iCs/>
                <w:sz w:val="14"/>
                <w:szCs w:val="14"/>
              </w:rPr>
              <w:t>1</w:t>
            </w:r>
            <w:r w:rsidR="003474F4" w:rsidRPr="002F2E59">
              <w:rPr>
                <w:sz w:val="14"/>
                <w:szCs w:val="14"/>
              </w:rPr>
              <w:t xml:space="preserve"> </w:t>
            </w:r>
            <w:r w:rsidR="003474F4" w:rsidRPr="002F2E59">
              <w:rPr>
                <w:iCs/>
                <w:sz w:val="14"/>
                <w:szCs w:val="14"/>
              </w:rPr>
              <w:t>Target:</w:t>
            </w:r>
            <w:r w:rsidR="00121BFC" w:rsidRPr="002F2E59">
              <w:rPr>
                <w:iCs/>
                <w:sz w:val="14"/>
                <w:szCs w:val="14"/>
              </w:rPr>
              <w:t xml:space="preserve"> </w:t>
            </w:r>
            <w:r w:rsidR="003474F4" w:rsidRPr="002F2E59">
              <w:rPr>
                <w:iCs/>
                <w:sz w:val="14"/>
                <w:szCs w:val="14"/>
              </w:rPr>
              <w:t>2; Data source:</w:t>
            </w:r>
            <w:r w:rsidR="00121BFC" w:rsidRPr="002F2E59">
              <w:rPr>
                <w:iCs/>
                <w:sz w:val="14"/>
                <w:szCs w:val="14"/>
              </w:rPr>
              <w:t xml:space="preserve"> </w:t>
            </w:r>
            <w:r w:rsidR="003474F4" w:rsidRPr="002F2E59">
              <w:rPr>
                <w:sz w:val="14"/>
                <w:szCs w:val="14"/>
              </w:rPr>
              <w:t>MEEF sectoral reports/</w:t>
            </w:r>
            <w:r w:rsidR="00D62E1C" w:rsidRPr="002F2E59">
              <w:rPr>
                <w:iCs/>
                <w:sz w:val="14"/>
                <w:szCs w:val="14"/>
              </w:rPr>
              <w:t xml:space="preserve">Sectoral reports </w:t>
            </w:r>
          </w:p>
          <w:p w14:paraId="520ACED3" w14:textId="77777777" w:rsidR="003474F4" w:rsidRPr="002F2E59" w:rsidRDefault="003474F4" w:rsidP="00A84130">
            <w:pPr>
              <w:tabs>
                <w:tab w:val="left" w:pos="0"/>
              </w:tabs>
              <w:rPr>
                <w:iCs/>
                <w:sz w:val="14"/>
                <w:szCs w:val="14"/>
              </w:rPr>
            </w:pPr>
            <w:r w:rsidRPr="002F2E59">
              <w:rPr>
                <w:iCs/>
                <w:sz w:val="14"/>
                <w:szCs w:val="14"/>
              </w:rPr>
              <w:t xml:space="preserve">      </w:t>
            </w:r>
          </w:p>
          <w:p w14:paraId="03AD6353" w14:textId="5CBA4976" w:rsidR="003474F4" w:rsidRPr="002F2E59" w:rsidRDefault="00D01E7C" w:rsidP="00A84130">
            <w:pPr>
              <w:tabs>
                <w:tab w:val="left" w:pos="0"/>
              </w:tabs>
              <w:rPr>
                <w:sz w:val="14"/>
                <w:szCs w:val="14"/>
                <w:lang w:eastAsia="fr-FR"/>
              </w:rPr>
            </w:pPr>
            <w:r w:rsidRPr="002F2E59">
              <w:rPr>
                <w:b/>
                <w:iCs/>
                <w:sz w:val="14"/>
                <w:szCs w:val="14"/>
              </w:rPr>
              <w:t>Indicator</w:t>
            </w:r>
            <w:r w:rsidR="00121BFC" w:rsidRPr="002F2E59">
              <w:rPr>
                <w:b/>
                <w:iCs/>
                <w:sz w:val="14"/>
                <w:szCs w:val="14"/>
              </w:rPr>
              <w:t xml:space="preserve"> </w:t>
            </w:r>
            <w:r w:rsidR="003474F4" w:rsidRPr="002F2E59">
              <w:rPr>
                <w:b/>
                <w:iCs/>
                <w:sz w:val="14"/>
                <w:szCs w:val="14"/>
              </w:rPr>
              <w:t>2.4.3</w:t>
            </w:r>
            <w:r w:rsidR="003474F4" w:rsidRPr="002F2E59">
              <w:rPr>
                <w:iCs/>
                <w:sz w:val="14"/>
                <w:szCs w:val="14"/>
              </w:rPr>
              <w:t>:</w:t>
            </w:r>
            <w:r w:rsidR="003474F4" w:rsidRPr="002F2E59">
              <w:rPr>
                <w:sz w:val="14"/>
                <w:szCs w:val="14"/>
              </w:rPr>
              <w:t xml:space="preserve"> Percentage of female headed households benefitting from improved energy access </w:t>
            </w:r>
          </w:p>
          <w:p w14:paraId="2DC8257E" w14:textId="65956477" w:rsidR="003474F4" w:rsidRPr="002F2E59" w:rsidRDefault="003474F4" w:rsidP="00A84130">
            <w:pPr>
              <w:tabs>
                <w:tab w:val="left" w:pos="0"/>
              </w:tabs>
              <w:jc w:val="both"/>
              <w:rPr>
                <w:iCs/>
                <w:sz w:val="14"/>
                <w:szCs w:val="14"/>
              </w:rPr>
            </w:pPr>
            <w:r w:rsidRPr="002F2E59">
              <w:rPr>
                <w:iCs/>
                <w:sz w:val="14"/>
                <w:szCs w:val="14"/>
              </w:rPr>
              <w:t>Baseline:</w:t>
            </w:r>
            <w:r w:rsidR="00121BFC" w:rsidRPr="002F2E59">
              <w:rPr>
                <w:iCs/>
                <w:sz w:val="14"/>
                <w:szCs w:val="14"/>
              </w:rPr>
              <w:t xml:space="preserve"> </w:t>
            </w:r>
            <w:r w:rsidRPr="002F2E59">
              <w:rPr>
                <w:iCs/>
                <w:sz w:val="14"/>
                <w:szCs w:val="14"/>
              </w:rPr>
              <w:t>27%; Target:</w:t>
            </w:r>
            <w:r w:rsidR="00121BFC" w:rsidRPr="002F2E59">
              <w:rPr>
                <w:iCs/>
                <w:sz w:val="14"/>
                <w:szCs w:val="14"/>
              </w:rPr>
              <w:t xml:space="preserve"> </w:t>
            </w:r>
            <w:r w:rsidRPr="002F2E59">
              <w:rPr>
                <w:iCs/>
                <w:sz w:val="14"/>
                <w:szCs w:val="14"/>
              </w:rPr>
              <w:t>30%; Data source:</w:t>
            </w:r>
            <w:r w:rsidRPr="002F2E59">
              <w:rPr>
                <w:sz w:val="14"/>
                <w:szCs w:val="14"/>
              </w:rPr>
              <w:t xml:space="preserve"> MEEF sectoral reports/sectoral reports</w:t>
            </w:r>
            <w:r w:rsidRPr="002F2E59">
              <w:rPr>
                <w:iCs/>
                <w:sz w:val="14"/>
                <w:szCs w:val="14"/>
              </w:rPr>
              <w:t xml:space="preserve">; </w:t>
            </w:r>
          </w:p>
        </w:tc>
        <w:tc>
          <w:tcPr>
            <w:tcW w:w="2774" w:type="dxa"/>
          </w:tcPr>
          <w:p w14:paraId="72533168" w14:textId="77777777" w:rsidR="003474F4" w:rsidRPr="002F2E59" w:rsidRDefault="003474F4" w:rsidP="00A84130">
            <w:pPr>
              <w:tabs>
                <w:tab w:val="left" w:pos="0"/>
              </w:tabs>
              <w:rPr>
                <w:iCs/>
                <w:sz w:val="14"/>
                <w:szCs w:val="14"/>
              </w:rPr>
            </w:pPr>
            <w:r w:rsidRPr="002F2E59">
              <w:rPr>
                <w:sz w:val="14"/>
                <w:szCs w:val="14"/>
              </w:rPr>
              <w:t>Ministries of Industry, MEEF GEF, civil society, private sector, local communities</w:t>
            </w:r>
          </w:p>
        </w:tc>
        <w:tc>
          <w:tcPr>
            <w:tcW w:w="1423" w:type="dxa"/>
            <w:tcMar>
              <w:top w:w="15" w:type="dxa"/>
              <w:left w:w="108" w:type="dxa"/>
              <w:bottom w:w="0" w:type="dxa"/>
              <w:right w:w="108" w:type="dxa"/>
            </w:tcMar>
          </w:tcPr>
          <w:p w14:paraId="7C9B4C6D" w14:textId="006E5B93" w:rsidR="003474F4" w:rsidRPr="002F2E59" w:rsidRDefault="00274B8F" w:rsidP="00A84130">
            <w:pPr>
              <w:tabs>
                <w:tab w:val="left" w:pos="0"/>
              </w:tabs>
              <w:jc w:val="both"/>
              <w:rPr>
                <w:b/>
                <w:sz w:val="14"/>
                <w:szCs w:val="14"/>
              </w:rPr>
            </w:pPr>
            <w:r w:rsidRPr="002F2E59">
              <w:rPr>
                <w:b/>
                <w:sz w:val="14"/>
                <w:szCs w:val="14"/>
              </w:rPr>
              <w:t>Regular:</w:t>
            </w:r>
            <w:r w:rsidR="00121BFC" w:rsidRPr="002F2E59">
              <w:rPr>
                <w:b/>
                <w:sz w:val="14"/>
                <w:szCs w:val="14"/>
              </w:rPr>
              <w:t xml:space="preserve"> </w:t>
            </w:r>
            <w:r w:rsidR="003474F4" w:rsidRPr="002F2E59">
              <w:rPr>
                <w:b/>
                <w:sz w:val="14"/>
                <w:szCs w:val="14"/>
              </w:rPr>
              <w:t>4</w:t>
            </w:r>
            <w:r w:rsidR="00121BFC" w:rsidRPr="002F2E59">
              <w:rPr>
                <w:b/>
                <w:sz w:val="14"/>
                <w:szCs w:val="14"/>
              </w:rPr>
              <w:t>,</w:t>
            </w:r>
            <w:r w:rsidR="00F345E5" w:rsidRPr="002F2E59">
              <w:rPr>
                <w:b/>
                <w:sz w:val="14"/>
                <w:szCs w:val="14"/>
              </w:rPr>
              <w:t>110,622</w:t>
            </w:r>
            <w:r w:rsidR="003474F4" w:rsidRPr="002F2E59">
              <w:rPr>
                <w:b/>
                <w:sz w:val="14"/>
                <w:szCs w:val="14"/>
              </w:rPr>
              <w:t xml:space="preserve">   </w:t>
            </w:r>
          </w:p>
          <w:p w14:paraId="6CCFF64B" w14:textId="77777777" w:rsidR="003474F4" w:rsidRPr="002F2E59" w:rsidRDefault="003474F4" w:rsidP="00A84130">
            <w:pPr>
              <w:tabs>
                <w:tab w:val="left" w:pos="0"/>
              </w:tabs>
              <w:rPr>
                <w:b/>
                <w:sz w:val="14"/>
                <w:szCs w:val="14"/>
              </w:rPr>
            </w:pPr>
          </w:p>
          <w:p w14:paraId="01288F77" w14:textId="79B914D3" w:rsidR="003474F4" w:rsidRPr="002F2E59" w:rsidRDefault="003474F4" w:rsidP="00A84130">
            <w:pPr>
              <w:tabs>
                <w:tab w:val="left" w:pos="0"/>
              </w:tabs>
              <w:rPr>
                <w:sz w:val="14"/>
                <w:szCs w:val="14"/>
                <w:lang w:eastAsia="fr-FR"/>
              </w:rPr>
            </w:pPr>
            <w:r w:rsidRPr="002F2E59">
              <w:rPr>
                <w:b/>
                <w:sz w:val="14"/>
                <w:szCs w:val="14"/>
              </w:rPr>
              <w:t>Other</w:t>
            </w:r>
            <w:r w:rsidRPr="002F2E59">
              <w:rPr>
                <w:sz w:val="14"/>
                <w:szCs w:val="14"/>
                <w:lang w:eastAsia="fr-FR"/>
              </w:rPr>
              <w:t>:</w:t>
            </w:r>
            <w:r w:rsidR="00121BFC" w:rsidRPr="002F2E59">
              <w:rPr>
                <w:sz w:val="14"/>
                <w:szCs w:val="14"/>
                <w:lang w:eastAsia="fr-FR"/>
              </w:rPr>
              <w:t xml:space="preserve"> </w:t>
            </w:r>
            <w:r w:rsidRPr="002F2E59">
              <w:rPr>
                <w:b/>
                <w:sz w:val="14"/>
                <w:szCs w:val="14"/>
              </w:rPr>
              <w:t>1</w:t>
            </w:r>
            <w:r w:rsidR="009A2152" w:rsidRPr="002F2E59">
              <w:rPr>
                <w:b/>
                <w:sz w:val="14"/>
                <w:szCs w:val="14"/>
              </w:rPr>
              <w:t>4</w:t>
            </w:r>
            <w:r w:rsidR="00121BFC" w:rsidRPr="002F2E59">
              <w:rPr>
                <w:b/>
                <w:sz w:val="14"/>
                <w:szCs w:val="14"/>
              </w:rPr>
              <w:t>,</w:t>
            </w:r>
            <w:r w:rsidR="009A2152" w:rsidRPr="002F2E59">
              <w:rPr>
                <w:b/>
                <w:sz w:val="14"/>
                <w:szCs w:val="14"/>
              </w:rPr>
              <w:t>528</w:t>
            </w:r>
            <w:r w:rsidR="00121BFC" w:rsidRPr="002F2E59">
              <w:rPr>
                <w:b/>
                <w:sz w:val="14"/>
                <w:szCs w:val="14"/>
              </w:rPr>
              <w:t>,</w:t>
            </w:r>
            <w:r w:rsidR="009A2152" w:rsidRPr="002F2E59">
              <w:rPr>
                <w:b/>
                <w:sz w:val="14"/>
                <w:szCs w:val="14"/>
              </w:rPr>
              <w:t>890</w:t>
            </w:r>
            <w:r w:rsidRPr="002F2E59">
              <w:rPr>
                <w:sz w:val="14"/>
                <w:szCs w:val="14"/>
                <w:lang w:eastAsia="fr-FR"/>
              </w:rPr>
              <w:t xml:space="preserve">   </w:t>
            </w:r>
          </w:p>
          <w:p w14:paraId="0C147138" w14:textId="77777777" w:rsidR="003474F4" w:rsidRPr="002F2E59" w:rsidRDefault="003474F4" w:rsidP="00A84130">
            <w:pPr>
              <w:tabs>
                <w:tab w:val="left" w:pos="0"/>
              </w:tabs>
              <w:jc w:val="both"/>
              <w:rPr>
                <w:b/>
                <w:sz w:val="14"/>
                <w:szCs w:val="14"/>
              </w:rPr>
            </w:pPr>
          </w:p>
        </w:tc>
      </w:tr>
      <w:tr w:rsidR="00610A93" w:rsidRPr="002F2E59" w14:paraId="7860A13C" w14:textId="77777777" w:rsidTr="001D3FBF">
        <w:trPr>
          <w:jc w:val="center"/>
        </w:trPr>
        <w:tc>
          <w:tcPr>
            <w:tcW w:w="2723" w:type="dxa"/>
            <w:vMerge/>
            <w:tcMar>
              <w:top w:w="72" w:type="dxa"/>
              <w:left w:w="144" w:type="dxa"/>
              <w:bottom w:w="72" w:type="dxa"/>
              <w:right w:w="144" w:type="dxa"/>
            </w:tcMar>
          </w:tcPr>
          <w:p w14:paraId="77C771CB" w14:textId="77777777" w:rsidR="003474F4" w:rsidRPr="002F2E59" w:rsidRDefault="003474F4" w:rsidP="00A84130">
            <w:pPr>
              <w:tabs>
                <w:tab w:val="left" w:pos="0"/>
              </w:tabs>
              <w:jc w:val="both"/>
              <w:rPr>
                <w:iCs/>
                <w:sz w:val="14"/>
                <w:szCs w:val="14"/>
              </w:rPr>
            </w:pPr>
          </w:p>
        </w:tc>
        <w:tc>
          <w:tcPr>
            <w:tcW w:w="2323" w:type="dxa"/>
          </w:tcPr>
          <w:p w14:paraId="39656DE6" w14:textId="77777777" w:rsidR="003474F4" w:rsidRPr="002F2E59" w:rsidRDefault="00274B8F" w:rsidP="00A84130">
            <w:pPr>
              <w:tabs>
                <w:tab w:val="left" w:pos="0"/>
              </w:tabs>
              <w:rPr>
                <w:iCs/>
                <w:sz w:val="14"/>
                <w:szCs w:val="14"/>
              </w:rPr>
            </w:pPr>
            <w:r w:rsidRPr="002F2E59">
              <w:rPr>
                <w:iCs/>
                <w:sz w:val="14"/>
                <w:szCs w:val="14"/>
              </w:rPr>
              <w:t xml:space="preserve">Data </w:t>
            </w:r>
            <w:r w:rsidR="00E06AEF" w:rsidRPr="002F2E59">
              <w:rPr>
                <w:iCs/>
                <w:sz w:val="14"/>
                <w:szCs w:val="14"/>
              </w:rPr>
              <w:t>source: Environmental</w:t>
            </w:r>
            <w:r w:rsidR="003474F4" w:rsidRPr="002F2E59">
              <w:rPr>
                <w:iCs/>
                <w:sz w:val="14"/>
                <w:szCs w:val="14"/>
              </w:rPr>
              <w:t xml:space="preserve"> sectoral reports, </w:t>
            </w:r>
          </w:p>
          <w:p w14:paraId="438857BB" w14:textId="77777777" w:rsidR="003474F4" w:rsidRPr="002F2E59" w:rsidRDefault="003474F4" w:rsidP="00A84130">
            <w:pPr>
              <w:tabs>
                <w:tab w:val="left" w:pos="0"/>
              </w:tabs>
              <w:ind w:left="360"/>
              <w:rPr>
                <w:iCs/>
                <w:sz w:val="14"/>
                <w:szCs w:val="14"/>
              </w:rPr>
            </w:pPr>
          </w:p>
          <w:p w14:paraId="609A6F62" w14:textId="77777777" w:rsidR="003474F4" w:rsidRPr="002F2E59" w:rsidRDefault="003474F4" w:rsidP="00A84130">
            <w:pPr>
              <w:tabs>
                <w:tab w:val="left" w:pos="0"/>
              </w:tabs>
              <w:jc w:val="both"/>
              <w:rPr>
                <w:iCs/>
                <w:sz w:val="14"/>
                <w:szCs w:val="14"/>
              </w:rPr>
            </w:pPr>
          </w:p>
          <w:p w14:paraId="1FAFFA44" w14:textId="77777777" w:rsidR="003474F4" w:rsidRPr="002F2E59" w:rsidRDefault="003474F4" w:rsidP="00A84130">
            <w:pPr>
              <w:tabs>
                <w:tab w:val="left" w:pos="0"/>
              </w:tabs>
              <w:jc w:val="both"/>
              <w:rPr>
                <w:iCs/>
                <w:sz w:val="14"/>
                <w:szCs w:val="14"/>
              </w:rPr>
            </w:pPr>
          </w:p>
          <w:p w14:paraId="3D20B940" w14:textId="77777777" w:rsidR="003474F4" w:rsidRPr="002F2E59" w:rsidRDefault="003474F4" w:rsidP="00A84130">
            <w:pPr>
              <w:tabs>
                <w:tab w:val="left" w:pos="0"/>
              </w:tabs>
              <w:jc w:val="both"/>
              <w:rPr>
                <w:iCs/>
                <w:sz w:val="14"/>
                <w:szCs w:val="14"/>
              </w:rPr>
            </w:pPr>
          </w:p>
          <w:p w14:paraId="2B6FAF15" w14:textId="77777777" w:rsidR="003474F4" w:rsidRPr="002F2E59" w:rsidRDefault="003474F4" w:rsidP="00A84130">
            <w:pPr>
              <w:tabs>
                <w:tab w:val="left" w:pos="0"/>
              </w:tabs>
              <w:jc w:val="both"/>
              <w:rPr>
                <w:iCs/>
                <w:sz w:val="14"/>
                <w:szCs w:val="14"/>
              </w:rPr>
            </w:pPr>
          </w:p>
        </w:tc>
        <w:tc>
          <w:tcPr>
            <w:tcW w:w="4336" w:type="dxa"/>
            <w:tcMar>
              <w:top w:w="72" w:type="dxa"/>
              <w:left w:w="144" w:type="dxa"/>
              <w:bottom w:w="72" w:type="dxa"/>
              <w:right w:w="144" w:type="dxa"/>
            </w:tcMar>
          </w:tcPr>
          <w:p w14:paraId="769C8281" w14:textId="2DA1CBF4" w:rsidR="003474F4" w:rsidRPr="002F2E59" w:rsidRDefault="00D01E7C" w:rsidP="00A84130">
            <w:pPr>
              <w:tabs>
                <w:tab w:val="left" w:pos="0"/>
              </w:tabs>
              <w:rPr>
                <w:b/>
                <w:sz w:val="14"/>
                <w:szCs w:val="14"/>
              </w:rPr>
            </w:pPr>
            <w:r w:rsidRPr="002F2E59">
              <w:rPr>
                <w:b/>
                <w:sz w:val="14"/>
                <w:szCs w:val="14"/>
                <w:lang w:eastAsia="fr-FR"/>
              </w:rPr>
              <w:t>Output</w:t>
            </w:r>
            <w:r w:rsidR="00121BFC" w:rsidRPr="002F2E59">
              <w:rPr>
                <w:b/>
                <w:sz w:val="14"/>
                <w:szCs w:val="14"/>
                <w:lang w:eastAsia="fr-FR"/>
              </w:rPr>
              <w:t xml:space="preserve"> </w:t>
            </w:r>
            <w:r w:rsidR="003474F4" w:rsidRPr="002F2E59">
              <w:rPr>
                <w:b/>
                <w:sz w:val="14"/>
                <w:szCs w:val="14"/>
                <w:lang w:eastAsia="fr-FR"/>
              </w:rPr>
              <w:t>2.5:</w:t>
            </w:r>
            <w:r w:rsidR="003474F4" w:rsidRPr="002F2E59">
              <w:rPr>
                <w:b/>
                <w:sz w:val="14"/>
                <w:szCs w:val="14"/>
              </w:rPr>
              <w:t xml:space="preserve"> The most vulnerable groups, have increased capacities for resilience and adaptation to climate change</w:t>
            </w:r>
          </w:p>
          <w:p w14:paraId="6D4792CF" w14:textId="77777777" w:rsidR="003474F4" w:rsidRPr="002F2E59" w:rsidRDefault="003474F4" w:rsidP="00A84130">
            <w:pPr>
              <w:tabs>
                <w:tab w:val="left" w:pos="0"/>
              </w:tabs>
              <w:rPr>
                <w:b/>
                <w:sz w:val="14"/>
                <w:szCs w:val="14"/>
                <w:u w:val="single"/>
              </w:rPr>
            </w:pPr>
          </w:p>
          <w:p w14:paraId="6DD80A74" w14:textId="5C81AD9B" w:rsidR="003474F4" w:rsidRPr="002F2E59" w:rsidRDefault="003474F4" w:rsidP="00A84130">
            <w:pPr>
              <w:tabs>
                <w:tab w:val="left" w:pos="0"/>
              </w:tabs>
              <w:rPr>
                <w:b/>
                <w:sz w:val="14"/>
                <w:szCs w:val="14"/>
              </w:rPr>
            </w:pPr>
            <w:r w:rsidRPr="002F2E59">
              <w:rPr>
                <w:b/>
                <w:iCs/>
                <w:sz w:val="14"/>
                <w:szCs w:val="14"/>
              </w:rPr>
              <w:t>Indicator</w:t>
            </w:r>
            <w:r w:rsidR="00121BFC" w:rsidRPr="002F2E59">
              <w:rPr>
                <w:b/>
                <w:iCs/>
                <w:sz w:val="14"/>
                <w:szCs w:val="14"/>
              </w:rPr>
              <w:t xml:space="preserve"> </w:t>
            </w:r>
            <w:r w:rsidRPr="002F2E59">
              <w:rPr>
                <w:b/>
                <w:iCs/>
                <w:sz w:val="14"/>
                <w:szCs w:val="14"/>
              </w:rPr>
              <w:t>2.5.1</w:t>
            </w:r>
            <w:r w:rsidRPr="002F2E59">
              <w:rPr>
                <w:iCs/>
                <w:sz w:val="14"/>
                <w:szCs w:val="14"/>
              </w:rPr>
              <w:t>: Number of communes that integrated practices of resilience and adaptation in their local development plan</w:t>
            </w:r>
          </w:p>
          <w:p w14:paraId="1415FCB4" w14:textId="331A0F1B" w:rsidR="003474F4" w:rsidRPr="002F2E59" w:rsidRDefault="003474F4" w:rsidP="00A84130">
            <w:pPr>
              <w:tabs>
                <w:tab w:val="left" w:pos="0"/>
              </w:tabs>
              <w:rPr>
                <w:iCs/>
                <w:sz w:val="14"/>
                <w:szCs w:val="14"/>
              </w:rPr>
            </w:pPr>
            <w:r w:rsidRPr="002F2E59">
              <w:rPr>
                <w:iCs/>
                <w:sz w:val="14"/>
                <w:szCs w:val="14"/>
              </w:rPr>
              <w:t>Baseline:</w:t>
            </w:r>
            <w:r w:rsidR="00121BFC" w:rsidRPr="002F2E59">
              <w:rPr>
                <w:iCs/>
                <w:sz w:val="14"/>
                <w:szCs w:val="14"/>
              </w:rPr>
              <w:t xml:space="preserve"> </w:t>
            </w:r>
            <w:r w:rsidRPr="002F2E59">
              <w:rPr>
                <w:iCs/>
                <w:sz w:val="14"/>
                <w:szCs w:val="14"/>
              </w:rPr>
              <w:t>74; Target:</w:t>
            </w:r>
            <w:r w:rsidR="00121BFC" w:rsidRPr="002F2E59">
              <w:rPr>
                <w:iCs/>
                <w:sz w:val="14"/>
                <w:szCs w:val="14"/>
              </w:rPr>
              <w:t xml:space="preserve"> </w:t>
            </w:r>
            <w:r w:rsidRPr="002F2E59">
              <w:rPr>
                <w:iCs/>
                <w:sz w:val="14"/>
                <w:szCs w:val="14"/>
              </w:rPr>
              <w:t>100; Data source:</w:t>
            </w:r>
            <w:r w:rsidR="00121BFC" w:rsidRPr="002F2E59">
              <w:rPr>
                <w:iCs/>
                <w:sz w:val="14"/>
                <w:szCs w:val="14"/>
              </w:rPr>
              <w:t xml:space="preserve"> </w:t>
            </w:r>
            <w:r w:rsidR="000D29EA" w:rsidRPr="002F2E59">
              <w:rPr>
                <w:sz w:val="14"/>
                <w:szCs w:val="14"/>
              </w:rPr>
              <w:t>MEEF Sectoral Reports</w:t>
            </w:r>
            <w:r w:rsidRPr="002F2E59">
              <w:rPr>
                <w:sz w:val="14"/>
                <w:szCs w:val="14"/>
              </w:rPr>
              <w:t>/</w:t>
            </w:r>
            <w:r w:rsidR="000D29EA" w:rsidRPr="002F2E59">
              <w:rPr>
                <w:iCs/>
                <w:sz w:val="14"/>
                <w:szCs w:val="14"/>
              </w:rPr>
              <w:t xml:space="preserve">Sectoral report; </w:t>
            </w:r>
          </w:p>
          <w:p w14:paraId="2A8C42E9" w14:textId="77777777" w:rsidR="003474F4" w:rsidRPr="002F2E59" w:rsidRDefault="003474F4" w:rsidP="00A84130">
            <w:pPr>
              <w:tabs>
                <w:tab w:val="left" w:pos="0"/>
              </w:tabs>
              <w:rPr>
                <w:b/>
                <w:iCs/>
                <w:sz w:val="14"/>
                <w:szCs w:val="14"/>
              </w:rPr>
            </w:pPr>
          </w:p>
          <w:p w14:paraId="61EF9CFD" w14:textId="54AB97DF" w:rsidR="003474F4" w:rsidRPr="002F2E59" w:rsidRDefault="000D29EA" w:rsidP="00A84130">
            <w:pPr>
              <w:tabs>
                <w:tab w:val="left" w:pos="0"/>
              </w:tabs>
              <w:rPr>
                <w:iCs/>
                <w:sz w:val="14"/>
                <w:szCs w:val="14"/>
              </w:rPr>
            </w:pPr>
            <w:r w:rsidRPr="002F2E59">
              <w:rPr>
                <w:b/>
                <w:iCs/>
                <w:sz w:val="14"/>
                <w:szCs w:val="14"/>
              </w:rPr>
              <w:t>Indicator</w:t>
            </w:r>
            <w:r w:rsidR="00121BFC" w:rsidRPr="002F2E59">
              <w:rPr>
                <w:b/>
                <w:iCs/>
                <w:sz w:val="14"/>
                <w:szCs w:val="14"/>
              </w:rPr>
              <w:t xml:space="preserve"> </w:t>
            </w:r>
            <w:r w:rsidR="003474F4" w:rsidRPr="002F2E59">
              <w:rPr>
                <w:b/>
                <w:iCs/>
                <w:sz w:val="14"/>
                <w:szCs w:val="14"/>
              </w:rPr>
              <w:t>2.5.2</w:t>
            </w:r>
            <w:r w:rsidR="003474F4" w:rsidRPr="002F2E59">
              <w:rPr>
                <w:iCs/>
                <w:sz w:val="14"/>
                <w:szCs w:val="14"/>
              </w:rPr>
              <w:t xml:space="preserve">: Number of </w:t>
            </w:r>
            <w:r w:rsidR="003474F4" w:rsidRPr="002F2E59">
              <w:rPr>
                <w:sz w:val="14"/>
                <w:szCs w:val="14"/>
              </w:rPr>
              <w:t>women and youth able to adapt their economic and living environment to climate change</w:t>
            </w:r>
          </w:p>
          <w:p w14:paraId="40668687" w14:textId="38C3E9D8" w:rsidR="003474F4" w:rsidRPr="002F2E59" w:rsidRDefault="003474F4" w:rsidP="00A84130">
            <w:pPr>
              <w:tabs>
                <w:tab w:val="left" w:pos="0"/>
              </w:tabs>
              <w:rPr>
                <w:iCs/>
                <w:sz w:val="14"/>
                <w:szCs w:val="14"/>
              </w:rPr>
            </w:pPr>
            <w:r w:rsidRPr="002F2E59">
              <w:rPr>
                <w:iCs/>
                <w:sz w:val="14"/>
                <w:szCs w:val="14"/>
              </w:rPr>
              <w:t>2.5.2a Women B</w:t>
            </w:r>
            <w:r w:rsidR="000D29EA" w:rsidRPr="002F2E59">
              <w:rPr>
                <w:iCs/>
                <w:sz w:val="14"/>
                <w:szCs w:val="14"/>
              </w:rPr>
              <w:t>aseline:</w:t>
            </w:r>
            <w:r w:rsidR="00121BFC" w:rsidRPr="002F2E59">
              <w:rPr>
                <w:iCs/>
                <w:sz w:val="14"/>
                <w:szCs w:val="14"/>
              </w:rPr>
              <w:t xml:space="preserve"> </w:t>
            </w:r>
            <w:r w:rsidR="000D29EA" w:rsidRPr="002F2E59">
              <w:rPr>
                <w:iCs/>
                <w:sz w:val="14"/>
                <w:szCs w:val="14"/>
              </w:rPr>
              <w:t>1</w:t>
            </w:r>
            <w:r w:rsidR="00121BFC" w:rsidRPr="002F2E59">
              <w:rPr>
                <w:iCs/>
                <w:sz w:val="14"/>
                <w:szCs w:val="14"/>
              </w:rPr>
              <w:t>,</w:t>
            </w:r>
            <w:r w:rsidR="000D29EA" w:rsidRPr="002F2E59">
              <w:rPr>
                <w:iCs/>
                <w:sz w:val="14"/>
                <w:szCs w:val="14"/>
              </w:rPr>
              <w:t>735; Target:</w:t>
            </w:r>
            <w:r w:rsidR="00121BFC" w:rsidRPr="002F2E59">
              <w:rPr>
                <w:iCs/>
                <w:sz w:val="14"/>
                <w:szCs w:val="14"/>
              </w:rPr>
              <w:t xml:space="preserve"> </w:t>
            </w:r>
            <w:r w:rsidRPr="002F2E59">
              <w:rPr>
                <w:iCs/>
                <w:sz w:val="14"/>
                <w:szCs w:val="14"/>
              </w:rPr>
              <w:t>5</w:t>
            </w:r>
            <w:r w:rsidR="00121BFC" w:rsidRPr="002F2E59">
              <w:rPr>
                <w:iCs/>
                <w:sz w:val="14"/>
                <w:szCs w:val="14"/>
              </w:rPr>
              <w:t>,</w:t>
            </w:r>
            <w:r w:rsidRPr="002F2E59">
              <w:rPr>
                <w:iCs/>
                <w:sz w:val="14"/>
                <w:szCs w:val="14"/>
              </w:rPr>
              <w:t>000</w:t>
            </w:r>
          </w:p>
          <w:p w14:paraId="3843C31C" w14:textId="09C252E2" w:rsidR="003474F4" w:rsidRPr="002F2E59" w:rsidRDefault="003474F4" w:rsidP="00A84130">
            <w:pPr>
              <w:tabs>
                <w:tab w:val="left" w:pos="0"/>
              </w:tabs>
              <w:rPr>
                <w:iCs/>
                <w:sz w:val="14"/>
                <w:szCs w:val="14"/>
              </w:rPr>
            </w:pPr>
            <w:r w:rsidRPr="002F2E59">
              <w:rPr>
                <w:iCs/>
                <w:sz w:val="14"/>
                <w:szCs w:val="14"/>
              </w:rPr>
              <w:t>2.5.2b Youth Baseline:0; Target: Data source:</w:t>
            </w:r>
            <w:r w:rsidR="00121BFC" w:rsidRPr="002F2E59">
              <w:rPr>
                <w:iCs/>
                <w:sz w:val="14"/>
                <w:szCs w:val="14"/>
              </w:rPr>
              <w:t xml:space="preserve"> </w:t>
            </w:r>
            <w:r w:rsidR="000D29EA" w:rsidRPr="002F2E59">
              <w:rPr>
                <w:sz w:val="14"/>
                <w:szCs w:val="14"/>
              </w:rPr>
              <w:t xml:space="preserve">MEEF sectoral reports </w:t>
            </w:r>
            <w:r w:rsidR="000D29EA" w:rsidRPr="002F2E59">
              <w:rPr>
                <w:iCs/>
                <w:sz w:val="14"/>
                <w:szCs w:val="14"/>
              </w:rPr>
              <w:t xml:space="preserve">Sectoral reports; </w:t>
            </w:r>
          </w:p>
          <w:p w14:paraId="1AA0C963" w14:textId="77777777" w:rsidR="003474F4" w:rsidRPr="002F2E59" w:rsidRDefault="003474F4" w:rsidP="00A84130">
            <w:pPr>
              <w:tabs>
                <w:tab w:val="left" w:pos="0"/>
              </w:tabs>
              <w:rPr>
                <w:iCs/>
                <w:sz w:val="14"/>
                <w:szCs w:val="14"/>
              </w:rPr>
            </w:pPr>
          </w:p>
          <w:p w14:paraId="255AA7FE" w14:textId="43621F17" w:rsidR="003474F4" w:rsidRPr="002F2E59" w:rsidRDefault="000D29EA" w:rsidP="00A84130">
            <w:pPr>
              <w:tabs>
                <w:tab w:val="left" w:pos="0"/>
              </w:tabs>
              <w:rPr>
                <w:iCs/>
                <w:sz w:val="14"/>
                <w:szCs w:val="14"/>
              </w:rPr>
            </w:pPr>
            <w:r w:rsidRPr="002F2E59">
              <w:rPr>
                <w:b/>
                <w:iCs/>
                <w:sz w:val="14"/>
                <w:szCs w:val="14"/>
              </w:rPr>
              <w:t>Indicator</w:t>
            </w:r>
            <w:r w:rsidR="00121BFC" w:rsidRPr="002F2E59">
              <w:rPr>
                <w:b/>
                <w:iCs/>
                <w:sz w:val="14"/>
                <w:szCs w:val="14"/>
              </w:rPr>
              <w:t xml:space="preserve"> </w:t>
            </w:r>
            <w:r w:rsidR="003474F4" w:rsidRPr="002F2E59">
              <w:rPr>
                <w:b/>
                <w:iCs/>
                <w:sz w:val="14"/>
                <w:szCs w:val="14"/>
              </w:rPr>
              <w:t>2.5.3</w:t>
            </w:r>
            <w:r w:rsidR="003474F4" w:rsidRPr="002F2E59">
              <w:rPr>
                <w:iCs/>
                <w:sz w:val="14"/>
                <w:szCs w:val="14"/>
              </w:rPr>
              <w:t>: Area of reforested/protected forest ecosystems by UNDP</w:t>
            </w:r>
          </w:p>
          <w:p w14:paraId="21EB8AA0" w14:textId="7EF253EE" w:rsidR="003474F4" w:rsidRPr="002F2E59" w:rsidRDefault="000D29EA" w:rsidP="00A84130">
            <w:pPr>
              <w:tabs>
                <w:tab w:val="left" w:pos="0"/>
              </w:tabs>
              <w:rPr>
                <w:iCs/>
                <w:sz w:val="14"/>
                <w:szCs w:val="14"/>
              </w:rPr>
            </w:pPr>
            <w:r w:rsidRPr="002F2E59">
              <w:rPr>
                <w:iCs/>
                <w:sz w:val="14"/>
                <w:szCs w:val="14"/>
              </w:rPr>
              <w:t>Baseline:</w:t>
            </w:r>
            <w:r w:rsidR="00121BFC" w:rsidRPr="002F2E59">
              <w:rPr>
                <w:iCs/>
                <w:sz w:val="14"/>
                <w:szCs w:val="14"/>
              </w:rPr>
              <w:t xml:space="preserve"> </w:t>
            </w:r>
            <w:r w:rsidRPr="002F2E59">
              <w:rPr>
                <w:iCs/>
                <w:sz w:val="14"/>
                <w:szCs w:val="14"/>
              </w:rPr>
              <w:t>916; Target:</w:t>
            </w:r>
            <w:r w:rsidR="00121BFC" w:rsidRPr="002F2E59">
              <w:rPr>
                <w:iCs/>
                <w:sz w:val="14"/>
                <w:szCs w:val="14"/>
              </w:rPr>
              <w:t xml:space="preserve"> </w:t>
            </w:r>
            <w:r w:rsidR="003474F4" w:rsidRPr="002F2E59">
              <w:rPr>
                <w:iCs/>
                <w:sz w:val="14"/>
                <w:szCs w:val="14"/>
              </w:rPr>
              <w:t>2</w:t>
            </w:r>
            <w:r w:rsidR="00121BFC" w:rsidRPr="002F2E59">
              <w:rPr>
                <w:iCs/>
                <w:sz w:val="14"/>
                <w:szCs w:val="14"/>
              </w:rPr>
              <w:t>,</w:t>
            </w:r>
            <w:r w:rsidR="003474F4" w:rsidRPr="002F2E59">
              <w:rPr>
                <w:iCs/>
                <w:sz w:val="14"/>
                <w:szCs w:val="14"/>
              </w:rPr>
              <w:t>916 ha; Data source:</w:t>
            </w:r>
            <w:r w:rsidR="003474F4" w:rsidRPr="002F2E59">
              <w:rPr>
                <w:sz w:val="14"/>
                <w:szCs w:val="14"/>
              </w:rPr>
              <w:t xml:space="preserve"> MEEF sectoral reports /</w:t>
            </w:r>
            <w:r w:rsidR="003474F4" w:rsidRPr="002F2E59">
              <w:rPr>
                <w:iCs/>
                <w:sz w:val="14"/>
                <w:szCs w:val="14"/>
              </w:rPr>
              <w:t xml:space="preserve">Sectoral reports; </w:t>
            </w:r>
          </w:p>
          <w:p w14:paraId="6431DD50" w14:textId="77777777" w:rsidR="003474F4" w:rsidRPr="002F2E59" w:rsidRDefault="003474F4" w:rsidP="00A84130">
            <w:pPr>
              <w:tabs>
                <w:tab w:val="left" w:pos="0"/>
              </w:tabs>
              <w:rPr>
                <w:iCs/>
                <w:sz w:val="14"/>
                <w:szCs w:val="14"/>
              </w:rPr>
            </w:pPr>
          </w:p>
          <w:p w14:paraId="680420F3" w14:textId="354A3CA8" w:rsidR="003474F4" w:rsidRPr="002F2E59" w:rsidRDefault="00D01E7C" w:rsidP="00A84130">
            <w:pPr>
              <w:tabs>
                <w:tab w:val="left" w:pos="0"/>
              </w:tabs>
              <w:rPr>
                <w:iCs/>
                <w:sz w:val="14"/>
                <w:szCs w:val="16"/>
              </w:rPr>
            </w:pPr>
            <w:r w:rsidRPr="002F2E59">
              <w:rPr>
                <w:b/>
                <w:iCs/>
                <w:sz w:val="14"/>
                <w:szCs w:val="14"/>
              </w:rPr>
              <w:t>Indicator</w:t>
            </w:r>
            <w:r w:rsidR="00121BFC" w:rsidRPr="002F2E59">
              <w:rPr>
                <w:b/>
                <w:iCs/>
                <w:sz w:val="14"/>
                <w:szCs w:val="14"/>
              </w:rPr>
              <w:t xml:space="preserve"> </w:t>
            </w:r>
            <w:r w:rsidR="003474F4" w:rsidRPr="002F2E59">
              <w:rPr>
                <w:b/>
                <w:iCs/>
                <w:sz w:val="14"/>
                <w:szCs w:val="14"/>
              </w:rPr>
              <w:t>2.5.4</w:t>
            </w:r>
            <w:r w:rsidR="003474F4" w:rsidRPr="002F2E59">
              <w:rPr>
                <w:iCs/>
                <w:sz w:val="14"/>
                <w:szCs w:val="14"/>
              </w:rPr>
              <w:t>: Number of climate information systems put in place and operational</w:t>
            </w:r>
            <w:r w:rsidR="003474F4" w:rsidRPr="002F2E59">
              <w:rPr>
                <w:iCs/>
                <w:sz w:val="14"/>
                <w:szCs w:val="16"/>
              </w:rPr>
              <w:t xml:space="preserve"> </w:t>
            </w:r>
          </w:p>
          <w:p w14:paraId="0170F0C9" w14:textId="3718873B" w:rsidR="003474F4" w:rsidRPr="002F2E59" w:rsidRDefault="00D01E7C" w:rsidP="00A84130">
            <w:pPr>
              <w:tabs>
                <w:tab w:val="left" w:pos="0"/>
              </w:tabs>
              <w:rPr>
                <w:iCs/>
                <w:sz w:val="14"/>
                <w:szCs w:val="14"/>
              </w:rPr>
            </w:pPr>
            <w:r w:rsidRPr="002F2E59">
              <w:rPr>
                <w:iCs/>
                <w:sz w:val="14"/>
                <w:szCs w:val="14"/>
              </w:rPr>
              <w:t>Baseline</w:t>
            </w:r>
            <w:r w:rsidR="00121BFC" w:rsidRPr="002F2E59">
              <w:rPr>
                <w:iCs/>
                <w:sz w:val="14"/>
                <w:szCs w:val="14"/>
              </w:rPr>
              <w:t xml:space="preserve"> </w:t>
            </w:r>
            <w:r w:rsidRPr="002F2E59">
              <w:rPr>
                <w:iCs/>
                <w:sz w:val="14"/>
                <w:szCs w:val="14"/>
              </w:rPr>
              <w:t>:</w:t>
            </w:r>
            <w:r w:rsidR="003474F4" w:rsidRPr="002F2E59">
              <w:rPr>
                <w:iCs/>
                <w:sz w:val="14"/>
                <w:szCs w:val="14"/>
              </w:rPr>
              <w:t>0; Target:</w:t>
            </w:r>
            <w:r w:rsidR="00121BFC" w:rsidRPr="002F2E59">
              <w:rPr>
                <w:iCs/>
                <w:sz w:val="14"/>
                <w:szCs w:val="14"/>
              </w:rPr>
              <w:t xml:space="preserve"> </w:t>
            </w:r>
            <w:r w:rsidR="003474F4" w:rsidRPr="002F2E59">
              <w:rPr>
                <w:iCs/>
                <w:sz w:val="14"/>
                <w:szCs w:val="14"/>
              </w:rPr>
              <w:t>1</w:t>
            </w:r>
            <w:r w:rsidR="00121BFC" w:rsidRPr="002F2E59">
              <w:rPr>
                <w:iCs/>
                <w:sz w:val="14"/>
                <w:szCs w:val="14"/>
              </w:rPr>
              <w:t>;</w:t>
            </w:r>
            <w:r w:rsidR="003474F4" w:rsidRPr="002F2E59">
              <w:rPr>
                <w:iCs/>
                <w:sz w:val="14"/>
                <w:szCs w:val="14"/>
              </w:rPr>
              <w:t xml:space="preserve"> Data source:</w:t>
            </w:r>
            <w:r w:rsidR="00121BFC" w:rsidRPr="002F2E59">
              <w:rPr>
                <w:iCs/>
                <w:sz w:val="14"/>
                <w:szCs w:val="14"/>
              </w:rPr>
              <w:t xml:space="preserve"> </w:t>
            </w:r>
            <w:r w:rsidR="003474F4" w:rsidRPr="002F2E59">
              <w:rPr>
                <w:sz w:val="14"/>
                <w:szCs w:val="14"/>
              </w:rPr>
              <w:t xml:space="preserve">MEEF sectoral reports </w:t>
            </w:r>
            <w:r w:rsidRPr="002F2E59">
              <w:rPr>
                <w:iCs/>
                <w:sz w:val="14"/>
                <w:szCs w:val="14"/>
              </w:rPr>
              <w:t xml:space="preserve">Sectoral reports; </w:t>
            </w:r>
          </w:p>
        </w:tc>
        <w:tc>
          <w:tcPr>
            <w:tcW w:w="2774" w:type="dxa"/>
          </w:tcPr>
          <w:p w14:paraId="64D1EEB6" w14:textId="77777777" w:rsidR="003474F4" w:rsidRPr="002F2E59" w:rsidRDefault="000D29EA" w:rsidP="00A84130">
            <w:pPr>
              <w:tabs>
                <w:tab w:val="left" w:pos="0"/>
              </w:tabs>
              <w:rPr>
                <w:iCs/>
                <w:sz w:val="14"/>
                <w:szCs w:val="14"/>
              </w:rPr>
            </w:pPr>
            <w:r w:rsidRPr="002F2E59">
              <w:rPr>
                <w:sz w:val="14"/>
                <w:szCs w:val="14"/>
              </w:rPr>
              <w:t>MEEF,</w:t>
            </w:r>
            <w:r w:rsidR="00D01E7C" w:rsidRPr="002F2E59">
              <w:rPr>
                <w:sz w:val="14"/>
                <w:szCs w:val="14"/>
              </w:rPr>
              <w:t xml:space="preserve"> </w:t>
            </w:r>
            <w:r w:rsidRPr="002F2E59">
              <w:rPr>
                <w:sz w:val="14"/>
                <w:szCs w:val="14"/>
              </w:rPr>
              <w:t>Health,</w:t>
            </w:r>
            <w:r w:rsidR="00D01E7C" w:rsidRPr="002F2E59">
              <w:rPr>
                <w:sz w:val="14"/>
                <w:szCs w:val="14"/>
              </w:rPr>
              <w:t xml:space="preserve"> </w:t>
            </w:r>
            <w:r w:rsidRPr="002F2E59">
              <w:rPr>
                <w:sz w:val="14"/>
                <w:szCs w:val="14"/>
              </w:rPr>
              <w:t>GEF,</w:t>
            </w:r>
            <w:r w:rsidR="00D01E7C" w:rsidRPr="002F2E59">
              <w:rPr>
                <w:sz w:val="14"/>
                <w:szCs w:val="14"/>
              </w:rPr>
              <w:t xml:space="preserve"> </w:t>
            </w:r>
            <w:r w:rsidRPr="002F2E59">
              <w:rPr>
                <w:sz w:val="14"/>
                <w:szCs w:val="14"/>
              </w:rPr>
              <w:t>civil society,</w:t>
            </w:r>
            <w:r w:rsidR="00D01E7C" w:rsidRPr="002F2E59">
              <w:rPr>
                <w:sz w:val="14"/>
                <w:szCs w:val="14"/>
              </w:rPr>
              <w:t xml:space="preserve"> </w:t>
            </w:r>
            <w:r w:rsidRPr="002F2E59">
              <w:rPr>
                <w:sz w:val="14"/>
                <w:szCs w:val="14"/>
              </w:rPr>
              <w:t>private sector,</w:t>
            </w:r>
            <w:r w:rsidR="00D01E7C" w:rsidRPr="002F2E59">
              <w:rPr>
                <w:sz w:val="14"/>
                <w:szCs w:val="14"/>
              </w:rPr>
              <w:t xml:space="preserve"> </w:t>
            </w:r>
            <w:r w:rsidR="003474F4" w:rsidRPr="002F2E59">
              <w:rPr>
                <w:sz w:val="14"/>
                <w:szCs w:val="14"/>
              </w:rPr>
              <w:t xml:space="preserve">local communities  </w:t>
            </w:r>
          </w:p>
        </w:tc>
        <w:tc>
          <w:tcPr>
            <w:tcW w:w="1423" w:type="dxa"/>
            <w:tcMar>
              <w:top w:w="15" w:type="dxa"/>
              <w:left w:w="108" w:type="dxa"/>
              <w:bottom w:w="0" w:type="dxa"/>
              <w:right w:w="108" w:type="dxa"/>
            </w:tcMar>
          </w:tcPr>
          <w:p w14:paraId="64BFB5F3" w14:textId="4006301F" w:rsidR="003474F4" w:rsidRPr="002F2E59" w:rsidRDefault="00D62E1C" w:rsidP="00A84130">
            <w:pPr>
              <w:tabs>
                <w:tab w:val="left" w:pos="0"/>
              </w:tabs>
              <w:rPr>
                <w:sz w:val="14"/>
                <w:szCs w:val="14"/>
                <w:lang w:eastAsia="fr-FR"/>
              </w:rPr>
            </w:pPr>
            <w:r w:rsidRPr="002F2E59">
              <w:rPr>
                <w:b/>
                <w:sz w:val="14"/>
                <w:szCs w:val="14"/>
              </w:rPr>
              <w:t>Regular:</w:t>
            </w:r>
            <w:r w:rsidR="00121BFC" w:rsidRPr="002F2E59">
              <w:rPr>
                <w:b/>
                <w:sz w:val="14"/>
                <w:szCs w:val="14"/>
              </w:rPr>
              <w:t xml:space="preserve"> </w:t>
            </w:r>
            <w:r w:rsidR="003474F4" w:rsidRPr="002F2E59">
              <w:rPr>
                <w:b/>
                <w:sz w:val="14"/>
                <w:szCs w:val="14"/>
              </w:rPr>
              <w:t>3</w:t>
            </w:r>
            <w:r w:rsidR="00121BFC" w:rsidRPr="002F2E59">
              <w:rPr>
                <w:b/>
                <w:sz w:val="14"/>
                <w:szCs w:val="14"/>
              </w:rPr>
              <w:t>,</w:t>
            </w:r>
            <w:r w:rsidR="00F345E5" w:rsidRPr="002F2E59">
              <w:rPr>
                <w:b/>
                <w:sz w:val="14"/>
                <w:szCs w:val="14"/>
              </w:rPr>
              <w:t>622,726</w:t>
            </w:r>
          </w:p>
          <w:p w14:paraId="29B41DEB" w14:textId="77777777" w:rsidR="003474F4" w:rsidRPr="002F2E59" w:rsidRDefault="003474F4" w:rsidP="00A84130">
            <w:pPr>
              <w:tabs>
                <w:tab w:val="left" w:pos="0"/>
              </w:tabs>
              <w:rPr>
                <w:sz w:val="14"/>
                <w:szCs w:val="14"/>
                <w:lang w:eastAsia="fr-FR"/>
              </w:rPr>
            </w:pPr>
          </w:p>
          <w:p w14:paraId="7DEC96C3" w14:textId="2B7A0BBA" w:rsidR="003474F4" w:rsidRPr="002F2E59" w:rsidRDefault="00D62E1C" w:rsidP="00A84130">
            <w:pPr>
              <w:tabs>
                <w:tab w:val="left" w:pos="0"/>
              </w:tabs>
              <w:jc w:val="both"/>
              <w:rPr>
                <w:b/>
                <w:sz w:val="14"/>
                <w:szCs w:val="14"/>
              </w:rPr>
            </w:pPr>
            <w:r w:rsidRPr="002F2E59">
              <w:rPr>
                <w:b/>
                <w:sz w:val="14"/>
                <w:szCs w:val="14"/>
              </w:rPr>
              <w:t>Other:</w:t>
            </w:r>
            <w:r w:rsidR="00121BFC" w:rsidRPr="002F2E59">
              <w:rPr>
                <w:b/>
                <w:sz w:val="14"/>
                <w:szCs w:val="14"/>
              </w:rPr>
              <w:t xml:space="preserve"> </w:t>
            </w:r>
            <w:r w:rsidR="003474F4" w:rsidRPr="002F2E59">
              <w:rPr>
                <w:b/>
                <w:sz w:val="14"/>
                <w:szCs w:val="14"/>
              </w:rPr>
              <w:t>1</w:t>
            </w:r>
            <w:r w:rsidR="009A2152" w:rsidRPr="002F2E59">
              <w:rPr>
                <w:b/>
                <w:sz w:val="14"/>
                <w:szCs w:val="14"/>
              </w:rPr>
              <w:t>2</w:t>
            </w:r>
            <w:r w:rsidR="00121BFC" w:rsidRPr="002F2E59">
              <w:rPr>
                <w:b/>
                <w:sz w:val="14"/>
                <w:szCs w:val="14"/>
              </w:rPr>
              <w:t>,</w:t>
            </w:r>
            <w:r w:rsidR="009A2152" w:rsidRPr="002F2E59">
              <w:rPr>
                <w:b/>
                <w:sz w:val="14"/>
                <w:szCs w:val="14"/>
              </w:rPr>
              <w:t>712</w:t>
            </w:r>
            <w:r w:rsidR="00121BFC" w:rsidRPr="002F2E59">
              <w:rPr>
                <w:b/>
                <w:sz w:val="14"/>
                <w:szCs w:val="14"/>
              </w:rPr>
              <w:t>,</w:t>
            </w:r>
            <w:r w:rsidR="009A2152" w:rsidRPr="002F2E59">
              <w:rPr>
                <w:b/>
                <w:sz w:val="14"/>
                <w:szCs w:val="14"/>
              </w:rPr>
              <w:t>779</w:t>
            </w:r>
            <w:r w:rsidR="003474F4" w:rsidRPr="002F2E59">
              <w:rPr>
                <w:sz w:val="14"/>
                <w:szCs w:val="14"/>
                <w:lang w:eastAsia="fr-FR"/>
              </w:rPr>
              <w:t xml:space="preserve"> </w:t>
            </w:r>
          </w:p>
        </w:tc>
      </w:tr>
      <w:tr w:rsidR="00610A93" w:rsidRPr="002F2E59" w14:paraId="53C3B168" w14:textId="77777777" w:rsidTr="001D3FBF">
        <w:trPr>
          <w:jc w:val="center"/>
        </w:trPr>
        <w:tc>
          <w:tcPr>
            <w:tcW w:w="2723" w:type="dxa"/>
            <w:vMerge/>
            <w:tcMar>
              <w:top w:w="72" w:type="dxa"/>
              <w:left w:w="144" w:type="dxa"/>
              <w:bottom w:w="72" w:type="dxa"/>
              <w:right w:w="144" w:type="dxa"/>
            </w:tcMar>
          </w:tcPr>
          <w:p w14:paraId="2E16784E" w14:textId="77777777" w:rsidR="003474F4" w:rsidRPr="002F2E59" w:rsidRDefault="003474F4" w:rsidP="00A84130">
            <w:pPr>
              <w:tabs>
                <w:tab w:val="left" w:pos="0"/>
              </w:tabs>
              <w:jc w:val="both"/>
              <w:rPr>
                <w:iCs/>
                <w:sz w:val="14"/>
                <w:szCs w:val="14"/>
              </w:rPr>
            </w:pPr>
          </w:p>
        </w:tc>
        <w:tc>
          <w:tcPr>
            <w:tcW w:w="2323" w:type="dxa"/>
          </w:tcPr>
          <w:p w14:paraId="2F120567" w14:textId="77777777" w:rsidR="003474F4" w:rsidRPr="002F2E59" w:rsidRDefault="00D62E1C" w:rsidP="00A84130">
            <w:pPr>
              <w:pStyle w:val="ListParagraph"/>
              <w:tabs>
                <w:tab w:val="left" w:pos="0"/>
              </w:tabs>
              <w:ind w:left="0"/>
              <w:rPr>
                <w:iCs/>
                <w:sz w:val="14"/>
                <w:szCs w:val="14"/>
              </w:rPr>
            </w:pPr>
            <w:r w:rsidRPr="002F2E59">
              <w:rPr>
                <w:iCs/>
                <w:sz w:val="14"/>
                <w:szCs w:val="14"/>
              </w:rPr>
              <w:t xml:space="preserve">Data </w:t>
            </w:r>
            <w:r w:rsidR="00E06AEF" w:rsidRPr="002F2E59">
              <w:rPr>
                <w:iCs/>
                <w:sz w:val="14"/>
                <w:szCs w:val="14"/>
              </w:rPr>
              <w:t>sources: Sectoral</w:t>
            </w:r>
            <w:r w:rsidR="003474F4" w:rsidRPr="002F2E59">
              <w:rPr>
                <w:iCs/>
                <w:sz w:val="14"/>
                <w:szCs w:val="14"/>
              </w:rPr>
              <w:t xml:space="preserve"> reports</w:t>
            </w:r>
          </w:p>
          <w:p w14:paraId="61661BAE" w14:textId="4308B0CF" w:rsidR="003474F4" w:rsidRPr="002F2E59" w:rsidRDefault="003474F4" w:rsidP="00A84130">
            <w:pPr>
              <w:tabs>
                <w:tab w:val="left" w:pos="0"/>
              </w:tabs>
              <w:jc w:val="both"/>
              <w:rPr>
                <w:iCs/>
                <w:sz w:val="14"/>
                <w:szCs w:val="14"/>
              </w:rPr>
            </w:pPr>
          </w:p>
        </w:tc>
        <w:tc>
          <w:tcPr>
            <w:tcW w:w="4336" w:type="dxa"/>
            <w:tcMar>
              <w:top w:w="72" w:type="dxa"/>
              <w:left w:w="144" w:type="dxa"/>
              <w:bottom w:w="72" w:type="dxa"/>
              <w:right w:w="144" w:type="dxa"/>
            </w:tcMar>
          </w:tcPr>
          <w:p w14:paraId="2540C531" w14:textId="7F28BE13" w:rsidR="003474F4" w:rsidRPr="002F2E59" w:rsidRDefault="00D01E7C" w:rsidP="00A84130">
            <w:pPr>
              <w:tabs>
                <w:tab w:val="left" w:pos="0"/>
              </w:tabs>
              <w:rPr>
                <w:b/>
                <w:sz w:val="14"/>
                <w:szCs w:val="14"/>
                <w:lang w:eastAsia="fr-FR"/>
              </w:rPr>
            </w:pPr>
            <w:r w:rsidRPr="002F2E59">
              <w:rPr>
                <w:b/>
                <w:sz w:val="14"/>
                <w:szCs w:val="14"/>
                <w:lang w:eastAsia="fr-FR"/>
              </w:rPr>
              <w:t>Output</w:t>
            </w:r>
            <w:r w:rsidR="00121BFC" w:rsidRPr="002F2E59">
              <w:rPr>
                <w:b/>
                <w:sz w:val="14"/>
                <w:szCs w:val="14"/>
                <w:lang w:eastAsia="fr-FR"/>
              </w:rPr>
              <w:t xml:space="preserve"> </w:t>
            </w:r>
            <w:r w:rsidR="003474F4" w:rsidRPr="002F2E59">
              <w:rPr>
                <w:b/>
                <w:sz w:val="14"/>
                <w:szCs w:val="14"/>
                <w:lang w:eastAsia="fr-FR"/>
              </w:rPr>
              <w:t>2.6: National environment and natural resources management institutions have strengthened capacities in resource mobilization and improved access to climate funding</w:t>
            </w:r>
          </w:p>
          <w:p w14:paraId="40D9C09E" w14:textId="77777777" w:rsidR="003474F4" w:rsidRPr="002F2E59" w:rsidRDefault="003474F4" w:rsidP="00A84130">
            <w:pPr>
              <w:tabs>
                <w:tab w:val="left" w:pos="0"/>
              </w:tabs>
              <w:rPr>
                <w:sz w:val="14"/>
                <w:szCs w:val="14"/>
              </w:rPr>
            </w:pPr>
          </w:p>
          <w:p w14:paraId="7CBF42BD" w14:textId="7DDA19AA" w:rsidR="003474F4" w:rsidRPr="002F2E59" w:rsidRDefault="00D01E7C" w:rsidP="00A84130">
            <w:pPr>
              <w:tabs>
                <w:tab w:val="left" w:pos="0"/>
              </w:tabs>
              <w:rPr>
                <w:iCs/>
                <w:sz w:val="14"/>
                <w:szCs w:val="14"/>
              </w:rPr>
            </w:pPr>
            <w:r w:rsidRPr="002F2E59">
              <w:rPr>
                <w:b/>
                <w:iCs/>
                <w:sz w:val="14"/>
                <w:szCs w:val="14"/>
              </w:rPr>
              <w:t>Indicator</w:t>
            </w:r>
            <w:r w:rsidR="00121BFC" w:rsidRPr="002F2E59">
              <w:rPr>
                <w:b/>
                <w:iCs/>
                <w:sz w:val="14"/>
                <w:szCs w:val="14"/>
              </w:rPr>
              <w:t xml:space="preserve"> </w:t>
            </w:r>
            <w:r w:rsidR="003474F4" w:rsidRPr="002F2E59">
              <w:rPr>
                <w:b/>
                <w:iCs/>
                <w:sz w:val="14"/>
                <w:szCs w:val="14"/>
              </w:rPr>
              <w:t xml:space="preserve">2.6.1: </w:t>
            </w:r>
            <w:r w:rsidR="003474F4" w:rsidRPr="002F2E59">
              <w:rPr>
                <w:iCs/>
                <w:sz w:val="14"/>
                <w:szCs w:val="14"/>
              </w:rPr>
              <w:t xml:space="preserve">Number of funded projects submitted by </w:t>
            </w:r>
            <w:r w:rsidR="003474F4" w:rsidRPr="002F2E59">
              <w:rPr>
                <w:b/>
                <w:sz w:val="14"/>
                <w:szCs w:val="14"/>
                <w:lang w:eastAsia="fr-FR"/>
              </w:rPr>
              <w:t>environment and natural resources management institutions</w:t>
            </w:r>
            <w:r w:rsidR="003474F4" w:rsidRPr="002F2E59">
              <w:rPr>
                <w:iCs/>
                <w:sz w:val="14"/>
                <w:szCs w:val="14"/>
              </w:rPr>
              <w:t xml:space="preserve"> </w:t>
            </w:r>
          </w:p>
          <w:p w14:paraId="50704897" w14:textId="45A4ACF4" w:rsidR="003474F4" w:rsidRPr="002F2E59" w:rsidRDefault="003474F4" w:rsidP="00A84130">
            <w:pPr>
              <w:tabs>
                <w:tab w:val="left" w:pos="0"/>
              </w:tabs>
              <w:rPr>
                <w:iCs/>
                <w:sz w:val="14"/>
                <w:szCs w:val="14"/>
              </w:rPr>
            </w:pPr>
            <w:r w:rsidRPr="002F2E59">
              <w:rPr>
                <w:iCs/>
                <w:sz w:val="14"/>
                <w:szCs w:val="14"/>
              </w:rPr>
              <w:t>Baseline</w:t>
            </w:r>
            <w:r w:rsidRPr="002F2E59">
              <w:rPr>
                <w:bCs/>
                <w:sz w:val="14"/>
                <w:szCs w:val="14"/>
              </w:rPr>
              <w:t>:</w:t>
            </w:r>
            <w:r w:rsidR="00121BFC" w:rsidRPr="002F2E59">
              <w:rPr>
                <w:bCs/>
                <w:sz w:val="14"/>
                <w:szCs w:val="14"/>
              </w:rPr>
              <w:t xml:space="preserve"> </w:t>
            </w:r>
            <w:r w:rsidRPr="002F2E59">
              <w:rPr>
                <w:bCs/>
                <w:sz w:val="14"/>
                <w:szCs w:val="14"/>
              </w:rPr>
              <w:t xml:space="preserve">12; </w:t>
            </w:r>
            <w:r w:rsidRPr="002F2E59">
              <w:rPr>
                <w:iCs/>
                <w:sz w:val="14"/>
                <w:szCs w:val="14"/>
              </w:rPr>
              <w:t>Target</w:t>
            </w:r>
            <w:r w:rsidR="00D62E1C" w:rsidRPr="002F2E59">
              <w:rPr>
                <w:bCs/>
                <w:sz w:val="14"/>
                <w:szCs w:val="14"/>
              </w:rPr>
              <w:t>:</w:t>
            </w:r>
            <w:r w:rsidR="00121BFC" w:rsidRPr="002F2E59">
              <w:rPr>
                <w:bCs/>
                <w:sz w:val="14"/>
                <w:szCs w:val="14"/>
              </w:rPr>
              <w:t xml:space="preserve"> </w:t>
            </w:r>
            <w:r w:rsidRPr="002F2E59">
              <w:rPr>
                <w:bCs/>
                <w:sz w:val="14"/>
                <w:szCs w:val="14"/>
              </w:rPr>
              <w:t xml:space="preserve">17; </w:t>
            </w:r>
            <w:r w:rsidRPr="002F2E59">
              <w:rPr>
                <w:iCs/>
                <w:sz w:val="14"/>
                <w:szCs w:val="14"/>
              </w:rPr>
              <w:t>Data source:</w:t>
            </w:r>
            <w:r w:rsidR="00476254" w:rsidRPr="002F2E59">
              <w:rPr>
                <w:iCs/>
                <w:sz w:val="14"/>
                <w:szCs w:val="14"/>
              </w:rPr>
              <w:t xml:space="preserve"> </w:t>
            </w:r>
            <w:r w:rsidR="00D62E1C" w:rsidRPr="002F2E59">
              <w:rPr>
                <w:sz w:val="14"/>
                <w:szCs w:val="14"/>
              </w:rPr>
              <w:t>MEEF sectoral reports</w:t>
            </w:r>
            <w:r w:rsidRPr="002F2E59">
              <w:rPr>
                <w:sz w:val="14"/>
                <w:szCs w:val="14"/>
              </w:rPr>
              <w:t>/</w:t>
            </w:r>
            <w:r w:rsidRPr="002F2E59">
              <w:rPr>
                <w:iCs/>
                <w:sz w:val="14"/>
                <w:szCs w:val="14"/>
              </w:rPr>
              <w:t xml:space="preserve">Sectoral reports; </w:t>
            </w:r>
            <w:r w:rsidR="00E06AEF" w:rsidRPr="002F2E59">
              <w:rPr>
                <w:iCs/>
                <w:sz w:val="14"/>
                <w:szCs w:val="14"/>
              </w:rPr>
              <w:t>Frequency:</w:t>
            </w:r>
            <w:r w:rsidR="00E06AEF" w:rsidRPr="002F2E59">
              <w:rPr>
                <w:iCs/>
                <w:sz w:val="14"/>
                <w:szCs w:val="16"/>
              </w:rPr>
              <w:t xml:space="preserve"> Annual</w:t>
            </w:r>
          </w:p>
          <w:p w14:paraId="7E9DB37A" w14:textId="77777777" w:rsidR="003474F4" w:rsidRPr="002F2E59" w:rsidRDefault="003474F4" w:rsidP="00A84130">
            <w:pPr>
              <w:tabs>
                <w:tab w:val="left" w:pos="0"/>
              </w:tabs>
              <w:rPr>
                <w:iCs/>
                <w:sz w:val="14"/>
                <w:szCs w:val="14"/>
              </w:rPr>
            </w:pPr>
          </w:p>
          <w:p w14:paraId="02FB3B5F" w14:textId="0F9C171A" w:rsidR="003474F4" w:rsidRPr="002F2E59" w:rsidRDefault="00D01E7C" w:rsidP="00A84130">
            <w:pPr>
              <w:pStyle w:val="ListParagraph"/>
              <w:tabs>
                <w:tab w:val="left" w:pos="0"/>
              </w:tabs>
              <w:ind w:left="0"/>
              <w:rPr>
                <w:iCs/>
                <w:sz w:val="14"/>
                <w:szCs w:val="16"/>
              </w:rPr>
            </w:pPr>
            <w:r w:rsidRPr="002F2E59">
              <w:rPr>
                <w:b/>
                <w:iCs/>
                <w:sz w:val="14"/>
                <w:szCs w:val="14"/>
              </w:rPr>
              <w:t>Indicator</w:t>
            </w:r>
            <w:r w:rsidR="00121BFC" w:rsidRPr="002F2E59">
              <w:rPr>
                <w:b/>
                <w:iCs/>
                <w:sz w:val="14"/>
                <w:szCs w:val="14"/>
              </w:rPr>
              <w:t xml:space="preserve"> </w:t>
            </w:r>
            <w:r w:rsidR="003474F4" w:rsidRPr="002F2E59">
              <w:rPr>
                <w:b/>
                <w:iCs/>
                <w:sz w:val="14"/>
                <w:szCs w:val="14"/>
              </w:rPr>
              <w:t>2.6.2 </w:t>
            </w:r>
            <w:r w:rsidR="003474F4" w:rsidRPr="002F2E59">
              <w:rPr>
                <w:iCs/>
                <w:sz w:val="14"/>
                <w:szCs w:val="14"/>
              </w:rPr>
              <w:t>Amount</w:t>
            </w:r>
            <w:r w:rsidR="003474F4" w:rsidRPr="002F2E59">
              <w:rPr>
                <w:iCs/>
                <w:sz w:val="14"/>
                <w:szCs w:val="16"/>
              </w:rPr>
              <w:t xml:space="preserve"> mobilized </w:t>
            </w:r>
            <w:r w:rsidR="003474F4" w:rsidRPr="002F2E59">
              <w:rPr>
                <w:iCs/>
                <w:sz w:val="14"/>
                <w:szCs w:val="14"/>
              </w:rPr>
              <w:t xml:space="preserve">by </w:t>
            </w:r>
            <w:r w:rsidR="003474F4" w:rsidRPr="002F2E59">
              <w:rPr>
                <w:b/>
                <w:sz w:val="14"/>
                <w:szCs w:val="14"/>
                <w:lang w:eastAsia="fr-FR"/>
              </w:rPr>
              <w:t>environment and natural resources management institutions</w:t>
            </w:r>
            <w:r w:rsidR="003474F4" w:rsidRPr="002F2E59">
              <w:rPr>
                <w:iCs/>
                <w:sz w:val="14"/>
                <w:szCs w:val="16"/>
              </w:rPr>
              <w:t xml:space="preserve"> for the implementation of new projects</w:t>
            </w:r>
          </w:p>
          <w:p w14:paraId="7B215C49" w14:textId="7A7D8C37" w:rsidR="003474F4" w:rsidRPr="002F2E59" w:rsidRDefault="003474F4" w:rsidP="00121BFC">
            <w:pPr>
              <w:pStyle w:val="ListParagraph"/>
              <w:tabs>
                <w:tab w:val="left" w:pos="0"/>
              </w:tabs>
              <w:ind w:left="0"/>
              <w:rPr>
                <w:iCs/>
                <w:sz w:val="14"/>
                <w:szCs w:val="14"/>
              </w:rPr>
            </w:pPr>
            <w:r w:rsidRPr="002F2E59">
              <w:rPr>
                <w:iCs/>
                <w:sz w:val="14"/>
                <w:szCs w:val="14"/>
              </w:rPr>
              <w:t>Baseline</w:t>
            </w:r>
            <w:r w:rsidRPr="002F2E59">
              <w:rPr>
                <w:sz w:val="14"/>
                <w:szCs w:val="14"/>
              </w:rPr>
              <w:t>:</w:t>
            </w:r>
            <w:r w:rsidR="00121BFC" w:rsidRPr="002F2E59">
              <w:rPr>
                <w:sz w:val="14"/>
                <w:szCs w:val="14"/>
              </w:rPr>
              <w:t xml:space="preserve"> $</w:t>
            </w:r>
            <w:r w:rsidRPr="002F2E59">
              <w:rPr>
                <w:iCs/>
                <w:sz w:val="14"/>
                <w:szCs w:val="14"/>
              </w:rPr>
              <w:t>16</w:t>
            </w:r>
            <w:r w:rsidR="00121BFC" w:rsidRPr="002F2E59">
              <w:rPr>
                <w:iCs/>
                <w:sz w:val="14"/>
                <w:szCs w:val="14"/>
              </w:rPr>
              <w:t>,</w:t>
            </w:r>
            <w:r w:rsidRPr="002F2E59">
              <w:rPr>
                <w:iCs/>
                <w:sz w:val="14"/>
                <w:szCs w:val="14"/>
              </w:rPr>
              <w:t>389</w:t>
            </w:r>
            <w:r w:rsidR="00121BFC" w:rsidRPr="002F2E59">
              <w:rPr>
                <w:iCs/>
                <w:sz w:val="14"/>
                <w:szCs w:val="14"/>
              </w:rPr>
              <w:t>,</w:t>
            </w:r>
            <w:r w:rsidRPr="002F2E59">
              <w:rPr>
                <w:iCs/>
                <w:sz w:val="14"/>
                <w:szCs w:val="14"/>
              </w:rPr>
              <w:t>000</w:t>
            </w:r>
            <w:r w:rsidR="00121BFC" w:rsidRPr="002F2E59">
              <w:rPr>
                <w:iCs/>
                <w:sz w:val="14"/>
                <w:szCs w:val="14"/>
              </w:rPr>
              <w:t xml:space="preserve"> US dollars</w:t>
            </w:r>
            <w:r w:rsidRPr="002F2E59">
              <w:rPr>
                <w:iCs/>
                <w:sz w:val="14"/>
                <w:szCs w:val="14"/>
              </w:rPr>
              <w:t>;</w:t>
            </w:r>
            <w:r w:rsidRPr="002F2E59">
              <w:rPr>
                <w:sz w:val="14"/>
                <w:szCs w:val="14"/>
              </w:rPr>
              <w:t xml:space="preserve"> </w:t>
            </w:r>
            <w:r w:rsidR="00E06AEF" w:rsidRPr="002F2E59">
              <w:rPr>
                <w:iCs/>
                <w:sz w:val="14"/>
                <w:szCs w:val="14"/>
              </w:rPr>
              <w:t>Target</w:t>
            </w:r>
            <w:r w:rsidR="00E06AEF" w:rsidRPr="002F2E59">
              <w:rPr>
                <w:sz w:val="14"/>
                <w:szCs w:val="14"/>
              </w:rPr>
              <w:t xml:space="preserve">: </w:t>
            </w:r>
            <w:r w:rsidRPr="002F2E59">
              <w:rPr>
                <w:sz w:val="14"/>
                <w:szCs w:val="14"/>
              </w:rPr>
              <w:t>$</w:t>
            </w:r>
            <w:r w:rsidRPr="002F2E59">
              <w:rPr>
                <w:iCs/>
                <w:sz w:val="14"/>
                <w:szCs w:val="14"/>
              </w:rPr>
              <w:t>60</w:t>
            </w:r>
            <w:r w:rsidR="00121BFC" w:rsidRPr="002F2E59">
              <w:rPr>
                <w:iCs/>
                <w:sz w:val="14"/>
                <w:szCs w:val="14"/>
              </w:rPr>
              <w:t>,</w:t>
            </w:r>
            <w:r w:rsidRPr="002F2E59">
              <w:rPr>
                <w:iCs/>
                <w:sz w:val="14"/>
                <w:szCs w:val="14"/>
              </w:rPr>
              <w:t>000</w:t>
            </w:r>
            <w:r w:rsidR="00121BFC" w:rsidRPr="002F2E59">
              <w:rPr>
                <w:iCs/>
                <w:sz w:val="14"/>
                <w:szCs w:val="14"/>
              </w:rPr>
              <w:t>,</w:t>
            </w:r>
            <w:r w:rsidRPr="002F2E59">
              <w:rPr>
                <w:iCs/>
                <w:sz w:val="14"/>
                <w:szCs w:val="14"/>
              </w:rPr>
              <w:t>000</w:t>
            </w:r>
            <w:r w:rsidR="00121BFC" w:rsidRPr="002F2E59">
              <w:rPr>
                <w:iCs/>
                <w:sz w:val="14"/>
                <w:szCs w:val="14"/>
              </w:rPr>
              <w:t xml:space="preserve"> US dollars</w:t>
            </w:r>
            <w:r w:rsidRPr="002F2E59">
              <w:rPr>
                <w:sz w:val="14"/>
                <w:szCs w:val="14"/>
              </w:rPr>
              <w:t xml:space="preserve">; </w:t>
            </w:r>
            <w:r w:rsidRPr="002F2E59">
              <w:rPr>
                <w:iCs/>
                <w:sz w:val="14"/>
                <w:szCs w:val="14"/>
              </w:rPr>
              <w:t>Data source:</w:t>
            </w:r>
            <w:r w:rsidR="00121BFC" w:rsidRPr="002F2E59">
              <w:rPr>
                <w:iCs/>
                <w:sz w:val="14"/>
                <w:szCs w:val="14"/>
              </w:rPr>
              <w:t xml:space="preserve"> </w:t>
            </w:r>
            <w:r w:rsidRPr="002F2E59">
              <w:rPr>
                <w:sz w:val="14"/>
                <w:szCs w:val="14"/>
              </w:rPr>
              <w:t>MEEF sectoral reports /</w:t>
            </w:r>
            <w:r w:rsidRPr="002F2E59">
              <w:rPr>
                <w:iCs/>
                <w:sz w:val="14"/>
                <w:szCs w:val="14"/>
              </w:rPr>
              <w:t xml:space="preserve">Ministry of  Economy and Finance; </w:t>
            </w:r>
            <w:r w:rsidR="00E06AEF" w:rsidRPr="002F2E59">
              <w:rPr>
                <w:iCs/>
                <w:sz w:val="14"/>
                <w:szCs w:val="14"/>
              </w:rPr>
              <w:t>Frequency:</w:t>
            </w:r>
            <w:r w:rsidR="00E06AEF" w:rsidRPr="002F2E59">
              <w:rPr>
                <w:iCs/>
                <w:sz w:val="14"/>
                <w:szCs w:val="16"/>
              </w:rPr>
              <w:t xml:space="preserve"> Annual</w:t>
            </w:r>
          </w:p>
        </w:tc>
        <w:tc>
          <w:tcPr>
            <w:tcW w:w="2774" w:type="dxa"/>
          </w:tcPr>
          <w:p w14:paraId="49DE663D" w14:textId="77777777" w:rsidR="003474F4" w:rsidRPr="002F2E59" w:rsidRDefault="003474F4" w:rsidP="00A84130">
            <w:pPr>
              <w:tabs>
                <w:tab w:val="left" w:pos="0"/>
              </w:tabs>
              <w:jc w:val="both"/>
              <w:rPr>
                <w:sz w:val="14"/>
                <w:szCs w:val="14"/>
              </w:rPr>
            </w:pPr>
          </w:p>
          <w:p w14:paraId="74051D88" w14:textId="77777777" w:rsidR="003474F4" w:rsidRPr="002F2E59" w:rsidRDefault="00D01E7C" w:rsidP="00A84130">
            <w:pPr>
              <w:tabs>
                <w:tab w:val="left" w:pos="0"/>
              </w:tabs>
              <w:rPr>
                <w:sz w:val="14"/>
                <w:szCs w:val="14"/>
              </w:rPr>
            </w:pPr>
            <w:r w:rsidRPr="002F2E59">
              <w:rPr>
                <w:sz w:val="14"/>
                <w:szCs w:val="14"/>
              </w:rPr>
              <w:t xml:space="preserve">Ministry of </w:t>
            </w:r>
            <w:r w:rsidR="003474F4" w:rsidRPr="002F2E59">
              <w:rPr>
                <w:sz w:val="14"/>
                <w:szCs w:val="14"/>
              </w:rPr>
              <w:t>Environment,</w:t>
            </w:r>
          </w:p>
          <w:p w14:paraId="034ACF6A" w14:textId="77777777" w:rsidR="003474F4" w:rsidRPr="002F2E59" w:rsidRDefault="00D01E7C" w:rsidP="00A84130">
            <w:pPr>
              <w:tabs>
                <w:tab w:val="left" w:pos="0"/>
              </w:tabs>
              <w:rPr>
                <w:iCs/>
                <w:sz w:val="14"/>
                <w:szCs w:val="14"/>
              </w:rPr>
            </w:pPr>
            <w:r w:rsidRPr="002F2E59">
              <w:rPr>
                <w:sz w:val="14"/>
                <w:szCs w:val="14"/>
              </w:rPr>
              <w:t xml:space="preserve">Ministry of </w:t>
            </w:r>
            <w:r w:rsidR="003474F4" w:rsidRPr="002F2E59">
              <w:rPr>
                <w:sz w:val="14"/>
                <w:szCs w:val="14"/>
              </w:rPr>
              <w:t xml:space="preserve">Economy, Planning and </w:t>
            </w:r>
            <w:r w:rsidRPr="002F2E59">
              <w:rPr>
                <w:sz w:val="14"/>
                <w:szCs w:val="14"/>
              </w:rPr>
              <w:t xml:space="preserve">International Cooperation, GEF, civil society, </w:t>
            </w:r>
            <w:r w:rsidR="003474F4" w:rsidRPr="002F2E59">
              <w:rPr>
                <w:sz w:val="14"/>
                <w:szCs w:val="14"/>
              </w:rPr>
              <w:t>private sector, local communities</w:t>
            </w:r>
          </w:p>
        </w:tc>
        <w:tc>
          <w:tcPr>
            <w:tcW w:w="1423" w:type="dxa"/>
            <w:tcMar>
              <w:top w:w="15" w:type="dxa"/>
              <w:left w:w="108" w:type="dxa"/>
              <w:bottom w:w="0" w:type="dxa"/>
              <w:right w:w="108" w:type="dxa"/>
            </w:tcMar>
          </w:tcPr>
          <w:p w14:paraId="6803C349" w14:textId="5B9D3160" w:rsidR="003474F4" w:rsidRPr="002F2E59" w:rsidRDefault="00D62E1C" w:rsidP="00A84130">
            <w:pPr>
              <w:tabs>
                <w:tab w:val="left" w:pos="0"/>
              </w:tabs>
              <w:rPr>
                <w:b/>
                <w:sz w:val="14"/>
                <w:szCs w:val="14"/>
              </w:rPr>
            </w:pPr>
            <w:r w:rsidRPr="002F2E59">
              <w:rPr>
                <w:b/>
                <w:sz w:val="14"/>
                <w:szCs w:val="14"/>
              </w:rPr>
              <w:t>Regular:</w:t>
            </w:r>
            <w:r w:rsidR="00121BFC" w:rsidRPr="002F2E59">
              <w:rPr>
                <w:b/>
                <w:sz w:val="14"/>
                <w:szCs w:val="14"/>
              </w:rPr>
              <w:t xml:space="preserve"> </w:t>
            </w:r>
            <w:r w:rsidR="003474F4" w:rsidRPr="002F2E59">
              <w:rPr>
                <w:b/>
                <w:sz w:val="14"/>
                <w:szCs w:val="14"/>
              </w:rPr>
              <w:t>2</w:t>
            </w:r>
            <w:r w:rsidR="00121BFC" w:rsidRPr="002F2E59">
              <w:rPr>
                <w:b/>
                <w:sz w:val="14"/>
                <w:szCs w:val="14"/>
              </w:rPr>
              <w:t>,</w:t>
            </w:r>
            <w:r w:rsidR="00F345E5" w:rsidRPr="002F2E59">
              <w:rPr>
                <w:b/>
                <w:sz w:val="14"/>
                <w:szCs w:val="14"/>
              </w:rPr>
              <w:t>587,66</w:t>
            </w:r>
            <w:r w:rsidR="00215AAE" w:rsidRPr="002F2E59">
              <w:rPr>
                <w:b/>
                <w:sz w:val="14"/>
                <w:szCs w:val="14"/>
              </w:rPr>
              <w:t>0</w:t>
            </w:r>
          </w:p>
          <w:p w14:paraId="7367C70C" w14:textId="77777777" w:rsidR="00627D6A" w:rsidRPr="002F2E59" w:rsidRDefault="00627D6A" w:rsidP="00A84130">
            <w:pPr>
              <w:tabs>
                <w:tab w:val="left" w:pos="0"/>
              </w:tabs>
              <w:rPr>
                <w:sz w:val="14"/>
                <w:szCs w:val="14"/>
                <w:lang w:eastAsia="fr-FR"/>
              </w:rPr>
            </w:pPr>
          </w:p>
          <w:p w14:paraId="6F4C0E0B" w14:textId="779225B7" w:rsidR="003474F4" w:rsidRPr="002F2E59" w:rsidRDefault="00D62E1C" w:rsidP="00A84130">
            <w:pPr>
              <w:tabs>
                <w:tab w:val="left" w:pos="0"/>
              </w:tabs>
              <w:jc w:val="both"/>
              <w:rPr>
                <w:b/>
                <w:sz w:val="14"/>
                <w:szCs w:val="14"/>
              </w:rPr>
            </w:pPr>
            <w:r w:rsidRPr="002F2E59">
              <w:rPr>
                <w:b/>
                <w:sz w:val="14"/>
                <w:szCs w:val="14"/>
              </w:rPr>
              <w:t>Other:</w:t>
            </w:r>
            <w:r w:rsidR="00121BFC" w:rsidRPr="002F2E59">
              <w:rPr>
                <w:b/>
                <w:sz w:val="14"/>
                <w:szCs w:val="14"/>
              </w:rPr>
              <w:t xml:space="preserve"> </w:t>
            </w:r>
            <w:r w:rsidR="00627D6A" w:rsidRPr="002F2E59">
              <w:rPr>
                <w:b/>
                <w:sz w:val="14"/>
                <w:szCs w:val="14"/>
              </w:rPr>
              <w:t>9</w:t>
            </w:r>
            <w:r w:rsidR="00121BFC" w:rsidRPr="002F2E59">
              <w:rPr>
                <w:b/>
                <w:sz w:val="14"/>
                <w:szCs w:val="14"/>
              </w:rPr>
              <w:t>,</w:t>
            </w:r>
            <w:r w:rsidR="00627D6A" w:rsidRPr="002F2E59">
              <w:rPr>
                <w:b/>
                <w:sz w:val="14"/>
                <w:szCs w:val="14"/>
              </w:rPr>
              <w:t>080</w:t>
            </w:r>
            <w:r w:rsidR="00121BFC" w:rsidRPr="002F2E59">
              <w:rPr>
                <w:b/>
                <w:sz w:val="14"/>
                <w:szCs w:val="14"/>
              </w:rPr>
              <w:t>,</w:t>
            </w:r>
            <w:r w:rsidR="00627D6A" w:rsidRPr="002F2E59">
              <w:rPr>
                <w:b/>
                <w:sz w:val="14"/>
                <w:szCs w:val="14"/>
              </w:rPr>
              <w:t>557</w:t>
            </w:r>
          </w:p>
        </w:tc>
      </w:tr>
    </w:tbl>
    <w:p w14:paraId="1579D4E6" w14:textId="77777777" w:rsidR="00D55D40" w:rsidRDefault="00D55D40" w:rsidP="00A84130">
      <w:pPr>
        <w:tabs>
          <w:tab w:val="left" w:pos="0"/>
        </w:tabs>
        <w:jc w:val="center"/>
      </w:pPr>
    </w:p>
    <w:p w14:paraId="7DE94787" w14:textId="77777777" w:rsidR="00F97420" w:rsidRPr="00416CD0" w:rsidRDefault="00D55D40" w:rsidP="00A84130">
      <w:pPr>
        <w:tabs>
          <w:tab w:val="left" w:pos="0"/>
        </w:tabs>
        <w:jc w:val="center"/>
      </w:pPr>
      <w:r w:rsidRPr="00D55D40">
        <w:rPr>
          <w:noProof/>
          <w:color w:val="000000"/>
          <w:sz w:val="16"/>
          <w:szCs w:val="16"/>
        </w:rPr>
        <w:drawing>
          <wp:inline distT="0" distB="0" distL="0" distR="0" wp14:anchorId="796A0D49" wp14:editId="748CA479">
            <wp:extent cx="942975" cy="285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F97420" w:rsidRPr="00416CD0" w:rsidSect="00A85259">
      <w:headerReference w:type="even" r:id="rId19"/>
      <w:headerReference w:type="default" r:id="rId20"/>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7C17B" w14:textId="77777777" w:rsidR="00C01255" w:rsidRDefault="00C01255" w:rsidP="00441061">
      <w:r>
        <w:separator/>
      </w:r>
    </w:p>
  </w:endnote>
  <w:endnote w:type="continuationSeparator" w:id="0">
    <w:p w14:paraId="44B86CB5" w14:textId="77777777" w:rsidR="00C01255" w:rsidRDefault="00C01255" w:rsidP="00441061">
      <w:r>
        <w:continuationSeparator/>
      </w:r>
    </w:p>
  </w:endnote>
  <w:endnote w:type="continuationNotice" w:id="1">
    <w:p w14:paraId="17812165" w14:textId="77777777" w:rsidR="00C01255" w:rsidRDefault="00C012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672587"/>
      <w:docPartObj>
        <w:docPartGallery w:val="Page Numbers (Bottom of Page)"/>
        <w:docPartUnique/>
      </w:docPartObj>
    </w:sdtPr>
    <w:sdtEndPr>
      <w:rPr>
        <w:b/>
        <w:noProof/>
        <w:sz w:val="17"/>
        <w:szCs w:val="17"/>
      </w:rPr>
    </w:sdtEndPr>
    <w:sdtContent>
      <w:p w14:paraId="5FE3E1D2" w14:textId="49410572" w:rsidR="00047245" w:rsidRPr="00D55D40" w:rsidRDefault="00047245" w:rsidP="00D55D40">
        <w:pPr>
          <w:pStyle w:val="Footer"/>
          <w:rPr>
            <w:b/>
            <w:sz w:val="17"/>
            <w:szCs w:val="17"/>
          </w:rPr>
        </w:pPr>
        <w:r w:rsidRPr="00D55D40">
          <w:rPr>
            <w:b/>
            <w:sz w:val="17"/>
            <w:szCs w:val="17"/>
          </w:rPr>
          <w:fldChar w:fldCharType="begin"/>
        </w:r>
        <w:r w:rsidRPr="00D55D40">
          <w:rPr>
            <w:b/>
            <w:sz w:val="17"/>
            <w:szCs w:val="17"/>
          </w:rPr>
          <w:instrText xml:space="preserve"> PAGE   \* MERGEFORMAT </w:instrText>
        </w:r>
        <w:r w:rsidRPr="00D55D40">
          <w:rPr>
            <w:b/>
            <w:sz w:val="17"/>
            <w:szCs w:val="17"/>
          </w:rPr>
          <w:fldChar w:fldCharType="separate"/>
        </w:r>
        <w:r w:rsidR="004651F2">
          <w:rPr>
            <w:b/>
            <w:noProof/>
            <w:sz w:val="17"/>
            <w:szCs w:val="17"/>
          </w:rPr>
          <w:t>12</w:t>
        </w:r>
        <w:r w:rsidRPr="00D55D40">
          <w:rPr>
            <w:b/>
            <w:noProof/>
            <w:sz w:val="17"/>
            <w:szCs w:val="17"/>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463733"/>
      <w:docPartObj>
        <w:docPartGallery w:val="Page Numbers (Bottom of Page)"/>
        <w:docPartUnique/>
      </w:docPartObj>
    </w:sdtPr>
    <w:sdtEndPr>
      <w:rPr>
        <w:b/>
        <w:noProof/>
        <w:sz w:val="17"/>
        <w:szCs w:val="17"/>
      </w:rPr>
    </w:sdtEndPr>
    <w:sdtContent>
      <w:p w14:paraId="76FB18A7" w14:textId="26340F07" w:rsidR="00047245" w:rsidRPr="00D55D40" w:rsidRDefault="00047245" w:rsidP="00D55D40">
        <w:pPr>
          <w:pStyle w:val="Footer"/>
          <w:jc w:val="right"/>
          <w:rPr>
            <w:b/>
            <w:sz w:val="17"/>
            <w:szCs w:val="17"/>
          </w:rPr>
        </w:pPr>
        <w:r w:rsidRPr="00D55D40">
          <w:rPr>
            <w:b/>
            <w:sz w:val="17"/>
            <w:szCs w:val="17"/>
          </w:rPr>
          <w:fldChar w:fldCharType="begin"/>
        </w:r>
        <w:r w:rsidRPr="00D55D40">
          <w:rPr>
            <w:b/>
            <w:sz w:val="17"/>
            <w:szCs w:val="17"/>
          </w:rPr>
          <w:instrText xml:space="preserve"> PAGE   \* MERGEFORMAT </w:instrText>
        </w:r>
        <w:r w:rsidRPr="00D55D40">
          <w:rPr>
            <w:b/>
            <w:sz w:val="17"/>
            <w:szCs w:val="17"/>
          </w:rPr>
          <w:fldChar w:fldCharType="separate"/>
        </w:r>
        <w:r w:rsidR="004651F2">
          <w:rPr>
            <w:b/>
            <w:noProof/>
            <w:sz w:val="17"/>
            <w:szCs w:val="17"/>
          </w:rPr>
          <w:t>11</w:t>
        </w:r>
        <w:r w:rsidRPr="00D55D40">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14F60" w14:textId="77777777" w:rsidR="00C01255" w:rsidRDefault="00C01255" w:rsidP="00441061">
      <w:r>
        <w:separator/>
      </w:r>
    </w:p>
  </w:footnote>
  <w:footnote w:type="continuationSeparator" w:id="0">
    <w:p w14:paraId="60F1AC74" w14:textId="77777777" w:rsidR="00C01255" w:rsidRDefault="00C01255" w:rsidP="00441061">
      <w:r>
        <w:continuationSeparator/>
      </w:r>
    </w:p>
  </w:footnote>
  <w:footnote w:type="continuationNotice" w:id="1">
    <w:p w14:paraId="546EB305" w14:textId="77777777" w:rsidR="00C01255" w:rsidRDefault="00C01255"/>
  </w:footnote>
  <w:footnote w:id="2">
    <w:p w14:paraId="4D7053BE" w14:textId="77777777" w:rsidR="00047245" w:rsidRPr="00620604" w:rsidRDefault="00047245" w:rsidP="0003629F">
      <w:pPr>
        <w:pStyle w:val="FootnoteText"/>
        <w:rPr>
          <w:rFonts w:ascii="Times New Roman" w:hAnsi="Times New Roman"/>
          <w:sz w:val="14"/>
          <w:szCs w:val="14"/>
        </w:rPr>
      </w:pPr>
      <w:r w:rsidRPr="00620604">
        <w:rPr>
          <w:rStyle w:val="FootnoteReference"/>
          <w:rFonts w:ascii="Times New Roman" w:hAnsi="Times New Roman"/>
          <w:sz w:val="14"/>
          <w:szCs w:val="14"/>
          <w:vertAlign w:val="baseline"/>
        </w:rPr>
        <w:footnoteRef/>
      </w:r>
      <w:r w:rsidRPr="00620604">
        <w:rPr>
          <w:rFonts w:ascii="Times New Roman" w:hAnsi="Times New Roman"/>
          <w:sz w:val="14"/>
          <w:szCs w:val="14"/>
        </w:rPr>
        <w:t xml:space="preserve"> World Bank Report, 2015.</w:t>
      </w:r>
    </w:p>
  </w:footnote>
  <w:footnote w:id="3">
    <w:p w14:paraId="69498792" w14:textId="77777777" w:rsidR="00047245" w:rsidRPr="00620604" w:rsidRDefault="00047245" w:rsidP="0003629F">
      <w:pPr>
        <w:pStyle w:val="FootnoteText"/>
        <w:rPr>
          <w:rFonts w:ascii="Times New Roman" w:hAnsi="Times New Roman"/>
          <w:sz w:val="14"/>
          <w:szCs w:val="14"/>
        </w:rPr>
      </w:pPr>
      <w:r w:rsidRPr="00620604">
        <w:rPr>
          <w:rStyle w:val="FootnoteReference"/>
          <w:rFonts w:ascii="Times New Roman" w:hAnsi="Times New Roman"/>
          <w:sz w:val="14"/>
          <w:szCs w:val="14"/>
          <w:vertAlign w:val="baseline"/>
        </w:rPr>
        <w:footnoteRef/>
      </w:r>
      <w:r w:rsidRPr="00620604">
        <w:rPr>
          <w:rFonts w:ascii="Times New Roman" w:hAnsi="Times New Roman"/>
          <w:sz w:val="14"/>
          <w:szCs w:val="14"/>
        </w:rPr>
        <w:t xml:space="preserve"> </w:t>
      </w:r>
      <w:r w:rsidRPr="00620604">
        <w:rPr>
          <w:rFonts w:ascii="Times New Roman" w:hAnsi="Times New Roman"/>
          <w:sz w:val="14"/>
          <w:szCs w:val="14"/>
          <w:lang w:val="en-GB"/>
        </w:rPr>
        <w:t>GDP per inhabitant dropped in 2014 and 2015, by 2.1 per cent and 3 per cent, respectively</w:t>
      </w:r>
      <w:r>
        <w:rPr>
          <w:rFonts w:ascii="Times New Roman" w:hAnsi="Times New Roman"/>
          <w:sz w:val="14"/>
          <w:szCs w:val="14"/>
          <w:lang w:val="en-GB"/>
        </w:rPr>
        <w:t xml:space="preserve"> (</w:t>
      </w:r>
      <w:r w:rsidRPr="00620604">
        <w:rPr>
          <w:rFonts w:ascii="Times New Roman" w:hAnsi="Times New Roman"/>
          <w:sz w:val="14"/>
          <w:szCs w:val="14"/>
          <w:lang w:val="en-GB"/>
        </w:rPr>
        <w:t xml:space="preserve">see </w:t>
      </w:r>
      <w:r>
        <w:rPr>
          <w:rFonts w:ascii="Times New Roman" w:hAnsi="Times New Roman"/>
          <w:sz w:val="14"/>
          <w:szCs w:val="14"/>
        </w:rPr>
        <w:t xml:space="preserve">the </w:t>
      </w:r>
      <w:r w:rsidRPr="00620604">
        <w:rPr>
          <w:rFonts w:ascii="Times New Roman" w:hAnsi="Times New Roman"/>
          <w:sz w:val="14"/>
          <w:szCs w:val="14"/>
        </w:rPr>
        <w:t>National Plan for Economic and Social Development</w:t>
      </w:r>
      <w:r>
        <w:rPr>
          <w:rFonts w:ascii="Times New Roman" w:hAnsi="Times New Roman"/>
          <w:sz w:val="14"/>
          <w:szCs w:val="14"/>
        </w:rPr>
        <w:t xml:space="preserve"> for </w:t>
      </w:r>
      <w:r w:rsidRPr="00620604">
        <w:rPr>
          <w:rFonts w:ascii="Times New Roman" w:hAnsi="Times New Roman"/>
          <w:sz w:val="14"/>
          <w:szCs w:val="14"/>
        </w:rPr>
        <w:t>2016-2020,</w:t>
      </w:r>
      <w:r>
        <w:rPr>
          <w:rFonts w:ascii="Times New Roman" w:hAnsi="Times New Roman"/>
          <w:sz w:val="14"/>
          <w:szCs w:val="14"/>
        </w:rPr>
        <w:t xml:space="preserve"> and the</w:t>
      </w:r>
      <w:r w:rsidRPr="00620604">
        <w:rPr>
          <w:rFonts w:ascii="Times New Roman" w:hAnsi="Times New Roman"/>
          <w:sz w:val="14"/>
          <w:szCs w:val="14"/>
        </w:rPr>
        <w:t xml:space="preserve"> Ministry of Planning and International Cooperation, December 2016.</w:t>
      </w:r>
    </w:p>
  </w:footnote>
  <w:footnote w:id="4">
    <w:p w14:paraId="6DEA4403" w14:textId="5138CB3B" w:rsidR="00047245" w:rsidRPr="00620604" w:rsidRDefault="00047245" w:rsidP="0003629F">
      <w:pPr>
        <w:pStyle w:val="FootnoteText"/>
        <w:rPr>
          <w:rFonts w:ascii="Times New Roman" w:hAnsi="Times New Roman"/>
          <w:sz w:val="14"/>
          <w:szCs w:val="14"/>
        </w:rPr>
      </w:pPr>
      <w:r w:rsidRPr="00620604">
        <w:rPr>
          <w:rFonts w:ascii="Times New Roman" w:hAnsi="Times New Roman"/>
          <w:sz w:val="14"/>
          <w:szCs w:val="14"/>
        </w:rPr>
        <w:footnoteRef/>
      </w:r>
      <w:r w:rsidRPr="00620604">
        <w:rPr>
          <w:rFonts w:ascii="Times New Roman" w:hAnsi="Times New Roman"/>
          <w:sz w:val="14"/>
          <w:szCs w:val="14"/>
        </w:rPr>
        <w:t xml:space="preserve"> IMF eight</w:t>
      </w:r>
      <w:r w:rsidRPr="00620604">
        <w:rPr>
          <w:rFonts w:ascii="Times New Roman" w:hAnsi="Times New Roman"/>
          <w:sz w:val="14"/>
          <w:szCs w:val="14"/>
          <w:lang w:val="en-GB"/>
        </w:rPr>
        <w:t xml:space="preserve"> and final review under the extended credit facility arrangement and financing assurances.</w:t>
      </w:r>
    </w:p>
  </w:footnote>
  <w:footnote w:id="5">
    <w:p w14:paraId="4F401C21" w14:textId="6CE4201D" w:rsidR="00047245" w:rsidRPr="005034B9" w:rsidRDefault="00047245" w:rsidP="0003629F">
      <w:pPr>
        <w:pStyle w:val="FootnoteText"/>
        <w:rPr>
          <w:rFonts w:ascii="Times New Roman" w:hAnsi="Times New Roman"/>
          <w:sz w:val="14"/>
          <w:szCs w:val="14"/>
        </w:rPr>
      </w:pPr>
      <w:r w:rsidRPr="00620604">
        <w:rPr>
          <w:rStyle w:val="FootnoteReference"/>
          <w:rFonts w:ascii="Times New Roman" w:hAnsi="Times New Roman"/>
          <w:sz w:val="14"/>
          <w:szCs w:val="14"/>
          <w:vertAlign w:val="baseline"/>
          <w:lang w:val="en-GB"/>
        </w:rPr>
        <w:footnoteRef/>
      </w:r>
      <w:r w:rsidRPr="005034B9">
        <w:rPr>
          <w:rFonts w:ascii="Times New Roman" w:hAnsi="Times New Roman"/>
          <w:sz w:val="14"/>
          <w:szCs w:val="14"/>
        </w:rPr>
        <w:t xml:space="preserve"> </w:t>
      </w:r>
      <w:r w:rsidRPr="005034B9">
        <w:rPr>
          <w:rFonts w:ascii="Times New Roman" w:hAnsi="Times New Roman"/>
          <w:color w:val="212121"/>
          <w:sz w:val="14"/>
          <w:szCs w:val="14"/>
          <w:shd w:val="clear" w:color="auto" w:fill="FFFFFF"/>
        </w:rPr>
        <w:t>National Report on the development of the private sector, 2016 APIP.</w:t>
      </w:r>
    </w:p>
  </w:footnote>
  <w:footnote w:id="6">
    <w:p w14:paraId="6983ED56" w14:textId="1793D9CD" w:rsidR="00047245" w:rsidRPr="005034B9" w:rsidRDefault="00047245" w:rsidP="0003629F">
      <w:pPr>
        <w:pStyle w:val="FootnoteText"/>
        <w:rPr>
          <w:rFonts w:ascii="Times New Roman" w:hAnsi="Times New Roman"/>
          <w:sz w:val="14"/>
          <w:szCs w:val="14"/>
        </w:rPr>
      </w:pPr>
      <w:r w:rsidRPr="00620604">
        <w:rPr>
          <w:rStyle w:val="FootnoteReference"/>
          <w:rFonts w:ascii="Times New Roman" w:hAnsi="Times New Roman"/>
          <w:sz w:val="14"/>
          <w:szCs w:val="14"/>
          <w:vertAlign w:val="baseline"/>
          <w:lang w:val="en-GB"/>
        </w:rPr>
        <w:footnoteRef/>
      </w:r>
      <w:r w:rsidRPr="005034B9">
        <w:rPr>
          <w:rFonts w:ascii="Times New Roman" w:hAnsi="Times New Roman"/>
          <w:sz w:val="14"/>
          <w:szCs w:val="14"/>
        </w:rPr>
        <w:t xml:space="preserve"> </w:t>
      </w:r>
      <w:r w:rsidRPr="005034B9">
        <w:rPr>
          <w:rFonts w:ascii="Times New Roman" w:hAnsi="Times New Roman"/>
          <w:color w:val="212121"/>
          <w:sz w:val="14"/>
          <w:szCs w:val="14"/>
          <w:shd w:val="clear" w:color="auto" w:fill="FFFFFF"/>
        </w:rPr>
        <w:t>National report on the assessment of fragility, 2016.</w:t>
      </w:r>
    </w:p>
  </w:footnote>
  <w:footnote w:id="7">
    <w:p w14:paraId="0534E3CC" w14:textId="42E2ADEB" w:rsidR="00047245" w:rsidRPr="00620604" w:rsidRDefault="00047245">
      <w:pPr>
        <w:pStyle w:val="FootnoteText"/>
        <w:rPr>
          <w:rFonts w:ascii="Times New Roman" w:hAnsi="Times New Roman"/>
          <w:sz w:val="14"/>
          <w:szCs w:val="14"/>
          <w:lang w:val="en-GB"/>
        </w:rPr>
      </w:pPr>
      <w:r w:rsidRPr="00620604">
        <w:rPr>
          <w:rFonts w:ascii="Times New Roman" w:hAnsi="Times New Roman"/>
          <w:sz w:val="14"/>
          <w:szCs w:val="14"/>
          <w:lang w:val="en-GB"/>
        </w:rPr>
        <w:footnoteRef/>
      </w:r>
      <w:r w:rsidRPr="00620604">
        <w:rPr>
          <w:rFonts w:ascii="Times New Roman" w:hAnsi="Times New Roman"/>
          <w:sz w:val="14"/>
          <w:szCs w:val="14"/>
          <w:lang w:val="en-GB"/>
        </w:rPr>
        <w:t xml:space="preserve"> </w:t>
      </w:r>
      <w:r>
        <w:rPr>
          <w:rFonts w:ascii="Times New Roman" w:hAnsi="Times New Roman"/>
          <w:color w:val="212121"/>
          <w:sz w:val="14"/>
          <w:szCs w:val="14"/>
          <w:shd w:val="clear" w:color="auto" w:fill="FFFFFF"/>
          <w:lang w:val="en-GB"/>
        </w:rPr>
        <w:t xml:space="preserve">National Plan for Economic and Social Development for </w:t>
      </w:r>
      <w:r w:rsidRPr="00620604">
        <w:rPr>
          <w:rFonts w:ascii="Times New Roman" w:hAnsi="Times New Roman"/>
          <w:color w:val="212121"/>
          <w:sz w:val="14"/>
          <w:szCs w:val="14"/>
          <w:shd w:val="clear" w:color="auto" w:fill="FFFFFF"/>
          <w:lang w:val="en-GB"/>
        </w:rPr>
        <w:t>2016-2020</w:t>
      </w:r>
      <w:r>
        <w:rPr>
          <w:rFonts w:ascii="Times New Roman" w:hAnsi="Times New Roman"/>
          <w:color w:val="212121"/>
          <w:sz w:val="14"/>
          <w:szCs w:val="14"/>
          <w:shd w:val="clear" w:color="auto" w:fill="FFFFFF"/>
          <w:lang w:val="en-GB"/>
        </w:rPr>
        <w:t>.</w:t>
      </w:r>
    </w:p>
  </w:footnote>
  <w:footnote w:id="8">
    <w:p w14:paraId="5913BDA2" w14:textId="0D36D7A2" w:rsidR="00047245" w:rsidRPr="00620604" w:rsidRDefault="00047245">
      <w:pPr>
        <w:pStyle w:val="FootnoteText"/>
        <w:rPr>
          <w:rFonts w:ascii="Times New Roman" w:hAnsi="Times New Roman"/>
          <w:sz w:val="14"/>
          <w:szCs w:val="14"/>
          <w:lang w:val="en-GB"/>
        </w:rPr>
      </w:pPr>
      <w:r w:rsidRPr="00620604">
        <w:rPr>
          <w:rFonts w:ascii="Times New Roman" w:hAnsi="Times New Roman"/>
          <w:sz w:val="14"/>
          <w:szCs w:val="14"/>
          <w:lang w:val="en-GB"/>
        </w:rPr>
        <w:footnoteRef/>
      </w:r>
      <w:r w:rsidRPr="00620604">
        <w:rPr>
          <w:rFonts w:ascii="Times New Roman" w:hAnsi="Times New Roman"/>
          <w:sz w:val="14"/>
          <w:szCs w:val="14"/>
          <w:lang w:val="en-GB"/>
        </w:rPr>
        <w:t xml:space="preserve"> </w:t>
      </w:r>
      <w:r w:rsidRPr="00304230">
        <w:rPr>
          <w:rFonts w:ascii="Times New Roman" w:hAnsi="Times New Roman"/>
          <w:i/>
          <w:sz w:val="14"/>
          <w:szCs w:val="14"/>
          <w:lang w:val="en-GB"/>
        </w:rPr>
        <w:t>Ibid</w:t>
      </w:r>
      <w:r w:rsidRPr="00620604">
        <w:rPr>
          <w:rFonts w:ascii="Times New Roman" w:hAnsi="Times New Roman"/>
          <w:sz w:val="14"/>
          <w:szCs w:val="14"/>
          <w:lang w:val="en-GB"/>
        </w:rPr>
        <w:t>.</w:t>
      </w:r>
    </w:p>
  </w:footnote>
  <w:footnote w:id="9">
    <w:p w14:paraId="655ED65A" w14:textId="77777777" w:rsidR="00047245" w:rsidRPr="00620604" w:rsidRDefault="00047245">
      <w:pPr>
        <w:pStyle w:val="FootnoteText"/>
        <w:rPr>
          <w:rFonts w:ascii="Times New Roman" w:hAnsi="Times New Roman"/>
          <w:sz w:val="14"/>
          <w:szCs w:val="14"/>
          <w:lang w:val="en-GB"/>
        </w:rPr>
      </w:pPr>
      <w:r w:rsidRPr="00620604">
        <w:rPr>
          <w:rFonts w:ascii="Times New Roman" w:hAnsi="Times New Roman"/>
          <w:sz w:val="14"/>
          <w:szCs w:val="14"/>
          <w:lang w:val="en-GB"/>
        </w:rPr>
        <w:footnoteRef/>
      </w:r>
      <w:r w:rsidRPr="00620604">
        <w:rPr>
          <w:rFonts w:ascii="Times New Roman" w:hAnsi="Times New Roman"/>
          <w:sz w:val="14"/>
          <w:szCs w:val="14"/>
          <w:lang w:val="en-GB"/>
        </w:rPr>
        <w:t xml:space="preserve"> Human Development Report 2016.</w:t>
      </w:r>
    </w:p>
  </w:footnote>
  <w:footnote w:id="10">
    <w:p w14:paraId="0252271F" w14:textId="77777777" w:rsidR="00047245" w:rsidRPr="00620604" w:rsidRDefault="00047245">
      <w:pPr>
        <w:pStyle w:val="FootnoteText"/>
        <w:rPr>
          <w:rFonts w:ascii="Times New Roman" w:hAnsi="Times New Roman"/>
          <w:sz w:val="14"/>
          <w:szCs w:val="14"/>
          <w:lang w:val="en-GB"/>
        </w:rPr>
      </w:pPr>
      <w:r w:rsidRPr="00620604">
        <w:rPr>
          <w:rFonts w:ascii="Times New Roman" w:hAnsi="Times New Roman"/>
          <w:sz w:val="14"/>
          <w:szCs w:val="14"/>
          <w:lang w:val="en-GB"/>
        </w:rPr>
        <w:footnoteRef/>
      </w:r>
      <w:r w:rsidRPr="00620604">
        <w:rPr>
          <w:rFonts w:ascii="Times New Roman" w:hAnsi="Times New Roman"/>
          <w:sz w:val="14"/>
          <w:szCs w:val="14"/>
          <w:lang w:val="en-GB"/>
        </w:rPr>
        <w:t xml:space="preserve"> </w:t>
      </w:r>
      <w:r w:rsidRPr="00620604">
        <w:rPr>
          <w:rFonts w:ascii="Times New Roman" w:hAnsi="Times New Roman"/>
          <w:sz w:val="14"/>
          <w:szCs w:val="14"/>
        </w:rPr>
        <w:t>World Bank Country Partnership Strategy for Guinea (2014-2017).</w:t>
      </w:r>
    </w:p>
  </w:footnote>
  <w:footnote w:id="11">
    <w:p w14:paraId="24B37D5F" w14:textId="0BFB16D4" w:rsidR="00047245" w:rsidRPr="005034B9" w:rsidRDefault="00047245">
      <w:pPr>
        <w:pStyle w:val="FootnoteText"/>
        <w:rPr>
          <w:rFonts w:ascii="Times New Roman" w:hAnsi="Times New Roman"/>
          <w:sz w:val="14"/>
          <w:szCs w:val="14"/>
        </w:rPr>
      </w:pPr>
      <w:r w:rsidRPr="00620604">
        <w:rPr>
          <w:rFonts w:ascii="Times New Roman" w:hAnsi="Times New Roman"/>
          <w:sz w:val="14"/>
          <w:szCs w:val="14"/>
          <w:lang w:val="en-GB"/>
        </w:rPr>
        <w:footnoteRef/>
      </w:r>
      <w:r w:rsidRPr="005034B9">
        <w:rPr>
          <w:rFonts w:ascii="Times New Roman" w:hAnsi="Times New Roman"/>
          <w:sz w:val="14"/>
          <w:szCs w:val="14"/>
        </w:rPr>
        <w:t xml:space="preserve"> Ibid.</w:t>
      </w:r>
    </w:p>
  </w:footnote>
  <w:footnote w:id="12">
    <w:p w14:paraId="14DD6654" w14:textId="00F08A4D" w:rsidR="00047245" w:rsidRPr="005034B9" w:rsidRDefault="00047245">
      <w:pPr>
        <w:pStyle w:val="FootnoteText"/>
        <w:rPr>
          <w:rFonts w:ascii="Times New Roman" w:hAnsi="Times New Roman"/>
          <w:sz w:val="14"/>
          <w:szCs w:val="14"/>
        </w:rPr>
      </w:pPr>
      <w:r w:rsidRPr="00620604">
        <w:rPr>
          <w:rFonts w:ascii="Times New Roman" w:hAnsi="Times New Roman"/>
          <w:sz w:val="14"/>
          <w:szCs w:val="14"/>
          <w:lang w:val="en-GB"/>
        </w:rPr>
        <w:footnoteRef/>
      </w:r>
      <w:r w:rsidRPr="005034B9">
        <w:rPr>
          <w:rFonts w:ascii="Times New Roman" w:hAnsi="Times New Roman"/>
          <w:sz w:val="14"/>
          <w:szCs w:val="14"/>
        </w:rPr>
        <w:t xml:space="preserve"> </w:t>
      </w:r>
      <w:r w:rsidRPr="005034B9">
        <w:rPr>
          <w:rFonts w:ascii="Times New Roman" w:hAnsi="Times New Roman"/>
          <w:color w:val="212121"/>
          <w:sz w:val="14"/>
          <w:szCs w:val="14"/>
          <w:shd w:val="clear" w:color="auto" w:fill="FFFFFF"/>
        </w:rPr>
        <w:t>National report on the assessment of fragility, 2016</w:t>
      </w:r>
      <w:r w:rsidRPr="005034B9">
        <w:rPr>
          <w:rFonts w:ascii="Times New Roman" w:hAnsi="Times New Roman"/>
          <w:sz w:val="14"/>
          <w:szCs w:val="14"/>
        </w:rPr>
        <w:t xml:space="preserve">. </w:t>
      </w:r>
    </w:p>
  </w:footnote>
  <w:footnote w:id="13">
    <w:p w14:paraId="0CAB7392" w14:textId="77777777" w:rsidR="00047245" w:rsidRPr="00620604" w:rsidRDefault="00047245">
      <w:pPr>
        <w:pStyle w:val="FootnoteText"/>
        <w:rPr>
          <w:rFonts w:ascii="Times New Roman" w:hAnsi="Times New Roman"/>
          <w:sz w:val="14"/>
          <w:szCs w:val="14"/>
          <w:lang w:val="en-GB"/>
        </w:rPr>
      </w:pPr>
      <w:r w:rsidRPr="00620604">
        <w:rPr>
          <w:rFonts w:ascii="Times New Roman" w:hAnsi="Times New Roman"/>
          <w:sz w:val="14"/>
          <w:szCs w:val="14"/>
          <w:lang w:val="en-GB"/>
        </w:rPr>
        <w:footnoteRef/>
      </w:r>
      <w:r w:rsidRPr="00620604">
        <w:rPr>
          <w:rFonts w:ascii="Times New Roman" w:hAnsi="Times New Roman"/>
          <w:sz w:val="14"/>
          <w:szCs w:val="14"/>
          <w:lang w:val="en-GB"/>
        </w:rPr>
        <w:t xml:space="preserve"> Mo Ibrahim Index on governance 2015.</w:t>
      </w:r>
    </w:p>
  </w:footnote>
  <w:footnote w:id="14">
    <w:p w14:paraId="287D4D5B" w14:textId="7AEF6C09" w:rsidR="00047245" w:rsidRPr="005034B9" w:rsidRDefault="00047245">
      <w:pPr>
        <w:pStyle w:val="FootnoteText"/>
        <w:rPr>
          <w:rFonts w:ascii="Times New Roman" w:hAnsi="Times New Roman"/>
          <w:sz w:val="14"/>
          <w:szCs w:val="14"/>
        </w:rPr>
      </w:pPr>
      <w:r w:rsidRPr="00620604">
        <w:rPr>
          <w:rFonts w:ascii="Times New Roman" w:hAnsi="Times New Roman"/>
          <w:sz w:val="14"/>
          <w:szCs w:val="14"/>
          <w:lang w:val="en-GB"/>
        </w:rPr>
        <w:footnoteRef/>
      </w:r>
      <w:r w:rsidRPr="005034B9">
        <w:rPr>
          <w:rFonts w:ascii="Times New Roman" w:hAnsi="Times New Roman"/>
          <w:sz w:val="14"/>
          <w:szCs w:val="14"/>
        </w:rPr>
        <w:t xml:space="preserve"> Provisional Commission on National Reconciliation, June 2016.</w:t>
      </w:r>
    </w:p>
  </w:footnote>
  <w:footnote w:id="15">
    <w:p w14:paraId="6A0D6111" w14:textId="77777777" w:rsidR="00047245" w:rsidRPr="00620604" w:rsidRDefault="00047245">
      <w:pPr>
        <w:pStyle w:val="FootnoteText"/>
        <w:rPr>
          <w:rStyle w:val="FootnoteReference"/>
          <w:rFonts w:ascii="Times New Roman" w:hAnsi="Times New Roman"/>
          <w:sz w:val="14"/>
          <w:szCs w:val="14"/>
          <w:vertAlign w:val="baseline"/>
          <w:lang w:val="en-GB"/>
        </w:rPr>
      </w:pPr>
      <w:r w:rsidRPr="00620604">
        <w:rPr>
          <w:rFonts w:ascii="Times New Roman" w:hAnsi="Times New Roman"/>
          <w:sz w:val="14"/>
          <w:szCs w:val="14"/>
          <w:lang w:val="en-GB"/>
        </w:rPr>
        <w:footnoteRef/>
      </w:r>
      <w:r w:rsidRPr="00620604">
        <w:rPr>
          <w:rFonts w:ascii="Times New Roman" w:hAnsi="Times New Roman"/>
          <w:sz w:val="14"/>
          <w:szCs w:val="14"/>
          <w:lang w:val="en-GB"/>
        </w:rPr>
        <w:t xml:space="preserve"> National Gender Policy, Ministry of Social Action and for the Promotion of Women and Children.</w:t>
      </w:r>
    </w:p>
  </w:footnote>
  <w:footnote w:id="16">
    <w:p w14:paraId="1E51AE2E" w14:textId="6DA1F05C" w:rsidR="00047245" w:rsidRPr="00620604" w:rsidRDefault="00047245">
      <w:pPr>
        <w:pStyle w:val="FootnoteText"/>
        <w:rPr>
          <w:rFonts w:ascii="Times New Roman" w:hAnsi="Times New Roman"/>
          <w:sz w:val="14"/>
          <w:szCs w:val="14"/>
        </w:rPr>
      </w:pPr>
      <w:r w:rsidRPr="00620604">
        <w:rPr>
          <w:rStyle w:val="FootnoteReference"/>
          <w:rFonts w:ascii="Times New Roman" w:hAnsi="Times New Roman"/>
          <w:sz w:val="14"/>
          <w:szCs w:val="14"/>
        </w:rPr>
        <w:footnoteRef/>
      </w:r>
      <w:r w:rsidRPr="00620604">
        <w:rPr>
          <w:rFonts w:ascii="Times New Roman" w:hAnsi="Times New Roman"/>
          <w:sz w:val="14"/>
          <w:szCs w:val="14"/>
        </w:rPr>
        <w:t xml:space="preserve"> </w:t>
      </w:r>
      <w:r w:rsidRPr="00620604">
        <w:rPr>
          <w:rFonts w:ascii="Times New Roman" w:hAnsi="Times New Roman"/>
          <w:color w:val="212121"/>
          <w:sz w:val="14"/>
          <w:szCs w:val="14"/>
          <w:shd w:val="clear" w:color="auto" w:fill="FFFFFF"/>
        </w:rPr>
        <w:t xml:space="preserve">Political agreements </w:t>
      </w:r>
      <w:r>
        <w:rPr>
          <w:rFonts w:ascii="Times New Roman" w:hAnsi="Times New Roman"/>
          <w:color w:val="212121"/>
          <w:sz w:val="14"/>
          <w:szCs w:val="14"/>
          <w:shd w:val="clear" w:color="auto" w:fill="FFFFFF"/>
        </w:rPr>
        <w:t>from</w:t>
      </w:r>
      <w:r w:rsidRPr="00620604">
        <w:rPr>
          <w:rFonts w:ascii="Times New Roman" w:hAnsi="Times New Roman"/>
          <w:color w:val="212121"/>
          <w:sz w:val="14"/>
          <w:szCs w:val="14"/>
          <w:shd w:val="clear" w:color="auto" w:fill="FFFFFF"/>
        </w:rPr>
        <w:t xml:space="preserve"> July 20l3, August 2015 and October 2016.</w:t>
      </w:r>
    </w:p>
  </w:footnote>
  <w:footnote w:id="17">
    <w:p w14:paraId="3E93EEDB" w14:textId="2663887A" w:rsidR="00047245" w:rsidRPr="005034B9" w:rsidRDefault="00047245">
      <w:pPr>
        <w:pStyle w:val="FootnoteText"/>
        <w:rPr>
          <w:rFonts w:ascii="Times New Roman" w:hAnsi="Times New Roman"/>
          <w:sz w:val="14"/>
          <w:szCs w:val="14"/>
        </w:rPr>
      </w:pPr>
      <w:r w:rsidRPr="00620604">
        <w:rPr>
          <w:rStyle w:val="FootnoteReference"/>
          <w:rFonts w:ascii="Times New Roman" w:hAnsi="Times New Roman"/>
          <w:sz w:val="14"/>
          <w:szCs w:val="14"/>
        </w:rPr>
        <w:footnoteRef/>
      </w:r>
      <w:r w:rsidRPr="005034B9">
        <w:rPr>
          <w:rFonts w:ascii="Times New Roman" w:hAnsi="Times New Roman"/>
          <w:sz w:val="14"/>
          <w:szCs w:val="14"/>
        </w:rPr>
        <w:t xml:space="preserve"> </w:t>
      </w:r>
      <w:r w:rsidRPr="005034B9">
        <w:rPr>
          <w:rFonts w:ascii="Times New Roman" w:hAnsi="Times New Roman"/>
          <w:color w:val="212121"/>
          <w:sz w:val="14"/>
          <w:szCs w:val="14"/>
          <w:shd w:val="clear" w:color="auto" w:fill="FFFFFF"/>
        </w:rPr>
        <w:t>National report on the assessment of fragility, 2016.</w:t>
      </w:r>
    </w:p>
  </w:footnote>
  <w:footnote w:id="18">
    <w:p w14:paraId="4C3F20B9" w14:textId="3A8010BC" w:rsidR="00047245" w:rsidRPr="005034B9" w:rsidRDefault="00047245">
      <w:pPr>
        <w:pStyle w:val="FootnoteText"/>
        <w:rPr>
          <w:rFonts w:ascii="Times New Roman" w:hAnsi="Times New Roman"/>
          <w:sz w:val="14"/>
          <w:szCs w:val="14"/>
        </w:rPr>
      </w:pPr>
      <w:r w:rsidRPr="00620604">
        <w:rPr>
          <w:rStyle w:val="FootnoteReference"/>
          <w:rFonts w:ascii="Times New Roman" w:hAnsi="Times New Roman"/>
          <w:sz w:val="14"/>
          <w:szCs w:val="14"/>
        </w:rPr>
        <w:footnoteRef/>
      </w:r>
      <w:r w:rsidRPr="005034B9">
        <w:rPr>
          <w:rFonts w:ascii="Times New Roman" w:hAnsi="Times New Roman"/>
          <w:sz w:val="14"/>
          <w:szCs w:val="14"/>
        </w:rPr>
        <w:t xml:space="preserve"> </w:t>
      </w:r>
      <w:r w:rsidRPr="005034B9">
        <w:rPr>
          <w:rFonts w:ascii="Times New Roman" w:hAnsi="Times New Roman"/>
          <w:color w:val="212121"/>
          <w:sz w:val="14"/>
          <w:szCs w:val="14"/>
          <w:shd w:val="clear" w:color="auto" w:fill="FFFFFF"/>
        </w:rPr>
        <w:t>Light Survey for Poverty Assessment in Guinea, INS 2012.</w:t>
      </w:r>
    </w:p>
  </w:footnote>
  <w:footnote w:id="19">
    <w:p w14:paraId="2CD738E4" w14:textId="121C0CE8" w:rsidR="00047245" w:rsidRPr="005034B9" w:rsidRDefault="00047245">
      <w:pPr>
        <w:pStyle w:val="FootnoteText"/>
        <w:rPr>
          <w:rFonts w:ascii="Times New Roman" w:hAnsi="Times New Roman"/>
          <w:sz w:val="14"/>
          <w:szCs w:val="14"/>
        </w:rPr>
      </w:pPr>
      <w:r w:rsidRPr="00620604">
        <w:rPr>
          <w:rStyle w:val="FootnoteReference"/>
          <w:rFonts w:ascii="Times New Roman" w:hAnsi="Times New Roman"/>
          <w:sz w:val="14"/>
          <w:szCs w:val="14"/>
        </w:rPr>
        <w:footnoteRef/>
      </w:r>
      <w:r w:rsidRPr="005034B9">
        <w:rPr>
          <w:rFonts w:ascii="Times New Roman" w:hAnsi="Times New Roman"/>
          <w:sz w:val="14"/>
          <w:szCs w:val="14"/>
        </w:rPr>
        <w:t xml:space="preserve"> </w:t>
      </w:r>
      <w:r w:rsidRPr="005034B9">
        <w:rPr>
          <w:rFonts w:ascii="Times New Roman" w:hAnsi="Times New Roman"/>
          <w:color w:val="212121"/>
          <w:sz w:val="14"/>
          <w:szCs w:val="14"/>
          <w:shd w:val="clear" w:color="auto" w:fill="FFFFFF"/>
        </w:rPr>
        <w:t>Specific Survey on Employment and Decent Work, AGUIPE 2012.</w:t>
      </w:r>
    </w:p>
  </w:footnote>
  <w:footnote w:id="20">
    <w:p w14:paraId="57AE5AF1" w14:textId="6832C84D" w:rsidR="00047245" w:rsidRPr="005034B9" w:rsidRDefault="00047245">
      <w:pPr>
        <w:pStyle w:val="FootnoteText"/>
        <w:rPr>
          <w:rFonts w:ascii="Times New Roman" w:hAnsi="Times New Roman"/>
          <w:sz w:val="14"/>
          <w:szCs w:val="14"/>
        </w:rPr>
      </w:pPr>
      <w:r w:rsidRPr="00620604">
        <w:rPr>
          <w:rStyle w:val="FootnoteReference"/>
          <w:rFonts w:ascii="Times New Roman" w:hAnsi="Times New Roman"/>
          <w:sz w:val="14"/>
          <w:szCs w:val="14"/>
        </w:rPr>
        <w:footnoteRef/>
      </w:r>
      <w:r w:rsidRPr="005034B9">
        <w:rPr>
          <w:rFonts w:ascii="Times New Roman" w:hAnsi="Times New Roman"/>
          <w:sz w:val="14"/>
          <w:szCs w:val="14"/>
        </w:rPr>
        <w:t xml:space="preserve"> </w:t>
      </w:r>
      <w:r w:rsidRPr="005034B9">
        <w:rPr>
          <w:rFonts w:ascii="Times New Roman" w:hAnsi="Times New Roman"/>
          <w:color w:val="212121"/>
          <w:sz w:val="14"/>
          <w:szCs w:val="14"/>
          <w:shd w:val="clear" w:color="auto" w:fill="FFFFFF"/>
        </w:rPr>
        <w:t>General Census of the Population and Housing, Ministry of Planning and International Cooperation 2012.</w:t>
      </w:r>
    </w:p>
  </w:footnote>
  <w:footnote w:id="21">
    <w:p w14:paraId="56E3C0C4" w14:textId="4EB36630" w:rsidR="00047245" w:rsidRPr="00620604" w:rsidRDefault="00047245">
      <w:pPr>
        <w:pStyle w:val="FootnoteText"/>
        <w:rPr>
          <w:rFonts w:ascii="Times New Roman" w:hAnsi="Times New Roman"/>
          <w:sz w:val="14"/>
          <w:szCs w:val="14"/>
          <w:lang w:val="en-GB"/>
        </w:rPr>
      </w:pPr>
      <w:r w:rsidRPr="00620604">
        <w:rPr>
          <w:rStyle w:val="FootnoteReference"/>
          <w:rFonts w:ascii="Times New Roman" w:hAnsi="Times New Roman"/>
          <w:sz w:val="14"/>
          <w:szCs w:val="14"/>
        </w:rPr>
        <w:footnoteRef/>
      </w:r>
      <w:r w:rsidRPr="00620604">
        <w:rPr>
          <w:rFonts w:ascii="Times New Roman" w:hAnsi="Times New Roman"/>
          <w:sz w:val="14"/>
          <w:szCs w:val="14"/>
        </w:rPr>
        <w:t xml:space="preserve"> ‘</w:t>
      </w:r>
      <w:r w:rsidRPr="00620604">
        <w:rPr>
          <w:rFonts w:ascii="Times New Roman" w:hAnsi="Times New Roman"/>
          <w:color w:val="212121"/>
          <w:sz w:val="14"/>
          <w:szCs w:val="14"/>
          <w:shd w:val="clear" w:color="auto" w:fill="FFFFFF"/>
          <w:lang w:val="en-GB"/>
        </w:rPr>
        <w:t>Advancing development approaches to migration and displacement’, UNDP position paper for the 2016 United Nations summit for refugees and migrants</w:t>
      </w:r>
    </w:p>
  </w:footnote>
  <w:footnote w:id="22">
    <w:p w14:paraId="5E106E46" w14:textId="79BD71D9" w:rsidR="00047245" w:rsidRPr="00620604" w:rsidRDefault="00047245">
      <w:pPr>
        <w:pStyle w:val="FootnoteText"/>
        <w:rPr>
          <w:rFonts w:ascii="Times New Roman" w:hAnsi="Times New Roman"/>
          <w:sz w:val="14"/>
          <w:szCs w:val="14"/>
          <w:lang w:val="en-GB"/>
        </w:rPr>
      </w:pPr>
      <w:r w:rsidRPr="00620604">
        <w:rPr>
          <w:rStyle w:val="FootnoteReference"/>
          <w:rFonts w:ascii="Times New Roman" w:hAnsi="Times New Roman"/>
          <w:sz w:val="14"/>
          <w:szCs w:val="14"/>
        </w:rPr>
        <w:footnoteRef/>
      </w:r>
      <w:r w:rsidRPr="00620604">
        <w:rPr>
          <w:rFonts w:ascii="Times New Roman" w:hAnsi="Times New Roman"/>
          <w:sz w:val="14"/>
          <w:szCs w:val="14"/>
        </w:rPr>
        <w:t xml:space="preserve"> </w:t>
      </w:r>
      <w:r w:rsidRPr="00620604">
        <w:rPr>
          <w:rFonts w:ascii="Times New Roman" w:hAnsi="Times New Roman"/>
          <w:color w:val="212121"/>
          <w:sz w:val="14"/>
          <w:szCs w:val="14"/>
          <w:shd w:val="clear" w:color="auto" w:fill="FFFFFF"/>
          <w:lang w:val="en-GB"/>
        </w:rPr>
        <w:t xml:space="preserve">Report on the </w:t>
      </w:r>
      <w:r>
        <w:rPr>
          <w:rFonts w:ascii="Times New Roman" w:hAnsi="Times New Roman"/>
          <w:color w:val="212121"/>
          <w:sz w:val="14"/>
          <w:szCs w:val="14"/>
          <w:shd w:val="clear" w:color="auto" w:fill="FFFFFF"/>
          <w:lang w:val="en-GB"/>
        </w:rPr>
        <w:t>s</w:t>
      </w:r>
      <w:r w:rsidRPr="00620604">
        <w:rPr>
          <w:rFonts w:ascii="Times New Roman" w:hAnsi="Times New Roman"/>
          <w:color w:val="212121"/>
          <w:sz w:val="14"/>
          <w:szCs w:val="14"/>
          <w:shd w:val="clear" w:color="auto" w:fill="FFFFFF"/>
          <w:lang w:val="en-GB"/>
        </w:rPr>
        <w:t xml:space="preserve">tate of the </w:t>
      </w:r>
      <w:r>
        <w:rPr>
          <w:rFonts w:ascii="Times New Roman" w:hAnsi="Times New Roman"/>
          <w:color w:val="212121"/>
          <w:sz w:val="14"/>
          <w:szCs w:val="14"/>
          <w:shd w:val="clear" w:color="auto" w:fill="FFFFFF"/>
          <w:lang w:val="en-GB"/>
        </w:rPr>
        <w:t>e</w:t>
      </w:r>
      <w:r w:rsidRPr="00620604">
        <w:rPr>
          <w:rFonts w:ascii="Times New Roman" w:hAnsi="Times New Roman"/>
          <w:color w:val="212121"/>
          <w:sz w:val="14"/>
          <w:szCs w:val="14"/>
          <w:shd w:val="clear" w:color="auto" w:fill="FFFFFF"/>
          <w:lang w:val="en-GB"/>
        </w:rPr>
        <w:t>nvironment in Guinea</w:t>
      </w:r>
      <w:r>
        <w:rPr>
          <w:rFonts w:ascii="Times New Roman" w:hAnsi="Times New Roman"/>
          <w:color w:val="212121"/>
          <w:sz w:val="14"/>
          <w:szCs w:val="14"/>
          <w:shd w:val="clear" w:color="auto" w:fill="FFFFFF"/>
          <w:lang w:val="en-GB"/>
        </w:rPr>
        <w:t xml:space="preserve">, </w:t>
      </w:r>
      <w:r w:rsidRPr="00620604">
        <w:rPr>
          <w:rFonts w:ascii="Times New Roman" w:hAnsi="Times New Roman"/>
          <w:color w:val="212121"/>
          <w:sz w:val="14"/>
          <w:szCs w:val="14"/>
          <w:shd w:val="clear" w:color="auto" w:fill="FFFFFF"/>
          <w:lang w:val="en-GB"/>
        </w:rPr>
        <w:t>2014.</w:t>
      </w:r>
    </w:p>
  </w:footnote>
  <w:footnote w:id="23">
    <w:p w14:paraId="376369E4" w14:textId="7C7AA0B5" w:rsidR="00047245" w:rsidRPr="00620604" w:rsidRDefault="00047245">
      <w:pPr>
        <w:pStyle w:val="FootnoteText"/>
        <w:rPr>
          <w:rFonts w:ascii="Times New Roman" w:hAnsi="Times New Roman"/>
          <w:sz w:val="14"/>
          <w:szCs w:val="14"/>
          <w:lang w:val="en-GB"/>
        </w:rPr>
      </w:pPr>
      <w:r w:rsidRPr="00620604">
        <w:rPr>
          <w:rStyle w:val="FootnoteReference"/>
          <w:rFonts w:ascii="Times New Roman" w:hAnsi="Times New Roman"/>
          <w:sz w:val="14"/>
          <w:szCs w:val="14"/>
        </w:rPr>
        <w:footnoteRef/>
      </w:r>
      <w:r w:rsidRPr="00620604">
        <w:rPr>
          <w:rFonts w:ascii="Times New Roman" w:hAnsi="Times New Roman"/>
          <w:sz w:val="14"/>
          <w:szCs w:val="14"/>
        </w:rPr>
        <w:t xml:space="preserve"> </w:t>
      </w:r>
      <w:r w:rsidRPr="00620604">
        <w:rPr>
          <w:rFonts w:ascii="Times New Roman" w:hAnsi="Times New Roman"/>
          <w:sz w:val="14"/>
          <w:szCs w:val="14"/>
          <w:lang w:val="en-GB"/>
        </w:rPr>
        <w:t>Ebola lessons learned report (MPTF 2016).</w:t>
      </w:r>
    </w:p>
  </w:footnote>
  <w:footnote w:id="24">
    <w:p w14:paraId="396F9F3F" w14:textId="0994ADF9" w:rsidR="00047245" w:rsidRPr="00620604" w:rsidRDefault="00047245">
      <w:pPr>
        <w:pStyle w:val="FootnoteText"/>
        <w:rPr>
          <w:rFonts w:ascii="Times New Roman" w:hAnsi="Times New Roman"/>
          <w:sz w:val="14"/>
          <w:szCs w:val="14"/>
          <w:lang w:val="en-GB"/>
        </w:rPr>
      </w:pPr>
      <w:r w:rsidRPr="00620604">
        <w:rPr>
          <w:rStyle w:val="FootnoteReference"/>
          <w:rFonts w:ascii="Times New Roman" w:hAnsi="Times New Roman"/>
          <w:sz w:val="14"/>
          <w:szCs w:val="14"/>
        </w:rPr>
        <w:footnoteRef/>
      </w:r>
      <w:r w:rsidRPr="00620604">
        <w:rPr>
          <w:rFonts w:ascii="Times New Roman" w:hAnsi="Times New Roman"/>
          <w:sz w:val="14"/>
          <w:szCs w:val="14"/>
          <w:lang w:val="en-GB"/>
        </w:rPr>
        <w:t xml:space="preserve"> UN Common Country Assessment</w:t>
      </w:r>
      <w:r>
        <w:rPr>
          <w:rFonts w:ascii="Times New Roman" w:hAnsi="Times New Roman"/>
          <w:sz w:val="14"/>
          <w:szCs w:val="14"/>
          <w:lang w:val="en-GB"/>
        </w:rPr>
        <w:t>,</w:t>
      </w:r>
      <w:r w:rsidRPr="00620604">
        <w:rPr>
          <w:rFonts w:ascii="Times New Roman" w:hAnsi="Times New Roman"/>
          <w:sz w:val="14"/>
          <w:szCs w:val="14"/>
          <w:lang w:val="en-GB"/>
        </w:rPr>
        <w:t xml:space="preserve"> 2016.</w:t>
      </w:r>
    </w:p>
  </w:footnote>
  <w:footnote w:id="25">
    <w:p w14:paraId="2F652B49" w14:textId="4101D0EC" w:rsidR="00047245" w:rsidRPr="00620604" w:rsidRDefault="00047245">
      <w:pPr>
        <w:pStyle w:val="FootnoteText"/>
        <w:rPr>
          <w:rFonts w:ascii="Times New Roman" w:hAnsi="Times New Roman"/>
          <w:sz w:val="14"/>
          <w:szCs w:val="14"/>
          <w:lang w:val="en-GB"/>
        </w:rPr>
      </w:pPr>
      <w:r w:rsidRPr="00620604">
        <w:rPr>
          <w:rStyle w:val="FootnoteReference"/>
          <w:rFonts w:ascii="Times New Roman" w:hAnsi="Times New Roman"/>
          <w:sz w:val="14"/>
          <w:szCs w:val="14"/>
        </w:rPr>
        <w:footnoteRef/>
      </w:r>
      <w:r w:rsidRPr="00620604">
        <w:rPr>
          <w:rFonts w:ascii="Times New Roman" w:hAnsi="Times New Roman"/>
          <w:sz w:val="14"/>
          <w:szCs w:val="14"/>
          <w:lang w:val="en-GB"/>
        </w:rPr>
        <w:t xml:space="preserve"> “Vision 2040 </w:t>
      </w:r>
      <w:r>
        <w:rPr>
          <w:rFonts w:ascii="Times New Roman" w:hAnsi="Times New Roman"/>
          <w:sz w:val="14"/>
          <w:szCs w:val="14"/>
          <w:lang w:val="en-GB"/>
        </w:rPr>
        <w:t>for an emerging and prosperous Guinea</w:t>
      </w:r>
      <w:r w:rsidRPr="00620604">
        <w:rPr>
          <w:rFonts w:ascii="Times New Roman" w:hAnsi="Times New Roman"/>
          <w:sz w:val="14"/>
          <w:szCs w:val="14"/>
          <w:lang w:val="en-GB"/>
        </w:rPr>
        <w:t xml:space="preserve">,” </w:t>
      </w:r>
      <w:r>
        <w:rPr>
          <w:rFonts w:ascii="Times New Roman" w:hAnsi="Times New Roman"/>
          <w:sz w:val="14"/>
          <w:szCs w:val="14"/>
          <w:lang w:val="en-GB"/>
        </w:rPr>
        <w:t xml:space="preserve">the </w:t>
      </w:r>
      <w:r w:rsidRPr="00620604">
        <w:rPr>
          <w:rFonts w:ascii="Times New Roman" w:hAnsi="Times New Roman"/>
          <w:sz w:val="14"/>
          <w:szCs w:val="14"/>
          <w:lang w:val="en-GB"/>
        </w:rPr>
        <w:t xml:space="preserve">Ministry of Planning and International Cooperation, </w:t>
      </w:r>
      <w:r>
        <w:rPr>
          <w:rFonts w:ascii="Times New Roman" w:hAnsi="Times New Roman"/>
          <w:sz w:val="14"/>
          <w:szCs w:val="14"/>
          <w:lang w:val="en-GB"/>
        </w:rPr>
        <w:t xml:space="preserve">January </w:t>
      </w:r>
      <w:r w:rsidRPr="00620604">
        <w:rPr>
          <w:rFonts w:ascii="Times New Roman" w:hAnsi="Times New Roman"/>
          <w:sz w:val="14"/>
          <w:szCs w:val="14"/>
          <w:lang w:val="en-GB"/>
        </w:rPr>
        <w:t>2017.</w:t>
      </w:r>
    </w:p>
  </w:footnote>
  <w:footnote w:id="26">
    <w:p w14:paraId="573A537A" w14:textId="320FC3A2" w:rsidR="00047245" w:rsidRPr="00620604" w:rsidRDefault="00047245">
      <w:pPr>
        <w:pStyle w:val="FootnoteText"/>
        <w:rPr>
          <w:rFonts w:ascii="Times New Roman" w:hAnsi="Times New Roman"/>
          <w:sz w:val="14"/>
          <w:szCs w:val="14"/>
        </w:rPr>
      </w:pPr>
      <w:r w:rsidRPr="00620604">
        <w:rPr>
          <w:rStyle w:val="FootnoteReference"/>
          <w:rFonts w:ascii="Times New Roman" w:hAnsi="Times New Roman"/>
          <w:sz w:val="14"/>
          <w:szCs w:val="14"/>
        </w:rPr>
        <w:footnoteRef/>
      </w:r>
      <w:r w:rsidRPr="00620604">
        <w:rPr>
          <w:rFonts w:ascii="Times New Roman" w:hAnsi="Times New Roman"/>
          <w:sz w:val="14"/>
          <w:szCs w:val="14"/>
        </w:rPr>
        <w:t xml:space="preserve"> Human Development Reports, MDG Implementation Monitoring Reports, and Economic Impact Assessment Studies of the Ebola Epidemic</w:t>
      </w:r>
    </w:p>
  </w:footnote>
  <w:footnote w:id="27">
    <w:p w14:paraId="41758EEE" w14:textId="196D1502" w:rsidR="00047245" w:rsidRPr="00620604" w:rsidRDefault="00047245">
      <w:pPr>
        <w:pStyle w:val="FootnoteText"/>
        <w:rPr>
          <w:rFonts w:ascii="Times New Roman" w:hAnsi="Times New Roman"/>
          <w:sz w:val="14"/>
          <w:szCs w:val="14"/>
        </w:rPr>
      </w:pPr>
      <w:r w:rsidRPr="00620604">
        <w:rPr>
          <w:rStyle w:val="FootnoteReference"/>
          <w:rFonts w:ascii="Times New Roman" w:hAnsi="Times New Roman"/>
          <w:sz w:val="14"/>
          <w:szCs w:val="14"/>
        </w:rPr>
        <w:footnoteRef/>
      </w:r>
      <w:r w:rsidRPr="00620604">
        <w:rPr>
          <w:rFonts w:ascii="Times New Roman" w:hAnsi="Times New Roman"/>
          <w:sz w:val="14"/>
          <w:szCs w:val="14"/>
        </w:rPr>
        <w:t xml:space="preserve"> Electoral Cycle Support Project in Guinea</w:t>
      </w:r>
      <w:r>
        <w:rPr>
          <w:rFonts w:ascii="Times New Roman" w:hAnsi="Times New Roman"/>
          <w:sz w:val="14"/>
          <w:szCs w:val="14"/>
        </w:rPr>
        <w:t>.</w:t>
      </w:r>
      <w:r w:rsidRPr="00620604">
        <w:rPr>
          <w:rFonts w:ascii="Times New Roman" w:hAnsi="Times New Roman"/>
          <w:sz w:val="14"/>
          <w:szCs w:val="14"/>
        </w:rPr>
        <w:t xml:space="preserve"> </w:t>
      </w:r>
    </w:p>
  </w:footnote>
  <w:footnote w:id="28">
    <w:p w14:paraId="482A72BB" w14:textId="3783FD5E" w:rsidR="00047245" w:rsidRPr="0056555D" w:rsidRDefault="00047245">
      <w:pPr>
        <w:pStyle w:val="FootnoteText"/>
        <w:rPr>
          <w:sz w:val="16"/>
          <w:szCs w:val="16"/>
        </w:rPr>
      </w:pPr>
      <w:r w:rsidRPr="0056555D">
        <w:rPr>
          <w:rStyle w:val="FootnoteReference"/>
          <w:sz w:val="16"/>
          <w:szCs w:val="16"/>
        </w:rPr>
        <w:footnoteRef/>
      </w:r>
      <w:r w:rsidRPr="0056555D">
        <w:rPr>
          <w:sz w:val="16"/>
          <w:szCs w:val="16"/>
        </w:rPr>
        <w:t xml:space="preserve"> Frequency of all data collection is annual</w:t>
      </w:r>
    </w:p>
  </w:footnote>
  <w:footnote w:id="29">
    <w:p w14:paraId="4BD74F76" w14:textId="512AAF43" w:rsidR="00047245" w:rsidRPr="0056555D" w:rsidRDefault="00047245">
      <w:pPr>
        <w:pStyle w:val="FootnoteText"/>
        <w:rPr>
          <w:sz w:val="16"/>
          <w:szCs w:val="16"/>
        </w:rPr>
      </w:pPr>
      <w:r w:rsidRPr="0056555D">
        <w:rPr>
          <w:rStyle w:val="FootnoteReference"/>
          <w:sz w:val="16"/>
          <w:szCs w:val="16"/>
        </w:rPr>
        <w:footnoteRef/>
      </w:r>
      <w:r w:rsidRPr="0056555D">
        <w:rPr>
          <w:sz w:val="16"/>
          <w:szCs w:val="16"/>
        </w:rPr>
        <w:t xml:space="preserve"> Frequency of all indicator data collection is Annual</w:t>
      </w:r>
      <w:r>
        <w:rPr>
          <w:sz w:val="16"/>
          <w:szCs w:val="16"/>
        </w:rPr>
        <w:t xml:space="preserve"> unless otherwise indicated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47245" w:rsidRPr="00D55D40" w14:paraId="7226B18C" w14:textId="77777777" w:rsidTr="00D55D40">
      <w:trPr>
        <w:trHeight w:hRule="exact" w:val="864"/>
      </w:trPr>
      <w:tc>
        <w:tcPr>
          <w:tcW w:w="4838" w:type="dxa"/>
          <w:tcBorders>
            <w:bottom w:val="single" w:sz="4" w:space="0" w:color="auto"/>
          </w:tcBorders>
          <w:vAlign w:val="bottom"/>
        </w:tcPr>
        <w:p w14:paraId="2E5ED5EB" w14:textId="77777777" w:rsidR="00047245" w:rsidRPr="00D55D40" w:rsidRDefault="00047245" w:rsidP="00D55D40">
          <w:pPr>
            <w:widowControl w:val="0"/>
            <w:tabs>
              <w:tab w:val="center" w:pos="4320"/>
              <w:tab w:val="right" w:pos="8640"/>
            </w:tabs>
            <w:spacing w:after="80"/>
            <w:ind w:left="-1838" w:firstLine="1838"/>
            <w:rPr>
              <w:b/>
              <w:sz w:val="17"/>
              <w:szCs w:val="17"/>
            </w:rPr>
          </w:pPr>
          <w:r w:rsidRPr="00D55D40">
            <w:rPr>
              <w:b/>
              <w:sz w:val="17"/>
              <w:szCs w:val="17"/>
            </w:rPr>
            <w:t>DP/DCP/</w:t>
          </w:r>
          <w:r>
            <w:rPr>
              <w:b/>
              <w:sz w:val="17"/>
              <w:szCs w:val="17"/>
            </w:rPr>
            <w:t>GIN</w:t>
          </w:r>
          <w:r w:rsidRPr="00D55D40">
            <w:rPr>
              <w:b/>
              <w:sz w:val="17"/>
              <w:szCs w:val="17"/>
            </w:rPr>
            <w:t>/</w:t>
          </w:r>
          <w:r>
            <w:rPr>
              <w:b/>
              <w:sz w:val="17"/>
              <w:szCs w:val="17"/>
            </w:rPr>
            <w:t>3</w:t>
          </w:r>
        </w:p>
      </w:tc>
      <w:tc>
        <w:tcPr>
          <w:tcW w:w="5047" w:type="dxa"/>
          <w:tcBorders>
            <w:bottom w:val="single" w:sz="4" w:space="0" w:color="auto"/>
          </w:tcBorders>
          <w:vAlign w:val="bottom"/>
        </w:tcPr>
        <w:p w14:paraId="074160AE" w14:textId="77777777" w:rsidR="00047245" w:rsidRPr="00D55D40" w:rsidRDefault="00047245" w:rsidP="00D55D40">
          <w:pPr>
            <w:widowControl w:val="0"/>
            <w:tabs>
              <w:tab w:val="center" w:pos="4320"/>
              <w:tab w:val="right" w:pos="8640"/>
            </w:tabs>
            <w:rPr>
              <w:sz w:val="17"/>
              <w:szCs w:val="17"/>
            </w:rPr>
          </w:pPr>
        </w:p>
      </w:tc>
    </w:tr>
  </w:tbl>
  <w:p w14:paraId="51764CDB" w14:textId="77777777" w:rsidR="00047245" w:rsidRDefault="000472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5" w:type="dxa"/>
      <w:tblInd w:w="-106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47245" w:rsidRPr="00D55D40" w14:paraId="6E65BB94" w14:textId="77777777" w:rsidTr="004531E6">
      <w:trPr>
        <w:trHeight w:hRule="exact" w:val="864"/>
      </w:trPr>
      <w:tc>
        <w:tcPr>
          <w:tcW w:w="4838" w:type="dxa"/>
          <w:tcBorders>
            <w:bottom w:val="single" w:sz="4" w:space="0" w:color="auto"/>
          </w:tcBorders>
          <w:vAlign w:val="bottom"/>
        </w:tcPr>
        <w:p w14:paraId="44744A4F" w14:textId="77777777" w:rsidR="00047245" w:rsidRPr="00D55D40" w:rsidRDefault="00047245" w:rsidP="00D55D40">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3C539AC8" w14:textId="77777777" w:rsidR="00047245" w:rsidRPr="00D55D40" w:rsidRDefault="00047245" w:rsidP="00D55D40">
          <w:pPr>
            <w:widowControl w:val="0"/>
            <w:tabs>
              <w:tab w:val="center" w:pos="4320"/>
              <w:tab w:val="right" w:pos="8640"/>
            </w:tabs>
            <w:jc w:val="right"/>
            <w:rPr>
              <w:sz w:val="17"/>
              <w:szCs w:val="17"/>
            </w:rPr>
          </w:pPr>
          <w:r w:rsidRPr="00D55D40">
            <w:rPr>
              <w:b/>
              <w:sz w:val="17"/>
              <w:szCs w:val="17"/>
            </w:rPr>
            <w:t>DP/DCP/</w:t>
          </w:r>
          <w:r>
            <w:rPr>
              <w:b/>
              <w:sz w:val="17"/>
              <w:szCs w:val="17"/>
            </w:rPr>
            <w:t>GIN</w:t>
          </w:r>
          <w:r w:rsidRPr="00D55D40">
            <w:rPr>
              <w:b/>
              <w:sz w:val="17"/>
              <w:szCs w:val="17"/>
            </w:rPr>
            <w:t>/</w:t>
          </w:r>
          <w:r>
            <w:rPr>
              <w:b/>
              <w:sz w:val="17"/>
              <w:szCs w:val="17"/>
            </w:rPr>
            <w:t>3</w:t>
          </w:r>
        </w:p>
      </w:tc>
    </w:tr>
  </w:tbl>
  <w:p w14:paraId="4FD9FD33" w14:textId="77777777" w:rsidR="00047245" w:rsidRDefault="000472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47245" w:rsidRPr="00D55D40" w14:paraId="756927A4" w14:textId="77777777" w:rsidTr="00DE2F03">
      <w:trPr>
        <w:trHeight w:hRule="exact" w:val="864"/>
      </w:trPr>
      <w:tc>
        <w:tcPr>
          <w:tcW w:w="1267" w:type="dxa"/>
          <w:tcBorders>
            <w:bottom w:val="single" w:sz="4" w:space="0" w:color="auto"/>
          </w:tcBorders>
          <w:shd w:val="clear" w:color="auto" w:fill="auto"/>
          <w:vAlign w:val="bottom"/>
        </w:tcPr>
        <w:p w14:paraId="5121FE5C" w14:textId="77777777" w:rsidR="00047245" w:rsidRPr="00D55D40" w:rsidRDefault="00047245" w:rsidP="00D55D40">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2027FD1F" w14:textId="77777777" w:rsidR="00047245" w:rsidRPr="00D55D40" w:rsidRDefault="00047245" w:rsidP="00D55D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D55D40">
            <w:rPr>
              <w:spacing w:val="2"/>
              <w:w w:val="96"/>
              <w:kern w:val="14"/>
              <w:sz w:val="28"/>
              <w:lang w:val="en-GB"/>
            </w:rPr>
            <w:t>United Nations</w:t>
          </w:r>
        </w:p>
      </w:tc>
      <w:tc>
        <w:tcPr>
          <w:tcW w:w="245" w:type="dxa"/>
          <w:tcBorders>
            <w:bottom w:val="single" w:sz="4" w:space="0" w:color="auto"/>
          </w:tcBorders>
          <w:shd w:val="clear" w:color="auto" w:fill="auto"/>
          <w:vAlign w:val="bottom"/>
        </w:tcPr>
        <w:p w14:paraId="39263EBE" w14:textId="77777777" w:rsidR="00047245" w:rsidRPr="00D55D40" w:rsidRDefault="00047245" w:rsidP="00D55D40">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0B41C682" w14:textId="77777777" w:rsidR="00047245" w:rsidRPr="00D55D40" w:rsidRDefault="00047245" w:rsidP="00D55D40">
          <w:pPr>
            <w:suppressAutoHyphens/>
            <w:spacing w:after="80"/>
            <w:jc w:val="right"/>
            <w:rPr>
              <w:spacing w:val="4"/>
              <w:w w:val="103"/>
              <w:kern w:val="14"/>
              <w:position w:val="-4"/>
              <w:lang w:val="en-GB"/>
            </w:rPr>
          </w:pPr>
          <w:r w:rsidRPr="00D55D40">
            <w:rPr>
              <w:spacing w:val="4"/>
              <w:w w:val="103"/>
              <w:kern w:val="14"/>
              <w:position w:val="-4"/>
              <w:sz w:val="40"/>
              <w:lang w:val="en-GB"/>
            </w:rPr>
            <w:t>DP</w:t>
          </w:r>
          <w:r w:rsidRPr="00D55D40">
            <w:rPr>
              <w:spacing w:val="4"/>
              <w:w w:val="103"/>
              <w:kern w:val="14"/>
              <w:position w:val="-4"/>
              <w:lang w:val="en-GB"/>
            </w:rPr>
            <w:t>/DCP/</w:t>
          </w:r>
          <w:r>
            <w:rPr>
              <w:spacing w:val="4"/>
              <w:w w:val="103"/>
              <w:kern w:val="14"/>
              <w:position w:val="-4"/>
              <w:lang w:val="en-GB"/>
            </w:rPr>
            <w:t>GIN</w:t>
          </w:r>
          <w:r w:rsidRPr="00D55D40">
            <w:rPr>
              <w:spacing w:val="4"/>
              <w:w w:val="103"/>
              <w:kern w:val="14"/>
              <w:position w:val="-4"/>
              <w:lang w:val="en-GB"/>
            </w:rPr>
            <w:t>/</w:t>
          </w:r>
          <w:r>
            <w:rPr>
              <w:spacing w:val="4"/>
              <w:w w:val="103"/>
              <w:kern w:val="14"/>
              <w:position w:val="-4"/>
              <w:lang w:val="en-GB"/>
            </w:rPr>
            <w:t>3</w:t>
          </w:r>
        </w:p>
      </w:tc>
    </w:tr>
    <w:tr w:rsidR="00047245" w:rsidRPr="00D55D40" w14:paraId="5AECB96C" w14:textId="77777777" w:rsidTr="00DE2F03">
      <w:trPr>
        <w:gridAfter w:val="1"/>
        <w:wAfter w:w="28" w:type="dxa"/>
        <w:trHeight w:hRule="exact" w:val="2880"/>
      </w:trPr>
      <w:tc>
        <w:tcPr>
          <w:tcW w:w="1267" w:type="dxa"/>
          <w:tcBorders>
            <w:top w:val="single" w:sz="4" w:space="0" w:color="auto"/>
            <w:bottom w:val="single" w:sz="12" w:space="0" w:color="auto"/>
          </w:tcBorders>
          <w:shd w:val="clear" w:color="auto" w:fill="auto"/>
        </w:tcPr>
        <w:p w14:paraId="5E22A42E" w14:textId="77777777" w:rsidR="00047245" w:rsidRPr="00D55D40" w:rsidRDefault="00047245" w:rsidP="00D55D40">
          <w:pPr>
            <w:tabs>
              <w:tab w:val="center" w:pos="4320"/>
              <w:tab w:val="right" w:pos="8640"/>
            </w:tabs>
            <w:spacing w:before="109"/>
            <w:rPr>
              <w:noProof/>
              <w:sz w:val="17"/>
            </w:rPr>
          </w:pPr>
          <w:r w:rsidRPr="00D55D40">
            <w:rPr>
              <w:noProof/>
              <w:sz w:val="17"/>
            </w:rPr>
            <w:t xml:space="preserve"> </w:t>
          </w:r>
          <w:r w:rsidRPr="00D55D40">
            <w:rPr>
              <w:noProof/>
              <w:sz w:val="17"/>
            </w:rPr>
            <w:drawing>
              <wp:inline distT="0" distB="0" distL="0" distR="0" wp14:anchorId="6A222278" wp14:editId="3A914CCE">
                <wp:extent cx="702945" cy="592455"/>
                <wp:effectExtent l="0" t="0" r="1905" b="0"/>
                <wp:docPr id="55" name="Picture 5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72015E3C" w14:textId="77777777" w:rsidR="00047245" w:rsidRPr="00D55D40" w:rsidRDefault="00047245" w:rsidP="00D55D40">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398928B8" w14:textId="77777777" w:rsidR="00047245" w:rsidRPr="00D55D40" w:rsidRDefault="00047245" w:rsidP="00D55D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lang w:val="en-GB"/>
            </w:rPr>
          </w:pPr>
          <w:r w:rsidRPr="00D55D40">
            <w:rPr>
              <w:b/>
              <w:sz w:val="34"/>
            </w:rPr>
            <w:t>Executive Board of the</w:t>
          </w:r>
          <w:r w:rsidRPr="00D55D40">
            <w:rPr>
              <w:b/>
              <w:sz w:val="34"/>
            </w:rPr>
            <w:br/>
            <w:t>United Nations Development</w:t>
          </w:r>
          <w:r w:rsidRPr="00D55D40">
            <w:rPr>
              <w:b/>
              <w:sz w:val="34"/>
            </w:rPr>
            <w:br/>
            <w:t xml:space="preserve">Programme, the United Nations Population Fund and the </w:t>
          </w:r>
          <w:r w:rsidRPr="00D55D40">
            <w:rPr>
              <w:b/>
              <w:sz w:val="34"/>
            </w:rPr>
            <w:br/>
            <w:t xml:space="preserve">United Nations Office for </w:t>
          </w:r>
          <w:r w:rsidRPr="00D55D40">
            <w:rPr>
              <w:b/>
              <w:sz w:val="34"/>
            </w:rPr>
            <w:br/>
            <w:t>Project Services</w:t>
          </w:r>
        </w:p>
        <w:p w14:paraId="5DEBFDAC" w14:textId="77777777" w:rsidR="00047245" w:rsidRPr="00D55D40" w:rsidRDefault="00047245" w:rsidP="00D55D40">
          <w:pPr>
            <w:rPr>
              <w:sz w:val="34"/>
              <w:lang w:val="en-GB"/>
            </w:rPr>
          </w:pPr>
        </w:p>
        <w:p w14:paraId="416F9FBA" w14:textId="77777777" w:rsidR="00047245" w:rsidRPr="00D55D40" w:rsidRDefault="00047245" w:rsidP="00D55D40">
          <w:pPr>
            <w:ind w:firstLine="720"/>
            <w:rPr>
              <w:sz w:val="34"/>
              <w:lang w:val="en-GB"/>
            </w:rPr>
          </w:pPr>
        </w:p>
      </w:tc>
      <w:tc>
        <w:tcPr>
          <w:tcW w:w="245" w:type="dxa"/>
          <w:tcBorders>
            <w:top w:val="single" w:sz="4" w:space="0" w:color="auto"/>
            <w:bottom w:val="single" w:sz="12" w:space="0" w:color="auto"/>
          </w:tcBorders>
          <w:shd w:val="clear" w:color="auto" w:fill="auto"/>
        </w:tcPr>
        <w:p w14:paraId="724F8027" w14:textId="77777777" w:rsidR="00047245" w:rsidRPr="00D55D40" w:rsidRDefault="00047245" w:rsidP="00D55D40">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6EF45359" w14:textId="77777777" w:rsidR="00047245" w:rsidRPr="00D55D40" w:rsidRDefault="00047245" w:rsidP="00D55D40">
          <w:pPr>
            <w:suppressAutoHyphens/>
            <w:spacing w:before="240" w:line="240" w:lineRule="exact"/>
            <w:rPr>
              <w:spacing w:val="4"/>
              <w:w w:val="103"/>
              <w:kern w:val="14"/>
              <w:lang w:val="en-GB"/>
            </w:rPr>
          </w:pPr>
          <w:r w:rsidRPr="00D55D40">
            <w:rPr>
              <w:spacing w:val="4"/>
              <w:w w:val="103"/>
              <w:kern w:val="14"/>
              <w:lang w:val="en-GB"/>
            </w:rPr>
            <w:t>Distr.: General</w:t>
          </w:r>
        </w:p>
        <w:p w14:paraId="2E2E6EDA" w14:textId="15232A23" w:rsidR="00047245" w:rsidRPr="00D55D40" w:rsidRDefault="0018092C" w:rsidP="00D55D40">
          <w:pPr>
            <w:suppressAutoHyphens/>
            <w:spacing w:line="240" w:lineRule="exact"/>
            <w:rPr>
              <w:spacing w:val="4"/>
              <w:w w:val="103"/>
              <w:kern w:val="14"/>
              <w:lang w:val="en-GB"/>
            </w:rPr>
          </w:pPr>
          <w:r>
            <w:rPr>
              <w:spacing w:val="4"/>
              <w:w w:val="103"/>
              <w:kern w:val="14"/>
              <w:lang w:val="en-GB"/>
            </w:rPr>
            <w:t>1</w:t>
          </w:r>
          <w:r w:rsidR="00047245">
            <w:rPr>
              <w:spacing w:val="4"/>
              <w:w w:val="103"/>
              <w:kern w:val="14"/>
              <w:lang w:val="en-GB"/>
            </w:rPr>
            <w:t xml:space="preserve">3 </w:t>
          </w:r>
          <w:r>
            <w:rPr>
              <w:spacing w:val="4"/>
              <w:w w:val="103"/>
              <w:kern w:val="14"/>
              <w:lang w:val="en-GB"/>
            </w:rPr>
            <w:t>June</w:t>
          </w:r>
          <w:r w:rsidR="00047245" w:rsidRPr="00D55D40">
            <w:rPr>
              <w:spacing w:val="4"/>
              <w:w w:val="103"/>
              <w:kern w:val="14"/>
              <w:lang w:val="en-GB"/>
            </w:rPr>
            <w:t xml:space="preserve"> 2017</w:t>
          </w:r>
        </w:p>
        <w:p w14:paraId="465F5BDD" w14:textId="77777777" w:rsidR="00047245" w:rsidRPr="00D55D40" w:rsidRDefault="00047245" w:rsidP="00D55D40">
          <w:pPr>
            <w:suppressAutoHyphens/>
            <w:spacing w:line="240" w:lineRule="exact"/>
            <w:rPr>
              <w:spacing w:val="4"/>
              <w:w w:val="103"/>
              <w:kern w:val="14"/>
              <w:lang w:val="en-GB"/>
            </w:rPr>
          </w:pPr>
        </w:p>
        <w:p w14:paraId="53540FBD" w14:textId="77777777" w:rsidR="00047245" w:rsidRPr="00D55D40" w:rsidRDefault="00047245" w:rsidP="00D55D40">
          <w:pPr>
            <w:suppressAutoHyphens/>
            <w:spacing w:line="240" w:lineRule="exact"/>
            <w:rPr>
              <w:spacing w:val="4"/>
              <w:w w:val="103"/>
              <w:kern w:val="14"/>
              <w:lang w:val="en-GB"/>
            </w:rPr>
          </w:pPr>
          <w:r w:rsidRPr="00D55D40">
            <w:rPr>
              <w:spacing w:val="4"/>
              <w:w w:val="103"/>
              <w:kern w:val="14"/>
              <w:lang w:val="en-GB"/>
            </w:rPr>
            <w:t>Original: English</w:t>
          </w:r>
        </w:p>
      </w:tc>
    </w:tr>
  </w:tbl>
  <w:p w14:paraId="4692566D" w14:textId="77777777" w:rsidR="00047245" w:rsidRPr="00D55D40" w:rsidRDefault="00047245">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CBF41" w14:textId="150D1C94" w:rsidR="00047245" w:rsidRDefault="00047245">
    <w:pPr>
      <w:pStyle w:val="Header"/>
    </w:pPr>
    <w:r>
      <w:rPr>
        <w:noProof/>
        <w:lang w:val="en-US" w:eastAsia="en-US"/>
      </w:rPr>
      <mc:AlternateContent>
        <mc:Choice Requires="wps">
          <w:drawing>
            <wp:anchor distT="0" distB="0" distL="114300" distR="114300" simplePos="0" relativeHeight="251659776" behindDoc="0" locked="0" layoutInCell="0" allowOverlap="1" wp14:anchorId="733C544C" wp14:editId="74014CB7">
              <wp:simplePos x="0" y="0"/>
              <wp:positionH relativeFrom="column">
                <wp:posOffset>-17145</wp:posOffset>
              </wp:positionH>
              <wp:positionV relativeFrom="paragraph">
                <wp:posOffset>-304800</wp:posOffset>
              </wp:positionV>
              <wp:extent cx="859155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0" cy="64008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13684" w:type="dxa"/>
                            <w:tblBorders>
                              <w:bottom w:val="single" w:sz="4" w:space="0" w:color="auto"/>
                            </w:tblBorders>
                            <w:tblLayout w:type="fixed"/>
                            <w:tblCellMar>
                              <w:left w:w="0" w:type="dxa"/>
                              <w:right w:w="0" w:type="dxa"/>
                            </w:tblCellMar>
                            <w:tblLook w:val="0000" w:firstRow="0" w:lastRow="0" w:firstColumn="0" w:lastColumn="0" w:noHBand="0" w:noVBand="0"/>
                          </w:tblPr>
                          <w:tblGrid>
                            <w:gridCol w:w="5048"/>
                            <w:gridCol w:w="8636"/>
                          </w:tblGrid>
                          <w:tr w:rsidR="00047245" w:rsidRPr="005841A3" w14:paraId="09E5E8B7" w14:textId="77777777" w:rsidTr="002F2E59">
                            <w:trPr>
                              <w:trHeight w:hRule="exact" w:val="803"/>
                            </w:trPr>
                            <w:tc>
                              <w:tcPr>
                                <w:tcW w:w="5048" w:type="dxa"/>
                                <w:tcBorders>
                                  <w:bottom w:val="single" w:sz="4" w:space="0" w:color="auto"/>
                                </w:tcBorders>
                                <w:vAlign w:val="bottom"/>
                              </w:tcPr>
                              <w:p w14:paraId="5FC346CD" w14:textId="77777777" w:rsidR="00047245" w:rsidRPr="007C6F85" w:rsidRDefault="00047245" w:rsidP="00C477C6">
                                <w:pPr>
                                  <w:pStyle w:val="Header"/>
                                  <w:spacing w:after="80"/>
                                  <w:ind w:left="180" w:hanging="1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GIN/3</w:t>
                                </w:r>
                              </w:p>
                            </w:tc>
                            <w:tc>
                              <w:tcPr>
                                <w:tcW w:w="8636" w:type="dxa"/>
                                <w:tcBorders>
                                  <w:bottom w:val="single" w:sz="4" w:space="0" w:color="auto"/>
                                </w:tcBorders>
                                <w:vAlign w:val="bottom"/>
                              </w:tcPr>
                              <w:p w14:paraId="61801657" w14:textId="77777777" w:rsidR="00047245" w:rsidRPr="007C6F85" w:rsidRDefault="00047245" w:rsidP="00C477C6">
                                <w:pPr>
                                  <w:pStyle w:val="Header"/>
                                  <w:ind w:left="180"/>
                                  <w:rPr>
                                    <w:rFonts w:ascii="Times New Roman" w:hAnsi="Times New Roman"/>
                                    <w:sz w:val="17"/>
                                    <w:szCs w:val="17"/>
                                    <w:lang w:val="en-US" w:eastAsia="en-US"/>
                                  </w:rPr>
                                </w:pPr>
                              </w:p>
                            </w:tc>
                          </w:tr>
                        </w:tbl>
                        <w:p w14:paraId="541D778A" w14:textId="77777777" w:rsidR="00047245" w:rsidRDefault="00047245" w:rsidP="00C477C6">
                          <w:pPr>
                            <w:ind w:left="180"/>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33C544C" id="_x0000_t202" coordsize="21600,21600" o:spt="202" path="m,l,21600r21600,l21600,xe">
              <v:stroke joinstyle="miter"/>
              <v:path gradientshapeok="t" o:connecttype="rect"/>
            </v:shapetype>
            <v:shape id="Text Box 2" o:spid="_x0000_s1026" type="#_x0000_t202" style="position:absolute;margin-left:-1.35pt;margin-top:-24pt;width:67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" o:allowincell="f" stroked="f">
              <v:textbox inset="0,0,0,0">
                <w:txbxContent>
                  <w:tbl>
                    <w:tblPr>
                      <w:tblW w:w="13684" w:type="dxa"/>
                      <w:tblBorders>
                        <w:bottom w:val="single" w:sz="4" w:space="0" w:color="auto"/>
                      </w:tblBorders>
                      <w:tblLayout w:type="fixed"/>
                      <w:tblCellMar>
                        <w:left w:w="0" w:type="dxa"/>
                        <w:right w:w="0" w:type="dxa"/>
                      </w:tblCellMar>
                      <w:tblLook w:val="0000" w:firstRow="0" w:lastRow="0" w:firstColumn="0" w:lastColumn="0" w:noHBand="0" w:noVBand="0"/>
                    </w:tblPr>
                    <w:tblGrid>
                      <w:gridCol w:w="5048"/>
                      <w:gridCol w:w="8636"/>
                    </w:tblGrid>
                    <w:tr w:rsidR="00047245" w:rsidRPr="005841A3" w14:paraId="09E5E8B7" w14:textId="77777777" w:rsidTr="002F2E59">
                      <w:trPr>
                        <w:trHeight w:hRule="exact" w:val="803"/>
                      </w:trPr>
                      <w:tc>
                        <w:tcPr>
                          <w:tcW w:w="5048" w:type="dxa"/>
                          <w:tcBorders>
                            <w:bottom w:val="single" w:sz="4" w:space="0" w:color="auto"/>
                          </w:tcBorders>
                          <w:vAlign w:val="bottom"/>
                        </w:tcPr>
                        <w:p w14:paraId="5FC346CD" w14:textId="77777777" w:rsidR="00047245" w:rsidRPr="007C6F85" w:rsidRDefault="00047245" w:rsidP="00C477C6">
                          <w:pPr>
                            <w:pStyle w:val="Header"/>
                            <w:spacing w:after="80"/>
                            <w:ind w:left="180" w:hanging="1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GIN/3</w:t>
                          </w:r>
                        </w:p>
                      </w:tc>
                      <w:tc>
                        <w:tcPr>
                          <w:tcW w:w="8636" w:type="dxa"/>
                          <w:tcBorders>
                            <w:bottom w:val="single" w:sz="4" w:space="0" w:color="auto"/>
                          </w:tcBorders>
                          <w:vAlign w:val="bottom"/>
                        </w:tcPr>
                        <w:p w14:paraId="61801657" w14:textId="77777777" w:rsidR="00047245" w:rsidRPr="007C6F85" w:rsidRDefault="00047245" w:rsidP="00C477C6">
                          <w:pPr>
                            <w:pStyle w:val="Header"/>
                            <w:ind w:left="180"/>
                            <w:rPr>
                              <w:rFonts w:ascii="Times New Roman" w:hAnsi="Times New Roman"/>
                              <w:sz w:val="17"/>
                              <w:szCs w:val="17"/>
                              <w:lang w:val="en-US" w:eastAsia="en-US"/>
                            </w:rPr>
                          </w:pPr>
                        </w:p>
                      </w:tc>
                    </w:tr>
                  </w:tbl>
                  <w:p w14:paraId="541D778A" w14:textId="77777777" w:rsidR="00047245" w:rsidRDefault="00047245" w:rsidP="00C477C6">
                    <w:pPr>
                      <w:ind w:left="180"/>
                    </w:pP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4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572"/>
    </w:tblGrid>
    <w:tr w:rsidR="00047245" w:rsidRPr="00D55D40" w14:paraId="0E5A1AB5" w14:textId="77777777" w:rsidTr="00D55D40">
      <w:trPr>
        <w:trHeight w:hRule="exact" w:val="864"/>
      </w:trPr>
      <w:tc>
        <w:tcPr>
          <w:tcW w:w="4838" w:type="dxa"/>
          <w:tcBorders>
            <w:bottom w:val="single" w:sz="4" w:space="0" w:color="auto"/>
          </w:tcBorders>
          <w:vAlign w:val="bottom"/>
        </w:tcPr>
        <w:p w14:paraId="12C9CBE1" w14:textId="77777777" w:rsidR="00047245" w:rsidRPr="00D55D40" w:rsidRDefault="00047245" w:rsidP="00D55D40">
          <w:pPr>
            <w:widowControl w:val="0"/>
            <w:tabs>
              <w:tab w:val="center" w:pos="4320"/>
              <w:tab w:val="right" w:pos="8640"/>
            </w:tabs>
            <w:spacing w:after="80"/>
            <w:rPr>
              <w:b/>
              <w:sz w:val="17"/>
              <w:szCs w:val="17"/>
            </w:rPr>
          </w:pPr>
        </w:p>
      </w:tc>
      <w:tc>
        <w:tcPr>
          <w:tcW w:w="8572" w:type="dxa"/>
          <w:tcBorders>
            <w:bottom w:val="single" w:sz="4" w:space="0" w:color="auto"/>
          </w:tcBorders>
          <w:vAlign w:val="bottom"/>
        </w:tcPr>
        <w:p w14:paraId="629F24F8" w14:textId="77777777" w:rsidR="00047245" w:rsidRPr="00D55D40" w:rsidRDefault="00047245" w:rsidP="00D55D40">
          <w:pPr>
            <w:widowControl w:val="0"/>
            <w:tabs>
              <w:tab w:val="center" w:pos="4320"/>
              <w:tab w:val="right" w:pos="8640"/>
            </w:tabs>
            <w:spacing w:after="60"/>
            <w:jc w:val="right"/>
            <w:rPr>
              <w:sz w:val="17"/>
              <w:szCs w:val="17"/>
            </w:rPr>
          </w:pPr>
          <w:r w:rsidRPr="00D55D40">
            <w:rPr>
              <w:b/>
              <w:sz w:val="17"/>
              <w:szCs w:val="17"/>
            </w:rPr>
            <w:t>DP/DCP/</w:t>
          </w:r>
          <w:r>
            <w:rPr>
              <w:b/>
              <w:sz w:val="17"/>
              <w:szCs w:val="17"/>
            </w:rPr>
            <w:t>GIN</w:t>
          </w:r>
          <w:r w:rsidRPr="00D55D40">
            <w:rPr>
              <w:b/>
              <w:sz w:val="17"/>
              <w:szCs w:val="17"/>
            </w:rPr>
            <w:t>/</w:t>
          </w:r>
          <w:r>
            <w:rPr>
              <w:b/>
              <w:sz w:val="17"/>
              <w:szCs w:val="17"/>
            </w:rPr>
            <w:t>3</w:t>
          </w:r>
        </w:p>
      </w:tc>
    </w:tr>
  </w:tbl>
  <w:p w14:paraId="31BF58B6" w14:textId="77777777" w:rsidR="00047245" w:rsidRDefault="000472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30C2"/>
    <w:multiLevelType w:val="hybridMultilevel"/>
    <w:tmpl w:val="8F7ADCD6"/>
    <w:lvl w:ilvl="0" w:tplc="2C3EAB6A">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292526D"/>
    <w:multiLevelType w:val="hybridMultilevel"/>
    <w:tmpl w:val="1ED67D9C"/>
    <w:lvl w:ilvl="0" w:tplc="9C34E45C">
      <w:start w:val="8"/>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DA6D33"/>
    <w:multiLevelType w:val="hybridMultilevel"/>
    <w:tmpl w:val="0A3C07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E80BBC"/>
    <w:multiLevelType w:val="hybridMultilevel"/>
    <w:tmpl w:val="DE421A32"/>
    <w:lvl w:ilvl="0" w:tplc="E0744888">
      <w:start w:val="16"/>
      <w:numFmt w:val="decimal"/>
      <w:lvlText w:val="%1."/>
      <w:lvlJc w:val="left"/>
      <w:pPr>
        <w:ind w:left="1440" w:hanging="360"/>
      </w:pPr>
      <w:rPr>
        <w:rFonts w:ascii="Times New Roman" w:hAnsi="Times New Roman" w:cs="Times New Roman" w:hint="default"/>
        <w:b w:val="0"/>
        <w:color w:val="000000"/>
        <w:sz w:val="20"/>
      </w:r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097E537F"/>
    <w:multiLevelType w:val="multilevel"/>
    <w:tmpl w:val="CEF8AA9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10194477"/>
    <w:multiLevelType w:val="hybridMultilevel"/>
    <w:tmpl w:val="171AAABC"/>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595429"/>
    <w:multiLevelType w:val="hybridMultilevel"/>
    <w:tmpl w:val="C4D845C8"/>
    <w:lvl w:ilvl="0" w:tplc="04100001">
      <w:start w:val="1"/>
      <w:numFmt w:val="bullet"/>
      <w:lvlText w:val=""/>
      <w:lvlJc w:val="left"/>
      <w:pPr>
        <w:ind w:left="720" w:hanging="360"/>
      </w:pPr>
      <w:rPr>
        <w:rFonts w:ascii="Symbol" w:hAnsi="Symbol" w:hint="default"/>
        <w:b w:val="0"/>
        <w:color w:val="0000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31B2D54"/>
    <w:multiLevelType w:val="hybridMultilevel"/>
    <w:tmpl w:val="34527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E86F95"/>
    <w:multiLevelType w:val="multilevel"/>
    <w:tmpl w:val="DFF419AA"/>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83B42EF"/>
    <w:multiLevelType w:val="hybridMultilevel"/>
    <w:tmpl w:val="F56010A2"/>
    <w:lvl w:ilvl="0" w:tplc="040C000F">
      <w:start w:val="1"/>
      <w:numFmt w:val="decimal"/>
      <w:lvlText w:val="%1."/>
      <w:lvlJc w:val="left"/>
      <w:pPr>
        <w:ind w:left="723" w:hanging="360"/>
      </w:pPr>
    </w:lvl>
    <w:lvl w:ilvl="1" w:tplc="040C0019" w:tentative="1">
      <w:start w:val="1"/>
      <w:numFmt w:val="lowerLetter"/>
      <w:lvlText w:val="%2."/>
      <w:lvlJc w:val="left"/>
      <w:pPr>
        <w:ind w:left="1443" w:hanging="360"/>
      </w:pPr>
    </w:lvl>
    <w:lvl w:ilvl="2" w:tplc="040C001B" w:tentative="1">
      <w:start w:val="1"/>
      <w:numFmt w:val="lowerRoman"/>
      <w:lvlText w:val="%3."/>
      <w:lvlJc w:val="right"/>
      <w:pPr>
        <w:ind w:left="2163" w:hanging="180"/>
      </w:pPr>
    </w:lvl>
    <w:lvl w:ilvl="3" w:tplc="040C000F" w:tentative="1">
      <w:start w:val="1"/>
      <w:numFmt w:val="decimal"/>
      <w:lvlText w:val="%4."/>
      <w:lvlJc w:val="left"/>
      <w:pPr>
        <w:ind w:left="2883" w:hanging="360"/>
      </w:pPr>
    </w:lvl>
    <w:lvl w:ilvl="4" w:tplc="040C0019" w:tentative="1">
      <w:start w:val="1"/>
      <w:numFmt w:val="lowerLetter"/>
      <w:lvlText w:val="%5."/>
      <w:lvlJc w:val="left"/>
      <w:pPr>
        <w:ind w:left="3603" w:hanging="360"/>
      </w:pPr>
    </w:lvl>
    <w:lvl w:ilvl="5" w:tplc="040C001B" w:tentative="1">
      <w:start w:val="1"/>
      <w:numFmt w:val="lowerRoman"/>
      <w:lvlText w:val="%6."/>
      <w:lvlJc w:val="right"/>
      <w:pPr>
        <w:ind w:left="4323" w:hanging="180"/>
      </w:pPr>
    </w:lvl>
    <w:lvl w:ilvl="6" w:tplc="040C000F" w:tentative="1">
      <w:start w:val="1"/>
      <w:numFmt w:val="decimal"/>
      <w:lvlText w:val="%7."/>
      <w:lvlJc w:val="left"/>
      <w:pPr>
        <w:ind w:left="5043" w:hanging="360"/>
      </w:pPr>
    </w:lvl>
    <w:lvl w:ilvl="7" w:tplc="040C0019" w:tentative="1">
      <w:start w:val="1"/>
      <w:numFmt w:val="lowerLetter"/>
      <w:lvlText w:val="%8."/>
      <w:lvlJc w:val="left"/>
      <w:pPr>
        <w:ind w:left="5763" w:hanging="360"/>
      </w:pPr>
    </w:lvl>
    <w:lvl w:ilvl="8" w:tplc="040C001B" w:tentative="1">
      <w:start w:val="1"/>
      <w:numFmt w:val="lowerRoman"/>
      <w:lvlText w:val="%9."/>
      <w:lvlJc w:val="right"/>
      <w:pPr>
        <w:ind w:left="6483" w:hanging="180"/>
      </w:pPr>
    </w:lvl>
  </w:abstractNum>
  <w:abstractNum w:abstractNumId="10" w15:restartNumberingAfterBreak="0">
    <w:nsid w:val="1A5444AB"/>
    <w:multiLevelType w:val="hybridMultilevel"/>
    <w:tmpl w:val="8F7ADCD6"/>
    <w:lvl w:ilvl="0" w:tplc="2C3EAB6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B360CC9"/>
    <w:multiLevelType w:val="hybridMultilevel"/>
    <w:tmpl w:val="1B141314"/>
    <w:lvl w:ilvl="0" w:tplc="A5F067FA">
      <w:start w:val="1"/>
      <w:numFmt w:val="decimal"/>
      <w:lvlText w:val="%1."/>
      <w:lvlJc w:val="left"/>
      <w:pPr>
        <w:ind w:left="720" w:hanging="360"/>
      </w:pPr>
      <w:rPr>
        <w:rFonts w:ascii="Times New Roman" w:hAnsi="Times New Roman" w:cs="Times New Roman" w:hint="default"/>
        <w:b w:val="0"/>
        <w:color w:val="0000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FCB6DFE"/>
    <w:multiLevelType w:val="hybridMultilevel"/>
    <w:tmpl w:val="1B141314"/>
    <w:lvl w:ilvl="0" w:tplc="A5F067FA">
      <w:start w:val="1"/>
      <w:numFmt w:val="decimal"/>
      <w:lvlText w:val="%1."/>
      <w:lvlJc w:val="left"/>
      <w:pPr>
        <w:ind w:left="720" w:hanging="360"/>
      </w:pPr>
      <w:rPr>
        <w:rFonts w:ascii="Times New Roman" w:hAnsi="Times New Roman" w:cs="Times New Roman" w:hint="default"/>
        <w:b w:val="0"/>
        <w:color w:val="0000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96F2ED0"/>
    <w:multiLevelType w:val="hybridMultilevel"/>
    <w:tmpl w:val="DFCAF720"/>
    <w:lvl w:ilvl="0" w:tplc="040C000F">
      <w:start w:val="36"/>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29C1053F"/>
    <w:multiLevelType w:val="hybridMultilevel"/>
    <w:tmpl w:val="DD189100"/>
    <w:lvl w:ilvl="0" w:tplc="040C0001">
      <w:start w:val="1"/>
      <w:numFmt w:val="bullet"/>
      <w:lvlText w:val=""/>
      <w:lvlJc w:val="left"/>
      <w:pPr>
        <w:ind w:left="720" w:hanging="360"/>
      </w:pPr>
      <w:rPr>
        <w:rFonts w:ascii="Symbol" w:hAnsi="Symbol" w:hint="default"/>
        <w:b w:val="0"/>
        <w:color w:val="0000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AE53B97"/>
    <w:multiLevelType w:val="hybridMultilevel"/>
    <w:tmpl w:val="2D6A991E"/>
    <w:lvl w:ilvl="0" w:tplc="F216BA88">
      <w:start w:val="18"/>
      <w:numFmt w:val="decimal"/>
      <w:lvlText w:val="%1."/>
      <w:lvlJc w:val="left"/>
      <w:pPr>
        <w:ind w:left="363" w:hanging="360"/>
      </w:pPr>
      <w:rPr>
        <w:rFonts w:ascii="Times New Roman" w:hAnsi="Times New Roman" w:cs="Times New Roman" w:hint="default"/>
        <w:b w:val="0"/>
        <w:color w:val="000000"/>
      </w:rPr>
    </w:lvl>
    <w:lvl w:ilvl="1" w:tplc="040C0019" w:tentative="1">
      <w:start w:val="1"/>
      <w:numFmt w:val="lowerLetter"/>
      <w:lvlText w:val="%2."/>
      <w:lvlJc w:val="left"/>
      <w:pPr>
        <w:ind w:left="1083" w:hanging="360"/>
      </w:pPr>
    </w:lvl>
    <w:lvl w:ilvl="2" w:tplc="040C001B" w:tentative="1">
      <w:start w:val="1"/>
      <w:numFmt w:val="lowerRoman"/>
      <w:lvlText w:val="%3."/>
      <w:lvlJc w:val="right"/>
      <w:pPr>
        <w:ind w:left="1803" w:hanging="180"/>
      </w:pPr>
    </w:lvl>
    <w:lvl w:ilvl="3" w:tplc="040C000F" w:tentative="1">
      <w:start w:val="1"/>
      <w:numFmt w:val="decimal"/>
      <w:lvlText w:val="%4."/>
      <w:lvlJc w:val="left"/>
      <w:pPr>
        <w:ind w:left="2523" w:hanging="360"/>
      </w:pPr>
    </w:lvl>
    <w:lvl w:ilvl="4" w:tplc="040C0019" w:tentative="1">
      <w:start w:val="1"/>
      <w:numFmt w:val="lowerLetter"/>
      <w:lvlText w:val="%5."/>
      <w:lvlJc w:val="left"/>
      <w:pPr>
        <w:ind w:left="3243" w:hanging="360"/>
      </w:pPr>
    </w:lvl>
    <w:lvl w:ilvl="5" w:tplc="040C001B" w:tentative="1">
      <w:start w:val="1"/>
      <w:numFmt w:val="lowerRoman"/>
      <w:lvlText w:val="%6."/>
      <w:lvlJc w:val="right"/>
      <w:pPr>
        <w:ind w:left="3963" w:hanging="180"/>
      </w:pPr>
    </w:lvl>
    <w:lvl w:ilvl="6" w:tplc="040C000F" w:tentative="1">
      <w:start w:val="1"/>
      <w:numFmt w:val="decimal"/>
      <w:lvlText w:val="%7."/>
      <w:lvlJc w:val="left"/>
      <w:pPr>
        <w:ind w:left="4683" w:hanging="360"/>
      </w:pPr>
    </w:lvl>
    <w:lvl w:ilvl="7" w:tplc="040C0019" w:tentative="1">
      <w:start w:val="1"/>
      <w:numFmt w:val="lowerLetter"/>
      <w:lvlText w:val="%8."/>
      <w:lvlJc w:val="left"/>
      <w:pPr>
        <w:ind w:left="5403" w:hanging="360"/>
      </w:pPr>
    </w:lvl>
    <w:lvl w:ilvl="8" w:tplc="040C001B" w:tentative="1">
      <w:start w:val="1"/>
      <w:numFmt w:val="lowerRoman"/>
      <w:lvlText w:val="%9."/>
      <w:lvlJc w:val="right"/>
      <w:pPr>
        <w:ind w:left="6123" w:hanging="180"/>
      </w:pPr>
    </w:lvl>
  </w:abstractNum>
  <w:abstractNum w:abstractNumId="16" w15:restartNumberingAfterBreak="0">
    <w:nsid w:val="2BC85D30"/>
    <w:multiLevelType w:val="hybridMultilevel"/>
    <w:tmpl w:val="E1AC4744"/>
    <w:lvl w:ilvl="0" w:tplc="A5F067FA">
      <w:start w:val="1"/>
      <w:numFmt w:val="decimal"/>
      <w:lvlText w:val="%1."/>
      <w:lvlJc w:val="left"/>
      <w:pPr>
        <w:ind w:left="720" w:hanging="360"/>
      </w:pPr>
      <w:rPr>
        <w:rFonts w:ascii="Times New Roman" w:hAnsi="Times New Roman" w:cs="Times New Roman" w:hint="default"/>
        <w:b w:val="0"/>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2B0418E"/>
    <w:multiLevelType w:val="hybridMultilevel"/>
    <w:tmpl w:val="CBFAF538"/>
    <w:lvl w:ilvl="0" w:tplc="9C34E45C">
      <w:start w:val="8"/>
      <w:numFmt w:val="decimal"/>
      <w:lvlText w:val="%1."/>
      <w:lvlJc w:val="left"/>
      <w:pPr>
        <w:ind w:left="9433" w:hanging="360"/>
      </w:pPr>
      <w:rPr>
        <w:rFonts w:hint="default"/>
      </w:rPr>
    </w:lvl>
    <w:lvl w:ilvl="1" w:tplc="040C0019" w:tentative="1">
      <w:start w:val="1"/>
      <w:numFmt w:val="lowerLetter"/>
      <w:lvlText w:val="%2."/>
      <w:lvlJc w:val="left"/>
      <w:pPr>
        <w:ind w:left="10153" w:hanging="360"/>
      </w:pPr>
    </w:lvl>
    <w:lvl w:ilvl="2" w:tplc="040C001B" w:tentative="1">
      <w:start w:val="1"/>
      <w:numFmt w:val="lowerRoman"/>
      <w:lvlText w:val="%3."/>
      <w:lvlJc w:val="right"/>
      <w:pPr>
        <w:ind w:left="10873" w:hanging="180"/>
      </w:pPr>
    </w:lvl>
    <w:lvl w:ilvl="3" w:tplc="040C000F" w:tentative="1">
      <w:start w:val="1"/>
      <w:numFmt w:val="decimal"/>
      <w:lvlText w:val="%4."/>
      <w:lvlJc w:val="left"/>
      <w:pPr>
        <w:ind w:left="11593" w:hanging="360"/>
      </w:pPr>
    </w:lvl>
    <w:lvl w:ilvl="4" w:tplc="040C0019" w:tentative="1">
      <w:start w:val="1"/>
      <w:numFmt w:val="lowerLetter"/>
      <w:lvlText w:val="%5."/>
      <w:lvlJc w:val="left"/>
      <w:pPr>
        <w:ind w:left="12313" w:hanging="360"/>
      </w:pPr>
    </w:lvl>
    <w:lvl w:ilvl="5" w:tplc="040C001B" w:tentative="1">
      <w:start w:val="1"/>
      <w:numFmt w:val="lowerRoman"/>
      <w:lvlText w:val="%6."/>
      <w:lvlJc w:val="right"/>
      <w:pPr>
        <w:ind w:left="13033" w:hanging="180"/>
      </w:pPr>
    </w:lvl>
    <w:lvl w:ilvl="6" w:tplc="040C000F" w:tentative="1">
      <w:start w:val="1"/>
      <w:numFmt w:val="decimal"/>
      <w:lvlText w:val="%7."/>
      <w:lvlJc w:val="left"/>
      <w:pPr>
        <w:ind w:left="13753" w:hanging="360"/>
      </w:pPr>
    </w:lvl>
    <w:lvl w:ilvl="7" w:tplc="040C0019" w:tentative="1">
      <w:start w:val="1"/>
      <w:numFmt w:val="lowerLetter"/>
      <w:lvlText w:val="%8."/>
      <w:lvlJc w:val="left"/>
      <w:pPr>
        <w:ind w:left="14473" w:hanging="360"/>
      </w:pPr>
    </w:lvl>
    <w:lvl w:ilvl="8" w:tplc="040C001B" w:tentative="1">
      <w:start w:val="1"/>
      <w:numFmt w:val="lowerRoman"/>
      <w:lvlText w:val="%9."/>
      <w:lvlJc w:val="right"/>
      <w:pPr>
        <w:ind w:left="15193" w:hanging="180"/>
      </w:pPr>
    </w:lvl>
  </w:abstractNum>
  <w:abstractNum w:abstractNumId="18" w15:restartNumberingAfterBreak="0">
    <w:nsid w:val="36D00466"/>
    <w:multiLevelType w:val="hybridMultilevel"/>
    <w:tmpl w:val="3B36E128"/>
    <w:lvl w:ilvl="0" w:tplc="56044E46">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92560E"/>
    <w:multiLevelType w:val="hybridMultilevel"/>
    <w:tmpl w:val="2D6A991E"/>
    <w:lvl w:ilvl="0" w:tplc="F216BA88">
      <w:start w:val="18"/>
      <w:numFmt w:val="decimal"/>
      <w:lvlText w:val="%1."/>
      <w:lvlJc w:val="left"/>
      <w:pPr>
        <w:ind w:left="720" w:hanging="360"/>
      </w:pPr>
      <w:rPr>
        <w:rFonts w:ascii="Times New Roman" w:hAnsi="Times New Roman" w:cs="Times New Roman" w:hint="default"/>
        <w:b w:val="0"/>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A254E18"/>
    <w:multiLevelType w:val="hybridMultilevel"/>
    <w:tmpl w:val="A70286A2"/>
    <w:lvl w:ilvl="0" w:tplc="630E8FFC">
      <w:start w:val="1"/>
      <w:numFmt w:val="decimal"/>
      <w:lvlText w:val="%1."/>
      <w:lvlJc w:val="left"/>
      <w:pPr>
        <w:ind w:left="1440" w:hanging="360"/>
      </w:pPr>
      <w:rPr>
        <w:rFonts w:ascii="Times New Roman" w:hAnsi="Times New Roman" w:cs="Times New Roman" w:hint="default"/>
        <w:b w:val="0"/>
        <w:color w:val="000000"/>
        <w:sz w:val="20"/>
      </w:r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15:restartNumberingAfterBreak="0">
    <w:nsid w:val="3DDD09E1"/>
    <w:multiLevelType w:val="hybridMultilevel"/>
    <w:tmpl w:val="1B141314"/>
    <w:lvl w:ilvl="0" w:tplc="A5F067FA">
      <w:start w:val="1"/>
      <w:numFmt w:val="decimal"/>
      <w:lvlText w:val="%1."/>
      <w:lvlJc w:val="left"/>
      <w:pPr>
        <w:ind w:left="720" w:hanging="360"/>
      </w:pPr>
      <w:rPr>
        <w:rFonts w:ascii="Times New Roman" w:hAnsi="Times New Roman" w:cs="Times New Roman" w:hint="default"/>
        <w:b w:val="0"/>
        <w:color w:val="0000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DF805D4"/>
    <w:multiLevelType w:val="hybridMultilevel"/>
    <w:tmpl w:val="CF767A18"/>
    <w:lvl w:ilvl="0" w:tplc="2B18A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1C75DB"/>
    <w:multiLevelType w:val="hybridMultilevel"/>
    <w:tmpl w:val="CCDED580"/>
    <w:lvl w:ilvl="0" w:tplc="C4127B66">
      <w:start w:val="1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4E316DE5"/>
    <w:multiLevelType w:val="hybridMultilevel"/>
    <w:tmpl w:val="64600E5C"/>
    <w:lvl w:ilvl="0" w:tplc="6F5C8994">
      <w:start w:val="1"/>
      <w:numFmt w:val="upperRoman"/>
      <w:lvlText w:val="%1."/>
      <w:lvlJc w:val="left"/>
      <w:pPr>
        <w:ind w:left="630" w:hanging="72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6" w15:restartNumberingAfterBreak="0">
    <w:nsid w:val="53BE7277"/>
    <w:multiLevelType w:val="hybridMultilevel"/>
    <w:tmpl w:val="762C13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46D1091"/>
    <w:multiLevelType w:val="hybridMultilevel"/>
    <w:tmpl w:val="5D6A09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602CA8"/>
    <w:multiLevelType w:val="hybridMultilevel"/>
    <w:tmpl w:val="1B141314"/>
    <w:lvl w:ilvl="0" w:tplc="A5F067FA">
      <w:start w:val="1"/>
      <w:numFmt w:val="decimal"/>
      <w:lvlText w:val="%1."/>
      <w:lvlJc w:val="left"/>
      <w:pPr>
        <w:ind w:left="720" w:hanging="360"/>
      </w:pPr>
      <w:rPr>
        <w:rFonts w:ascii="Times New Roman" w:hAnsi="Times New Roman" w:cs="Times New Roman" w:hint="default"/>
        <w:b w:val="0"/>
        <w:color w:val="0000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6573C1"/>
    <w:multiLevelType w:val="multilevel"/>
    <w:tmpl w:val="FA58A9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2" w15:restartNumberingAfterBreak="0">
    <w:nsid w:val="5E482AAC"/>
    <w:multiLevelType w:val="hybridMultilevel"/>
    <w:tmpl w:val="9FA4D40C"/>
    <w:lvl w:ilvl="0" w:tplc="A5F067FA">
      <w:start w:val="1"/>
      <w:numFmt w:val="decimal"/>
      <w:lvlText w:val="%1."/>
      <w:lvlJc w:val="left"/>
      <w:pPr>
        <w:ind w:left="1440" w:hanging="360"/>
      </w:pPr>
      <w:rPr>
        <w:rFonts w:ascii="Times New Roman" w:hAnsi="Times New Roman" w:cs="Times New Roman" w:hint="default"/>
        <w:b w:val="0"/>
        <w:color w:val="000000"/>
      </w:r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3" w15:restartNumberingAfterBreak="0">
    <w:nsid w:val="5F0D4A1E"/>
    <w:multiLevelType w:val="hybridMultilevel"/>
    <w:tmpl w:val="9BE2D22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4" w15:restartNumberingAfterBreak="0">
    <w:nsid w:val="6099289F"/>
    <w:multiLevelType w:val="hybridMultilevel"/>
    <w:tmpl w:val="1B141314"/>
    <w:lvl w:ilvl="0" w:tplc="A5F067FA">
      <w:start w:val="1"/>
      <w:numFmt w:val="decimal"/>
      <w:lvlText w:val="%1."/>
      <w:lvlJc w:val="left"/>
      <w:pPr>
        <w:ind w:left="720" w:hanging="360"/>
      </w:pPr>
      <w:rPr>
        <w:rFonts w:ascii="Times New Roman" w:hAnsi="Times New Roman" w:cs="Times New Roman" w:hint="default"/>
        <w:b w:val="0"/>
        <w:color w:val="0000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4781C30"/>
    <w:multiLevelType w:val="hybridMultilevel"/>
    <w:tmpl w:val="06960AF2"/>
    <w:lvl w:ilvl="0" w:tplc="D4F090F6">
      <w:start w:val="26"/>
      <w:numFmt w:val="decimal"/>
      <w:lvlText w:val="%1."/>
      <w:lvlJc w:val="left"/>
      <w:pPr>
        <w:ind w:left="720" w:hanging="360"/>
      </w:pPr>
      <w:rPr>
        <w:rFonts w:ascii="Times New Roman" w:hAnsi="Times New Roman" w:cs="Times New Roman" w:hint="default"/>
        <w:b w:val="0"/>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6922C9A"/>
    <w:multiLevelType w:val="hybridMultilevel"/>
    <w:tmpl w:val="1B141314"/>
    <w:lvl w:ilvl="0" w:tplc="A5F067FA">
      <w:start w:val="1"/>
      <w:numFmt w:val="decimal"/>
      <w:lvlText w:val="%1."/>
      <w:lvlJc w:val="left"/>
      <w:pPr>
        <w:ind w:left="720" w:hanging="360"/>
      </w:pPr>
      <w:rPr>
        <w:rFonts w:ascii="Times New Roman" w:hAnsi="Times New Roman" w:cs="Times New Roman" w:hint="default"/>
        <w:b w:val="0"/>
        <w:color w:val="0000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DA65ACB"/>
    <w:multiLevelType w:val="hybridMultilevel"/>
    <w:tmpl w:val="1B141314"/>
    <w:lvl w:ilvl="0" w:tplc="A5F067FA">
      <w:start w:val="1"/>
      <w:numFmt w:val="decimal"/>
      <w:lvlText w:val="%1."/>
      <w:lvlJc w:val="left"/>
      <w:pPr>
        <w:ind w:left="720" w:hanging="360"/>
      </w:pPr>
      <w:rPr>
        <w:rFonts w:ascii="Times New Roman" w:hAnsi="Times New Roman" w:cs="Times New Roman" w:hint="default"/>
        <w:b w:val="0"/>
        <w:color w:val="0000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0D73FD3"/>
    <w:multiLevelType w:val="hybridMultilevel"/>
    <w:tmpl w:val="894A85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D9562C"/>
    <w:multiLevelType w:val="hybridMultilevel"/>
    <w:tmpl w:val="5950B132"/>
    <w:lvl w:ilvl="0" w:tplc="AA0E906E">
      <w:numFmt w:val="bullet"/>
      <w:lvlText w:val="-"/>
      <w:lvlJc w:val="left"/>
      <w:pPr>
        <w:ind w:left="720" w:hanging="360"/>
      </w:pPr>
      <w:rPr>
        <w:rFonts w:ascii="Times New Roman" w:eastAsia="Times New Roman" w:hAnsi="Times New Roman" w:cs="Times New Roman" w:hint="default"/>
        <w:b w:val="0"/>
        <w:color w:val="0000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8C31ACA"/>
    <w:multiLevelType w:val="hybridMultilevel"/>
    <w:tmpl w:val="D1C4EC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9713515"/>
    <w:multiLevelType w:val="hybridMultilevel"/>
    <w:tmpl w:val="DA7C8130"/>
    <w:lvl w:ilvl="0" w:tplc="9FF2A4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38"/>
  </w:num>
  <w:num w:numId="3">
    <w:abstractNumId w:val="30"/>
  </w:num>
  <w:num w:numId="4">
    <w:abstractNumId w:val="20"/>
  </w:num>
  <w:num w:numId="5">
    <w:abstractNumId w:val="7"/>
  </w:num>
  <w:num w:numId="6">
    <w:abstractNumId w:val="5"/>
  </w:num>
  <w:num w:numId="7">
    <w:abstractNumId w:val="22"/>
  </w:num>
  <w:num w:numId="8">
    <w:abstractNumId w:val="4"/>
  </w:num>
  <w:num w:numId="9">
    <w:abstractNumId w:val="18"/>
  </w:num>
  <w:num w:numId="10">
    <w:abstractNumId w:val="13"/>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4"/>
  </w:num>
  <w:num w:numId="13">
    <w:abstractNumId w:val="39"/>
  </w:num>
  <w:num w:numId="14">
    <w:abstractNumId w:val="8"/>
  </w:num>
  <w:num w:numId="15">
    <w:abstractNumId w:val="34"/>
  </w:num>
  <w:num w:numId="16">
    <w:abstractNumId w:val="12"/>
  </w:num>
  <w:num w:numId="17">
    <w:abstractNumId w:val="29"/>
  </w:num>
  <w:num w:numId="18">
    <w:abstractNumId w:val="37"/>
  </w:num>
  <w:num w:numId="19">
    <w:abstractNumId w:val="21"/>
  </w:num>
  <w:num w:numId="20">
    <w:abstractNumId w:val="6"/>
  </w:num>
  <w:num w:numId="21">
    <w:abstractNumId w:val="31"/>
  </w:num>
  <w:num w:numId="22">
    <w:abstractNumId w:val="11"/>
  </w:num>
  <w:num w:numId="23">
    <w:abstractNumId w:val="36"/>
  </w:num>
  <w:num w:numId="24">
    <w:abstractNumId w:val="9"/>
  </w:num>
  <w:num w:numId="25">
    <w:abstractNumId w:val="17"/>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5"/>
  </w:num>
  <w:num w:numId="29">
    <w:abstractNumId w:val="15"/>
  </w:num>
  <w:num w:numId="30">
    <w:abstractNumId w:val="1"/>
  </w:num>
  <w:num w:numId="31">
    <w:abstractNumId w:val="23"/>
  </w:num>
  <w:num w:numId="32">
    <w:abstractNumId w:val="0"/>
  </w:num>
  <w:num w:numId="33">
    <w:abstractNumId w:val="10"/>
  </w:num>
  <w:num w:numId="34">
    <w:abstractNumId w:val="27"/>
  </w:num>
  <w:num w:numId="35">
    <w:abstractNumId w:val="2"/>
  </w:num>
  <w:num w:numId="36">
    <w:abstractNumId w:val="16"/>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41"/>
  </w:num>
  <w:num w:numId="40">
    <w:abstractNumId w:val="32"/>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24"/>
  </w:num>
  <w:num w:numId="44">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S1NDWysLA0Mrc0MjBU0lEKTi0uzszPAykwrAUAtQlDHiwAAAA="/>
  </w:docVars>
  <w:rsids>
    <w:rsidRoot w:val="00D9153B"/>
    <w:rsid w:val="0000010F"/>
    <w:rsid w:val="000005D1"/>
    <w:rsid w:val="000010B5"/>
    <w:rsid w:val="000027D2"/>
    <w:rsid w:val="00003A1C"/>
    <w:rsid w:val="00004C88"/>
    <w:rsid w:val="00005DD8"/>
    <w:rsid w:val="00005E26"/>
    <w:rsid w:val="00007D4F"/>
    <w:rsid w:val="0001066B"/>
    <w:rsid w:val="000108E6"/>
    <w:rsid w:val="000113E6"/>
    <w:rsid w:val="00011845"/>
    <w:rsid w:val="0001309E"/>
    <w:rsid w:val="0001427F"/>
    <w:rsid w:val="000145A1"/>
    <w:rsid w:val="00015FDE"/>
    <w:rsid w:val="00016217"/>
    <w:rsid w:val="00016429"/>
    <w:rsid w:val="0001666E"/>
    <w:rsid w:val="00016861"/>
    <w:rsid w:val="000171E9"/>
    <w:rsid w:val="00017FCD"/>
    <w:rsid w:val="000200CF"/>
    <w:rsid w:val="000205F1"/>
    <w:rsid w:val="00020FA8"/>
    <w:rsid w:val="00021A87"/>
    <w:rsid w:val="00022047"/>
    <w:rsid w:val="00022624"/>
    <w:rsid w:val="00023312"/>
    <w:rsid w:val="00024FEA"/>
    <w:rsid w:val="000254E4"/>
    <w:rsid w:val="000256F2"/>
    <w:rsid w:val="00025CB0"/>
    <w:rsid w:val="00025E82"/>
    <w:rsid w:val="000274B9"/>
    <w:rsid w:val="0002758B"/>
    <w:rsid w:val="000276A0"/>
    <w:rsid w:val="00030BF9"/>
    <w:rsid w:val="00030E77"/>
    <w:rsid w:val="00031A19"/>
    <w:rsid w:val="00031BB5"/>
    <w:rsid w:val="000324CF"/>
    <w:rsid w:val="000330DB"/>
    <w:rsid w:val="00033FE5"/>
    <w:rsid w:val="0003429F"/>
    <w:rsid w:val="0003562A"/>
    <w:rsid w:val="00036095"/>
    <w:rsid w:val="0003629F"/>
    <w:rsid w:val="00036AF4"/>
    <w:rsid w:val="000377D2"/>
    <w:rsid w:val="00037955"/>
    <w:rsid w:val="000408F1"/>
    <w:rsid w:val="0004101F"/>
    <w:rsid w:val="0004127E"/>
    <w:rsid w:val="00041C10"/>
    <w:rsid w:val="00042A69"/>
    <w:rsid w:val="00042C68"/>
    <w:rsid w:val="00043097"/>
    <w:rsid w:val="00043804"/>
    <w:rsid w:val="000441A1"/>
    <w:rsid w:val="00045730"/>
    <w:rsid w:val="0004696C"/>
    <w:rsid w:val="000471EF"/>
    <w:rsid w:val="00047245"/>
    <w:rsid w:val="000479EE"/>
    <w:rsid w:val="000502F1"/>
    <w:rsid w:val="00050869"/>
    <w:rsid w:val="00050A40"/>
    <w:rsid w:val="0005100E"/>
    <w:rsid w:val="00052205"/>
    <w:rsid w:val="00052F23"/>
    <w:rsid w:val="000533E0"/>
    <w:rsid w:val="0005433D"/>
    <w:rsid w:val="000548BA"/>
    <w:rsid w:val="00054B0C"/>
    <w:rsid w:val="00054BDC"/>
    <w:rsid w:val="00054C89"/>
    <w:rsid w:val="000554A5"/>
    <w:rsid w:val="000561C1"/>
    <w:rsid w:val="00056204"/>
    <w:rsid w:val="000570D1"/>
    <w:rsid w:val="000571A0"/>
    <w:rsid w:val="000571A9"/>
    <w:rsid w:val="000571DE"/>
    <w:rsid w:val="00060290"/>
    <w:rsid w:val="00060845"/>
    <w:rsid w:val="00060AE8"/>
    <w:rsid w:val="00060D5D"/>
    <w:rsid w:val="00061E7C"/>
    <w:rsid w:val="0006316A"/>
    <w:rsid w:val="00063E24"/>
    <w:rsid w:val="00064B68"/>
    <w:rsid w:val="0006527D"/>
    <w:rsid w:val="00065606"/>
    <w:rsid w:val="00065994"/>
    <w:rsid w:val="0006632C"/>
    <w:rsid w:val="0007146F"/>
    <w:rsid w:val="00072229"/>
    <w:rsid w:val="00072DCF"/>
    <w:rsid w:val="00073454"/>
    <w:rsid w:val="00073CF1"/>
    <w:rsid w:val="00074887"/>
    <w:rsid w:val="00074934"/>
    <w:rsid w:val="00074BD0"/>
    <w:rsid w:val="00074D9A"/>
    <w:rsid w:val="00074DB9"/>
    <w:rsid w:val="00074E26"/>
    <w:rsid w:val="000750E5"/>
    <w:rsid w:val="000753C4"/>
    <w:rsid w:val="00075DF0"/>
    <w:rsid w:val="000762CA"/>
    <w:rsid w:val="000768DC"/>
    <w:rsid w:val="00076A14"/>
    <w:rsid w:val="000803A4"/>
    <w:rsid w:val="000803BF"/>
    <w:rsid w:val="000806E3"/>
    <w:rsid w:val="00081941"/>
    <w:rsid w:val="00081CDE"/>
    <w:rsid w:val="000824EB"/>
    <w:rsid w:val="00082C68"/>
    <w:rsid w:val="00082E33"/>
    <w:rsid w:val="0008339E"/>
    <w:rsid w:val="00085A9B"/>
    <w:rsid w:val="00085B10"/>
    <w:rsid w:val="00086915"/>
    <w:rsid w:val="00086F03"/>
    <w:rsid w:val="000877B6"/>
    <w:rsid w:val="00090AD1"/>
    <w:rsid w:val="00090F4F"/>
    <w:rsid w:val="00091476"/>
    <w:rsid w:val="000918CA"/>
    <w:rsid w:val="0009239B"/>
    <w:rsid w:val="00092879"/>
    <w:rsid w:val="00094E87"/>
    <w:rsid w:val="00096363"/>
    <w:rsid w:val="000964EC"/>
    <w:rsid w:val="000967C7"/>
    <w:rsid w:val="000973FA"/>
    <w:rsid w:val="00097AE3"/>
    <w:rsid w:val="00097C10"/>
    <w:rsid w:val="00097E99"/>
    <w:rsid w:val="00097FB2"/>
    <w:rsid w:val="000A13DB"/>
    <w:rsid w:val="000A151D"/>
    <w:rsid w:val="000A217C"/>
    <w:rsid w:val="000A2376"/>
    <w:rsid w:val="000A24C5"/>
    <w:rsid w:val="000A2A89"/>
    <w:rsid w:val="000A3F7F"/>
    <w:rsid w:val="000A41B0"/>
    <w:rsid w:val="000A4407"/>
    <w:rsid w:val="000A5491"/>
    <w:rsid w:val="000A6104"/>
    <w:rsid w:val="000A68E1"/>
    <w:rsid w:val="000B128A"/>
    <w:rsid w:val="000B1AB1"/>
    <w:rsid w:val="000B2AFD"/>
    <w:rsid w:val="000B329C"/>
    <w:rsid w:val="000B36BB"/>
    <w:rsid w:val="000B3A13"/>
    <w:rsid w:val="000B401C"/>
    <w:rsid w:val="000B4BB2"/>
    <w:rsid w:val="000B53B9"/>
    <w:rsid w:val="000B5A01"/>
    <w:rsid w:val="000B5C15"/>
    <w:rsid w:val="000B612E"/>
    <w:rsid w:val="000B6150"/>
    <w:rsid w:val="000B6379"/>
    <w:rsid w:val="000B6994"/>
    <w:rsid w:val="000B6A35"/>
    <w:rsid w:val="000B7F55"/>
    <w:rsid w:val="000C08D6"/>
    <w:rsid w:val="000C24F1"/>
    <w:rsid w:val="000C26E7"/>
    <w:rsid w:val="000C2925"/>
    <w:rsid w:val="000C47C2"/>
    <w:rsid w:val="000C4B15"/>
    <w:rsid w:val="000C5F2A"/>
    <w:rsid w:val="000C6109"/>
    <w:rsid w:val="000C6D15"/>
    <w:rsid w:val="000C76B0"/>
    <w:rsid w:val="000C7BBE"/>
    <w:rsid w:val="000D0044"/>
    <w:rsid w:val="000D06E4"/>
    <w:rsid w:val="000D0B19"/>
    <w:rsid w:val="000D2433"/>
    <w:rsid w:val="000D2475"/>
    <w:rsid w:val="000D2940"/>
    <w:rsid w:val="000D29EA"/>
    <w:rsid w:val="000D324C"/>
    <w:rsid w:val="000D442C"/>
    <w:rsid w:val="000D4C50"/>
    <w:rsid w:val="000D4DC4"/>
    <w:rsid w:val="000D4EF2"/>
    <w:rsid w:val="000D66D9"/>
    <w:rsid w:val="000E03FA"/>
    <w:rsid w:val="000E1997"/>
    <w:rsid w:val="000E2422"/>
    <w:rsid w:val="000E341E"/>
    <w:rsid w:val="000E4F53"/>
    <w:rsid w:val="000E5604"/>
    <w:rsid w:val="000E5694"/>
    <w:rsid w:val="000E612D"/>
    <w:rsid w:val="000E6AB1"/>
    <w:rsid w:val="000E6D7B"/>
    <w:rsid w:val="000E745A"/>
    <w:rsid w:val="000E773B"/>
    <w:rsid w:val="000E77A6"/>
    <w:rsid w:val="000E78D8"/>
    <w:rsid w:val="000E7E9E"/>
    <w:rsid w:val="000F0044"/>
    <w:rsid w:val="000F1DE8"/>
    <w:rsid w:val="000F4FBF"/>
    <w:rsid w:val="000F53BD"/>
    <w:rsid w:val="000F5541"/>
    <w:rsid w:val="000F5735"/>
    <w:rsid w:val="000F5DA0"/>
    <w:rsid w:val="000F703B"/>
    <w:rsid w:val="000F72ED"/>
    <w:rsid w:val="000F7A4C"/>
    <w:rsid w:val="000F7D0D"/>
    <w:rsid w:val="00102019"/>
    <w:rsid w:val="0010220D"/>
    <w:rsid w:val="00102DF9"/>
    <w:rsid w:val="00103FB9"/>
    <w:rsid w:val="001040C4"/>
    <w:rsid w:val="00104E73"/>
    <w:rsid w:val="00105CC3"/>
    <w:rsid w:val="00105D90"/>
    <w:rsid w:val="001060A5"/>
    <w:rsid w:val="00106EF8"/>
    <w:rsid w:val="001101A2"/>
    <w:rsid w:val="00111296"/>
    <w:rsid w:val="00111489"/>
    <w:rsid w:val="00111792"/>
    <w:rsid w:val="00111797"/>
    <w:rsid w:val="00111B19"/>
    <w:rsid w:val="00111C82"/>
    <w:rsid w:val="00112A7A"/>
    <w:rsid w:val="001139CF"/>
    <w:rsid w:val="001149A2"/>
    <w:rsid w:val="00114A64"/>
    <w:rsid w:val="00114A8E"/>
    <w:rsid w:val="001153F6"/>
    <w:rsid w:val="00115585"/>
    <w:rsid w:val="00115DE3"/>
    <w:rsid w:val="00115F59"/>
    <w:rsid w:val="00116C1A"/>
    <w:rsid w:val="00121A21"/>
    <w:rsid w:val="00121BFC"/>
    <w:rsid w:val="00121F3E"/>
    <w:rsid w:val="0012229E"/>
    <w:rsid w:val="001229D8"/>
    <w:rsid w:val="00122CBB"/>
    <w:rsid w:val="00123849"/>
    <w:rsid w:val="00123A5E"/>
    <w:rsid w:val="00123C2D"/>
    <w:rsid w:val="00124C83"/>
    <w:rsid w:val="00125010"/>
    <w:rsid w:val="00125266"/>
    <w:rsid w:val="00125B82"/>
    <w:rsid w:val="001266E1"/>
    <w:rsid w:val="001266E9"/>
    <w:rsid w:val="001270E2"/>
    <w:rsid w:val="00127D46"/>
    <w:rsid w:val="00127F1D"/>
    <w:rsid w:val="001305E6"/>
    <w:rsid w:val="00131360"/>
    <w:rsid w:val="001316FB"/>
    <w:rsid w:val="00131759"/>
    <w:rsid w:val="0013239A"/>
    <w:rsid w:val="00132D93"/>
    <w:rsid w:val="00133C8B"/>
    <w:rsid w:val="00134DB2"/>
    <w:rsid w:val="001355BC"/>
    <w:rsid w:val="00136A49"/>
    <w:rsid w:val="0013761A"/>
    <w:rsid w:val="001407C5"/>
    <w:rsid w:val="00141A04"/>
    <w:rsid w:val="001420B4"/>
    <w:rsid w:val="001423BE"/>
    <w:rsid w:val="001429CB"/>
    <w:rsid w:val="001432E1"/>
    <w:rsid w:val="0014330D"/>
    <w:rsid w:val="001434BF"/>
    <w:rsid w:val="00143B3D"/>
    <w:rsid w:val="00143BB3"/>
    <w:rsid w:val="0014423A"/>
    <w:rsid w:val="001444D3"/>
    <w:rsid w:val="00144976"/>
    <w:rsid w:val="001453B2"/>
    <w:rsid w:val="00146863"/>
    <w:rsid w:val="00146B5C"/>
    <w:rsid w:val="00147042"/>
    <w:rsid w:val="001471A7"/>
    <w:rsid w:val="0015005A"/>
    <w:rsid w:val="001506F6"/>
    <w:rsid w:val="0015195C"/>
    <w:rsid w:val="001521CC"/>
    <w:rsid w:val="00153195"/>
    <w:rsid w:val="001537BD"/>
    <w:rsid w:val="00154032"/>
    <w:rsid w:val="001545FC"/>
    <w:rsid w:val="00154684"/>
    <w:rsid w:val="001547D3"/>
    <w:rsid w:val="00154F44"/>
    <w:rsid w:val="001559BD"/>
    <w:rsid w:val="00156CC6"/>
    <w:rsid w:val="00156DC7"/>
    <w:rsid w:val="00157D83"/>
    <w:rsid w:val="00157F09"/>
    <w:rsid w:val="00157F79"/>
    <w:rsid w:val="00163E84"/>
    <w:rsid w:val="001646DE"/>
    <w:rsid w:val="001649D6"/>
    <w:rsid w:val="00164F9B"/>
    <w:rsid w:val="00165115"/>
    <w:rsid w:val="00165238"/>
    <w:rsid w:val="00165847"/>
    <w:rsid w:val="001664A8"/>
    <w:rsid w:val="001668AA"/>
    <w:rsid w:val="00166C8C"/>
    <w:rsid w:val="00167512"/>
    <w:rsid w:val="001675B1"/>
    <w:rsid w:val="0016789D"/>
    <w:rsid w:val="00167C87"/>
    <w:rsid w:val="00170CCF"/>
    <w:rsid w:val="00170FCF"/>
    <w:rsid w:val="001717BF"/>
    <w:rsid w:val="00172EE3"/>
    <w:rsid w:val="00173FC8"/>
    <w:rsid w:val="00174D29"/>
    <w:rsid w:val="001753A9"/>
    <w:rsid w:val="00175425"/>
    <w:rsid w:val="00177E7E"/>
    <w:rsid w:val="00180465"/>
    <w:rsid w:val="0018092C"/>
    <w:rsid w:val="001813F4"/>
    <w:rsid w:val="0018151A"/>
    <w:rsid w:val="001815C2"/>
    <w:rsid w:val="001816C1"/>
    <w:rsid w:val="001827E5"/>
    <w:rsid w:val="0018338E"/>
    <w:rsid w:val="0018356F"/>
    <w:rsid w:val="00185060"/>
    <w:rsid w:val="00185091"/>
    <w:rsid w:val="0018590F"/>
    <w:rsid w:val="0018599F"/>
    <w:rsid w:val="00186446"/>
    <w:rsid w:val="00186D57"/>
    <w:rsid w:val="001876C5"/>
    <w:rsid w:val="00187D68"/>
    <w:rsid w:val="00190155"/>
    <w:rsid w:val="001906B5"/>
    <w:rsid w:val="00190B6E"/>
    <w:rsid w:val="001910D6"/>
    <w:rsid w:val="0019131B"/>
    <w:rsid w:val="001916EE"/>
    <w:rsid w:val="00192557"/>
    <w:rsid w:val="00192940"/>
    <w:rsid w:val="001939D9"/>
    <w:rsid w:val="00194163"/>
    <w:rsid w:val="001942D1"/>
    <w:rsid w:val="00194C0E"/>
    <w:rsid w:val="00194FEB"/>
    <w:rsid w:val="00196736"/>
    <w:rsid w:val="001970A4"/>
    <w:rsid w:val="00197AD1"/>
    <w:rsid w:val="001A1231"/>
    <w:rsid w:val="001A1304"/>
    <w:rsid w:val="001A1FD7"/>
    <w:rsid w:val="001A2F33"/>
    <w:rsid w:val="001A3DCA"/>
    <w:rsid w:val="001A417E"/>
    <w:rsid w:val="001A4B05"/>
    <w:rsid w:val="001A512B"/>
    <w:rsid w:val="001A6436"/>
    <w:rsid w:val="001A6DB6"/>
    <w:rsid w:val="001A6F81"/>
    <w:rsid w:val="001B0020"/>
    <w:rsid w:val="001B3F87"/>
    <w:rsid w:val="001B4026"/>
    <w:rsid w:val="001B4726"/>
    <w:rsid w:val="001B5444"/>
    <w:rsid w:val="001B598C"/>
    <w:rsid w:val="001B5BA1"/>
    <w:rsid w:val="001B648D"/>
    <w:rsid w:val="001B6B7D"/>
    <w:rsid w:val="001B76A6"/>
    <w:rsid w:val="001C07F8"/>
    <w:rsid w:val="001C0DAF"/>
    <w:rsid w:val="001C1147"/>
    <w:rsid w:val="001C2BE1"/>
    <w:rsid w:val="001C2F59"/>
    <w:rsid w:val="001C3D36"/>
    <w:rsid w:val="001C4AC8"/>
    <w:rsid w:val="001C4D1E"/>
    <w:rsid w:val="001C4F44"/>
    <w:rsid w:val="001C564F"/>
    <w:rsid w:val="001C60C3"/>
    <w:rsid w:val="001C65D3"/>
    <w:rsid w:val="001C6C08"/>
    <w:rsid w:val="001C77C0"/>
    <w:rsid w:val="001C79EB"/>
    <w:rsid w:val="001D0A6F"/>
    <w:rsid w:val="001D1B49"/>
    <w:rsid w:val="001D2056"/>
    <w:rsid w:val="001D33A2"/>
    <w:rsid w:val="001D3861"/>
    <w:rsid w:val="001D3FBF"/>
    <w:rsid w:val="001D42D1"/>
    <w:rsid w:val="001D495C"/>
    <w:rsid w:val="001D49D4"/>
    <w:rsid w:val="001D4BBB"/>
    <w:rsid w:val="001D64E5"/>
    <w:rsid w:val="001D6EB8"/>
    <w:rsid w:val="001D6F5B"/>
    <w:rsid w:val="001D7540"/>
    <w:rsid w:val="001D7C2E"/>
    <w:rsid w:val="001E05EC"/>
    <w:rsid w:val="001E0792"/>
    <w:rsid w:val="001E252A"/>
    <w:rsid w:val="001E254D"/>
    <w:rsid w:val="001E25D6"/>
    <w:rsid w:val="001E3D03"/>
    <w:rsid w:val="001E3DD4"/>
    <w:rsid w:val="001E3E5E"/>
    <w:rsid w:val="001E4809"/>
    <w:rsid w:val="001E4F4F"/>
    <w:rsid w:val="001E69E1"/>
    <w:rsid w:val="001E71B0"/>
    <w:rsid w:val="001E7228"/>
    <w:rsid w:val="001F0AF9"/>
    <w:rsid w:val="001F2325"/>
    <w:rsid w:val="001F25CF"/>
    <w:rsid w:val="001F27F4"/>
    <w:rsid w:val="001F291F"/>
    <w:rsid w:val="001F3DC0"/>
    <w:rsid w:val="001F4C5A"/>
    <w:rsid w:val="001F4EA9"/>
    <w:rsid w:val="001F4F73"/>
    <w:rsid w:val="001F6425"/>
    <w:rsid w:val="001F6772"/>
    <w:rsid w:val="001F6CF5"/>
    <w:rsid w:val="001F734F"/>
    <w:rsid w:val="001F7421"/>
    <w:rsid w:val="00200195"/>
    <w:rsid w:val="00200B5F"/>
    <w:rsid w:val="002015BB"/>
    <w:rsid w:val="002017C8"/>
    <w:rsid w:val="00201EEF"/>
    <w:rsid w:val="002028ED"/>
    <w:rsid w:val="00202EBB"/>
    <w:rsid w:val="002045AB"/>
    <w:rsid w:val="002047C8"/>
    <w:rsid w:val="00204F92"/>
    <w:rsid w:val="002052B3"/>
    <w:rsid w:val="00205453"/>
    <w:rsid w:val="0020575F"/>
    <w:rsid w:val="002058F9"/>
    <w:rsid w:val="00205ABC"/>
    <w:rsid w:val="0020758C"/>
    <w:rsid w:val="00207F32"/>
    <w:rsid w:val="0021079A"/>
    <w:rsid w:val="00210B02"/>
    <w:rsid w:val="00210DD8"/>
    <w:rsid w:val="00210EF9"/>
    <w:rsid w:val="00212323"/>
    <w:rsid w:val="002129F9"/>
    <w:rsid w:val="00212B1F"/>
    <w:rsid w:val="00213318"/>
    <w:rsid w:val="00213340"/>
    <w:rsid w:val="00213A7F"/>
    <w:rsid w:val="00213AE0"/>
    <w:rsid w:val="00213B01"/>
    <w:rsid w:val="00213D7C"/>
    <w:rsid w:val="00214513"/>
    <w:rsid w:val="002154EF"/>
    <w:rsid w:val="002155B7"/>
    <w:rsid w:val="00215AAE"/>
    <w:rsid w:val="002167CC"/>
    <w:rsid w:val="00216832"/>
    <w:rsid w:val="00217142"/>
    <w:rsid w:val="0021766A"/>
    <w:rsid w:val="00217920"/>
    <w:rsid w:val="00217A85"/>
    <w:rsid w:val="00221962"/>
    <w:rsid w:val="00221B37"/>
    <w:rsid w:val="002225D3"/>
    <w:rsid w:val="00222A35"/>
    <w:rsid w:val="0022301D"/>
    <w:rsid w:val="0022331E"/>
    <w:rsid w:val="00223904"/>
    <w:rsid w:val="00223A75"/>
    <w:rsid w:val="00223CD7"/>
    <w:rsid w:val="00224867"/>
    <w:rsid w:val="002248EF"/>
    <w:rsid w:val="00224970"/>
    <w:rsid w:val="00224B2C"/>
    <w:rsid w:val="002250F8"/>
    <w:rsid w:val="0022535C"/>
    <w:rsid w:val="0022694E"/>
    <w:rsid w:val="00227872"/>
    <w:rsid w:val="00227E55"/>
    <w:rsid w:val="002300CF"/>
    <w:rsid w:val="00230230"/>
    <w:rsid w:val="00232AA0"/>
    <w:rsid w:val="00232C09"/>
    <w:rsid w:val="00232E55"/>
    <w:rsid w:val="00234371"/>
    <w:rsid w:val="00234962"/>
    <w:rsid w:val="00234CDF"/>
    <w:rsid w:val="00234FE3"/>
    <w:rsid w:val="002353A1"/>
    <w:rsid w:val="00235762"/>
    <w:rsid w:val="00236B91"/>
    <w:rsid w:val="00237E6A"/>
    <w:rsid w:val="002409E4"/>
    <w:rsid w:val="00241220"/>
    <w:rsid w:val="00242474"/>
    <w:rsid w:val="002424C0"/>
    <w:rsid w:val="00242617"/>
    <w:rsid w:val="00242CAA"/>
    <w:rsid w:val="00243674"/>
    <w:rsid w:val="0024503B"/>
    <w:rsid w:val="00245D74"/>
    <w:rsid w:val="00246345"/>
    <w:rsid w:val="0024635B"/>
    <w:rsid w:val="00246D03"/>
    <w:rsid w:val="00246DDF"/>
    <w:rsid w:val="00247711"/>
    <w:rsid w:val="00251EFD"/>
    <w:rsid w:val="00252B2C"/>
    <w:rsid w:val="00253D4D"/>
    <w:rsid w:val="00254364"/>
    <w:rsid w:val="00254BC3"/>
    <w:rsid w:val="00255F71"/>
    <w:rsid w:val="002573CC"/>
    <w:rsid w:val="0025758B"/>
    <w:rsid w:val="002578FA"/>
    <w:rsid w:val="00257B31"/>
    <w:rsid w:val="00260FAA"/>
    <w:rsid w:val="00262338"/>
    <w:rsid w:val="00262B79"/>
    <w:rsid w:val="00263938"/>
    <w:rsid w:val="00263A85"/>
    <w:rsid w:val="00263D3F"/>
    <w:rsid w:val="002646D7"/>
    <w:rsid w:val="00264B06"/>
    <w:rsid w:val="00265C7D"/>
    <w:rsid w:val="00265DF4"/>
    <w:rsid w:val="002671D7"/>
    <w:rsid w:val="00267BCD"/>
    <w:rsid w:val="00271458"/>
    <w:rsid w:val="002723F4"/>
    <w:rsid w:val="0027259C"/>
    <w:rsid w:val="00272A9F"/>
    <w:rsid w:val="00272CE0"/>
    <w:rsid w:val="00273543"/>
    <w:rsid w:val="00273665"/>
    <w:rsid w:val="002738FB"/>
    <w:rsid w:val="00274509"/>
    <w:rsid w:val="00274B8F"/>
    <w:rsid w:val="00274C82"/>
    <w:rsid w:val="00274CFA"/>
    <w:rsid w:val="0027654D"/>
    <w:rsid w:val="0027684B"/>
    <w:rsid w:val="00276BEF"/>
    <w:rsid w:val="00277096"/>
    <w:rsid w:val="00277574"/>
    <w:rsid w:val="002800E0"/>
    <w:rsid w:val="00280958"/>
    <w:rsid w:val="00280AC3"/>
    <w:rsid w:val="002810DF"/>
    <w:rsid w:val="002812AB"/>
    <w:rsid w:val="002813BA"/>
    <w:rsid w:val="002813ED"/>
    <w:rsid w:val="002816D8"/>
    <w:rsid w:val="002817CC"/>
    <w:rsid w:val="002823BC"/>
    <w:rsid w:val="0028295F"/>
    <w:rsid w:val="00282A8C"/>
    <w:rsid w:val="00282B5A"/>
    <w:rsid w:val="0028468E"/>
    <w:rsid w:val="00284B5D"/>
    <w:rsid w:val="002854EE"/>
    <w:rsid w:val="0028565C"/>
    <w:rsid w:val="002869F0"/>
    <w:rsid w:val="00287401"/>
    <w:rsid w:val="002875DE"/>
    <w:rsid w:val="00287CFD"/>
    <w:rsid w:val="00287E07"/>
    <w:rsid w:val="00290162"/>
    <w:rsid w:val="002902A5"/>
    <w:rsid w:val="00290436"/>
    <w:rsid w:val="00290D3D"/>
    <w:rsid w:val="00290EB3"/>
    <w:rsid w:val="00292846"/>
    <w:rsid w:val="00292A90"/>
    <w:rsid w:val="002957F5"/>
    <w:rsid w:val="00295F54"/>
    <w:rsid w:val="00296580"/>
    <w:rsid w:val="002971D6"/>
    <w:rsid w:val="00297C13"/>
    <w:rsid w:val="002A1057"/>
    <w:rsid w:val="002A1CAC"/>
    <w:rsid w:val="002A1EA2"/>
    <w:rsid w:val="002A20B2"/>
    <w:rsid w:val="002A2468"/>
    <w:rsid w:val="002A2F08"/>
    <w:rsid w:val="002A3641"/>
    <w:rsid w:val="002A3983"/>
    <w:rsid w:val="002A43A9"/>
    <w:rsid w:val="002A45DB"/>
    <w:rsid w:val="002A47B8"/>
    <w:rsid w:val="002A48FE"/>
    <w:rsid w:val="002A495F"/>
    <w:rsid w:val="002A4D00"/>
    <w:rsid w:val="002A5A27"/>
    <w:rsid w:val="002A601F"/>
    <w:rsid w:val="002A706F"/>
    <w:rsid w:val="002A70EA"/>
    <w:rsid w:val="002A7363"/>
    <w:rsid w:val="002A7F43"/>
    <w:rsid w:val="002B12C1"/>
    <w:rsid w:val="002B1B2B"/>
    <w:rsid w:val="002B365E"/>
    <w:rsid w:val="002B3E6C"/>
    <w:rsid w:val="002B489A"/>
    <w:rsid w:val="002B4D60"/>
    <w:rsid w:val="002B5187"/>
    <w:rsid w:val="002B6341"/>
    <w:rsid w:val="002B64F8"/>
    <w:rsid w:val="002B6A6E"/>
    <w:rsid w:val="002B7FB2"/>
    <w:rsid w:val="002C0058"/>
    <w:rsid w:val="002C031A"/>
    <w:rsid w:val="002C0526"/>
    <w:rsid w:val="002C05E5"/>
    <w:rsid w:val="002C0C4A"/>
    <w:rsid w:val="002C248D"/>
    <w:rsid w:val="002C254D"/>
    <w:rsid w:val="002C27A8"/>
    <w:rsid w:val="002C333E"/>
    <w:rsid w:val="002C36C8"/>
    <w:rsid w:val="002C3891"/>
    <w:rsid w:val="002C51A0"/>
    <w:rsid w:val="002C57E0"/>
    <w:rsid w:val="002C63F9"/>
    <w:rsid w:val="002C676C"/>
    <w:rsid w:val="002C7971"/>
    <w:rsid w:val="002C7A56"/>
    <w:rsid w:val="002D0584"/>
    <w:rsid w:val="002D0F69"/>
    <w:rsid w:val="002D11E2"/>
    <w:rsid w:val="002D1634"/>
    <w:rsid w:val="002D1857"/>
    <w:rsid w:val="002D1EA4"/>
    <w:rsid w:val="002D2E2A"/>
    <w:rsid w:val="002D3D07"/>
    <w:rsid w:val="002D4274"/>
    <w:rsid w:val="002D5295"/>
    <w:rsid w:val="002D52BF"/>
    <w:rsid w:val="002D68FA"/>
    <w:rsid w:val="002D6F7E"/>
    <w:rsid w:val="002D7ECA"/>
    <w:rsid w:val="002E0141"/>
    <w:rsid w:val="002E0B5D"/>
    <w:rsid w:val="002E0B76"/>
    <w:rsid w:val="002E1495"/>
    <w:rsid w:val="002E2466"/>
    <w:rsid w:val="002E2586"/>
    <w:rsid w:val="002E2900"/>
    <w:rsid w:val="002E3A66"/>
    <w:rsid w:val="002E3C0D"/>
    <w:rsid w:val="002E43EC"/>
    <w:rsid w:val="002E4883"/>
    <w:rsid w:val="002E4BA5"/>
    <w:rsid w:val="002E501D"/>
    <w:rsid w:val="002E5B3C"/>
    <w:rsid w:val="002E670A"/>
    <w:rsid w:val="002E6F69"/>
    <w:rsid w:val="002E7855"/>
    <w:rsid w:val="002E7A79"/>
    <w:rsid w:val="002E7F06"/>
    <w:rsid w:val="002F11F1"/>
    <w:rsid w:val="002F1D9E"/>
    <w:rsid w:val="002F2C6E"/>
    <w:rsid w:val="002F2E59"/>
    <w:rsid w:val="002F3B7A"/>
    <w:rsid w:val="002F3C88"/>
    <w:rsid w:val="002F4067"/>
    <w:rsid w:val="002F4488"/>
    <w:rsid w:val="002F46A0"/>
    <w:rsid w:val="002F47EB"/>
    <w:rsid w:val="002F506A"/>
    <w:rsid w:val="002F586D"/>
    <w:rsid w:val="002F7339"/>
    <w:rsid w:val="002F7461"/>
    <w:rsid w:val="002F7999"/>
    <w:rsid w:val="00300F7E"/>
    <w:rsid w:val="00301F63"/>
    <w:rsid w:val="003025E2"/>
    <w:rsid w:val="003029D0"/>
    <w:rsid w:val="0030343A"/>
    <w:rsid w:val="0030414E"/>
    <w:rsid w:val="00304230"/>
    <w:rsid w:val="00304613"/>
    <w:rsid w:val="003049D3"/>
    <w:rsid w:val="00304B32"/>
    <w:rsid w:val="003051B8"/>
    <w:rsid w:val="00305965"/>
    <w:rsid w:val="00306C82"/>
    <w:rsid w:val="00306D24"/>
    <w:rsid w:val="003075BD"/>
    <w:rsid w:val="00307639"/>
    <w:rsid w:val="00307712"/>
    <w:rsid w:val="003100D8"/>
    <w:rsid w:val="00310246"/>
    <w:rsid w:val="00312488"/>
    <w:rsid w:val="00312E17"/>
    <w:rsid w:val="00313FEC"/>
    <w:rsid w:val="0031404A"/>
    <w:rsid w:val="00314B7C"/>
    <w:rsid w:val="00314CF9"/>
    <w:rsid w:val="00314E49"/>
    <w:rsid w:val="00315445"/>
    <w:rsid w:val="00315B63"/>
    <w:rsid w:val="00316502"/>
    <w:rsid w:val="00316705"/>
    <w:rsid w:val="0031686B"/>
    <w:rsid w:val="00317183"/>
    <w:rsid w:val="00317479"/>
    <w:rsid w:val="003177A1"/>
    <w:rsid w:val="003204AE"/>
    <w:rsid w:val="003208EF"/>
    <w:rsid w:val="00321597"/>
    <w:rsid w:val="00322E4C"/>
    <w:rsid w:val="00322F88"/>
    <w:rsid w:val="00324846"/>
    <w:rsid w:val="00324ABD"/>
    <w:rsid w:val="00324CD4"/>
    <w:rsid w:val="00324D9B"/>
    <w:rsid w:val="003257E4"/>
    <w:rsid w:val="0032580D"/>
    <w:rsid w:val="0032652F"/>
    <w:rsid w:val="00326A84"/>
    <w:rsid w:val="003272A6"/>
    <w:rsid w:val="003273CB"/>
    <w:rsid w:val="00327D52"/>
    <w:rsid w:val="00330DF0"/>
    <w:rsid w:val="0033125E"/>
    <w:rsid w:val="00331939"/>
    <w:rsid w:val="0033325E"/>
    <w:rsid w:val="00336913"/>
    <w:rsid w:val="00336BFC"/>
    <w:rsid w:val="00336D88"/>
    <w:rsid w:val="00337129"/>
    <w:rsid w:val="0033718C"/>
    <w:rsid w:val="00337407"/>
    <w:rsid w:val="003374A7"/>
    <w:rsid w:val="00337BB8"/>
    <w:rsid w:val="003403F6"/>
    <w:rsid w:val="00340C7A"/>
    <w:rsid w:val="00340E02"/>
    <w:rsid w:val="00342697"/>
    <w:rsid w:val="00342C1D"/>
    <w:rsid w:val="00343A6F"/>
    <w:rsid w:val="00343E6E"/>
    <w:rsid w:val="00343E9A"/>
    <w:rsid w:val="00344539"/>
    <w:rsid w:val="003450C8"/>
    <w:rsid w:val="003471A8"/>
    <w:rsid w:val="003474F4"/>
    <w:rsid w:val="0034758C"/>
    <w:rsid w:val="0034782B"/>
    <w:rsid w:val="00347C7B"/>
    <w:rsid w:val="00350512"/>
    <w:rsid w:val="00351E5C"/>
    <w:rsid w:val="00352CD1"/>
    <w:rsid w:val="00353390"/>
    <w:rsid w:val="00353DEE"/>
    <w:rsid w:val="00353F96"/>
    <w:rsid w:val="0035580F"/>
    <w:rsid w:val="00356324"/>
    <w:rsid w:val="00356C0C"/>
    <w:rsid w:val="003571CC"/>
    <w:rsid w:val="003576C7"/>
    <w:rsid w:val="00357CB4"/>
    <w:rsid w:val="0036014D"/>
    <w:rsid w:val="003604EE"/>
    <w:rsid w:val="0036258D"/>
    <w:rsid w:val="0036286B"/>
    <w:rsid w:val="003632E2"/>
    <w:rsid w:val="00363371"/>
    <w:rsid w:val="00364989"/>
    <w:rsid w:val="00364BB0"/>
    <w:rsid w:val="003656C9"/>
    <w:rsid w:val="00365F60"/>
    <w:rsid w:val="003664C0"/>
    <w:rsid w:val="003664CB"/>
    <w:rsid w:val="00366769"/>
    <w:rsid w:val="003673CD"/>
    <w:rsid w:val="00367A28"/>
    <w:rsid w:val="00367E04"/>
    <w:rsid w:val="00370CB1"/>
    <w:rsid w:val="00370F98"/>
    <w:rsid w:val="0037133A"/>
    <w:rsid w:val="0037200A"/>
    <w:rsid w:val="00372D5F"/>
    <w:rsid w:val="00375C15"/>
    <w:rsid w:val="00375F69"/>
    <w:rsid w:val="003761F2"/>
    <w:rsid w:val="00376A05"/>
    <w:rsid w:val="003774FE"/>
    <w:rsid w:val="00382422"/>
    <w:rsid w:val="0038264B"/>
    <w:rsid w:val="003837A8"/>
    <w:rsid w:val="003838D0"/>
    <w:rsid w:val="00385276"/>
    <w:rsid w:val="003857C8"/>
    <w:rsid w:val="00387281"/>
    <w:rsid w:val="0038791C"/>
    <w:rsid w:val="00390E30"/>
    <w:rsid w:val="0039197E"/>
    <w:rsid w:val="00392185"/>
    <w:rsid w:val="00392334"/>
    <w:rsid w:val="003926DC"/>
    <w:rsid w:val="00392A6A"/>
    <w:rsid w:val="00393ABE"/>
    <w:rsid w:val="0039458D"/>
    <w:rsid w:val="00394D5C"/>
    <w:rsid w:val="00394D61"/>
    <w:rsid w:val="0039501C"/>
    <w:rsid w:val="003954AE"/>
    <w:rsid w:val="003A026B"/>
    <w:rsid w:val="003A1D12"/>
    <w:rsid w:val="003A1F5A"/>
    <w:rsid w:val="003A20C4"/>
    <w:rsid w:val="003A2BA0"/>
    <w:rsid w:val="003A2D9D"/>
    <w:rsid w:val="003A2ECE"/>
    <w:rsid w:val="003A334A"/>
    <w:rsid w:val="003A39D9"/>
    <w:rsid w:val="003A4252"/>
    <w:rsid w:val="003A4B9E"/>
    <w:rsid w:val="003A539A"/>
    <w:rsid w:val="003A62A4"/>
    <w:rsid w:val="003A68CE"/>
    <w:rsid w:val="003A7476"/>
    <w:rsid w:val="003A7D86"/>
    <w:rsid w:val="003B0AA1"/>
    <w:rsid w:val="003B0BBA"/>
    <w:rsid w:val="003B18B5"/>
    <w:rsid w:val="003B1B4A"/>
    <w:rsid w:val="003B243D"/>
    <w:rsid w:val="003B2517"/>
    <w:rsid w:val="003B304F"/>
    <w:rsid w:val="003B3062"/>
    <w:rsid w:val="003B354E"/>
    <w:rsid w:val="003B3EAD"/>
    <w:rsid w:val="003B5077"/>
    <w:rsid w:val="003B5D18"/>
    <w:rsid w:val="003B6C2E"/>
    <w:rsid w:val="003B7884"/>
    <w:rsid w:val="003B795D"/>
    <w:rsid w:val="003C03B7"/>
    <w:rsid w:val="003C09A3"/>
    <w:rsid w:val="003C1A7C"/>
    <w:rsid w:val="003C1D74"/>
    <w:rsid w:val="003C1E38"/>
    <w:rsid w:val="003C1E5E"/>
    <w:rsid w:val="003C2517"/>
    <w:rsid w:val="003C26A6"/>
    <w:rsid w:val="003C26C1"/>
    <w:rsid w:val="003C355C"/>
    <w:rsid w:val="003C365D"/>
    <w:rsid w:val="003C3D00"/>
    <w:rsid w:val="003C4352"/>
    <w:rsid w:val="003C53C1"/>
    <w:rsid w:val="003C549A"/>
    <w:rsid w:val="003C55C2"/>
    <w:rsid w:val="003C5C11"/>
    <w:rsid w:val="003C6A5A"/>
    <w:rsid w:val="003C6AAD"/>
    <w:rsid w:val="003C6AB5"/>
    <w:rsid w:val="003C7557"/>
    <w:rsid w:val="003C765F"/>
    <w:rsid w:val="003C76E4"/>
    <w:rsid w:val="003C7EFD"/>
    <w:rsid w:val="003D1096"/>
    <w:rsid w:val="003D124C"/>
    <w:rsid w:val="003D1D4D"/>
    <w:rsid w:val="003D33CB"/>
    <w:rsid w:val="003D3682"/>
    <w:rsid w:val="003D37DD"/>
    <w:rsid w:val="003D45DF"/>
    <w:rsid w:val="003D47C6"/>
    <w:rsid w:val="003D4BB2"/>
    <w:rsid w:val="003D73E7"/>
    <w:rsid w:val="003D7694"/>
    <w:rsid w:val="003D7AA6"/>
    <w:rsid w:val="003D7E38"/>
    <w:rsid w:val="003D7EAC"/>
    <w:rsid w:val="003E00D2"/>
    <w:rsid w:val="003E1AFA"/>
    <w:rsid w:val="003E1BFE"/>
    <w:rsid w:val="003E379A"/>
    <w:rsid w:val="003E4252"/>
    <w:rsid w:val="003E52B0"/>
    <w:rsid w:val="003E597C"/>
    <w:rsid w:val="003E6341"/>
    <w:rsid w:val="003E64DC"/>
    <w:rsid w:val="003E7A43"/>
    <w:rsid w:val="003F027F"/>
    <w:rsid w:val="003F0324"/>
    <w:rsid w:val="003F0B58"/>
    <w:rsid w:val="003F0D40"/>
    <w:rsid w:val="003F2063"/>
    <w:rsid w:val="003F2236"/>
    <w:rsid w:val="003F27B7"/>
    <w:rsid w:val="003F2AEE"/>
    <w:rsid w:val="003F404C"/>
    <w:rsid w:val="003F4051"/>
    <w:rsid w:val="003F4E59"/>
    <w:rsid w:val="003F5812"/>
    <w:rsid w:val="003F5EF8"/>
    <w:rsid w:val="003F5F50"/>
    <w:rsid w:val="003F625A"/>
    <w:rsid w:val="003F6AA4"/>
    <w:rsid w:val="003F6C62"/>
    <w:rsid w:val="003F6EA1"/>
    <w:rsid w:val="003F72CF"/>
    <w:rsid w:val="003F763A"/>
    <w:rsid w:val="00400748"/>
    <w:rsid w:val="00400E4A"/>
    <w:rsid w:val="0040233C"/>
    <w:rsid w:val="00402A35"/>
    <w:rsid w:val="00402E9A"/>
    <w:rsid w:val="004031E4"/>
    <w:rsid w:val="004035B0"/>
    <w:rsid w:val="00403FA8"/>
    <w:rsid w:val="00404040"/>
    <w:rsid w:val="004041DA"/>
    <w:rsid w:val="00404213"/>
    <w:rsid w:val="0040445C"/>
    <w:rsid w:val="004048AC"/>
    <w:rsid w:val="00404A2D"/>
    <w:rsid w:val="00404B8E"/>
    <w:rsid w:val="00404BA1"/>
    <w:rsid w:val="00406229"/>
    <w:rsid w:val="004068C2"/>
    <w:rsid w:val="00407484"/>
    <w:rsid w:val="004075A9"/>
    <w:rsid w:val="0041018E"/>
    <w:rsid w:val="00412419"/>
    <w:rsid w:val="00412559"/>
    <w:rsid w:val="004133B2"/>
    <w:rsid w:val="00415E7F"/>
    <w:rsid w:val="00416706"/>
    <w:rsid w:val="00416822"/>
    <w:rsid w:val="00416CD0"/>
    <w:rsid w:val="0041710E"/>
    <w:rsid w:val="00417C3A"/>
    <w:rsid w:val="00420288"/>
    <w:rsid w:val="00420CB1"/>
    <w:rsid w:val="00421010"/>
    <w:rsid w:val="00421C78"/>
    <w:rsid w:val="004224CE"/>
    <w:rsid w:val="00422A84"/>
    <w:rsid w:val="0042398F"/>
    <w:rsid w:val="00423A29"/>
    <w:rsid w:val="00423C5E"/>
    <w:rsid w:val="00424A78"/>
    <w:rsid w:val="004254DB"/>
    <w:rsid w:val="00425833"/>
    <w:rsid w:val="00425E16"/>
    <w:rsid w:val="00426301"/>
    <w:rsid w:val="004269DB"/>
    <w:rsid w:val="00427453"/>
    <w:rsid w:val="00427EEA"/>
    <w:rsid w:val="00427F93"/>
    <w:rsid w:val="00430779"/>
    <w:rsid w:val="00431836"/>
    <w:rsid w:val="00431B08"/>
    <w:rsid w:val="004321E6"/>
    <w:rsid w:val="00432783"/>
    <w:rsid w:val="0043278E"/>
    <w:rsid w:val="00432D56"/>
    <w:rsid w:val="00434470"/>
    <w:rsid w:val="0043527A"/>
    <w:rsid w:val="004360AC"/>
    <w:rsid w:val="00436B83"/>
    <w:rsid w:val="00437BA3"/>
    <w:rsid w:val="00437C8C"/>
    <w:rsid w:val="00441061"/>
    <w:rsid w:val="0044150E"/>
    <w:rsid w:val="00441E5B"/>
    <w:rsid w:val="00443D94"/>
    <w:rsid w:val="00443F94"/>
    <w:rsid w:val="00444062"/>
    <w:rsid w:val="0044553D"/>
    <w:rsid w:val="0044560C"/>
    <w:rsid w:val="004469F9"/>
    <w:rsid w:val="004501C9"/>
    <w:rsid w:val="00450877"/>
    <w:rsid w:val="00450C70"/>
    <w:rsid w:val="00452103"/>
    <w:rsid w:val="00452FDA"/>
    <w:rsid w:val="0045317F"/>
    <w:rsid w:val="004531E6"/>
    <w:rsid w:val="00453344"/>
    <w:rsid w:val="00453B2B"/>
    <w:rsid w:val="00453C2C"/>
    <w:rsid w:val="00453D77"/>
    <w:rsid w:val="00454B0A"/>
    <w:rsid w:val="00454E76"/>
    <w:rsid w:val="00454EA5"/>
    <w:rsid w:val="00455C99"/>
    <w:rsid w:val="00456911"/>
    <w:rsid w:val="00456C5A"/>
    <w:rsid w:val="00456EF2"/>
    <w:rsid w:val="00457080"/>
    <w:rsid w:val="00460278"/>
    <w:rsid w:val="00460577"/>
    <w:rsid w:val="00460891"/>
    <w:rsid w:val="00460A56"/>
    <w:rsid w:val="0046168D"/>
    <w:rsid w:val="0046170D"/>
    <w:rsid w:val="00462566"/>
    <w:rsid w:val="00462AA6"/>
    <w:rsid w:val="004644BE"/>
    <w:rsid w:val="004645CA"/>
    <w:rsid w:val="00464FB2"/>
    <w:rsid w:val="004651F2"/>
    <w:rsid w:val="004662A8"/>
    <w:rsid w:val="0046677C"/>
    <w:rsid w:val="00466CDC"/>
    <w:rsid w:val="0046745E"/>
    <w:rsid w:val="004718C0"/>
    <w:rsid w:val="004735E8"/>
    <w:rsid w:val="004736BE"/>
    <w:rsid w:val="00473F00"/>
    <w:rsid w:val="00474EC6"/>
    <w:rsid w:val="00474F89"/>
    <w:rsid w:val="004750D7"/>
    <w:rsid w:val="0047550A"/>
    <w:rsid w:val="0047556D"/>
    <w:rsid w:val="00475789"/>
    <w:rsid w:val="00476170"/>
    <w:rsid w:val="00476254"/>
    <w:rsid w:val="004813A5"/>
    <w:rsid w:val="004820B0"/>
    <w:rsid w:val="00482117"/>
    <w:rsid w:val="00482D69"/>
    <w:rsid w:val="00482E2F"/>
    <w:rsid w:val="00483091"/>
    <w:rsid w:val="00483AEE"/>
    <w:rsid w:val="0048467F"/>
    <w:rsid w:val="00484A9B"/>
    <w:rsid w:val="00484F51"/>
    <w:rsid w:val="0048502A"/>
    <w:rsid w:val="0048588B"/>
    <w:rsid w:val="004859B4"/>
    <w:rsid w:val="00486ACD"/>
    <w:rsid w:val="00486EE8"/>
    <w:rsid w:val="00487B17"/>
    <w:rsid w:val="0049068F"/>
    <w:rsid w:val="00490B8D"/>
    <w:rsid w:val="00492C65"/>
    <w:rsid w:val="0049403F"/>
    <w:rsid w:val="00494323"/>
    <w:rsid w:val="00494349"/>
    <w:rsid w:val="00494485"/>
    <w:rsid w:val="00494F91"/>
    <w:rsid w:val="00495F50"/>
    <w:rsid w:val="00497551"/>
    <w:rsid w:val="0049762B"/>
    <w:rsid w:val="004A0618"/>
    <w:rsid w:val="004A0A8B"/>
    <w:rsid w:val="004A0F27"/>
    <w:rsid w:val="004A0F37"/>
    <w:rsid w:val="004A0F68"/>
    <w:rsid w:val="004A1F3D"/>
    <w:rsid w:val="004A23F9"/>
    <w:rsid w:val="004A29BF"/>
    <w:rsid w:val="004A3224"/>
    <w:rsid w:val="004A33C4"/>
    <w:rsid w:val="004A3608"/>
    <w:rsid w:val="004A3801"/>
    <w:rsid w:val="004A4FBD"/>
    <w:rsid w:val="004A563F"/>
    <w:rsid w:val="004A63BB"/>
    <w:rsid w:val="004A6607"/>
    <w:rsid w:val="004A6D18"/>
    <w:rsid w:val="004A7810"/>
    <w:rsid w:val="004A7E93"/>
    <w:rsid w:val="004B09C4"/>
    <w:rsid w:val="004B0A26"/>
    <w:rsid w:val="004B1233"/>
    <w:rsid w:val="004B1524"/>
    <w:rsid w:val="004B1B3E"/>
    <w:rsid w:val="004B1E9D"/>
    <w:rsid w:val="004B244B"/>
    <w:rsid w:val="004B27D9"/>
    <w:rsid w:val="004B2CD7"/>
    <w:rsid w:val="004B35C3"/>
    <w:rsid w:val="004B3CFB"/>
    <w:rsid w:val="004B5D6B"/>
    <w:rsid w:val="004B7031"/>
    <w:rsid w:val="004B76F8"/>
    <w:rsid w:val="004C0C36"/>
    <w:rsid w:val="004C1FA6"/>
    <w:rsid w:val="004C2A38"/>
    <w:rsid w:val="004C3135"/>
    <w:rsid w:val="004C4C4A"/>
    <w:rsid w:val="004C5CFD"/>
    <w:rsid w:val="004C6190"/>
    <w:rsid w:val="004C6A9B"/>
    <w:rsid w:val="004C795F"/>
    <w:rsid w:val="004D12C0"/>
    <w:rsid w:val="004D18EA"/>
    <w:rsid w:val="004D2F9D"/>
    <w:rsid w:val="004D3370"/>
    <w:rsid w:val="004D3713"/>
    <w:rsid w:val="004D3A8A"/>
    <w:rsid w:val="004D4020"/>
    <w:rsid w:val="004D4EA8"/>
    <w:rsid w:val="004D55C5"/>
    <w:rsid w:val="004D5B9E"/>
    <w:rsid w:val="004D6254"/>
    <w:rsid w:val="004D693D"/>
    <w:rsid w:val="004D70FD"/>
    <w:rsid w:val="004D73D3"/>
    <w:rsid w:val="004D74F6"/>
    <w:rsid w:val="004D7E99"/>
    <w:rsid w:val="004E00CE"/>
    <w:rsid w:val="004E0121"/>
    <w:rsid w:val="004E0283"/>
    <w:rsid w:val="004E04D0"/>
    <w:rsid w:val="004E0E9D"/>
    <w:rsid w:val="004E2BD4"/>
    <w:rsid w:val="004E2BDB"/>
    <w:rsid w:val="004E4000"/>
    <w:rsid w:val="004E6D0A"/>
    <w:rsid w:val="004E7911"/>
    <w:rsid w:val="004F052B"/>
    <w:rsid w:val="004F145E"/>
    <w:rsid w:val="004F1974"/>
    <w:rsid w:val="004F3306"/>
    <w:rsid w:val="004F4295"/>
    <w:rsid w:val="004F50AF"/>
    <w:rsid w:val="004F60C7"/>
    <w:rsid w:val="004F681D"/>
    <w:rsid w:val="004F6E14"/>
    <w:rsid w:val="004F7DFC"/>
    <w:rsid w:val="00500CFF"/>
    <w:rsid w:val="00500D1A"/>
    <w:rsid w:val="0050228C"/>
    <w:rsid w:val="00502857"/>
    <w:rsid w:val="005029BE"/>
    <w:rsid w:val="00502F24"/>
    <w:rsid w:val="005034B9"/>
    <w:rsid w:val="005044A9"/>
    <w:rsid w:val="005044D5"/>
    <w:rsid w:val="005050B6"/>
    <w:rsid w:val="0050575C"/>
    <w:rsid w:val="00505994"/>
    <w:rsid w:val="00505F1C"/>
    <w:rsid w:val="00505FD4"/>
    <w:rsid w:val="00506905"/>
    <w:rsid w:val="00506E25"/>
    <w:rsid w:val="00510433"/>
    <w:rsid w:val="0051078B"/>
    <w:rsid w:val="0051132C"/>
    <w:rsid w:val="00511A30"/>
    <w:rsid w:val="005122C2"/>
    <w:rsid w:val="00513483"/>
    <w:rsid w:val="00513AD9"/>
    <w:rsid w:val="00514A55"/>
    <w:rsid w:val="00514EF5"/>
    <w:rsid w:val="005150B9"/>
    <w:rsid w:val="005169F0"/>
    <w:rsid w:val="00517712"/>
    <w:rsid w:val="0051782D"/>
    <w:rsid w:val="00520514"/>
    <w:rsid w:val="00520764"/>
    <w:rsid w:val="0052087E"/>
    <w:rsid w:val="0052278D"/>
    <w:rsid w:val="00522FBB"/>
    <w:rsid w:val="0052315E"/>
    <w:rsid w:val="0052493D"/>
    <w:rsid w:val="0052603E"/>
    <w:rsid w:val="00526C18"/>
    <w:rsid w:val="00527570"/>
    <w:rsid w:val="00530ED3"/>
    <w:rsid w:val="005324C3"/>
    <w:rsid w:val="0053438E"/>
    <w:rsid w:val="005346B7"/>
    <w:rsid w:val="005355EE"/>
    <w:rsid w:val="00535A1B"/>
    <w:rsid w:val="00535B16"/>
    <w:rsid w:val="00535E9C"/>
    <w:rsid w:val="005361E9"/>
    <w:rsid w:val="005366D0"/>
    <w:rsid w:val="005369B8"/>
    <w:rsid w:val="00536AF3"/>
    <w:rsid w:val="00536EA6"/>
    <w:rsid w:val="00537423"/>
    <w:rsid w:val="00537AF9"/>
    <w:rsid w:val="00537E27"/>
    <w:rsid w:val="00540B4D"/>
    <w:rsid w:val="00540FFA"/>
    <w:rsid w:val="005411EA"/>
    <w:rsid w:val="005417D3"/>
    <w:rsid w:val="005419D9"/>
    <w:rsid w:val="00541CEB"/>
    <w:rsid w:val="00542930"/>
    <w:rsid w:val="005435B3"/>
    <w:rsid w:val="00545F0E"/>
    <w:rsid w:val="00546210"/>
    <w:rsid w:val="00546C39"/>
    <w:rsid w:val="00547192"/>
    <w:rsid w:val="005474E5"/>
    <w:rsid w:val="005507B1"/>
    <w:rsid w:val="00550849"/>
    <w:rsid w:val="00550866"/>
    <w:rsid w:val="00551E69"/>
    <w:rsid w:val="00551EC8"/>
    <w:rsid w:val="00552856"/>
    <w:rsid w:val="0055350B"/>
    <w:rsid w:val="00554BF3"/>
    <w:rsid w:val="00554CE2"/>
    <w:rsid w:val="00554FF6"/>
    <w:rsid w:val="00555388"/>
    <w:rsid w:val="0055655F"/>
    <w:rsid w:val="0055657D"/>
    <w:rsid w:val="0055670B"/>
    <w:rsid w:val="00556887"/>
    <w:rsid w:val="00556EA5"/>
    <w:rsid w:val="005576CD"/>
    <w:rsid w:val="005579DD"/>
    <w:rsid w:val="00557EB9"/>
    <w:rsid w:val="00560D0D"/>
    <w:rsid w:val="005620C1"/>
    <w:rsid w:val="00562AAE"/>
    <w:rsid w:val="00564944"/>
    <w:rsid w:val="00564D05"/>
    <w:rsid w:val="00564EA5"/>
    <w:rsid w:val="00564FDC"/>
    <w:rsid w:val="0056555D"/>
    <w:rsid w:val="00565FB1"/>
    <w:rsid w:val="005662FB"/>
    <w:rsid w:val="005669B5"/>
    <w:rsid w:val="00566C1B"/>
    <w:rsid w:val="00566CFE"/>
    <w:rsid w:val="00566D0C"/>
    <w:rsid w:val="00567305"/>
    <w:rsid w:val="00567781"/>
    <w:rsid w:val="00567B56"/>
    <w:rsid w:val="00567ECC"/>
    <w:rsid w:val="00571296"/>
    <w:rsid w:val="005713B1"/>
    <w:rsid w:val="0057237C"/>
    <w:rsid w:val="005757CC"/>
    <w:rsid w:val="00575E25"/>
    <w:rsid w:val="005760BD"/>
    <w:rsid w:val="00576C63"/>
    <w:rsid w:val="00577C61"/>
    <w:rsid w:val="00580926"/>
    <w:rsid w:val="00580BF2"/>
    <w:rsid w:val="00581186"/>
    <w:rsid w:val="0058199C"/>
    <w:rsid w:val="00582E1E"/>
    <w:rsid w:val="00583090"/>
    <w:rsid w:val="0058349C"/>
    <w:rsid w:val="00583587"/>
    <w:rsid w:val="005835F4"/>
    <w:rsid w:val="00583D1F"/>
    <w:rsid w:val="00583EFE"/>
    <w:rsid w:val="00584076"/>
    <w:rsid w:val="005841A3"/>
    <w:rsid w:val="00584848"/>
    <w:rsid w:val="00584BE3"/>
    <w:rsid w:val="00585792"/>
    <w:rsid w:val="005859C3"/>
    <w:rsid w:val="00585C57"/>
    <w:rsid w:val="00586D9A"/>
    <w:rsid w:val="005874E3"/>
    <w:rsid w:val="00587CF4"/>
    <w:rsid w:val="00587EB4"/>
    <w:rsid w:val="00590EAE"/>
    <w:rsid w:val="0059112A"/>
    <w:rsid w:val="0059289B"/>
    <w:rsid w:val="005928CA"/>
    <w:rsid w:val="00592CB7"/>
    <w:rsid w:val="00593216"/>
    <w:rsid w:val="00594BC3"/>
    <w:rsid w:val="005955DB"/>
    <w:rsid w:val="00595B86"/>
    <w:rsid w:val="00595DB1"/>
    <w:rsid w:val="0059620D"/>
    <w:rsid w:val="00596CA7"/>
    <w:rsid w:val="00596DC8"/>
    <w:rsid w:val="00596E16"/>
    <w:rsid w:val="0059765F"/>
    <w:rsid w:val="00597804"/>
    <w:rsid w:val="005A00B8"/>
    <w:rsid w:val="005A1233"/>
    <w:rsid w:val="005A16A3"/>
    <w:rsid w:val="005A1C48"/>
    <w:rsid w:val="005A253A"/>
    <w:rsid w:val="005A2BA0"/>
    <w:rsid w:val="005A2FB3"/>
    <w:rsid w:val="005A40AF"/>
    <w:rsid w:val="005A4214"/>
    <w:rsid w:val="005A4C4B"/>
    <w:rsid w:val="005A6229"/>
    <w:rsid w:val="005A648C"/>
    <w:rsid w:val="005A64BF"/>
    <w:rsid w:val="005B1391"/>
    <w:rsid w:val="005B1902"/>
    <w:rsid w:val="005B1F70"/>
    <w:rsid w:val="005B2032"/>
    <w:rsid w:val="005B2D7D"/>
    <w:rsid w:val="005B3030"/>
    <w:rsid w:val="005B3D56"/>
    <w:rsid w:val="005B4421"/>
    <w:rsid w:val="005B6039"/>
    <w:rsid w:val="005B6175"/>
    <w:rsid w:val="005B688E"/>
    <w:rsid w:val="005B6DFB"/>
    <w:rsid w:val="005B75A9"/>
    <w:rsid w:val="005B7929"/>
    <w:rsid w:val="005B7EBB"/>
    <w:rsid w:val="005C0F04"/>
    <w:rsid w:val="005C1746"/>
    <w:rsid w:val="005C23AF"/>
    <w:rsid w:val="005C25CE"/>
    <w:rsid w:val="005C25D1"/>
    <w:rsid w:val="005C35A9"/>
    <w:rsid w:val="005C44A8"/>
    <w:rsid w:val="005C464B"/>
    <w:rsid w:val="005C4874"/>
    <w:rsid w:val="005C4E5F"/>
    <w:rsid w:val="005C5AF3"/>
    <w:rsid w:val="005C5F5A"/>
    <w:rsid w:val="005C74A0"/>
    <w:rsid w:val="005C77AD"/>
    <w:rsid w:val="005C7EFC"/>
    <w:rsid w:val="005D0268"/>
    <w:rsid w:val="005D052C"/>
    <w:rsid w:val="005D140F"/>
    <w:rsid w:val="005D16FE"/>
    <w:rsid w:val="005D2FB9"/>
    <w:rsid w:val="005D3330"/>
    <w:rsid w:val="005D3383"/>
    <w:rsid w:val="005D36A5"/>
    <w:rsid w:val="005D3C8A"/>
    <w:rsid w:val="005D3F1F"/>
    <w:rsid w:val="005D4084"/>
    <w:rsid w:val="005D4777"/>
    <w:rsid w:val="005D4A10"/>
    <w:rsid w:val="005D4C2B"/>
    <w:rsid w:val="005D6589"/>
    <w:rsid w:val="005D7616"/>
    <w:rsid w:val="005E19EF"/>
    <w:rsid w:val="005E1D95"/>
    <w:rsid w:val="005E2F4D"/>
    <w:rsid w:val="005E3832"/>
    <w:rsid w:val="005E441E"/>
    <w:rsid w:val="005E6909"/>
    <w:rsid w:val="005E6B93"/>
    <w:rsid w:val="005E7953"/>
    <w:rsid w:val="005E7E82"/>
    <w:rsid w:val="005F0A21"/>
    <w:rsid w:val="005F0EDC"/>
    <w:rsid w:val="005F11B4"/>
    <w:rsid w:val="005F1247"/>
    <w:rsid w:val="005F1471"/>
    <w:rsid w:val="005F2C42"/>
    <w:rsid w:val="005F46A9"/>
    <w:rsid w:val="005F5E94"/>
    <w:rsid w:val="005F6B3B"/>
    <w:rsid w:val="005F6C28"/>
    <w:rsid w:val="005F76DC"/>
    <w:rsid w:val="005F7AB6"/>
    <w:rsid w:val="005F7E3C"/>
    <w:rsid w:val="00600FA8"/>
    <w:rsid w:val="006029F3"/>
    <w:rsid w:val="00602B7D"/>
    <w:rsid w:val="00603AC7"/>
    <w:rsid w:val="00603C48"/>
    <w:rsid w:val="0060435E"/>
    <w:rsid w:val="00604520"/>
    <w:rsid w:val="00604786"/>
    <w:rsid w:val="006063DA"/>
    <w:rsid w:val="00606CD0"/>
    <w:rsid w:val="00606CE3"/>
    <w:rsid w:val="00606ED2"/>
    <w:rsid w:val="00610A93"/>
    <w:rsid w:val="00611DD3"/>
    <w:rsid w:val="00611EF0"/>
    <w:rsid w:val="00612219"/>
    <w:rsid w:val="00612E04"/>
    <w:rsid w:val="00613FD3"/>
    <w:rsid w:val="006157DD"/>
    <w:rsid w:val="00615C56"/>
    <w:rsid w:val="00616E4A"/>
    <w:rsid w:val="006173A4"/>
    <w:rsid w:val="00617C44"/>
    <w:rsid w:val="00620086"/>
    <w:rsid w:val="00620604"/>
    <w:rsid w:val="006218D3"/>
    <w:rsid w:val="00622CBB"/>
    <w:rsid w:val="00622CE4"/>
    <w:rsid w:val="006234A7"/>
    <w:rsid w:val="00623F8E"/>
    <w:rsid w:val="00625917"/>
    <w:rsid w:val="0062653B"/>
    <w:rsid w:val="0062789F"/>
    <w:rsid w:val="00627B2C"/>
    <w:rsid w:val="00627D6A"/>
    <w:rsid w:val="006301BE"/>
    <w:rsid w:val="00630516"/>
    <w:rsid w:val="0063096E"/>
    <w:rsid w:val="00630DC5"/>
    <w:rsid w:val="00631823"/>
    <w:rsid w:val="0063221F"/>
    <w:rsid w:val="00633349"/>
    <w:rsid w:val="00633778"/>
    <w:rsid w:val="00633D61"/>
    <w:rsid w:val="0063402B"/>
    <w:rsid w:val="006353ED"/>
    <w:rsid w:val="00635FE8"/>
    <w:rsid w:val="00636570"/>
    <w:rsid w:val="00636C37"/>
    <w:rsid w:val="00636DE9"/>
    <w:rsid w:val="00637859"/>
    <w:rsid w:val="00637901"/>
    <w:rsid w:val="00637E1B"/>
    <w:rsid w:val="006402DF"/>
    <w:rsid w:val="0064164B"/>
    <w:rsid w:val="006435F7"/>
    <w:rsid w:val="006438E1"/>
    <w:rsid w:val="00643EA0"/>
    <w:rsid w:val="00644468"/>
    <w:rsid w:val="006449A0"/>
    <w:rsid w:val="00645F5E"/>
    <w:rsid w:val="00646CE3"/>
    <w:rsid w:val="00646EB0"/>
    <w:rsid w:val="00647930"/>
    <w:rsid w:val="00647B1E"/>
    <w:rsid w:val="00647C55"/>
    <w:rsid w:val="0065008B"/>
    <w:rsid w:val="00650B4B"/>
    <w:rsid w:val="0065136D"/>
    <w:rsid w:val="0065174B"/>
    <w:rsid w:val="00653A3B"/>
    <w:rsid w:val="00653FD9"/>
    <w:rsid w:val="00654067"/>
    <w:rsid w:val="00654D42"/>
    <w:rsid w:val="006555CE"/>
    <w:rsid w:val="00656328"/>
    <w:rsid w:val="00656B3D"/>
    <w:rsid w:val="006573D2"/>
    <w:rsid w:val="006579BC"/>
    <w:rsid w:val="00657E91"/>
    <w:rsid w:val="00660279"/>
    <w:rsid w:val="0066027F"/>
    <w:rsid w:val="00660A94"/>
    <w:rsid w:val="00660C9C"/>
    <w:rsid w:val="006622B9"/>
    <w:rsid w:val="0066246B"/>
    <w:rsid w:val="00662E1E"/>
    <w:rsid w:val="0066371E"/>
    <w:rsid w:val="0066384A"/>
    <w:rsid w:val="0066767F"/>
    <w:rsid w:val="00670A2E"/>
    <w:rsid w:val="006724AD"/>
    <w:rsid w:val="00672BAB"/>
    <w:rsid w:val="00672BEA"/>
    <w:rsid w:val="0067314A"/>
    <w:rsid w:val="00673584"/>
    <w:rsid w:val="00673B1F"/>
    <w:rsid w:val="00673D1E"/>
    <w:rsid w:val="00673FC3"/>
    <w:rsid w:val="006743A5"/>
    <w:rsid w:val="00674DB1"/>
    <w:rsid w:val="00675D58"/>
    <w:rsid w:val="006762E2"/>
    <w:rsid w:val="006779CF"/>
    <w:rsid w:val="00677A8F"/>
    <w:rsid w:val="00677D63"/>
    <w:rsid w:val="00677F8A"/>
    <w:rsid w:val="00680224"/>
    <w:rsid w:val="0068071D"/>
    <w:rsid w:val="00680BA6"/>
    <w:rsid w:val="0068218C"/>
    <w:rsid w:val="006821E3"/>
    <w:rsid w:val="0068306C"/>
    <w:rsid w:val="00683AD6"/>
    <w:rsid w:val="006842AE"/>
    <w:rsid w:val="00685DAA"/>
    <w:rsid w:val="00686352"/>
    <w:rsid w:val="00686654"/>
    <w:rsid w:val="00687281"/>
    <w:rsid w:val="006875BA"/>
    <w:rsid w:val="00687813"/>
    <w:rsid w:val="006879E0"/>
    <w:rsid w:val="0069097D"/>
    <w:rsid w:val="00692A6D"/>
    <w:rsid w:val="00693D3F"/>
    <w:rsid w:val="00693FEA"/>
    <w:rsid w:val="0069484D"/>
    <w:rsid w:val="00694C68"/>
    <w:rsid w:val="00695B85"/>
    <w:rsid w:val="00696DD9"/>
    <w:rsid w:val="00696E5F"/>
    <w:rsid w:val="00696F17"/>
    <w:rsid w:val="00697715"/>
    <w:rsid w:val="006A0232"/>
    <w:rsid w:val="006A1949"/>
    <w:rsid w:val="006A1E9D"/>
    <w:rsid w:val="006A2FE7"/>
    <w:rsid w:val="006A349B"/>
    <w:rsid w:val="006A5773"/>
    <w:rsid w:val="006A5804"/>
    <w:rsid w:val="006A58F0"/>
    <w:rsid w:val="006A6262"/>
    <w:rsid w:val="006A6845"/>
    <w:rsid w:val="006A6C54"/>
    <w:rsid w:val="006A6D98"/>
    <w:rsid w:val="006A71E0"/>
    <w:rsid w:val="006B027A"/>
    <w:rsid w:val="006B0372"/>
    <w:rsid w:val="006B0764"/>
    <w:rsid w:val="006B081C"/>
    <w:rsid w:val="006B0B84"/>
    <w:rsid w:val="006B11E5"/>
    <w:rsid w:val="006B170C"/>
    <w:rsid w:val="006B1D8C"/>
    <w:rsid w:val="006B2229"/>
    <w:rsid w:val="006B2742"/>
    <w:rsid w:val="006B2773"/>
    <w:rsid w:val="006B32C1"/>
    <w:rsid w:val="006B37A0"/>
    <w:rsid w:val="006B3A0C"/>
    <w:rsid w:val="006B4467"/>
    <w:rsid w:val="006B4F24"/>
    <w:rsid w:val="006B6C46"/>
    <w:rsid w:val="006B6D6B"/>
    <w:rsid w:val="006B6E78"/>
    <w:rsid w:val="006B7999"/>
    <w:rsid w:val="006C0039"/>
    <w:rsid w:val="006C0380"/>
    <w:rsid w:val="006C0384"/>
    <w:rsid w:val="006C0507"/>
    <w:rsid w:val="006C0B78"/>
    <w:rsid w:val="006C1927"/>
    <w:rsid w:val="006C1D24"/>
    <w:rsid w:val="006C2318"/>
    <w:rsid w:val="006C2585"/>
    <w:rsid w:val="006C2931"/>
    <w:rsid w:val="006C4008"/>
    <w:rsid w:val="006C41B5"/>
    <w:rsid w:val="006C41F6"/>
    <w:rsid w:val="006C4E2C"/>
    <w:rsid w:val="006C5931"/>
    <w:rsid w:val="006C73EF"/>
    <w:rsid w:val="006D0805"/>
    <w:rsid w:val="006D1723"/>
    <w:rsid w:val="006D17F3"/>
    <w:rsid w:val="006D2145"/>
    <w:rsid w:val="006D2814"/>
    <w:rsid w:val="006D477F"/>
    <w:rsid w:val="006D5D3F"/>
    <w:rsid w:val="006D5EF5"/>
    <w:rsid w:val="006D60ED"/>
    <w:rsid w:val="006D791B"/>
    <w:rsid w:val="006D7C35"/>
    <w:rsid w:val="006E0173"/>
    <w:rsid w:val="006E0A51"/>
    <w:rsid w:val="006E1166"/>
    <w:rsid w:val="006E20AD"/>
    <w:rsid w:val="006E24D9"/>
    <w:rsid w:val="006E49BD"/>
    <w:rsid w:val="006E4F29"/>
    <w:rsid w:val="006E5362"/>
    <w:rsid w:val="006E596E"/>
    <w:rsid w:val="006E65E0"/>
    <w:rsid w:val="006E6D34"/>
    <w:rsid w:val="006E703E"/>
    <w:rsid w:val="006E773E"/>
    <w:rsid w:val="006F033F"/>
    <w:rsid w:val="006F1E31"/>
    <w:rsid w:val="006F1EDC"/>
    <w:rsid w:val="006F24D8"/>
    <w:rsid w:val="006F3132"/>
    <w:rsid w:val="006F33B8"/>
    <w:rsid w:val="006F41AA"/>
    <w:rsid w:val="006F48C5"/>
    <w:rsid w:val="006F4C9C"/>
    <w:rsid w:val="006F5FCD"/>
    <w:rsid w:val="006F640F"/>
    <w:rsid w:val="006F648B"/>
    <w:rsid w:val="006F66CD"/>
    <w:rsid w:val="006F762A"/>
    <w:rsid w:val="00700472"/>
    <w:rsid w:val="00701B6B"/>
    <w:rsid w:val="00702093"/>
    <w:rsid w:val="00703767"/>
    <w:rsid w:val="0070384F"/>
    <w:rsid w:val="00703A9E"/>
    <w:rsid w:val="00703D6D"/>
    <w:rsid w:val="00704095"/>
    <w:rsid w:val="00704152"/>
    <w:rsid w:val="00704BAD"/>
    <w:rsid w:val="00704FB5"/>
    <w:rsid w:val="007050E5"/>
    <w:rsid w:val="007063CF"/>
    <w:rsid w:val="007068EA"/>
    <w:rsid w:val="00706B71"/>
    <w:rsid w:val="00707E65"/>
    <w:rsid w:val="0071022A"/>
    <w:rsid w:val="0071198C"/>
    <w:rsid w:val="00711E03"/>
    <w:rsid w:val="0071277A"/>
    <w:rsid w:val="00712A9C"/>
    <w:rsid w:val="00712EE5"/>
    <w:rsid w:val="00713493"/>
    <w:rsid w:val="00713494"/>
    <w:rsid w:val="00714031"/>
    <w:rsid w:val="0071466E"/>
    <w:rsid w:val="00714A6C"/>
    <w:rsid w:val="00714CD3"/>
    <w:rsid w:val="00716E99"/>
    <w:rsid w:val="00717FF8"/>
    <w:rsid w:val="007206A8"/>
    <w:rsid w:val="00720878"/>
    <w:rsid w:val="0072116D"/>
    <w:rsid w:val="0072226F"/>
    <w:rsid w:val="007229BC"/>
    <w:rsid w:val="00722E50"/>
    <w:rsid w:val="00723947"/>
    <w:rsid w:val="00723A81"/>
    <w:rsid w:val="00723E65"/>
    <w:rsid w:val="00724370"/>
    <w:rsid w:val="0072472E"/>
    <w:rsid w:val="00724D2C"/>
    <w:rsid w:val="00724ED1"/>
    <w:rsid w:val="0072543E"/>
    <w:rsid w:val="00725B78"/>
    <w:rsid w:val="007260DF"/>
    <w:rsid w:val="00727082"/>
    <w:rsid w:val="00727C7F"/>
    <w:rsid w:val="00730E8C"/>
    <w:rsid w:val="0073118C"/>
    <w:rsid w:val="007317C6"/>
    <w:rsid w:val="00732311"/>
    <w:rsid w:val="0073233C"/>
    <w:rsid w:val="00732BE9"/>
    <w:rsid w:val="00732D0C"/>
    <w:rsid w:val="00732EFB"/>
    <w:rsid w:val="007336FD"/>
    <w:rsid w:val="00733BD3"/>
    <w:rsid w:val="00733EAD"/>
    <w:rsid w:val="00734288"/>
    <w:rsid w:val="007344D3"/>
    <w:rsid w:val="0073490D"/>
    <w:rsid w:val="00734B64"/>
    <w:rsid w:val="00734F54"/>
    <w:rsid w:val="00736D93"/>
    <w:rsid w:val="00736DA9"/>
    <w:rsid w:val="00737C04"/>
    <w:rsid w:val="00737F64"/>
    <w:rsid w:val="0074048B"/>
    <w:rsid w:val="00740D83"/>
    <w:rsid w:val="00741917"/>
    <w:rsid w:val="00743CB0"/>
    <w:rsid w:val="00744110"/>
    <w:rsid w:val="00744595"/>
    <w:rsid w:val="00744FD0"/>
    <w:rsid w:val="0074560A"/>
    <w:rsid w:val="0074681A"/>
    <w:rsid w:val="007469CC"/>
    <w:rsid w:val="00746B8F"/>
    <w:rsid w:val="00747A52"/>
    <w:rsid w:val="00747A96"/>
    <w:rsid w:val="00750701"/>
    <w:rsid w:val="00750A44"/>
    <w:rsid w:val="00750F1E"/>
    <w:rsid w:val="00751322"/>
    <w:rsid w:val="00751C12"/>
    <w:rsid w:val="00752691"/>
    <w:rsid w:val="007528F2"/>
    <w:rsid w:val="0075294E"/>
    <w:rsid w:val="0075340E"/>
    <w:rsid w:val="00753E23"/>
    <w:rsid w:val="007569C7"/>
    <w:rsid w:val="00756E98"/>
    <w:rsid w:val="00756F04"/>
    <w:rsid w:val="007575C4"/>
    <w:rsid w:val="00757D63"/>
    <w:rsid w:val="00761664"/>
    <w:rsid w:val="00761C9F"/>
    <w:rsid w:val="007629BA"/>
    <w:rsid w:val="00762A1B"/>
    <w:rsid w:val="00762D6D"/>
    <w:rsid w:val="00763700"/>
    <w:rsid w:val="00763BEF"/>
    <w:rsid w:val="0076427C"/>
    <w:rsid w:val="007645D7"/>
    <w:rsid w:val="00764773"/>
    <w:rsid w:val="00765217"/>
    <w:rsid w:val="00765742"/>
    <w:rsid w:val="007659AA"/>
    <w:rsid w:val="007659B9"/>
    <w:rsid w:val="00765B16"/>
    <w:rsid w:val="00765E69"/>
    <w:rsid w:val="00766334"/>
    <w:rsid w:val="007666B4"/>
    <w:rsid w:val="00766DAC"/>
    <w:rsid w:val="007671CD"/>
    <w:rsid w:val="00767FF2"/>
    <w:rsid w:val="00770CB7"/>
    <w:rsid w:val="00770ED3"/>
    <w:rsid w:val="0077266C"/>
    <w:rsid w:val="00772802"/>
    <w:rsid w:val="007743DD"/>
    <w:rsid w:val="00774836"/>
    <w:rsid w:val="00774D91"/>
    <w:rsid w:val="00774F76"/>
    <w:rsid w:val="00775066"/>
    <w:rsid w:val="00776406"/>
    <w:rsid w:val="00777FEE"/>
    <w:rsid w:val="0078005A"/>
    <w:rsid w:val="00780A5C"/>
    <w:rsid w:val="00781B6F"/>
    <w:rsid w:val="00781F9C"/>
    <w:rsid w:val="007821FE"/>
    <w:rsid w:val="00782DFD"/>
    <w:rsid w:val="00783075"/>
    <w:rsid w:val="00783442"/>
    <w:rsid w:val="00783EA4"/>
    <w:rsid w:val="00784424"/>
    <w:rsid w:val="007844BD"/>
    <w:rsid w:val="00784F0D"/>
    <w:rsid w:val="00785474"/>
    <w:rsid w:val="007854E9"/>
    <w:rsid w:val="00786376"/>
    <w:rsid w:val="00786FB9"/>
    <w:rsid w:val="00787B99"/>
    <w:rsid w:val="0079154C"/>
    <w:rsid w:val="00791B24"/>
    <w:rsid w:val="00791BD6"/>
    <w:rsid w:val="007925B6"/>
    <w:rsid w:val="00793EA5"/>
    <w:rsid w:val="0079410B"/>
    <w:rsid w:val="0079421C"/>
    <w:rsid w:val="00794BBE"/>
    <w:rsid w:val="0079526D"/>
    <w:rsid w:val="007956E7"/>
    <w:rsid w:val="00795A2C"/>
    <w:rsid w:val="00795B4E"/>
    <w:rsid w:val="00795EDA"/>
    <w:rsid w:val="00797390"/>
    <w:rsid w:val="007979BF"/>
    <w:rsid w:val="00797A99"/>
    <w:rsid w:val="00797D7A"/>
    <w:rsid w:val="007A05B6"/>
    <w:rsid w:val="007A0746"/>
    <w:rsid w:val="007A1C0A"/>
    <w:rsid w:val="007A1C59"/>
    <w:rsid w:val="007A23E6"/>
    <w:rsid w:val="007A3010"/>
    <w:rsid w:val="007A377B"/>
    <w:rsid w:val="007A3EED"/>
    <w:rsid w:val="007A5B41"/>
    <w:rsid w:val="007A5C1E"/>
    <w:rsid w:val="007A6BAB"/>
    <w:rsid w:val="007B20E5"/>
    <w:rsid w:val="007B2E9C"/>
    <w:rsid w:val="007B310B"/>
    <w:rsid w:val="007B3A76"/>
    <w:rsid w:val="007B512A"/>
    <w:rsid w:val="007B5792"/>
    <w:rsid w:val="007B68FF"/>
    <w:rsid w:val="007B77EC"/>
    <w:rsid w:val="007B7BD5"/>
    <w:rsid w:val="007C05F2"/>
    <w:rsid w:val="007C209D"/>
    <w:rsid w:val="007C257E"/>
    <w:rsid w:val="007C2F0D"/>
    <w:rsid w:val="007C31E2"/>
    <w:rsid w:val="007C34CA"/>
    <w:rsid w:val="007C4CFA"/>
    <w:rsid w:val="007C5045"/>
    <w:rsid w:val="007C5CE1"/>
    <w:rsid w:val="007C6041"/>
    <w:rsid w:val="007C6F85"/>
    <w:rsid w:val="007D0066"/>
    <w:rsid w:val="007D0569"/>
    <w:rsid w:val="007D16B1"/>
    <w:rsid w:val="007D1929"/>
    <w:rsid w:val="007D19E4"/>
    <w:rsid w:val="007D1A58"/>
    <w:rsid w:val="007D1E29"/>
    <w:rsid w:val="007D269B"/>
    <w:rsid w:val="007D3278"/>
    <w:rsid w:val="007D3677"/>
    <w:rsid w:val="007D403D"/>
    <w:rsid w:val="007D43B7"/>
    <w:rsid w:val="007D4432"/>
    <w:rsid w:val="007D4531"/>
    <w:rsid w:val="007D64B2"/>
    <w:rsid w:val="007D69A1"/>
    <w:rsid w:val="007D6D15"/>
    <w:rsid w:val="007D7400"/>
    <w:rsid w:val="007D762B"/>
    <w:rsid w:val="007D7761"/>
    <w:rsid w:val="007D77BE"/>
    <w:rsid w:val="007D79FF"/>
    <w:rsid w:val="007E02A7"/>
    <w:rsid w:val="007E1937"/>
    <w:rsid w:val="007E2BF8"/>
    <w:rsid w:val="007E2C0A"/>
    <w:rsid w:val="007E2F22"/>
    <w:rsid w:val="007E38B4"/>
    <w:rsid w:val="007E3FB4"/>
    <w:rsid w:val="007E468A"/>
    <w:rsid w:val="007E5033"/>
    <w:rsid w:val="007E51A5"/>
    <w:rsid w:val="007E5C3C"/>
    <w:rsid w:val="007E6930"/>
    <w:rsid w:val="007E774E"/>
    <w:rsid w:val="007E79F6"/>
    <w:rsid w:val="007E7DDE"/>
    <w:rsid w:val="007E7F4C"/>
    <w:rsid w:val="007F0607"/>
    <w:rsid w:val="007F0B33"/>
    <w:rsid w:val="007F0FB8"/>
    <w:rsid w:val="007F1AC7"/>
    <w:rsid w:val="007F237A"/>
    <w:rsid w:val="007F2E1E"/>
    <w:rsid w:val="007F2EC6"/>
    <w:rsid w:val="007F3018"/>
    <w:rsid w:val="007F44E2"/>
    <w:rsid w:val="007F54CF"/>
    <w:rsid w:val="007F6862"/>
    <w:rsid w:val="007F6BA1"/>
    <w:rsid w:val="008013FC"/>
    <w:rsid w:val="008015EB"/>
    <w:rsid w:val="0080329F"/>
    <w:rsid w:val="008034F3"/>
    <w:rsid w:val="00803DC7"/>
    <w:rsid w:val="00804B18"/>
    <w:rsid w:val="0080533F"/>
    <w:rsid w:val="0080539C"/>
    <w:rsid w:val="008060C3"/>
    <w:rsid w:val="008063A1"/>
    <w:rsid w:val="00806733"/>
    <w:rsid w:val="0080685C"/>
    <w:rsid w:val="00807C1F"/>
    <w:rsid w:val="00807F00"/>
    <w:rsid w:val="00812095"/>
    <w:rsid w:val="008120DD"/>
    <w:rsid w:val="00813471"/>
    <w:rsid w:val="008134BD"/>
    <w:rsid w:val="00813B63"/>
    <w:rsid w:val="00813DCE"/>
    <w:rsid w:val="008145BD"/>
    <w:rsid w:val="00814656"/>
    <w:rsid w:val="0081488A"/>
    <w:rsid w:val="00815FA7"/>
    <w:rsid w:val="00815FDA"/>
    <w:rsid w:val="008162A6"/>
    <w:rsid w:val="00816447"/>
    <w:rsid w:val="00820617"/>
    <w:rsid w:val="00820C66"/>
    <w:rsid w:val="00820E45"/>
    <w:rsid w:val="00821AA0"/>
    <w:rsid w:val="00821E2C"/>
    <w:rsid w:val="008225B6"/>
    <w:rsid w:val="00822835"/>
    <w:rsid w:val="00822B28"/>
    <w:rsid w:val="00822E17"/>
    <w:rsid w:val="00823B18"/>
    <w:rsid w:val="0082459B"/>
    <w:rsid w:val="00824EBF"/>
    <w:rsid w:val="00824F6A"/>
    <w:rsid w:val="008259C1"/>
    <w:rsid w:val="00825DBD"/>
    <w:rsid w:val="00825E19"/>
    <w:rsid w:val="0082647B"/>
    <w:rsid w:val="00826758"/>
    <w:rsid w:val="00826D1E"/>
    <w:rsid w:val="00827DA9"/>
    <w:rsid w:val="008353E0"/>
    <w:rsid w:val="00835EAC"/>
    <w:rsid w:val="00836108"/>
    <w:rsid w:val="00836577"/>
    <w:rsid w:val="008365F0"/>
    <w:rsid w:val="00836BB8"/>
    <w:rsid w:val="008372A2"/>
    <w:rsid w:val="00837DE5"/>
    <w:rsid w:val="00840784"/>
    <w:rsid w:val="00840918"/>
    <w:rsid w:val="00840BDD"/>
    <w:rsid w:val="00841534"/>
    <w:rsid w:val="00841944"/>
    <w:rsid w:val="00841EB9"/>
    <w:rsid w:val="008422E0"/>
    <w:rsid w:val="00845432"/>
    <w:rsid w:val="008462F1"/>
    <w:rsid w:val="00846930"/>
    <w:rsid w:val="00847E0E"/>
    <w:rsid w:val="008501B9"/>
    <w:rsid w:val="00850608"/>
    <w:rsid w:val="00850A2D"/>
    <w:rsid w:val="00850FDE"/>
    <w:rsid w:val="00851357"/>
    <w:rsid w:val="008521F7"/>
    <w:rsid w:val="00852876"/>
    <w:rsid w:val="00852C59"/>
    <w:rsid w:val="008543F5"/>
    <w:rsid w:val="00855004"/>
    <w:rsid w:val="0085510A"/>
    <w:rsid w:val="008566CB"/>
    <w:rsid w:val="0085676B"/>
    <w:rsid w:val="008569C8"/>
    <w:rsid w:val="00856BEF"/>
    <w:rsid w:val="00856F4C"/>
    <w:rsid w:val="008572C4"/>
    <w:rsid w:val="0085733E"/>
    <w:rsid w:val="0085765A"/>
    <w:rsid w:val="00857867"/>
    <w:rsid w:val="00857CCE"/>
    <w:rsid w:val="00857CD1"/>
    <w:rsid w:val="008604A8"/>
    <w:rsid w:val="0086074C"/>
    <w:rsid w:val="00860E64"/>
    <w:rsid w:val="008616F7"/>
    <w:rsid w:val="00861713"/>
    <w:rsid w:val="00861AFA"/>
    <w:rsid w:val="00862B2E"/>
    <w:rsid w:val="00863C61"/>
    <w:rsid w:val="008641B1"/>
    <w:rsid w:val="00864CD5"/>
    <w:rsid w:val="00865522"/>
    <w:rsid w:val="00865ADF"/>
    <w:rsid w:val="00865CD1"/>
    <w:rsid w:val="0086616F"/>
    <w:rsid w:val="0086644C"/>
    <w:rsid w:val="008666B5"/>
    <w:rsid w:val="00866E55"/>
    <w:rsid w:val="00867310"/>
    <w:rsid w:val="008703B3"/>
    <w:rsid w:val="00872BF3"/>
    <w:rsid w:val="008738DF"/>
    <w:rsid w:val="0087410B"/>
    <w:rsid w:val="00874A78"/>
    <w:rsid w:val="00876045"/>
    <w:rsid w:val="00876985"/>
    <w:rsid w:val="00876B41"/>
    <w:rsid w:val="00876B8B"/>
    <w:rsid w:val="008777C6"/>
    <w:rsid w:val="00877908"/>
    <w:rsid w:val="00877976"/>
    <w:rsid w:val="00877B9D"/>
    <w:rsid w:val="00880E8D"/>
    <w:rsid w:val="008829DA"/>
    <w:rsid w:val="00882B28"/>
    <w:rsid w:val="00882D61"/>
    <w:rsid w:val="0088342B"/>
    <w:rsid w:val="00883780"/>
    <w:rsid w:val="00883B99"/>
    <w:rsid w:val="00885066"/>
    <w:rsid w:val="008854ED"/>
    <w:rsid w:val="00885F85"/>
    <w:rsid w:val="0088665E"/>
    <w:rsid w:val="008868E5"/>
    <w:rsid w:val="00886B7D"/>
    <w:rsid w:val="00887B69"/>
    <w:rsid w:val="00887F48"/>
    <w:rsid w:val="00890A21"/>
    <w:rsid w:val="00891662"/>
    <w:rsid w:val="008923C8"/>
    <w:rsid w:val="008924B5"/>
    <w:rsid w:val="008927FC"/>
    <w:rsid w:val="00893260"/>
    <w:rsid w:val="008932A8"/>
    <w:rsid w:val="00893756"/>
    <w:rsid w:val="00893F57"/>
    <w:rsid w:val="008940FE"/>
    <w:rsid w:val="0089435B"/>
    <w:rsid w:val="00894A9E"/>
    <w:rsid w:val="00894BFA"/>
    <w:rsid w:val="008950F6"/>
    <w:rsid w:val="00895ACC"/>
    <w:rsid w:val="0089621C"/>
    <w:rsid w:val="00896815"/>
    <w:rsid w:val="008971D9"/>
    <w:rsid w:val="00897574"/>
    <w:rsid w:val="008976A0"/>
    <w:rsid w:val="008976AE"/>
    <w:rsid w:val="00897A99"/>
    <w:rsid w:val="008A0744"/>
    <w:rsid w:val="008A0A6E"/>
    <w:rsid w:val="008A0D0F"/>
    <w:rsid w:val="008A1B59"/>
    <w:rsid w:val="008A1C6C"/>
    <w:rsid w:val="008A2A0D"/>
    <w:rsid w:val="008A2F6A"/>
    <w:rsid w:val="008A2FB3"/>
    <w:rsid w:val="008A398B"/>
    <w:rsid w:val="008A3E19"/>
    <w:rsid w:val="008A483B"/>
    <w:rsid w:val="008A4B1C"/>
    <w:rsid w:val="008A54D6"/>
    <w:rsid w:val="008A5601"/>
    <w:rsid w:val="008A59AD"/>
    <w:rsid w:val="008A7404"/>
    <w:rsid w:val="008B0EEB"/>
    <w:rsid w:val="008B14FC"/>
    <w:rsid w:val="008B1D4A"/>
    <w:rsid w:val="008B2076"/>
    <w:rsid w:val="008B3BFD"/>
    <w:rsid w:val="008B431D"/>
    <w:rsid w:val="008B51FD"/>
    <w:rsid w:val="008B54EA"/>
    <w:rsid w:val="008B6766"/>
    <w:rsid w:val="008B6801"/>
    <w:rsid w:val="008B70D3"/>
    <w:rsid w:val="008B716F"/>
    <w:rsid w:val="008B7186"/>
    <w:rsid w:val="008B7192"/>
    <w:rsid w:val="008B73B2"/>
    <w:rsid w:val="008B75E4"/>
    <w:rsid w:val="008C064F"/>
    <w:rsid w:val="008C138E"/>
    <w:rsid w:val="008C1939"/>
    <w:rsid w:val="008C1D97"/>
    <w:rsid w:val="008C22C4"/>
    <w:rsid w:val="008C2C0F"/>
    <w:rsid w:val="008C3396"/>
    <w:rsid w:val="008C621C"/>
    <w:rsid w:val="008C697C"/>
    <w:rsid w:val="008C7448"/>
    <w:rsid w:val="008C75ED"/>
    <w:rsid w:val="008C7649"/>
    <w:rsid w:val="008D089D"/>
    <w:rsid w:val="008D10D0"/>
    <w:rsid w:val="008D1FDB"/>
    <w:rsid w:val="008D3C31"/>
    <w:rsid w:val="008D3DE7"/>
    <w:rsid w:val="008D418A"/>
    <w:rsid w:val="008D52EC"/>
    <w:rsid w:val="008D6A82"/>
    <w:rsid w:val="008D6B97"/>
    <w:rsid w:val="008D72A4"/>
    <w:rsid w:val="008E02C4"/>
    <w:rsid w:val="008E0991"/>
    <w:rsid w:val="008E1246"/>
    <w:rsid w:val="008E12C6"/>
    <w:rsid w:val="008E1AD0"/>
    <w:rsid w:val="008E3124"/>
    <w:rsid w:val="008E338E"/>
    <w:rsid w:val="008E4682"/>
    <w:rsid w:val="008E46EF"/>
    <w:rsid w:val="008E4A18"/>
    <w:rsid w:val="008E53B0"/>
    <w:rsid w:val="008E57FE"/>
    <w:rsid w:val="008E749B"/>
    <w:rsid w:val="008F0932"/>
    <w:rsid w:val="008F09AA"/>
    <w:rsid w:val="008F14F0"/>
    <w:rsid w:val="008F192F"/>
    <w:rsid w:val="008F2665"/>
    <w:rsid w:val="008F2E0D"/>
    <w:rsid w:val="008F507E"/>
    <w:rsid w:val="008F5251"/>
    <w:rsid w:val="008F53B1"/>
    <w:rsid w:val="008F6376"/>
    <w:rsid w:val="00900CC2"/>
    <w:rsid w:val="0090101D"/>
    <w:rsid w:val="009016D1"/>
    <w:rsid w:val="00901770"/>
    <w:rsid w:val="009019FB"/>
    <w:rsid w:val="00901AB1"/>
    <w:rsid w:val="009022C0"/>
    <w:rsid w:val="009029E7"/>
    <w:rsid w:val="00902AA5"/>
    <w:rsid w:val="00903BE4"/>
    <w:rsid w:val="00903D9E"/>
    <w:rsid w:val="00903F8D"/>
    <w:rsid w:val="00904012"/>
    <w:rsid w:val="009052B7"/>
    <w:rsid w:val="00905595"/>
    <w:rsid w:val="00905B05"/>
    <w:rsid w:val="00905EE0"/>
    <w:rsid w:val="00906803"/>
    <w:rsid w:val="00906A0B"/>
    <w:rsid w:val="0090753C"/>
    <w:rsid w:val="00911973"/>
    <w:rsid w:val="00911B66"/>
    <w:rsid w:val="00912A7E"/>
    <w:rsid w:val="0091308B"/>
    <w:rsid w:val="009131D3"/>
    <w:rsid w:val="00913BD7"/>
    <w:rsid w:val="0091420B"/>
    <w:rsid w:val="0091441F"/>
    <w:rsid w:val="009146A2"/>
    <w:rsid w:val="009148D6"/>
    <w:rsid w:val="00914CAF"/>
    <w:rsid w:val="00915330"/>
    <w:rsid w:val="00915749"/>
    <w:rsid w:val="00916AA0"/>
    <w:rsid w:val="00916E69"/>
    <w:rsid w:val="00916F07"/>
    <w:rsid w:val="00917525"/>
    <w:rsid w:val="0091777D"/>
    <w:rsid w:val="00917C39"/>
    <w:rsid w:val="00917F50"/>
    <w:rsid w:val="0092057D"/>
    <w:rsid w:val="00920C8C"/>
    <w:rsid w:val="009218DE"/>
    <w:rsid w:val="00922D00"/>
    <w:rsid w:val="00923F17"/>
    <w:rsid w:val="009245C2"/>
    <w:rsid w:val="00925FCE"/>
    <w:rsid w:val="00926024"/>
    <w:rsid w:val="009266DA"/>
    <w:rsid w:val="009302A0"/>
    <w:rsid w:val="009302A6"/>
    <w:rsid w:val="00930755"/>
    <w:rsid w:val="00930DE8"/>
    <w:rsid w:val="009318DD"/>
    <w:rsid w:val="0093192B"/>
    <w:rsid w:val="0093249A"/>
    <w:rsid w:val="00933024"/>
    <w:rsid w:val="00934504"/>
    <w:rsid w:val="00934A65"/>
    <w:rsid w:val="00934C22"/>
    <w:rsid w:val="00935413"/>
    <w:rsid w:val="00935F5D"/>
    <w:rsid w:val="00936451"/>
    <w:rsid w:val="0093669F"/>
    <w:rsid w:val="009368E0"/>
    <w:rsid w:val="009369A8"/>
    <w:rsid w:val="00936C75"/>
    <w:rsid w:val="00936DB9"/>
    <w:rsid w:val="00937087"/>
    <w:rsid w:val="00941145"/>
    <w:rsid w:val="00941385"/>
    <w:rsid w:val="00942123"/>
    <w:rsid w:val="0094260B"/>
    <w:rsid w:val="00942661"/>
    <w:rsid w:val="00945307"/>
    <w:rsid w:val="0094558D"/>
    <w:rsid w:val="00946FCE"/>
    <w:rsid w:val="0094744E"/>
    <w:rsid w:val="00947A46"/>
    <w:rsid w:val="0095093A"/>
    <w:rsid w:val="009515BC"/>
    <w:rsid w:val="00951E0F"/>
    <w:rsid w:val="00953124"/>
    <w:rsid w:val="00953346"/>
    <w:rsid w:val="009533EC"/>
    <w:rsid w:val="0095349A"/>
    <w:rsid w:val="00953B5B"/>
    <w:rsid w:val="00953BF7"/>
    <w:rsid w:val="00953C57"/>
    <w:rsid w:val="00953ED0"/>
    <w:rsid w:val="0095492E"/>
    <w:rsid w:val="009549A6"/>
    <w:rsid w:val="0095562E"/>
    <w:rsid w:val="00955E3A"/>
    <w:rsid w:val="00955F7D"/>
    <w:rsid w:val="009561A9"/>
    <w:rsid w:val="0095684F"/>
    <w:rsid w:val="009571D9"/>
    <w:rsid w:val="009578F2"/>
    <w:rsid w:val="00957E0D"/>
    <w:rsid w:val="0096089E"/>
    <w:rsid w:val="00960A17"/>
    <w:rsid w:val="0096242F"/>
    <w:rsid w:val="00962E3B"/>
    <w:rsid w:val="00962FF5"/>
    <w:rsid w:val="00964A4E"/>
    <w:rsid w:val="00964CA1"/>
    <w:rsid w:val="0096548A"/>
    <w:rsid w:val="00965B02"/>
    <w:rsid w:val="00965C07"/>
    <w:rsid w:val="00965D2D"/>
    <w:rsid w:val="00966E17"/>
    <w:rsid w:val="00966EB8"/>
    <w:rsid w:val="00966FAC"/>
    <w:rsid w:val="00967213"/>
    <w:rsid w:val="00967727"/>
    <w:rsid w:val="009706F2"/>
    <w:rsid w:val="00970A16"/>
    <w:rsid w:val="00970B59"/>
    <w:rsid w:val="00970D3F"/>
    <w:rsid w:val="00971847"/>
    <w:rsid w:val="00971A69"/>
    <w:rsid w:val="00971BF9"/>
    <w:rsid w:val="009727FF"/>
    <w:rsid w:val="00972964"/>
    <w:rsid w:val="00973267"/>
    <w:rsid w:val="009746A1"/>
    <w:rsid w:val="00975AF8"/>
    <w:rsid w:val="00975E9F"/>
    <w:rsid w:val="009763B2"/>
    <w:rsid w:val="0097735B"/>
    <w:rsid w:val="0097762F"/>
    <w:rsid w:val="0097764F"/>
    <w:rsid w:val="009814F4"/>
    <w:rsid w:val="009816B8"/>
    <w:rsid w:val="009819BE"/>
    <w:rsid w:val="00983B45"/>
    <w:rsid w:val="00983B5C"/>
    <w:rsid w:val="00984E6F"/>
    <w:rsid w:val="009855A1"/>
    <w:rsid w:val="00986AE6"/>
    <w:rsid w:val="0098766F"/>
    <w:rsid w:val="00987789"/>
    <w:rsid w:val="009877EC"/>
    <w:rsid w:val="009878D0"/>
    <w:rsid w:val="009915CD"/>
    <w:rsid w:val="009936C0"/>
    <w:rsid w:val="00993912"/>
    <w:rsid w:val="00994050"/>
    <w:rsid w:val="00994301"/>
    <w:rsid w:val="009949F3"/>
    <w:rsid w:val="00995EA8"/>
    <w:rsid w:val="009962CF"/>
    <w:rsid w:val="009962E3"/>
    <w:rsid w:val="009969D6"/>
    <w:rsid w:val="009A0072"/>
    <w:rsid w:val="009A07A7"/>
    <w:rsid w:val="009A2152"/>
    <w:rsid w:val="009A3296"/>
    <w:rsid w:val="009A4543"/>
    <w:rsid w:val="009A5DB1"/>
    <w:rsid w:val="009A63D3"/>
    <w:rsid w:val="009A7C5A"/>
    <w:rsid w:val="009A7E51"/>
    <w:rsid w:val="009B1BBB"/>
    <w:rsid w:val="009B21B9"/>
    <w:rsid w:val="009B27AF"/>
    <w:rsid w:val="009B27EB"/>
    <w:rsid w:val="009B2D57"/>
    <w:rsid w:val="009B2FAD"/>
    <w:rsid w:val="009B3113"/>
    <w:rsid w:val="009B3486"/>
    <w:rsid w:val="009B441B"/>
    <w:rsid w:val="009B445C"/>
    <w:rsid w:val="009B4CD0"/>
    <w:rsid w:val="009B4DA7"/>
    <w:rsid w:val="009B5D1A"/>
    <w:rsid w:val="009B5E39"/>
    <w:rsid w:val="009B6C9D"/>
    <w:rsid w:val="009C02F5"/>
    <w:rsid w:val="009C10D7"/>
    <w:rsid w:val="009C121B"/>
    <w:rsid w:val="009C1916"/>
    <w:rsid w:val="009C1FAA"/>
    <w:rsid w:val="009C20C8"/>
    <w:rsid w:val="009C21C6"/>
    <w:rsid w:val="009C2AE5"/>
    <w:rsid w:val="009C383B"/>
    <w:rsid w:val="009C3A80"/>
    <w:rsid w:val="009C41EC"/>
    <w:rsid w:val="009C5238"/>
    <w:rsid w:val="009C5F5F"/>
    <w:rsid w:val="009C6452"/>
    <w:rsid w:val="009C7234"/>
    <w:rsid w:val="009D12B4"/>
    <w:rsid w:val="009D1A90"/>
    <w:rsid w:val="009D1E70"/>
    <w:rsid w:val="009D2135"/>
    <w:rsid w:val="009D2D27"/>
    <w:rsid w:val="009D2EDE"/>
    <w:rsid w:val="009D2FA7"/>
    <w:rsid w:val="009D349F"/>
    <w:rsid w:val="009D4CAE"/>
    <w:rsid w:val="009D532E"/>
    <w:rsid w:val="009D55F9"/>
    <w:rsid w:val="009D5A11"/>
    <w:rsid w:val="009D66A5"/>
    <w:rsid w:val="009D6CEA"/>
    <w:rsid w:val="009D7576"/>
    <w:rsid w:val="009D765F"/>
    <w:rsid w:val="009D7760"/>
    <w:rsid w:val="009D7BCA"/>
    <w:rsid w:val="009E16E6"/>
    <w:rsid w:val="009E1E62"/>
    <w:rsid w:val="009E2953"/>
    <w:rsid w:val="009E30CE"/>
    <w:rsid w:val="009E35EA"/>
    <w:rsid w:val="009E4C32"/>
    <w:rsid w:val="009E4CDF"/>
    <w:rsid w:val="009E526E"/>
    <w:rsid w:val="009E57D1"/>
    <w:rsid w:val="009E5CDF"/>
    <w:rsid w:val="009E5E86"/>
    <w:rsid w:val="009F00EE"/>
    <w:rsid w:val="009F03A9"/>
    <w:rsid w:val="009F04C3"/>
    <w:rsid w:val="009F0760"/>
    <w:rsid w:val="009F0B32"/>
    <w:rsid w:val="009F119B"/>
    <w:rsid w:val="009F3124"/>
    <w:rsid w:val="009F3B23"/>
    <w:rsid w:val="009F3B29"/>
    <w:rsid w:val="009F40C9"/>
    <w:rsid w:val="009F4860"/>
    <w:rsid w:val="009F4F74"/>
    <w:rsid w:val="009F67E1"/>
    <w:rsid w:val="009F731D"/>
    <w:rsid w:val="009F732E"/>
    <w:rsid w:val="00A00057"/>
    <w:rsid w:val="00A00485"/>
    <w:rsid w:val="00A0154A"/>
    <w:rsid w:val="00A01A5F"/>
    <w:rsid w:val="00A025AC"/>
    <w:rsid w:val="00A02831"/>
    <w:rsid w:val="00A02C96"/>
    <w:rsid w:val="00A02E65"/>
    <w:rsid w:val="00A0340A"/>
    <w:rsid w:val="00A0440C"/>
    <w:rsid w:val="00A047AE"/>
    <w:rsid w:val="00A0515E"/>
    <w:rsid w:val="00A0585F"/>
    <w:rsid w:val="00A0661D"/>
    <w:rsid w:val="00A0694A"/>
    <w:rsid w:val="00A077AC"/>
    <w:rsid w:val="00A07A33"/>
    <w:rsid w:val="00A10A30"/>
    <w:rsid w:val="00A10BB4"/>
    <w:rsid w:val="00A1137C"/>
    <w:rsid w:val="00A113D7"/>
    <w:rsid w:val="00A11F0F"/>
    <w:rsid w:val="00A124DC"/>
    <w:rsid w:val="00A145E3"/>
    <w:rsid w:val="00A14DB5"/>
    <w:rsid w:val="00A156EF"/>
    <w:rsid w:val="00A15AE1"/>
    <w:rsid w:val="00A16126"/>
    <w:rsid w:val="00A17EB1"/>
    <w:rsid w:val="00A205DF"/>
    <w:rsid w:val="00A21990"/>
    <w:rsid w:val="00A21C6C"/>
    <w:rsid w:val="00A2365A"/>
    <w:rsid w:val="00A23E08"/>
    <w:rsid w:val="00A240B1"/>
    <w:rsid w:val="00A24133"/>
    <w:rsid w:val="00A2413F"/>
    <w:rsid w:val="00A2497E"/>
    <w:rsid w:val="00A2601D"/>
    <w:rsid w:val="00A262BF"/>
    <w:rsid w:val="00A263F5"/>
    <w:rsid w:val="00A27809"/>
    <w:rsid w:val="00A27E73"/>
    <w:rsid w:val="00A300DC"/>
    <w:rsid w:val="00A30533"/>
    <w:rsid w:val="00A30B72"/>
    <w:rsid w:val="00A312CB"/>
    <w:rsid w:val="00A317B0"/>
    <w:rsid w:val="00A32168"/>
    <w:rsid w:val="00A32890"/>
    <w:rsid w:val="00A34591"/>
    <w:rsid w:val="00A348EB"/>
    <w:rsid w:val="00A34E44"/>
    <w:rsid w:val="00A3640F"/>
    <w:rsid w:val="00A36C93"/>
    <w:rsid w:val="00A3785C"/>
    <w:rsid w:val="00A37DBA"/>
    <w:rsid w:val="00A37ECF"/>
    <w:rsid w:val="00A40CE2"/>
    <w:rsid w:val="00A4131B"/>
    <w:rsid w:val="00A41888"/>
    <w:rsid w:val="00A42FAE"/>
    <w:rsid w:val="00A462F5"/>
    <w:rsid w:val="00A465DC"/>
    <w:rsid w:val="00A47176"/>
    <w:rsid w:val="00A475C5"/>
    <w:rsid w:val="00A4768C"/>
    <w:rsid w:val="00A50640"/>
    <w:rsid w:val="00A50A68"/>
    <w:rsid w:val="00A50D3B"/>
    <w:rsid w:val="00A50E38"/>
    <w:rsid w:val="00A510C6"/>
    <w:rsid w:val="00A518AA"/>
    <w:rsid w:val="00A51A65"/>
    <w:rsid w:val="00A52326"/>
    <w:rsid w:val="00A525E7"/>
    <w:rsid w:val="00A52D3C"/>
    <w:rsid w:val="00A52DD4"/>
    <w:rsid w:val="00A52F9E"/>
    <w:rsid w:val="00A53138"/>
    <w:rsid w:val="00A539F4"/>
    <w:rsid w:val="00A56348"/>
    <w:rsid w:val="00A5703F"/>
    <w:rsid w:val="00A57182"/>
    <w:rsid w:val="00A57D39"/>
    <w:rsid w:val="00A62AB2"/>
    <w:rsid w:val="00A62C0E"/>
    <w:rsid w:val="00A6316B"/>
    <w:rsid w:val="00A63408"/>
    <w:rsid w:val="00A63BC0"/>
    <w:rsid w:val="00A63DEB"/>
    <w:rsid w:val="00A64336"/>
    <w:rsid w:val="00A6474D"/>
    <w:rsid w:val="00A65316"/>
    <w:rsid w:val="00A65718"/>
    <w:rsid w:val="00A66B79"/>
    <w:rsid w:val="00A66C38"/>
    <w:rsid w:val="00A674FF"/>
    <w:rsid w:val="00A678DD"/>
    <w:rsid w:val="00A70F69"/>
    <w:rsid w:val="00A70F94"/>
    <w:rsid w:val="00A715BB"/>
    <w:rsid w:val="00A72611"/>
    <w:rsid w:val="00A72DFB"/>
    <w:rsid w:val="00A7320A"/>
    <w:rsid w:val="00A73ABB"/>
    <w:rsid w:val="00A73B0F"/>
    <w:rsid w:val="00A73C0E"/>
    <w:rsid w:val="00A751A1"/>
    <w:rsid w:val="00A75417"/>
    <w:rsid w:val="00A76D2C"/>
    <w:rsid w:val="00A76E26"/>
    <w:rsid w:val="00A77419"/>
    <w:rsid w:val="00A77746"/>
    <w:rsid w:val="00A7789E"/>
    <w:rsid w:val="00A779E0"/>
    <w:rsid w:val="00A77C0B"/>
    <w:rsid w:val="00A803F3"/>
    <w:rsid w:val="00A806AA"/>
    <w:rsid w:val="00A809EF"/>
    <w:rsid w:val="00A8113D"/>
    <w:rsid w:val="00A81BF0"/>
    <w:rsid w:val="00A823EE"/>
    <w:rsid w:val="00A83BF6"/>
    <w:rsid w:val="00A84130"/>
    <w:rsid w:val="00A85259"/>
    <w:rsid w:val="00A85D13"/>
    <w:rsid w:val="00A87B4F"/>
    <w:rsid w:val="00A87CDE"/>
    <w:rsid w:val="00A87F31"/>
    <w:rsid w:val="00A90C5C"/>
    <w:rsid w:val="00A90D27"/>
    <w:rsid w:val="00A90F70"/>
    <w:rsid w:val="00A9103B"/>
    <w:rsid w:val="00A91284"/>
    <w:rsid w:val="00A91868"/>
    <w:rsid w:val="00A918A7"/>
    <w:rsid w:val="00A92871"/>
    <w:rsid w:val="00A93020"/>
    <w:rsid w:val="00A93C80"/>
    <w:rsid w:val="00A942A3"/>
    <w:rsid w:val="00A9458C"/>
    <w:rsid w:val="00A955EB"/>
    <w:rsid w:val="00A95B50"/>
    <w:rsid w:val="00A97ED4"/>
    <w:rsid w:val="00AA1F49"/>
    <w:rsid w:val="00AA2B81"/>
    <w:rsid w:val="00AA341D"/>
    <w:rsid w:val="00AA3A2E"/>
    <w:rsid w:val="00AA3BEB"/>
    <w:rsid w:val="00AA3F75"/>
    <w:rsid w:val="00AA4099"/>
    <w:rsid w:val="00AA45D6"/>
    <w:rsid w:val="00AA4B3A"/>
    <w:rsid w:val="00AA4D52"/>
    <w:rsid w:val="00AA4FF3"/>
    <w:rsid w:val="00AA562C"/>
    <w:rsid w:val="00AA6913"/>
    <w:rsid w:val="00AB10E1"/>
    <w:rsid w:val="00AB1839"/>
    <w:rsid w:val="00AB2027"/>
    <w:rsid w:val="00AB2190"/>
    <w:rsid w:val="00AB2CC2"/>
    <w:rsid w:val="00AB2F92"/>
    <w:rsid w:val="00AB32A7"/>
    <w:rsid w:val="00AB3428"/>
    <w:rsid w:val="00AB37A9"/>
    <w:rsid w:val="00AB39EB"/>
    <w:rsid w:val="00AB3BE6"/>
    <w:rsid w:val="00AB3F27"/>
    <w:rsid w:val="00AB3F53"/>
    <w:rsid w:val="00AB3FD9"/>
    <w:rsid w:val="00AB60AA"/>
    <w:rsid w:val="00AB651E"/>
    <w:rsid w:val="00AB677A"/>
    <w:rsid w:val="00AB67F9"/>
    <w:rsid w:val="00AB7AEE"/>
    <w:rsid w:val="00AB7DE7"/>
    <w:rsid w:val="00AC03AB"/>
    <w:rsid w:val="00AC0650"/>
    <w:rsid w:val="00AC0673"/>
    <w:rsid w:val="00AC1581"/>
    <w:rsid w:val="00AC1952"/>
    <w:rsid w:val="00AC1BE7"/>
    <w:rsid w:val="00AC275F"/>
    <w:rsid w:val="00AC3724"/>
    <w:rsid w:val="00AC3EE4"/>
    <w:rsid w:val="00AC4D12"/>
    <w:rsid w:val="00AC50A4"/>
    <w:rsid w:val="00AC589A"/>
    <w:rsid w:val="00AC5A95"/>
    <w:rsid w:val="00AC6074"/>
    <w:rsid w:val="00AC6471"/>
    <w:rsid w:val="00AC6481"/>
    <w:rsid w:val="00AC6934"/>
    <w:rsid w:val="00AD0405"/>
    <w:rsid w:val="00AD1751"/>
    <w:rsid w:val="00AD2159"/>
    <w:rsid w:val="00AD2A00"/>
    <w:rsid w:val="00AD2B6E"/>
    <w:rsid w:val="00AD2D35"/>
    <w:rsid w:val="00AD2D61"/>
    <w:rsid w:val="00AD3443"/>
    <w:rsid w:val="00AD37EE"/>
    <w:rsid w:val="00AD39FB"/>
    <w:rsid w:val="00AD4B3C"/>
    <w:rsid w:val="00AD5A76"/>
    <w:rsid w:val="00AD625F"/>
    <w:rsid w:val="00AD68A5"/>
    <w:rsid w:val="00AD6ADB"/>
    <w:rsid w:val="00AD73BA"/>
    <w:rsid w:val="00AD74D6"/>
    <w:rsid w:val="00AE06BE"/>
    <w:rsid w:val="00AE09E1"/>
    <w:rsid w:val="00AE13B8"/>
    <w:rsid w:val="00AE185D"/>
    <w:rsid w:val="00AE1BFE"/>
    <w:rsid w:val="00AE2323"/>
    <w:rsid w:val="00AE3842"/>
    <w:rsid w:val="00AE3D5A"/>
    <w:rsid w:val="00AE3D83"/>
    <w:rsid w:val="00AE4374"/>
    <w:rsid w:val="00AE45A2"/>
    <w:rsid w:val="00AE466A"/>
    <w:rsid w:val="00AE485C"/>
    <w:rsid w:val="00AE78D4"/>
    <w:rsid w:val="00AE7D4F"/>
    <w:rsid w:val="00AE7FE4"/>
    <w:rsid w:val="00AF0117"/>
    <w:rsid w:val="00AF0757"/>
    <w:rsid w:val="00AF17D3"/>
    <w:rsid w:val="00AF1D77"/>
    <w:rsid w:val="00AF2CEE"/>
    <w:rsid w:val="00AF2D8F"/>
    <w:rsid w:val="00AF357D"/>
    <w:rsid w:val="00AF38BA"/>
    <w:rsid w:val="00AF4F67"/>
    <w:rsid w:val="00AF5811"/>
    <w:rsid w:val="00AF6509"/>
    <w:rsid w:val="00AF6886"/>
    <w:rsid w:val="00B00BBE"/>
    <w:rsid w:val="00B00E26"/>
    <w:rsid w:val="00B01887"/>
    <w:rsid w:val="00B01B0A"/>
    <w:rsid w:val="00B02C3A"/>
    <w:rsid w:val="00B0341F"/>
    <w:rsid w:val="00B038EB"/>
    <w:rsid w:val="00B03900"/>
    <w:rsid w:val="00B043D3"/>
    <w:rsid w:val="00B0456E"/>
    <w:rsid w:val="00B04CCD"/>
    <w:rsid w:val="00B06A05"/>
    <w:rsid w:val="00B06BF6"/>
    <w:rsid w:val="00B06F7F"/>
    <w:rsid w:val="00B07DC2"/>
    <w:rsid w:val="00B100F0"/>
    <w:rsid w:val="00B104F7"/>
    <w:rsid w:val="00B10A1B"/>
    <w:rsid w:val="00B13B06"/>
    <w:rsid w:val="00B1402E"/>
    <w:rsid w:val="00B14450"/>
    <w:rsid w:val="00B14865"/>
    <w:rsid w:val="00B14D6C"/>
    <w:rsid w:val="00B15347"/>
    <w:rsid w:val="00B15B2C"/>
    <w:rsid w:val="00B15F08"/>
    <w:rsid w:val="00B168CD"/>
    <w:rsid w:val="00B16CF7"/>
    <w:rsid w:val="00B16D64"/>
    <w:rsid w:val="00B171DA"/>
    <w:rsid w:val="00B205AC"/>
    <w:rsid w:val="00B207B1"/>
    <w:rsid w:val="00B20F17"/>
    <w:rsid w:val="00B21D50"/>
    <w:rsid w:val="00B22214"/>
    <w:rsid w:val="00B22CFF"/>
    <w:rsid w:val="00B22F9B"/>
    <w:rsid w:val="00B23747"/>
    <w:rsid w:val="00B23E0A"/>
    <w:rsid w:val="00B24090"/>
    <w:rsid w:val="00B25182"/>
    <w:rsid w:val="00B251CF"/>
    <w:rsid w:val="00B257E3"/>
    <w:rsid w:val="00B25878"/>
    <w:rsid w:val="00B25B6D"/>
    <w:rsid w:val="00B260C7"/>
    <w:rsid w:val="00B26E89"/>
    <w:rsid w:val="00B27494"/>
    <w:rsid w:val="00B279B9"/>
    <w:rsid w:val="00B27BFD"/>
    <w:rsid w:val="00B27ECB"/>
    <w:rsid w:val="00B3079A"/>
    <w:rsid w:val="00B31E53"/>
    <w:rsid w:val="00B32FBD"/>
    <w:rsid w:val="00B336B8"/>
    <w:rsid w:val="00B341A8"/>
    <w:rsid w:val="00B345EE"/>
    <w:rsid w:val="00B34F48"/>
    <w:rsid w:val="00B35472"/>
    <w:rsid w:val="00B3571E"/>
    <w:rsid w:val="00B36322"/>
    <w:rsid w:val="00B368ED"/>
    <w:rsid w:val="00B36EA4"/>
    <w:rsid w:val="00B37193"/>
    <w:rsid w:val="00B402DF"/>
    <w:rsid w:val="00B40E7D"/>
    <w:rsid w:val="00B415CF"/>
    <w:rsid w:val="00B41E70"/>
    <w:rsid w:val="00B41F8E"/>
    <w:rsid w:val="00B42253"/>
    <w:rsid w:val="00B4513D"/>
    <w:rsid w:val="00B45B9D"/>
    <w:rsid w:val="00B5061E"/>
    <w:rsid w:val="00B50D62"/>
    <w:rsid w:val="00B51BA0"/>
    <w:rsid w:val="00B51EC9"/>
    <w:rsid w:val="00B530DE"/>
    <w:rsid w:val="00B53220"/>
    <w:rsid w:val="00B535BD"/>
    <w:rsid w:val="00B53701"/>
    <w:rsid w:val="00B53809"/>
    <w:rsid w:val="00B53FA4"/>
    <w:rsid w:val="00B55AA5"/>
    <w:rsid w:val="00B56A26"/>
    <w:rsid w:val="00B572BA"/>
    <w:rsid w:val="00B5797A"/>
    <w:rsid w:val="00B6110A"/>
    <w:rsid w:val="00B6176A"/>
    <w:rsid w:val="00B61916"/>
    <w:rsid w:val="00B61DA7"/>
    <w:rsid w:val="00B626D8"/>
    <w:rsid w:val="00B6280D"/>
    <w:rsid w:val="00B62DFE"/>
    <w:rsid w:val="00B6301A"/>
    <w:rsid w:val="00B639CB"/>
    <w:rsid w:val="00B64967"/>
    <w:rsid w:val="00B64CAD"/>
    <w:rsid w:val="00B651FA"/>
    <w:rsid w:val="00B6543F"/>
    <w:rsid w:val="00B66751"/>
    <w:rsid w:val="00B66FB1"/>
    <w:rsid w:val="00B67AA6"/>
    <w:rsid w:val="00B700B5"/>
    <w:rsid w:val="00B7066C"/>
    <w:rsid w:val="00B717D8"/>
    <w:rsid w:val="00B72DF3"/>
    <w:rsid w:val="00B72FFE"/>
    <w:rsid w:val="00B734ED"/>
    <w:rsid w:val="00B74146"/>
    <w:rsid w:val="00B744DF"/>
    <w:rsid w:val="00B74863"/>
    <w:rsid w:val="00B76F6C"/>
    <w:rsid w:val="00B8080B"/>
    <w:rsid w:val="00B80FE8"/>
    <w:rsid w:val="00B811EF"/>
    <w:rsid w:val="00B82555"/>
    <w:rsid w:val="00B82AAA"/>
    <w:rsid w:val="00B831B9"/>
    <w:rsid w:val="00B833FD"/>
    <w:rsid w:val="00B8353F"/>
    <w:rsid w:val="00B83D04"/>
    <w:rsid w:val="00B84093"/>
    <w:rsid w:val="00B8418B"/>
    <w:rsid w:val="00B85B7E"/>
    <w:rsid w:val="00B861FD"/>
    <w:rsid w:val="00B8679A"/>
    <w:rsid w:val="00B86943"/>
    <w:rsid w:val="00B86BF5"/>
    <w:rsid w:val="00B86EF1"/>
    <w:rsid w:val="00B87C8F"/>
    <w:rsid w:val="00B87F31"/>
    <w:rsid w:val="00B90674"/>
    <w:rsid w:val="00B90AE7"/>
    <w:rsid w:val="00B91289"/>
    <w:rsid w:val="00B91FFF"/>
    <w:rsid w:val="00B934E3"/>
    <w:rsid w:val="00B937C7"/>
    <w:rsid w:val="00B93C66"/>
    <w:rsid w:val="00B94323"/>
    <w:rsid w:val="00B94444"/>
    <w:rsid w:val="00B955CF"/>
    <w:rsid w:val="00B9566B"/>
    <w:rsid w:val="00B95E86"/>
    <w:rsid w:val="00B95F92"/>
    <w:rsid w:val="00B961B7"/>
    <w:rsid w:val="00B963D4"/>
    <w:rsid w:val="00B9772B"/>
    <w:rsid w:val="00BA2DEF"/>
    <w:rsid w:val="00BA2F59"/>
    <w:rsid w:val="00BA35F2"/>
    <w:rsid w:val="00BA42FB"/>
    <w:rsid w:val="00BA4768"/>
    <w:rsid w:val="00BA4A92"/>
    <w:rsid w:val="00BA4FF7"/>
    <w:rsid w:val="00BA516F"/>
    <w:rsid w:val="00BA628C"/>
    <w:rsid w:val="00BA633E"/>
    <w:rsid w:val="00BA7059"/>
    <w:rsid w:val="00BA735F"/>
    <w:rsid w:val="00BA75BF"/>
    <w:rsid w:val="00BB0051"/>
    <w:rsid w:val="00BB02C6"/>
    <w:rsid w:val="00BB0D4C"/>
    <w:rsid w:val="00BB0D6B"/>
    <w:rsid w:val="00BB1082"/>
    <w:rsid w:val="00BB1CF5"/>
    <w:rsid w:val="00BB2127"/>
    <w:rsid w:val="00BB2774"/>
    <w:rsid w:val="00BB305B"/>
    <w:rsid w:val="00BB32DF"/>
    <w:rsid w:val="00BB3805"/>
    <w:rsid w:val="00BB4589"/>
    <w:rsid w:val="00BB4698"/>
    <w:rsid w:val="00BB52A5"/>
    <w:rsid w:val="00BB5893"/>
    <w:rsid w:val="00BB5915"/>
    <w:rsid w:val="00BB6740"/>
    <w:rsid w:val="00BB6B19"/>
    <w:rsid w:val="00BB6C85"/>
    <w:rsid w:val="00BB738F"/>
    <w:rsid w:val="00BB7EA1"/>
    <w:rsid w:val="00BB7F81"/>
    <w:rsid w:val="00BC04BB"/>
    <w:rsid w:val="00BC179E"/>
    <w:rsid w:val="00BC1E1A"/>
    <w:rsid w:val="00BC2222"/>
    <w:rsid w:val="00BC2358"/>
    <w:rsid w:val="00BC269B"/>
    <w:rsid w:val="00BC27D2"/>
    <w:rsid w:val="00BC68A7"/>
    <w:rsid w:val="00BD35E1"/>
    <w:rsid w:val="00BD523E"/>
    <w:rsid w:val="00BD524D"/>
    <w:rsid w:val="00BD54FC"/>
    <w:rsid w:val="00BD63C3"/>
    <w:rsid w:val="00BD6549"/>
    <w:rsid w:val="00BD67CE"/>
    <w:rsid w:val="00BD760A"/>
    <w:rsid w:val="00BD76A4"/>
    <w:rsid w:val="00BD7DF9"/>
    <w:rsid w:val="00BE0BBA"/>
    <w:rsid w:val="00BE0ECF"/>
    <w:rsid w:val="00BE17C7"/>
    <w:rsid w:val="00BE1BD4"/>
    <w:rsid w:val="00BE1C8A"/>
    <w:rsid w:val="00BE30D3"/>
    <w:rsid w:val="00BE384C"/>
    <w:rsid w:val="00BE4571"/>
    <w:rsid w:val="00BE4857"/>
    <w:rsid w:val="00BE50E5"/>
    <w:rsid w:val="00BE5847"/>
    <w:rsid w:val="00BE5BE0"/>
    <w:rsid w:val="00BE697B"/>
    <w:rsid w:val="00BE6C78"/>
    <w:rsid w:val="00BE70E8"/>
    <w:rsid w:val="00BE7892"/>
    <w:rsid w:val="00BF09B1"/>
    <w:rsid w:val="00BF0C7F"/>
    <w:rsid w:val="00BF0DCE"/>
    <w:rsid w:val="00BF0E76"/>
    <w:rsid w:val="00BF19DC"/>
    <w:rsid w:val="00BF29BD"/>
    <w:rsid w:val="00BF2B3E"/>
    <w:rsid w:val="00BF2DAF"/>
    <w:rsid w:val="00BF3EA6"/>
    <w:rsid w:val="00BF4494"/>
    <w:rsid w:val="00BF4E1B"/>
    <w:rsid w:val="00BF58C1"/>
    <w:rsid w:val="00BF6152"/>
    <w:rsid w:val="00C0022F"/>
    <w:rsid w:val="00C00B4C"/>
    <w:rsid w:val="00C01083"/>
    <w:rsid w:val="00C01255"/>
    <w:rsid w:val="00C0125D"/>
    <w:rsid w:val="00C013A6"/>
    <w:rsid w:val="00C020C2"/>
    <w:rsid w:val="00C031FA"/>
    <w:rsid w:val="00C03257"/>
    <w:rsid w:val="00C032F5"/>
    <w:rsid w:val="00C03966"/>
    <w:rsid w:val="00C03FAF"/>
    <w:rsid w:val="00C0480F"/>
    <w:rsid w:val="00C0548E"/>
    <w:rsid w:val="00C05929"/>
    <w:rsid w:val="00C0598B"/>
    <w:rsid w:val="00C1043C"/>
    <w:rsid w:val="00C107B0"/>
    <w:rsid w:val="00C11280"/>
    <w:rsid w:val="00C112AE"/>
    <w:rsid w:val="00C11467"/>
    <w:rsid w:val="00C12A51"/>
    <w:rsid w:val="00C12CD1"/>
    <w:rsid w:val="00C13AB1"/>
    <w:rsid w:val="00C14FED"/>
    <w:rsid w:val="00C1591E"/>
    <w:rsid w:val="00C15DCD"/>
    <w:rsid w:val="00C16626"/>
    <w:rsid w:val="00C166D7"/>
    <w:rsid w:val="00C169A2"/>
    <w:rsid w:val="00C173EE"/>
    <w:rsid w:val="00C175E7"/>
    <w:rsid w:val="00C1778F"/>
    <w:rsid w:val="00C20D36"/>
    <w:rsid w:val="00C21038"/>
    <w:rsid w:val="00C21C4A"/>
    <w:rsid w:val="00C2286B"/>
    <w:rsid w:val="00C2396B"/>
    <w:rsid w:val="00C244A8"/>
    <w:rsid w:val="00C2473E"/>
    <w:rsid w:val="00C25239"/>
    <w:rsid w:val="00C253F3"/>
    <w:rsid w:val="00C25AC4"/>
    <w:rsid w:val="00C26865"/>
    <w:rsid w:val="00C2785F"/>
    <w:rsid w:val="00C27B69"/>
    <w:rsid w:val="00C27CA9"/>
    <w:rsid w:val="00C308EF"/>
    <w:rsid w:val="00C30BA6"/>
    <w:rsid w:val="00C31467"/>
    <w:rsid w:val="00C33735"/>
    <w:rsid w:val="00C33BDA"/>
    <w:rsid w:val="00C33F0C"/>
    <w:rsid w:val="00C33F17"/>
    <w:rsid w:val="00C34CCB"/>
    <w:rsid w:val="00C34D57"/>
    <w:rsid w:val="00C34FAA"/>
    <w:rsid w:val="00C35515"/>
    <w:rsid w:val="00C35807"/>
    <w:rsid w:val="00C35A4B"/>
    <w:rsid w:val="00C36450"/>
    <w:rsid w:val="00C365B9"/>
    <w:rsid w:val="00C36696"/>
    <w:rsid w:val="00C36720"/>
    <w:rsid w:val="00C36777"/>
    <w:rsid w:val="00C36B6F"/>
    <w:rsid w:val="00C37518"/>
    <w:rsid w:val="00C37F00"/>
    <w:rsid w:val="00C40646"/>
    <w:rsid w:val="00C40BE1"/>
    <w:rsid w:val="00C4151F"/>
    <w:rsid w:val="00C421C9"/>
    <w:rsid w:val="00C42A3A"/>
    <w:rsid w:val="00C437C6"/>
    <w:rsid w:val="00C43EB9"/>
    <w:rsid w:val="00C443A7"/>
    <w:rsid w:val="00C44533"/>
    <w:rsid w:val="00C44613"/>
    <w:rsid w:val="00C4517F"/>
    <w:rsid w:val="00C45232"/>
    <w:rsid w:val="00C45363"/>
    <w:rsid w:val="00C45C3D"/>
    <w:rsid w:val="00C46356"/>
    <w:rsid w:val="00C46E94"/>
    <w:rsid w:val="00C4713F"/>
    <w:rsid w:val="00C47613"/>
    <w:rsid w:val="00C47614"/>
    <w:rsid w:val="00C477C6"/>
    <w:rsid w:val="00C47E42"/>
    <w:rsid w:val="00C514E2"/>
    <w:rsid w:val="00C52097"/>
    <w:rsid w:val="00C52BA5"/>
    <w:rsid w:val="00C52F47"/>
    <w:rsid w:val="00C531E4"/>
    <w:rsid w:val="00C53323"/>
    <w:rsid w:val="00C54D8C"/>
    <w:rsid w:val="00C55591"/>
    <w:rsid w:val="00C56054"/>
    <w:rsid w:val="00C566F2"/>
    <w:rsid w:val="00C56701"/>
    <w:rsid w:val="00C57493"/>
    <w:rsid w:val="00C605E6"/>
    <w:rsid w:val="00C60636"/>
    <w:rsid w:val="00C60BBD"/>
    <w:rsid w:val="00C611E1"/>
    <w:rsid w:val="00C6301D"/>
    <w:rsid w:val="00C64075"/>
    <w:rsid w:val="00C64AAA"/>
    <w:rsid w:val="00C64D07"/>
    <w:rsid w:val="00C651C8"/>
    <w:rsid w:val="00C652A5"/>
    <w:rsid w:val="00C666B2"/>
    <w:rsid w:val="00C66CEF"/>
    <w:rsid w:val="00C670FE"/>
    <w:rsid w:val="00C673A2"/>
    <w:rsid w:val="00C7060C"/>
    <w:rsid w:val="00C71087"/>
    <w:rsid w:val="00C71A67"/>
    <w:rsid w:val="00C71E3C"/>
    <w:rsid w:val="00C73166"/>
    <w:rsid w:val="00C73759"/>
    <w:rsid w:val="00C73C17"/>
    <w:rsid w:val="00C742FC"/>
    <w:rsid w:val="00C753CE"/>
    <w:rsid w:val="00C75492"/>
    <w:rsid w:val="00C75861"/>
    <w:rsid w:val="00C76FE4"/>
    <w:rsid w:val="00C7755D"/>
    <w:rsid w:val="00C77C78"/>
    <w:rsid w:val="00C8020C"/>
    <w:rsid w:val="00C8146C"/>
    <w:rsid w:val="00C8231E"/>
    <w:rsid w:val="00C84172"/>
    <w:rsid w:val="00C846DD"/>
    <w:rsid w:val="00C85CA6"/>
    <w:rsid w:val="00C873DA"/>
    <w:rsid w:val="00C8784C"/>
    <w:rsid w:val="00C9026D"/>
    <w:rsid w:val="00C90A7F"/>
    <w:rsid w:val="00C9147E"/>
    <w:rsid w:val="00C9238A"/>
    <w:rsid w:val="00C925ED"/>
    <w:rsid w:val="00C92E7D"/>
    <w:rsid w:val="00C9339F"/>
    <w:rsid w:val="00C93B75"/>
    <w:rsid w:val="00C93EA8"/>
    <w:rsid w:val="00C94839"/>
    <w:rsid w:val="00C94B85"/>
    <w:rsid w:val="00C95343"/>
    <w:rsid w:val="00C9553F"/>
    <w:rsid w:val="00C9612A"/>
    <w:rsid w:val="00C96343"/>
    <w:rsid w:val="00C96581"/>
    <w:rsid w:val="00C96A10"/>
    <w:rsid w:val="00C96D4B"/>
    <w:rsid w:val="00C970DD"/>
    <w:rsid w:val="00C97236"/>
    <w:rsid w:val="00C9753B"/>
    <w:rsid w:val="00C9769D"/>
    <w:rsid w:val="00C97EA0"/>
    <w:rsid w:val="00CA0C87"/>
    <w:rsid w:val="00CA0F7A"/>
    <w:rsid w:val="00CA16A6"/>
    <w:rsid w:val="00CA19CD"/>
    <w:rsid w:val="00CA2E66"/>
    <w:rsid w:val="00CA3FF1"/>
    <w:rsid w:val="00CA41BA"/>
    <w:rsid w:val="00CA41CB"/>
    <w:rsid w:val="00CA4952"/>
    <w:rsid w:val="00CA4A20"/>
    <w:rsid w:val="00CA4A62"/>
    <w:rsid w:val="00CA561E"/>
    <w:rsid w:val="00CA5A14"/>
    <w:rsid w:val="00CA5B58"/>
    <w:rsid w:val="00CA5E52"/>
    <w:rsid w:val="00CA659E"/>
    <w:rsid w:val="00CA7CA9"/>
    <w:rsid w:val="00CB0617"/>
    <w:rsid w:val="00CB0FBC"/>
    <w:rsid w:val="00CB1C67"/>
    <w:rsid w:val="00CB224F"/>
    <w:rsid w:val="00CB23DD"/>
    <w:rsid w:val="00CB2617"/>
    <w:rsid w:val="00CB2757"/>
    <w:rsid w:val="00CB2FE7"/>
    <w:rsid w:val="00CB3B57"/>
    <w:rsid w:val="00CB3E53"/>
    <w:rsid w:val="00CB400E"/>
    <w:rsid w:val="00CB42AE"/>
    <w:rsid w:val="00CB5D71"/>
    <w:rsid w:val="00CB6768"/>
    <w:rsid w:val="00CB6C48"/>
    <w:rsid w:val="00CB7DBD"/>
    <w:rsid w:val="00CC151B"/>
    <w:rsid w:val="00CC17DB"/>
    <w:rsid w:val="00CC1A78"/>
    <w:rsid w:val="00CC1A9D"/>
    <w:rsid w:val="00CC2517"/>
    <w:rsid w:val="00CC2F01"/>
    <w:rsid w:val="00CC2F6B"/>
    <w:rsid w:val="00CC3371"/>
    <w:rsid w:val="00CC3AA6"/>
    <w:rsid w:val="00CC5B7B"/>
    <w:rsid w:val="00CC6453"/>
    <w:rsid w:val="00CC6BAF"/>
    <w:rsid w:val="00CC6EBC"/>
    <w:rsid w:val="00CD0528"/>
    <w:rsid w:val="00CD087E"/>
    <w:rsid w:val="00CD135C"/>
    <w:rsid w:val="00CD1E63"/>
    <w:rsid w:val="00CD25E4"/>
    <w:rsid w:val="00CD27D9"/>
    <w:rsid w:val="00CD2974"/>
    <w:rsid w:val="00CD2D8A"/>
    <w:rsid w:val="00CD31EA"/>
    <w:rsid w:val="00CD4C67"/>
    <w:rsid w:val="00CD692F"/>
    <w:rsid w:val="00CD6CF3"/>
    <w:rsid w:val="00CD7221"/>
    <w:rsid w:val="00CD7DD7"/>
    <w:rsid w:val="00CE0392"/>
    <w:rsid w:val="00CE04D4"/>
    <w:rsid w:val="00CE0FF5"/>
    <w:rsid w:val="00CE13C6"/>
    <w:rsid w:val="00CE1F7B"/>
    <w:rsid w:val="00CE2303"/>
    <w:rsid w:val="00CE38CF"/>
    <w:rsid w:val="00CE405B"/>
    <w:rsid w:val="00CE5481"/>
    <w:rsid w:val="00CE5866"/>
    <w:rsid w:val="00CE63EA"/>
    <w:rsid w:val="00CE68A7"/>
    <w:rsid w:val="00CE73CE"/>
    <w:rsid w:val="00CE73EF"/>
    <w:rsid w:val="00CE78A9"/>
    <w:rsid w:val="00CE7CD5"/>
    <w:rsid w:val="00CF003F"/>
    <w:rsid w:val="00CF0045"/>
    <w:rsid w:val="00CF01C0"/>
    <w:rsid w:val="00CF50EB"/>
    <w:rsid w:val="00CF5872"/>
    <w:rsid w:val="00CF59F5"/>
    <w:rsid w:val="00CF5E74"/>
    <w:rsid w:val="00CF665F"/>
    <w:rsid w:val="00CF7194"/>
    <w:rsid w:val="00CF7373"/>
    <w:rsid w:val="00CF74D4"/>
    <w:rsid w:val="00CF7C90"/>
    <w:rsid w:val="00CF7EA0"/>
    <w:rsid w:val="00D00231"/>
    <w:rsid w:val="00D00600"/>
    <w:rsid w:val="00D00A29"/>
    <w:rsid w:val="00D01105"/>
    <w:rsid w:val="00D017F2"/>
    <w:rsid w:val="00D01875"/>
    <w:rsid w:val="00D01E7C"/>
    <w:rsid w:val="00D02612"/>
    <w:rsid w:val="00D02B16"/>
    <w:rsid w:val="00D02D70"/>
    <w:rsid w:val="00D02FE1"/>
    <w:rsid w:val="00D0329F"/>
    <w:rsid w:val="00D03CBA"/>
    <w:rsid w:val="00D0489E"/>
    <w:rsid w:val="00D0497C"/>
    <w:rsid w:val="00D04F9C"/>
    <w:rsid w:val="00D06299"/>
    <w:rsid w:val="00D0749E"/>
    <w:rsid w:val="00D1045D"/>
    <w:rsid w:val="00D110FC"/>
    <w:rsid w:val="00D11CBB"/>
    <w:rsid w:val="00D12724"/>
    <w:rsid w:val="00D133AA"/>
    <w:rsid w:val="00D13B0B"/>
    <w:rsid w:val="00D13CCF"/>
    <w:rsid w:val="00D14CF7"/>
    <w:rsid w:val="00D1576E"/>
    <w:rsid w:val="00D15B84"/>
    <w:rsid w:val="00D15E67"/>
    <w:rsid w:val="00D17E00"/>
    <w:rsid w:val="00D20315"/>
    <w:rsid w:val="00D20ABB"/>
    <w:rsid w:val="00D221E8"/>
    <w:rsid w:val="00D22630"/>
    <w:rsid w:val="00D22BAB"/>
    <w:rsid w:val="00D231C3"/>
    <w:rsid w:val="00D2360C"/>
    <w:rsid w:val="00D236D8"/>
    <w:rsid w:val="00D24AEE"/>
    <w:rsid w:val="00D25FCF"/>
    <w:rsid w:val="00D26A33"/>
    <w:rsid w:val="00D275FC"/>
    <w:rsid w:val="00D2795F"/>
    <w:rsid w:val="00D27A79"/>
    <w:rsid w:val="00D27F59"/>
    <w:rsid w:val="00D30642"/>
    <w:rsid w:val="00D30705"/>
    <w:rsid w:val="00D3073E"/>
    <w:rsid w:val="00D30FC1"/>
    <w:rsid w:val="00D31106"/>
    <w:rsid w:val="00D31676"/>
    <w:rsid w:val="00D316C8"/>
    <w:rsid w:val="00D3175D"/>
    <w:rsid w:val="00D337D5"/>
    <w:rsid w:val="00D34203"/>
    <w:rsid w:val="00D34626"/>
    <w:rsid w:val="00D346F9"/>
    <w:rsid w:val="00D34817"/>
    <w:rsid w:val="00D34D22"/>
    <w:rsid w:val="00D365BB"/>
    <w:rsid w:val="00D36C73"/>
    <w:rsid w:val="00D374BB"/>
    <w:rsid w:val="00D3795A"/>
    <w:rsid w:val="00D37AB5"/>
    <w:rsid w:val="00D37E96"/>
    <w:rsid w:val="00D40C74"/>
    <w:rsid w:val="00D4115C"/>
    <w:rsid w:val="00D41AC5"/>
    <w:rsid w:val="00D43282"/>
    <w:rsid w:val="00D4356B"/>
    <w:rsid w:val="00D43EA4"/>
    <w:rsid w:val="00D43F64"/>
    <w:rsid w:val="00D43F89"/>
    <w:rsid w:val="00D44508"/>
    <w:rsid w:val="00D445EB"/>
    <w:rsid w:val="00D44755"/>
    <w:rsid w:val="00D4522C"/>
    <w:rsid w:val="00D458E6"/>
    <w:rsid w:val="00D45D4F"/>
    <w:rsid w:val="00D47810"/>
    <w:rsid w:val="00D50DA8"/>
    <w:rsid w:val="00D50F57"/>
    <w:rsid w:val="00D5128E"/>
    <w:rsid w:val="00D51550"/>
    <w:rsid w:val="00D522A6"/>
    <w:rsid w:val="00D52A54"/>
    <w:rsid w:val="00D52FD0"/>
    <w:rsid w:val="00D54385"/>
    <w:rsid w:val="00D556DD"/>
    <w:rsid w:val="00D55CE1"/>
    <w:rsid w:val="00D55D40"/>
    <w:rsid w:val="00D56F78"/>
    <w:rsid w:val="00D60846"/>
    <w:rsid w:val="00D6259C"/>
    <w:rsid w:val="00D627A8"/>
    <w:rsid w:val="00D62A23"/>
    <w:rsid w:val="00D62E1C"/>
    <w:rsid w:val="00D63B91"/>
    <w:rsid w:val="00D6494C"/>
    <w:rsid w:val="00D64A4A"/>
    <w:rsid w:val="00D65338"/>
    <w:rsid w:val="00D65454"/>
    <w:rsid w:val="00D65839"/>
    <w:rsid w:val="00D6679C"/>
    <w:rsid w:val="00D66F5C"/>
    <w:rsid w:val="00D703D0"/>
    <w:rsid w:val="00D70990"/>
    <w:rsid w:val="00D7115D"/>
    <w:rsid w:val="00D727EE"/>
    <w:rsid w:val="00D72F5D"/>
    <w:rsid w:val="00D73EE6"/>
    <w:rsid w:val="00D742D2"/>
    <w:rsid w:val="00D744DC"/>
    <w:rsid w:val="00D74B35"/>
    <w:rsid w:val="00D74C77"/>
    <w:rsid w:val="00D74EAE"/>
    <w:rsid w:val="00D757D5"/>
    <w:rsid w:val="00D75CF7"/>
    <w:rsid w:val="00D75F59"/>
    <w:rsid w:val="00D764C0"/>
    <w:rsid w:val="00D773C3"/>
    <w:rsid w:val="00D776C3"/>
    <w:rsid w:val="00D80153"/>
    <w:rsid w:val="00D81AC7"/>
    <w:rsid w:val="00D820FA"/>
    <w:rsid w:val="00D823FE"/>
    <w:rsid w:val="00D825EB"/>
    <w:rsid w:val="00D82FBC"/>
    <w:rsid w:val="00D83DBB"/>
    <w:rsid w:val="00D83E45"/>
    <w:rsid w:val="00D842CD"/>
    <w:rsid w:val="00D8495C"/>
    <w:rsid w:val="00D84971"/>
    <w:rsid w:val="00D84A0A"/>
    <w:rsid w:val="00D85D5D"/>
    <w:rsid w:val="00D85DA8"/>
    <w:rsid w:val="00D86737"/>
    <w:rsid w:val="00D8696A"/>
    <w:rsid w:val="00D873A9"/>
    <w:rsid w:val="00D9062D"/>
    <w:rsid w:val="00D908FB"/>
    <w:rsid w:val="00D90E13"/>
    <w:rsid w:val="00D90F5A"/>
    <w:rsid w:val="00D9153B"/>
    <w:rsid w:val="00D91A6C"/>
    <w:rsid w:val="00D93424"/>
    <w:rsid w:val="00D951D7"/>
    <w:rsid w:val="00D95903"/>
    <w:rsid w:val="00D95D78"/>
    <w:rsid w:val="00D95FA7"/>
    <w:rsid w:val="00D962DB"/>
    <w:rsid w:val="00D97810"/>
    <w:rsid w:val="00DA0810"/>
    <w:rsid w:val="00DA0EB9"/>
    <w:rsid w:val="00DA137F"/>
    <w:rsid w:val="00DA1C3E"/>
    <w:rsid w:val="00DA1C65"/>
    <w:rsid w:val="00DA1D1E"/>
    <w:rsid w:val="00DA2441"/>
    <w:rsid w:val="00DA25A2"/>
    <w:rsid w:val="00DA3F72"/>
    <w:rsid w:val="00DA3FCE"/>
    <w:rsid w:val="00DA4493"/>
    <w:rsid w:val="00DA4627"/>
    <w:rsid w:val="00DA4D30"/>
    <w:rsid w:val="00DA6DE1"/>
    <w:rsid w:val="00DA7151"/>
    <w:rsid w:val="00DA78FC"/>
    <w:rsid w:val="00DB0592"/>
    <w:rsid w:val="00DB1EAE"/>
    <w:rsid w:val="00DB2BE7"/>
    <w:rsid w:val="00DB36EE"/>
    <w:rsid w:val="00DB4203"/>
    <w:rsid w:val="00DB4DD4"/>
    <w:rsid w:val="00DB5DCA"/>
    <w:rsid w:val="00DB6AD7"/>
    <w:rsid w:val="00DB739A"/>
    <w:rsid w:val="00DB7BDE"/>
    <w:rsid w:val="00DB7CA1"/>
    <w:rsid w:val="00DC05F5"/>
    <w:rsid w:val="00DC094F"/>
    <w:rsid w:val="00DC0BFD"/>
    <w:rsid w:val="00DC1121"/>
    <w:rsid w:val="00DC116E"/>
    <w:rsid w:val="00DC217C"/>
    <w:rsid w:val="00DC24B5"/>
    <w:rsid w:val="00DC25DA"/>
    <w:rsid w:val="00DC4553"/>
    <w:rsid w:val="00DC4C59"/>
    <w:rsid w:val="00DC5047"/>
    <w:rsid w:val="00DC5149"/>
    <w:rsid w:val="00DC68E1"/>
    <w:rsid w:val="00DC7FCE"/>
    <w:rsid w:val="00DD12E8"/>
    <w:rsid w:val="00DD1B88"/>
    <w:rsid w:val="00DD334C"/>
    <w:rsid w:val="00DD3C08"/>
    <w:rsid w:val="00DD40A2"/>
    <w:rsid w:val="00DD4595"/>
    <w:rsid w:val="00DD4B95"/>
    <w:rsid w:val="00DD7251"/>
    <w:rsid w:val="00DD7766"/>
    <w:rsid w:val="00DE0114"/>
    <w:rsid w:val="00DE0476"/>
    <w:rsid w:val="00DE1440"/>
    <w:rsid w:val="00DE1881"/>
    <w:rsid w:val="00DE1B2F"/>
    <w:rsid w:val="00DE1C5A"/>
    <w:rsid w:val="00DE1F73"/>
    <w:rsid w:val="00DE2AAC"/>
    <w:rsid w:val="00DE2EB5"/>
    <w:rsid w:val="00DE2F03"/>
    <w:rsid w:val="00DE3A22"/>
    <w:rsid w:val="00DE3E27"/>
    <w:rsid w:val="00DE5E04"/>
    <w:rsid w:val="00DE6634"/>
    <w:rsid w:val="00DE6B50"/>
    <w:rsid w:val="00DE79BD"/>
    <w:rsid w:val="00DF07F1"/>
    <w:rsid w:val="00DF104D"/>
    <w:rsid w:val="00DF1125"/>
    <w:rsid w:val="00DF145E"/>
    <w:rsid w:val="00DF1D7A"/>
    <w:rsid w:val="00DF27AC"/>
    <w:rsid w:val="00DF28E7"/>
    <w:rsid w:val="00DF2FD1"/>
    <w:rsid w:val="00DF3403"/>
    <w:rsid w:val="00DF399A"/>
    <w:rsid w:val="00DF3DEE"/>
    <w:rsid w:val="00DF447B"/>
    <w:rsid w:val="00DF50C1"/>
    <w:rsid w:val="00DF5694"/>
    <w:rsid w:val="00DF6280"/>
    <w:rsid w:val="00DF702F"/>
    <w:rsid w:val="00DF7368"/>
    <w:rsid w:val="00DF7B14"/>
    <w:rsid w:val="00DF7B73"/>
    <w:rsid w:val="00DF7E39"/>
    <w:rsid w:val="00E00009"/>
    <w:rsid w:val="00E00F7F"/>
    <w:rsid w:val="00E01EF4"/>
    <w:rsid w:val="00E028D8"/>
    <w:rsid w:val="00E02CF2"/>
    <w:rsid w:val="00E03018"/>
    <w:rsid w:val="00E038DE"/>
    <w:rsid w:val="00E03B19"/>
    <w:rsid w:val="00E0407C"/>
    <w:rsid w:val="00E04947"/>
    <w:rsid w:val="00E04B1A"/>
    <w:rsid w:val="00E069F7"/>
    <w:rsid w:val="00E06AEF"/>
    <w:rsid w:val="00E06C35"/>
    <w:rsid w:val="00E0710D"/>
    <w:rsid w:val="00E07F71"/>
    <w:rsid w:val="00E10BE8"/>
    <w:rsid w:val="00E11124"/>
    <w:rsid w:val="00E1142F"/>
    <w:rsid w:val="00E114D8"/>
    <w:rsid w:val="00E11810"/>
    <w:rsid w:val="00E122CE"/>
    <w:rsid w:val="00E1256E"/>
    <w:rsid w:val="00E1347F"/>
    <w:rsid w:val="00E14901"/>
    <w:rsid w:val="00E14F3E"/>
    <w:rsid w:val="00E15527"/>
    <w:rsid w:val="00E15951"/>
    <w:rsid w:val="00E15ED5"/>
    <w:rsid w:val="00E15F0C"/>
    <w:rsid w:val="00E1621B"/>
    <w:rsid w:val="00E16DDE"/>
    <w:rsid w:val="00E16ED3"/>
    <w:rsid w:val="00E17000"/>
    <w:rsid w:val="00E178EF"/>
    <w:rsid w:val="00E21114"/>
    <w:rsid w:val="00E22B84"/>
    <w:rsid w:val="00E24353"/>
    <w:rsid w:val="00E24B10"/>
    <w:rsid w:val="00E25DC8"/>
    <w:rsid w:val="00E26045"/>
    <w:rsid w:val="00E26BDB"/>
    <w:rsid w:val="00E270FD"/>
    <w:rsid w:val="00E27304"/>
    <w:rsid w:val="00E277DC"/>
    <w:rsid w:val="00E304D5"/>
    <w:rsid w:val="00E325D4"/>
    <w:rsid w:val="00E32636"/>
    <w:rsid w:val="00E32792"/>
    <w:rsid w:val="00E32A34"/>
    <w:rsid w:val="00E33084"/>
    <w:rsid w:val="00E337F5"/>
    <w:rsid w:val="00E33914"/>
    <w:rsid w:val="00E339E4"/>
    <w:rsid w:val="00E33D59"/>
    <w:rsid w:val="00E34EBC"/>
    <w:rsid w:val="00E34F19"/>
    <w:rsid w:val="00E34FD9"/>
    <w:rsid w:val="00E356CD"/>
    <w:rsid w:val="00E36DC3"/>
    <w:rsid w:val="00E37211"/>
    <w:rsid w:val="00E37848"/>
    <w:rsid w:val="00E4034D"/>
    <w:rsid w:val="00E404B3"/>
    <w:rsid w:val="00E40CB1"/>
    <w:rsid w:val="00E4179D"/>
    <w:rsid w:val="00E417BE"/>
    <w:rsid w:val="00E41EE7"/>
    <w:rsid w:val="00E41EF8"/>
    <w:rsid w:val="00E42084"/>
    <w:rsid w:val="00E42191"/>
    <w:rsid w:val="00E42CB6"/>
    <w:rsid w:val="00E42D66"/>
    <w:rsid w:val="00E431C1"/>
    <w:rsid w:val="00E44854"/>
    <w:rsid w:val="00E44E1C"/>
    <w:rsid w:val="00E45493"/>
    <w:rsid w:val="00E473BB"/>
    <w:rsid w:val="00E4795A"/>
    <w:rsid w:val="00E47D30"/>
    <w:rsid w:val="00E5089C"/>
    <w:rsid w:val="00E5177C"/>
    <w:rsid w:val="00E52B4F"/>
    <w:rsid w:val="00E538C8"/>
    <w:rsid w:val="00E5460C"/>
    <w:rsid w:val="00E55808"/>
    <w:rsid w:val="00E559EA"/>
    <w:rsid w:val="00E567C1"/>
    <w:rsid w:val="00E5696D"/>
    <w:rsid w:val="00E56E45"/>
    <w:rsid w:val="00E575AA"/>
    <w:rsid w:val="00E60AA7"/>
    <w:rsid w:val="00E614E7"/>
    <w:rsid w:val="00E6161C"/>
    <w:rsid w:val="00E62DEC"/>
    <w:rsid w:val="00E63233"/>
    <w:rsid w:val="00E63FE6"/>
    <w:rsid w:val="00E65807"/>
    <w:rsid w:val="00E65960"/>
    <w:rsid w:val="00E65F8A"/>
    <w:rsid w:val="00E66719"/>
    <w:rsid w:val="00E6692D"/>
    <w:rsid w:val="00E66ECB"/>
    <w:rsid w:val="00E67486"/>
    <w:rsid w:val="00E6748A"/>
    <w:rsid w:val="00E67C69"/>
    <w:rsid w:val="00E70D7A"/>
    <w:rsid w:val="00E71312"/>
    <w:rsid w:val="00E71649"/>
    <w:rsid w:val="00E71A3A"/>
    <w:rsid w:val="00E71C5A"/>
    <w:rsid w:val="00E727CE"/>
    <w:rsid w:val="00E738EC"/>
    <w:rsid w:val="00E73D84"/>
    <w:rsid w:val="00E73F8B"/>
    <w:rsid w:val="00E74045"/>
    <w:rsid w:val="00E7430F"/>
    <w:rsid w:val="00E74870"/>
    <w:rsid w:val="00E749E1"/>
    <w:rsid w:val="00E74FD5"/>
    <w:rsid w:val="00E75117"/>
    <w:rsid w:val="00E75D22"/>
    <w:rsid w:val="00E77DC7"/>
    <w:rsid w:val="00E8007A"/>
    <w:rsid w:val="00E80578"/>
    <w:rsid w:val="00E80B43"/>
    <w:rsid w:val="00E8143E"/>
    <w:rsid w:val="00E815F7"/>
    <w:rsid w:val="00E81FCF"/>
    <w:rsid w:val="00E820FE"/>
    <w:rsid w:val="00E828F9"/>
    <w:rsid w:val="00E833CB"/>
    <w:rsid w:val="00E83995"/>
    <w:rsid w:val="00E83CBA"/>
    <w:rsid w:val="00E83D2E"/>
    <w:rsid w:val="00E83FB2"/>
    <w:rsid w:val="00E844D4"/>
    <w:rsid w:val="00E84E33"/>
    <w:rsid w:val="00E85A82"/>
    <w:rsid w:val="00E86269"/>
    <w:rsid w:val="00E86752"/>
    <w:rsid w:val="00E86D9F"/>
    <w:rsid w:val="00E87995"/>
    <w:rsid w:val="00E90615"/>
    <w:rsid w:val="00E9130F"/>
    <w:rsid w:val="00E91FE0"/>
    <w:rsid w:val="00E93281"/>
    <w:rsid w:val="00E93585"/>
    <w:rsid w:val="00E937E6"/>
    <w:rsid w:val="00E94D89"/>
    <w:rsid w:val="00E95AC2"/>
    <w:rsid w:val="00E97167"/>
    <w:rsid w:val="00E97322"/>
    <w:rsid w:val="00E97DBB"/>
    <w:rsid w:val="00EA0169"/>
    <w:rsid w:val="00EA0480"/>
    <w:rsid w:val="00EA07DD"/>
    <w:rsid w:val="00EA093A"/>
    <w:rsid w:val="00EA1DCE"/>
    <w:rsid w:val="00EA2C93"/>
    <w:rsid w:val="00EA3781"/>
    <w:rsid w:val="00EA45D4"/>
    <w:rsid w:val="00EA4972"/>
    <w:rsid w:val="00EA5023"/>
    <w:rsid w:val="00EA520E"/>
    <w:rsid w:val="00EA5F4A"/>
    <w:rsid w:val="00EA6ED6"/>
    <w:rsid w:val="00EA7061"/>
    <w:rsid w:val="00EA7C5B"/>
    <w:rsid w:val="00EA7F23"/>
    <w:rsid w:val="00EB09CA"/>
    <w:rsid w:val="00EB13FE"/>
    <w:rsid w:val="00EB2044"/>
    <w:rsid w:val="00EB254B"/>
    <w:rsid w:val="00EB281F"/>
    <w:rsid w:val="00EB2AEA"/>
    <w:rsid w:val="00EB359B"/>
    <w:rsid w:val="00EB39F1"/>
    <w:rsid w:val="00EB40EE"/>
    <w:rsid w:val="00EB460F"/>
    <w:rsid w:val="00EB4616"/>
    <w:rsid w:val="00EB472E"/>
    <w:rsid w:val="00EB4986"/>
    <w:rsid w:val="00EB49A8"/>
    <w:rsid w:val="00EB5434"/>
    <w:rsid w:val="00EB5AA1"/>
    <w:rsid w:val="00EB5D6C"/>
    <w:rsid w:val="00EB6A9B"/>
    <w:rsid w:val="00EB76D6"/>
    <w:rsid w:val="00EC0178"/>
    <w:rsid w:val="00EC049F"/>
    <w:rsid w:val="00EC079D"/>
    <w:rsid w:val="00EC0D2F"/>
    <w:rsid w:val="00EC11E3"/>
    <w:rsid w:val="00EC12E5"/>
    <w:rsid w:val="00EC15E5"/>
    <w:rsid w:val="00EC19F0"/>
    <w:rsid w:val="00EC2131"/>
    <w:rsid w:val="00EC2682"/>
    <w:rsid w:val="00EC3945"/>
    <w:rsid w:val="00EC3969"/>
    <w:rsid w:val="00EC5263"/>
    <w:rsid w:val="00EC5CFF"/>
    <w:rsid w:val="00EC70CA"/>
    <w:rsid w:val="00EC7A35"/>
    <w:rsid w:val="00EC7B1C"/>
    <w:rsid w:val="00ED024E"/>
    <w:rsid w:val="00ED0B23"/>
    <w:rsid w:val="00ED194C"/>
    <w:rsid w:val="00ED1CA9"/>
    <w:rsid w:val="00ED2C26"/>
    <w:rsid w:val="00ED2D81"/>
    <w:rsid w:val="00ED36E9"/>
    <w:rsid w:val="00ED3898"/>
    <w:rsid w:val="00ED5EC2"/>
    <w:rsid w:val="00ED63E7"/>
    <w:rsid w:val="00ED7711"/>
    <w:rsid w:val="00ED7AF8"/>
    <w:rsid w:val="00ED7AFA"/>
    <w:rsid w:val="00ED7FD8"/>
    <w:rsid w:val="00EE0DF2"/>
    <w:rsid w:val="00EE1124"/>
    <w:rsid w:val="00EE21DD"/>
    <w:rsid w:val="00EE295E"/>
    <w:rsid w:val="00EE4053"/>
    <w:rsid w:val="00EE457F"/>
    <w:rsid w:val="00EE4769"/>
    <w:rsid w:val="00EE5333"/>
    <w:rsid w:val="00EE56DF"/>
    <w:rsid w:val="00EE5ED7"/>
    <w:rsid w:val="00EE64CC"/>
    <w:rsid w:val="00EE6D6B"/>
    <w:rsid w:val="00EE7379"/>
    <w:rsid w:val="00EF00CA"/>
    <w:rsid w:val="00EF08FE"/>
    <w:rsid w:val="00EF168F"/>
    <w:rsid w:val="00EF1A24"/>
    <w:rsid w:val="00EF1BF1"/>
    <w:rsid w:val="00EF2A23"/>
    <w:rsid w:val="00EF2CC1"/>
    <w:rsid w:val="00EF2F74"/>
    <w:rsid w:val="00EF402B"/>
    <w:rsid w:val="00EF5862"/>
    <w:rsid w:val="00EF6C4F"/>
    <w:rsid w:val="00EF6D45"/>
    <w:rsid w:val="00EF71E1"/>
    <w:rsid w:val="00F00672"/>
    <w:rsid w:val="00F01BD5"/>
    <w:rsid w:val="00F024E3"/>
    <w:rsid w:val="00F0264E"/>
    <w:rsid w:val="00F02815"/>
    <w:rsid w:val="00F031CD"/>
    <w:rsid w:val="00F05EAF"/>
    <w:rsid w:val="00F06D7C"/>
    <w:rsid w:val="00F07357"/>
    <w:rsid w:val="00F101CB"/>
    <w:rsid w:val="00F1049D"/>
    <w:rsid w:val="00F106CC"/>
    <w:rsid w:val="00F119F0"/>
    <w:rsid w:val="00F1321C"/>
    <w:rsid w:val="00F13FAF"/>
    <w:rsid w:val="00F147FD"/>
    <w:rsid w:val="00F1497C"/>
    <w:rsid w:val="00F14D0D"/>
    <w:rsid w:val="00F14FD5"/>
    <w:rsid w:val="00F15FC1"/>
    <w:rsid w:val="00F166CE"/>
    <w:rsid w:val="00F1738B"/>
    <w:rsid w:val="00F17762"/>
    <w:rsid w:val="00F21105"/>
    <w:rsid w:val="00F2142B"/>
    <w:rsid w:val="00F21AF5"/>
    <w:rsid w:val="00F22F48"/>
    <w:rsid w:val="00F23284"/>
    <w:rsid w:val="00F23C5A"/>
    <w:rsid w:val="00F23E91"/>
    <w:rsid w:val="00F24010"/>
    <w:rsid w:val="00F2476F"/>
    <w:rsid w:val="00F24A6F"/>
    <w:rsid w:val="00F24C3C"/>
    <w:rsid w:val="00F252DE"/>
    <w:rsid w:val="00F256C9"/>
    <w:rsid w:val="00F261BC"/>
    <w:rsid w:val="00F2673B"/>
    <w:rsid w:val="00F277D4"/>
    <w:rsid w:val="00F27E02"/>
    <w:rsid w:val="00F30659"/>
    <w:rsid w:val="00F30DB7"/>
    <w:rsid w:val="00F31089"/>
    <w:rsid w:val="00F31104"/>
    <w:rsid w:val="00F3153A"/>
    <w:rsid w:val="00F31798"/>
    <w:rsid w:val="00F33C0C"/>
    <w:rsid w:val="00F33E65"/>
    <w:rsid w:val="00F345E5"/>
    <w:rsid w:val="00F34850"/>
    <w:rsid w:val="00F349BE"/>
    <w:rsid w:val="00F34E93"/>
    <w:rsid w:val="00F3511F"/>
    <w:rsid w:val="00F35C61"/>
    <w:rsid w:val="00F37DF2"/>
    <w:rsid w:val="00F41AAC"/>
    <w:rsid w:val="00F43F5A"/>
    <w:rsid w:val="00F44511"/>
    <w:rsid w:val="00F4474B"/>
    <w:rsid w:val="00F44821"/>
    <w:rsid w:val="00F46516"/>
    <w:rsid w:val="00F4695A"/>
    <w:rsid w:val="00F46D45"/>
    <w:rsid w:val="00F477B4"/>
    <w:rsid w:val="00F47D04"/>
    <w:rsid w:val="00F5097D"/>
    <w:rsid w:val="00F50C79"/>
    <w:rsid w:val="00F50DF8"/>
    <w:rsid w:val="00F513E5"/>
    <w:rsid w:val="00F516FC"/>
    <w:rsid w:val="00F5219B"/>
    <w:rsid w:val="00F53138"/>
    <w:rsid w:val="00F534C0"/>
    <w:rsid w:val="00F53EFC"/>
    <w:rsid w:val="00F54771"/>
    <w:rsid w:val="00F54930"/>
    <w:rsid w:val="00F5523B"/>
    <w:rsid w:val="00F564B6"/>
    <w:rsid w:val="00F56D65"/>
    <w:rsid w:val="00F5763A"/>
    <w:rsid w:val="00F60365"/>
    <w:rsid w:val="00F60806"/>
    <w:rsid w:val="00F623B6"/>
    <w:rsid w:val="00F6280F"/>
    <w:rsid w:val="00F62819"/>
    <w:rsid w:val="00F62CD7"/>
    <w:rsid w:val="00F63231"/>
    <w:rsid w:val="00F6394B"/>
    <w:rsid w:val="00F640D8"/>
    <w:rsid w:val="00F663D0"/>
    <w:rsid w:val="00F6653B"/>
    <w:rsid w:val="00F708D9"/>
    <w:rsid w:val="00F70BBB"/>
    <w:rsid w:val="00F70CFC"/>
    <w:rsid w:val="00F70E35"/>
    <w:rsid w:val="00F7144E"/>
    <w:rsid w:val="00F720FB"/>
    <w:rsid w:val="00F721C2"/>
    <w:rsid w:val="00F7627D"/>
    <w:rsid w:val="00F763B1"/>
    <w:rsid w:val="00F765CF"/>
    <w:rsid w:val="00F76EFA"/>
    <w:rsid w:val="00F777CD"/>
    <w:rsid w:val="00F77C98"/>
    <w:rsid w:val="00F80602"/>
    <w:rsid w:val="00F80DEC"/>
    <w:rsid w:val="00F81376"/>
    <w:rsid w:val="00F81D3F"/>
    <w:rsid w:val="00F83287"/>
    <w:rsid w:val="00F83422"/>
    <w:rsid w:val="00F83573"/>
    <w:rsid w:val="00F83CB1"/>
    <w:rsid w:val="00F8419D"/>
    <w:rsid w:val="00F84C20"/>
    <w:rsid w:val="00F85ECA"/>
    <w:rsid w:val="00F86264"/>
    <w:rsid w:val="00F87614"/>
    <w:rsid w:val="00F87E04"/>
    <w:rsid w:val="00F905D8"/>
    <w:rsid w:val="00F911CB"/>
    <w:rsid w:val="00F91618"/>
    <w:rsid w:val="00F918A7"/>
    <w:rsid w:val="00F91F69"/>
    <w:rsid w:val="00F92112"/>
    <w:rsid w:val="00F9230A"/>
    <w:rsid w:val="00F92366"/>
    <w:rsid w:val="00F92753"/>
    <w:rsid w:val="00F945C8"/>
    <w:rsid w:val="00F9488E"/>
    <w:rsid w:val="00F9598E"/>
    <w:rsid w:val="00F95B44"/>
    <w:rsid w:val="00F96B32"/>
    <w:rsid w:val="00F9735A"/>
    <w:rsid w:val="00F97389"/>
    <w:rsid w:val="00F97420"/>
    <w:rsid w:val="00FA1724"/>
    <w:rsid w:val="00FA3045"/>
    <w:rsid w:val="00FA36A0"/>
    <w:rsid w:val="00FA42F4"/>
    <w:rsid w:val="00FA5DB2"/>
    <w:rsid w:val="00FA6502"/>
    <w:rsid w:val="00FA6AE8"/>
    <w:rsid w:val="00FA6EA2"/>
    <w:rsid w:val="00FA753F"/>
    <w:rsid w:val="00FA7CFA"/>
    <w:rsid w:val="00FB0730"/>
    <w:rsid w:val="00FB0BC1"/>
    <w:rsid w:val="00FB14A0"/>
    <w:rsid w:val="00FB21CF"/>
    <w:rsid w:val="00FB25B0"/>
    <w:rsid w:val="00FB377F"/>
    <w:rsid w:val="00FB4B02"/>
    <w:rsid w:val="00FB4E4A"/>
    <w:rsid w:val="00FB4F2A"/>
    <w:rsid w:val="00FB52D4"/>
    <w:rsid w:val="00FB6763"/>
    <w:rsid w:val="00FB6D3A"/>
    <w:rsid w:val="00FB7924"/>
    <w:rsid w:val="00FB7F35"/>
    <w:rsid w:val="00FC025A"/>
    <w:rsid w:val="00FC11D6"/>
    <w:rsid w:val="00FC1A76"/>
    <w:rsid w:val="00FC1BF6"/>
    <w:rsid w:val="00FC2040"/>
    <w:rsid w:val="00FC48DD"/>
    <w:rsid w:val="00FC4EC3"/>
    <w:rsid w:val="00FC569E"/>
    <w:rsid w:val="00FC67E5"/>
    <w:rsid w:val="00FC6BFF"/>
    <w:rsid w:val="00FC75B0"/>
    <w:rsid w:val="00FC7B5F"/>
    <w:rsid w:val="00FD04EB"/>
    <w:rsid w:val="00FD076A"/>
    <w:rsid w:val="00FD1036"/>
    <w:rsid w:val="00FD131D"/>
    <w:rsid w:val="00FD2C65"/>
    <w:rsid w:val="00FD30CA"/>
    <w:rsid w:val="00FD38F9"/>
    <w:rsid w:val="00FD5177"/>
    <w:rsid w:val="00FD57D5"/>
    <w:rsid w:val="00FD756C"/>
    <w:rsid w:val="00FD7B04"/>
    <w:rsid w:val="00FE025A"/>
    <w:rsid w:val="00FE11BD"/>
    <w:rsid w:val="00FE1B14"/>
    <w:rsid w:val="00FE2253"/>
    <w:rsid w:val="00FE28E2"/>
    <w:rsid w:val="00FE35E1"/>
    <w:rsid w:val="00FE3AFC"/>
    <w:rsid w:val="00FE409C"/>
    <w:rsid w:val="00FE4577"/>
    <w:rsid w:val="00FE46C5"/>
    <w:rsid w:val="00FE4C52"/>
    <w:rsid w:val="00FE57BD"/>
    <w:rsid w:val="00FE6427"/>
    <w:rsid w:val="00FE6D86"/>
    <w:rsid w:val="00FE7EBA"/>
    <w:rsid w:val="00FF0986"/>
    <w:rsid w:val="00FF0DA7"/>
    <w:rsid w:val="00FF0E3F"/>
    <w:rsid w:val="00FF3276"/>
    <w:rsid w:val="00FF4397"/>
    <w:rsid w:val="00FF5B26"/>
    <w:rsid w:val="00FF5BB9"/>
    <w:rsid w:val="00FF607E"/>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BA95298"/>
  <w15:docId w15:val="{1BAF1B3A-0457-488A-A022-AA60F0EC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qFormat/>
    <w:rsid w:val="00D9153B"/>
    <w:pPr>
      <w:keepNext/>
      <w:jc w:val="center"/>
      <w:outlineLvl w:val="1"/>
    </w:pPr>
    <w:rPr>
      <w:rFonts w:ascii="Arial" w:hAnsi="Arial"/>
      <w:b/>
      <w:sz w:val="28"/>
    </w:rPr>
  </w:style>
  <w:style w:type="paragraph" w:styleId="Heading3">
    <w:name w:val="heading 3"/>
    <w:basedOn w:val="Normal"/>
    <w:next w:val="Normal"/>
    <w:link w:val="Heading3Char"/>
    <w:unhideWhenUsed/>
    <w:qFormat/>
    <w:locked/>
    <w:rsid w:val="0021331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uiPriority w:val="99"/>
    <w:semiHidden/>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link w:val="BalloonTextChar"/>
    <w:uiPriority w:val="99"/>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customStyle="1" w:styleId="Listecouleur-Accent11">
    <w:name w:val="Liste couleur - Accent 11"/>
    <w:aliases w:val="List Paragraph (numbered (a)),Bullets,Table/Figure Heading,References,MCHIP_list paragraph,List Paragraph1,Recommendation,Bullet List,FooterText,Bioforce zListePuce,Bullet Points,Liste Paragraf,Citation List"/>
    <w:basedOn w:val="Normal"/>
    <w:link w:val="Listecouleur-Accent1C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link w:val="BodyText3"/>
    <w:semiHidden/>
    <w:rsid w:val="00D6679C"/>
    <w:rPr>
      <w:sz w:val="24"/>
      <w:lang w:val="en-US" w:eastAsia="en-US"/>
    </w:rPr>
  </w:style>
  <w:style w:type="character" w:customStyle="1" w:styleId="FootnoteTextChar">
    <w:name w:val="Footnote Text Char"/>
    <w:link w:val="FootnoteText"/>
    <w:uiPriority w:val="99"/>
    <w:semiHidden/>
    <w:rsid w:val="00D6679C"/>
    <w:rPr>
      <w:rFonts w:ascii="Courier" w:hAnsi="Courier"/>
      <w:lang w:val="en-US" w:eastAsia="en-US"/>
    </w:rPr>
  </w:style>
  <w:style w:type="character" w:customStyle="1" w:styleId="Listecouleur-Accent1Car">
    <w:name w:val="Liste couleur - Accent 1 Car"/>
    <w:aliases w:val="List Paragraph (numbered (a)) Car1,Bullets Car1,Table/Figure Heading Car1,References Car1,MCHIP_list paragraph Car1,List Paragraph1 Car1,Recommendation Car1,Bullet List Car1,FooterText Car1,Bioforce zListePuce Car1"/>
    <w:link w:val="Listecouleur-Accent11"/>
    <w:uiPriority w:val="34"/>
    <w:qFormat/>
    <w:locked/>
    <w:rsid w:val="009A4543"/>
    <w:rPr>
      <w:lang w:val="en-US" w:eastAsia="en-US"/>
    </w:rPr>
  </w:style>
  <w:style w:type="paragraph" w:customStyle="1" w:styleId="Tramecouleur-Accent11">
    <w:name w:val="Trame couleur - Accent 11"/>
    <w:hidden/>
    <w:uiPriority w:val="99"/>
    <w:semiHidden/>
    <w:rsid w:val="0050228C"/>
  </w:style>
  <w:style w:type="character" w:styleId="FollowedHyperlink">
    <w:name w:val="FollowedHyperlink"/>
    <w:semiHidden/>
    <w:unhideWhenUsed/>
    <w:rsid w:val="00704095"/>
    <w:rPr>
      <w:color w:val="800080"/>
      <w:u w:val="single"/>
    </w:rPr>
  </w:style>
  <w:style w:type="paragraph" w:customStyle="1" w:styleId="Default">
    <w:name w:val="Default"/>
    <w:rsid w:val="00595B86"/>
    <w:pPr>
      <w:autoSpaceDE w:val="0"/>
      <w:autoSpaceDN w:val="0"/>
      <w:adjustRightInd w:val="0"/>
    </w:pPr>
    <w:rPr>
      <w:rFonts w:ascii="Constantia" w:hAnsi="Constantia" w:cs="Constantia"/>
      <w:color w:val="000000"/>
      <w:sz w:val="24"/>
      <w:szCs w:val="24"/>
      <w:lang w:val="fr-FR" w:eastAsia="en-GB"/>
    </w:rPr>
  </w:style>
  <w:style w:type="paragraph" w:styleId="NormalWeb">
    <w:name w:val="Normal (Web)"/>
    <w:basedOn w:val="Normal"/>
    <w:uiPriority w:val="99"/>
    <w:semiHidden/>
    <w:unhideWhenUsed/>
    <w:rsid w:val="00304B32"/>
    <w:pPr>
      <w:spacing w:before="100" w:beforeAutospacing="1" w:after="100" w:afterAutospacing="1"/>
    </w:pPr>
    <w:rPr>
      <w:sz w:val="24"/>
      <w:szCs w:val="24"/>
      <w:lang w:val="fr-FR" w:eastAsia="fr-FR"/>
    </w:rPr>
  </w:style>
  <w:style w:type="paragraph" w:customStyle="1" w:styleId="Grillemoyenne21">
    <w:name w:val="Grille moyenne 21"/>
    <w:uiPriority w:val="1"/>
    <w:qFormat/>
    <w:rsid w:val="007A377B"/>
    <w:rPr>
      <w:rFonts w:ascii="Calibri" w:eastAsia="Calibri" w:hAnsi="Calibri"/>
      <w:sz w:val="22"/>
      <w:szCs w:val="22"/>
      <w:lang w:val="fr-FR"/>
    </w:rPr>
  </w:style>
  <w:style w:type="paragraph" w:customStyle="1" w:styleId="Paragraphedeliste1">
    <w:name w:val="Paragraphe de liste1"/>
    <w:basedOn w:val="Normal"/>
    <w:qFormat/>
    <w:rsid w:val="000408F1"/>
    <w:pPr>
      <w:ind w:left="720"/>
    </w:pPr>
  </w:style>
  <w:style w:type="character" w:customStyle="1" w:styleId="A5">
    <w:name w:val="A5"/>
    <w:uiPriority w:val="99"/>
    <w:rsid w:val="00450877"/>
    <w:rPr>
      <w:rFonts w:ascii="Calibri" w:hAnsi="Calibri" w:cs="Calibri" w:hint="default"/>
      <w:color w:val="000000"/>
    </w:rPr>
  </w:style>
  <w:style w:type="character" w:customStyle="1" w:styleId="BalloonTextChar">
    <w:name w:val="Balloon Text Char"/>
    <w:link w:val="BalloonText"/>
    <w:uiPriority w:val="99"/>
    <w:semiHidden/>
    <w:rsid w:val="00D50F57"/>
    <w:rPr>
      <w:rFonts w:ascii="Tahoma" w:hAnsi="Tahoma" w:cs="Tahoma"/>
      <w:sz w:val="16"/>
      <w:szCs w:val="16"/>
      <w:lang w:val="en-US" w:eastAsia="en-US"/>
    </w:rPr>
  </w:style>
  <w:style w:type="paragraph" w:styleId="HTMLPreformatted">
    <w:name w:val="HTML Preformatted"/>
    <w:basedOn w:val="Normal"/>
    <w:link w:val="HTMLPreformattedChar"/>
    <w:uiPriority w:val="99"/>
    <w:unhideWhenUsed/>
    <w:rsid w:val="00C73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C73166"/>
    <w:rPr>
      <w:rFonts w:ascii="Courier New" w:hAnsi="Courier New" w:cs="Courier New"/>
      <w:lang w:val="en-US" w:eastAsia="en-US"/>
    </w:rPr>
  </w:style>
  <w:style w:type="character" w:customStyle="1" w:styleId="ParagraphedelisteCar">
    <w:name w:val="Paragraphe de liste Car"/>
    <w:aliases w:val="List Paragraph (numbered (a)) Car,Bullets Car,Table/Figure Heading Car,References Car,MCHIP_list paragraph Car,List Paragraph1 Car,Recommendation Car,Bullet List Car,FooterText Car,Bioforce zListePuce Car,Bullet Points Car"/>
    <w:uiPriority w:val="34"/>
    <w:qFormat/>
    <w:locked/>
    <w:rsid w:val="00CF7373"/>
    <w:rPr>
      <w:rFonts w:ascii="Calibri" w:hAnsi="Calibri"/>
    </w:rPr>
  </w:style>
  <w:style w:type="character" w:customStyle="1" w:styleId="ListParagraphChar1">
    <w:name w:val="List Paragraph Char1"/>
    <w:aliases w:val="List Paragraph (numbered (a)) Char1,Bullets Char1,Table/Figure Heading Char1,References Char1,MCHIP_list paragraph Char1,List Paragraph1 Char1,Recommendation Char1,Bullet List Char1,FooterText Char1,Bioforce zListePuce Char1"/>
    <w:uiPriority w:val="34"/>
    <w:qFormat/>
    <w:locked/>
    <w:rsid w:val="00E270FD"/>
    <w:rPr>
      <w:lang w:val="en-US" w:eastAsia="en-US"/>
    </w:rPr>
  </w:style>
  <w:style w:type="character" w:customStyle="1" w:styleId="apple-converted-space">
    <w:name w:val="apple-converted-space"/>
    <w:basedOn w:val="DefaultParagraphFont"/>
    <w:rsid w:val="000C4B15"/>
  </w:style>
  <w:style w:type="character" w:customStyle="1" w:styleId="Heading4Char">
    <w:name w:val="Heading 4 Char"/>
    <w:link w:val="Heading4"/>
    <w:rsid w:val="00E17000"/>
    <w:rPr>
      <w:rFonts w:ascii="Arial" w:hAnsi="Arial"/>
      <w:b/>
      <w:sz w:val="22"/>
      <w:lang w:val="en-US" w:eastAsia="en-US"/>
    </w:rPr>
  </w:style>
  <w:style w:type="paragraph" w:styleId="ListParagraph">
    <w:name w:val="List Paragraph"/>
    <w:aliases w:val="Colorful List Accent 1,numbered"/>
    <w:basedOn w:val="Normal"/>
    <w:uiPriority w:val="34"/>
    <w:qFormat/>
    <w:rsid w:val="00A72DFB"/>
    <w:pPr>
      <w:ind w:left="720"/>
    </w:pPr>
  </w:style>
  <w:style w:type="character" w:styleId="Emphasis">
    <w:name w:val="Emphasis"/>
    <w:uiPriority w:val="20"/>
    <w:qFormat/>
    <w:locked/>
    <w:rsid w:val="00E32792"/>
    <w:rPr>
      <w:i/>
      <w:iCs/>
    </w:rPr>
  </w:style>
  <w:style w:type="character" w:customStyle="1" w:styleId="st1">
    <w:name w:val="st1"/>
    <w:rsid w:val="00D110FC"/>
  </w:style>
  <w:style w:type="paragraph" w:styleId="Revision">
    <w:name w:val="Revision"/>
    <w:hidden/>
    <w:uiPriority w:val="71"/>
    <w:unhideWhenUsed/>
    <w:rsid w:val="000A41B0"/>
  </w:style>
  <w:style w:type="character" w:customStyle="1" w:styleId="placeholderbegin21">
    <w:name w:val="placeholder_begin21"/>
    <w:rsid w:val="00B20F17"/>
    <w:rPr>
      <w:vanish/>
      <w:webHidden w:val="0"/>
      <w:specVanish w:val="0"/>
    </w:rPr>
  </w:style>
  <w:style w:type="character" w:customStyle="1" w:styleId="Heading2Char">
    <w:name w:val="Heading 2 Char"/>
    <w:link w:val="Heading2"/>
    <w:rsid w:val="00A678DD"/>
    <w:rPr>
      <w:rFonts w:ascii="Arial" w:hAnsi="Arial"/>
      <w:b/>
      <w:sz w:val="28"/>
    </w:rPr>
  </w:style>
  <w:style w:type="character" w:customStyle="1" w:styleId="Heading3Char">
    <w:name w:val="Heading 3 Char"/>
    <w:basedOn w:val="DefaultParagraphFont"/>
    <w:link w:val="Heading3"/>
    <w:rsid w:val="0021331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46924760">
      <w:bodyDiv w:val="1"/>
      <w:marLeft w:val="0"/>
      <w:marRight w:val="0"/>
      <w:marTop w:val="0"/>
      <w:marBottom w:val="0"/>
      <w:divBdr>
        <w:top w:val="none" w:sz="0" w:space="0" w:color="auto"/>
        <w:left w:val="none" w:sz="0" w:space="0" w:color="auto"/>
        <w:bottom w:val="none" w:sz="0" w:space="0" w:color="auto"/>
        <w:right w:val="none" w:sz="0" w:space="0" w:color="auto"/>
      </w:divBdr>
    </w:div>
    <w:div w:id="94401344">
      <w:bodyDiv w:val="1"/>
      <w:marLeft w:val="0"/>
      <w:marRight w:val="0"/>
      <w:marTop w:val="0"/>
      <w:marBottom w:val="0"/>
      <w:divBdr>
        <w:top w:val="none" w:sz="0" w:space="0" w:color="auto"/>
        <w:left w:val="none" w:sz="0" w:space="0" w:color="auto"/>
        <w:bottom w:val="none" w:sz="0" w:space="0" w:color="auto"/>
        <w:right w:val="none" w:sz="0" w:space="0" w:color="auto"/>
      </w:divBdr>
    </w:div>
    <w:div w:id="151264269">
      <w:bodyDiv w:val="1"/>
      <w:marLeft w:val="0"/>
      <w:marRight w:val="0"/>
      <w:marTop w:val="0"/>
      <w:marBottom w:val="0"/>
      <w:divBdr>
        <w:top w:val="none" w:sz="0" w:space="0" w:color="auto"/>
        <w:left w:val="none" w:sz="0" w:space="0" w:color="auto"/>
        <w:bottom w:val="none" w:sz="0" w:space="0" w:color="auto"/>
        <w:right w:val="none" w:sz="0" w:space="0" w:color="auto"/>
      </w:divBdr>
    </w:div>
    <w:div w:id="223761044">
      <w:bodyDiv w:val="1"/>
      <w:marLeft w:val="0"/>
      <w:marRight w:val="0"/>
      <w:marTop w:val="0"/>
      <w:marBottom w:val="0"/>
      <w:divBdr>
        <w:top w:val="none" w:sz="0" w:space="0" w:color="auto"/>
        <w:left w:val="none" w:sz="0" w:space="0" w:color="auto"/>
        <w:bottom w:val="none" w:sz="0" w:space="0" w:color="auto"/>
        <w:right w:val="none" w:sz="0" w:space="0" w:color="auto"/>
      </w:divBdr>
    </w:div>
    <w:div w:id="236594904">
      <w:bodyDiv w:val="1"/>
      <w:marLeft w:val="0"/>
      <w:marRight w:val="0"/>
      <w:marTop w:val="0"/>
      <w:marBottom w:val="0"/>
      <w:divBdr>
        <w:top w:val="none" w:sz="0" w:space="0" w:color="auto"/>
        <w:left w:val="none" w:sz="0" w:space="0" w:color="auto"/>
        <w:bottom w:val="none" w:sz="0" w:space="0" w:color="auto"/>
        <w:right w:val="none" w:sz="0" w:space="0" w:color="auto"/>
      </w:divBdr>
    </w:div>
    <w:div w:id="255136913">
      <w:bodyDiv w:val="1"/>
      <w:marLeft w:val="0"/>
      <w:marRight w:val="0"/>
      <w:marTop w:val="0"/>
      <w:marBottom w:val="0"/>
      <w:divBdr>
        <w:top w:val="none" w:sz="0" w:space="0" w:color="auto"/>
        <w:left w:val="none" w:sz="0" w:space="0" w:color="auto"/>
        <w:bottom w:val="none" w:sz="0" w:space="0" w:color="auto"/>
        <w:right w:val="none" w:sz="0" w:space="0" w:color="auto"/>
      </w:divBdr>
    </w:div>
    <w:div w:id="278994151">
      <w:bodyDiv w:val="1"/>
      <w:marLeft w:val="0"/>
      <w:marRight w:val="0"/>
      <w:marTop w:val="0"/>
      <w:marBottom w:val="0"/>
      <w:divBdr>
        <w:top w:val="none" w:sz="0" w:space="0" w:color="auto"/>
        <w:left w:val="none" w:sz="0" w:space="0" w:color="auto"/>
        <w:bottom w:val="none" w:sz="0" w:space="0" w:color="auto"/>
        <w:right w:val="none" w:sz="0" w:space="0" w:color="auto"/>
      </w:divBdr>
    </w:div>
    <w:div w:id="284970285">
      <w:bodyDiv w:val="1"/>
      <w:marLeft w:val="0"/>
      <w:marRight w:val="0"/>
      <w:marTop w:val="0"/>
      <w:marBottom w:val="0"/>
      <w:divBdr>
        <w:top w:val="none" w:sz="0" w:space="0" w:color="auto"/>
        <w:left w:val="none" w:sz="0" w:space="0" w:color="auto"/>
        <w:bottom w:val="none" w:sz="0" w:space="0" w:color="auto"/>
        <w:right w:val="none" w:sz="0" w:space="0" w:color="auto"/>
      </w:divBdr>
    </w:div>
    <w:div w:id="320163476">
      <w:bodyDiv w:val="1"/>
      <w:marLeft w:val="0"/>
      <w:marRight w:val="0"/>
      <w:marTop w:val="0"/>
      <w:marBottom w:val="0"/>
      <w:divBdr>
        <w:top w:val="none" w:sz="0" w:space="0" w:color="auto"/>
        <w:left w:val="none" w:sz="0" w:space="0" w:color="auto"/>
        <w:bottom w:val="none" w:sz="0" w:space="0" w:color="auto"/>
        <w:right w:val="none" w:sz="0" w:space="0" w:color="auto"/>
      </w:divBdr>
      <w:divsChild>
        <w:div w:id="195587127">
          <w:marLeft w:val="0"/>
          <w:marRight w:val="0"/>
          <w:marTop w:val="0"/>
          <w:marBottom w:val="0"/>
          <w:divBdr>
            <w:top w:val="none" w:sz="0" w:space="0" w:color="auto"/>
            <w:left w:val="none" w:sz="0" w:space="0" w:color="auto"/>
            <w:bottom w:val="none" w:sz="0" w:space="0" w:color="auto"/>
            <w:right w:val="none" w:sz="0" w:space="0" w:color="auto"/>
          </w:divBdr>
          <w:divsChild>
            <w:div w:id="1387796205">
              <w:marLeft w:val="0"/>
              <w:marRight w:val="0"/>
              <w:marTop w:val="0"/>
              <w:marBottom w:val="0"/>
              <w:divBdr>
                <w:top w:val="none" w:sz="0" w:space="0" w:color="auto"/>
                <w:left w:val="none" w:sz="0" w:space="0" w:color="auto"/>
                <w:bottom w:val="none" w:sz="0" w:space="0" w:color="auto"/>
                <w:right w:val="none" w:sz="0" w:space="0" w:color="auto"/>
              </w:divBdr>
              <w:divsChild>
                <w:div w:id="4361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79684">
      <w:bodyDiv w:val="1"/>
      <w:marLeft w:val="0"/>
      <w:marRight w:val="0"/>
      <w:marTop w:val="0"/>
      <w:marBottom w:val="0"/>
      <w:divBdr>
        <w:top w:val="none" w:sz="0" w:space="0" w:color="auto"/>
        <w:left w:val="none" w:sz="0" w:space="0" w:color="auto"/>
        <w:bottom w:val="none" w:sz="0" w:space="0" w:color="auto"/>
        <w:right w:val="none" w:sz="0" w:space="0" w:color="auto"/>
      </w:divBdr>
    </w:div>
    <w:div w:id="341126542">
      <w:bodyDiv w:val="1"/>
      <w:marLeft w:val="0"/>
      <w:marRight w:val="0"/>
      <w:marTop w:val="0"/>
      <w:marBottom w:val="0"/>
      <w:divBdr>
        <w:top w:val="none" w:sz="0" w:space="0" w:color="auto"/>
        <w:left w:val="none" w:sz="0" w:space="0" w:color="auto"/>
        <w:bottom w:val="none" w:sz="0" w:space="0" w:color="auto"/>
        <w:right w:val="none" w:sz="0" w:space="0" w:color="auto"/>
      </w:divBdr>
    </w:div>
    <w:div w:id="403839470">
      <w:bodyDiv w:val="1"/>
      <w:marLeft w:val="0"/>
      <w:marRight w:val="0"/>
      <w:marTop w:val="0"/>
      <w:marBottom w:val="0"/>
      <w:divBdr>
        <w:top w:val="none" w:sz="0" w:space="0" w:color="auto"/>
        <w:left w:val="none" w:sz="0" w:space="0" w:color="auto"/>
        <w:bottom w:val="none" w:sz="0" w:space="0" w:color="auto"/>
        <w:right w:val="none" w:sz="0" w:space="0" w:color="auto"/>
      </w:divBdr>
    </w:div>
    <w:div w:id="460418699">
      <w:bodyDiv w:val="1"/>
      <w:marLeft w:val="0"/>
      <w:marRight w:val="0"/>
      <w:marTop w:val="0"/>
      <w:marBottom w:val="0"/>
      <w:divBdr>
        <w:top w:val="none" w:sz="0" w:space="0" w:color="auto"/>
        <w:left w:val="none" w:sz="0" w:space="0" w:color="auto"/>
        <w:bottom w:val="none" w:sz="0" w:space="0" w:color="auto"/>
        <w:right w:val="none" w:sz="0" w:space="0" w:color="auto"/>
      </w:divBdr>
    </w:div>
    <w:div w:id="484785119">
      <w:bodyDiv w:val="1"/>
      <w:marLeft w:val="0"/>
      <w:marRight w:val="0"/>
      <w:marTop w:val="0"/>
      <w:marBottom w:val="0"/>
      <w:divBdr>
        <w:top w:val="none" w:sz="0" w:space="0" w:color="auto"/>
        <w:left w:val="none" w:sz="0" w:space="0" w:color="auto"/>
        <w:bottom w:val="none" w:sz="0" w:space="0" w:color="auto"/>
        <w:right w:val="none" w:sz="0" w:space="0" w:color="auto"/>
      </w:divBdr>
    </w:div>
    <w:div w:id="559026671">
      <w:bodyDiv w:val="1"/>
      <w:marLeft w:val="0"/>
      <w:marRight w:val="0"/>
      <w:marTop w:val="0"/>
      <w:marBottom w:val="0"/>
      <w:divBdr>
        <w:top w:val="none" w:sz="0" w:space="0" w:color="auto"/>
        <w:left w:val="none" w:sz="0" w:space="0" w:color="auto"/>
        <w:bottom w:val="none" w:sz="0" w:space="0" w:color="auto"/>
        <w:right w:val="none" w:sz="0" w:space="0" w:color="auto"/>
      </w:divBdr>
    </w:div>
    <w:div w:id="656692640">
      <w:bodyDiv w:val="1"/>
      <w:marLeft w:val="0"/>
      <w:marRight w:val="0"/>
      <w:marTop w:val="0"/>
      <w:marBottom w:val="0"/>
      <w:divBdr>
        <w:top w:val="none" w:sz="0" w:space="0" w:color="auto"/>
        <w:left w:val="none" w:sz="0" w:space="0" w:color="auto"/>
        <w:bottom w:val="none" w:sz="0" w:space="0" w:color="auto"/>
        <w:right w:val="none" w:sz="0" w:space="0" w:color="auto"/>
      </w:divBdr>
    </w:div>
    <w:div w:id="746802417">
      <w:bodyDiv w:val="1"/>
      <w:marLeft w:val="0"/>
      <w:marRight w:val="0"/>
      <w:marTop w:val="0"/>
      <w:marBottom w:val="0"/>
      <w:divBdr>
        <w:top w:val="none" w:sz="0" w:space="0" w:color="auto"/>
        <w:left w:val="none" w:sz="0" w:space="0" w:color="auto"/>
        <w:bottom w:val="none" w:sz="0" w:space="0" w:color="auto"/>
        <w:right w:val="none" w:sz="0" w:space="0" w:color="auto"/>
      </w:divBdr>
    </w:div>
    <w:div w:id="755247776">
      <w:bodyDiv w:val="1"/>
      <w:marLeft w:val="0"/>
      <w:marRight w:val="0"/>
      <w:marTop w:val="0"/>
      <w:marBottom w:val="0"/>
      <w:divBdr>
        <w:top w:val="none" w:sz="0" w:space="0" w:color="auto"/>
        <w:left w:val="none" w:sz="0" w:space="0" w:color="auto"/>
        <w:bottom w:val="none" w:sz="0" w:space="0" w:color="auto"/>
        <w:right w:val="none" w:sz="0" w:space="0" w:color="auto"/>
      </w:divBdr>
    </w:div>
    <w:div w:id="805509455">
      <w:bodyDiv w:val="1"/>
      <w:marLeft w:val="0"/>
      <w:marRight w:val="0"/>
      <w:marTop w:val="0"/>
      <w:marBottom w:val="0"/>
      <w:divBdr>
        <w:top w:val="none" w:sz="0" w:space="0" w:color="auto"/>
        <w:left w:val="none" w:sz="0" w:space="0" w:color="auto"/>
        <w:bottom w:val="none" w:sz="0" w:space="0" w:color="auto"/>
        <w:right w:val="none" w:sz="0" w:space="0" w:color="auto"/>
      </w:divBdr>
    </w:div>
    <w:div w:id="842860142">
      <w:bodyDiv w:val="1"/>
      <w:marLeft w:val="0"/>
      <w:marRight w:val="0"/>
      <w:marTop w:val="0"/>
      <w:marBottom w:val="0"/>
      <w:divBdr>
        <w:top w:val="none" w:sz="0" w:space="0" w:color="auto"/>
        <w:left w:val="none" w:sz="0" w:space="0" w:color="auto"/>
        <w:bottom w:val="none" w:sz="0" w:space="0" w:color="auto"/>
        <w:right w:val="none" w:sz="0" w:space="0" w:color="auto"/>
      </w:divBdr>
      <w:divsChild>
        <w:div w:id="1679309045">
          <w:marLeft w:val="547"/>
          <w:marRight w:val="0"/>
          <w:marTop w:val="96"/>
          <w:marBottom w:val="0"/>
          <w:divBdr>
            <w:top w:val="none" w:sz="0" w:space="0" w:color="auto"/>
            <w:left w:val="none" w:sz="0" w:space="0" w:color="auto"/>
            <w:bottom w:val="none" w:sz="0" w:space="0" w:color="auto"/>
            <w:right w:val="none" w:sz="0" w:space="0" w:color="auto"/>
          </w:divBdr>
        </w:div>
        <w:div w:id="2083603093">
          <w:marLeft w:val="547"/>
          <w:marRight w:val="0"/>
          <w:marTop w:val="96"/>
          <w:marBottom w:val="0"/>
          <w:divBdr>
            <w:top w:val="none" w:sz="0" w:space="0" w:color="auto"/>
            <w:left w:val="none" w:sz="0" w:space="0" w:color="auto"/>
            <w:bottom w:val="none" w:sz="0" w:space="0" w:color="auto"/>
            <w:right w:val="none" w:sz="0" w:space="0" w:color="auto"/>
          </w:divBdr>
        </w:div>
      </w:divsChild>
    </w:div>
    <w:div w:id="866406989">
      <w:bodyDiv w:val="1"/>
      <w:marLeft w:val="0"/>
      <w:marRight w:val="0"/>
      <w:marTop w:val="0"/>
      <w:marBottom w:val="0"/>
      <w:divBdr>
        <w:top w:val="none" w:sz="0" w:space="0" w:color="auto"/>
        <w:left w:val="none" w:sz="0" w:space="0" w:color="auto"/>
        <w:bottom w:val="none" w:sz="0" w:space="0" w:color="auto"/>
        <w:right w:val="none" w:sz="0" w:space="0" w:color="auto"/>
      </w:divBdr>
    </w:div>
    <w:div w:id="1119687389">
      <w:bodyDiv w:val="1"/>
      <w:marLeft w:val="0"/>
      <w:marRight w:val="0"/>
      <w:marTop w:val="0"/>
      <w:marBottom w:val="0"/>
      <w:divBdr>
        <w:top w:val="none" w:sz="0" w:space="0" w:color="auto"/>
        <w:left w:val="none" w:sz="0" w:space="0" w:color="auto"/>
        <w:bottom w:val="none" w:sz="0" w:space="0" w:color="auto"/>
        <w:right w:val="none" w:sz="0" w:space="0" w:color="auto"/>
      </w:divBdr>
    </w:div>
    <w:div w:id="1153718745">
      <w:bodyDiv w:val="1"/>
      <w:marLeft w:val="0"/>
      <w:marRight w:val="0"/>
      <w:marTop w:val="0"/>
      <w:marBottom w:val="0"/>
      <w:divBdr>
        <w:top w:val="none" w:sz="0" w:space="0" w:color="auto"/>
        <w:left w:val="none" w:sz="0" w:space="0" w:color="auto"/>
        <w:bottom w:val="none" w:sz="0" w:space="0" w:color="auto"/>
        <w:right w:val="none" w:sz="0" w:space="0" w:color="auto"/>
      </w:divBdr>
    </w:div>
    <w:div w:id="1167087322">
      <w:bodyDiv w:val="1"/>
      <w:marLeft w:val="0"/>
      <w:marRight w:val="0"/>
      <w:marTop w:val="0"/>
      <w:marBottom w:val="0"/>
      <w:divBdr>
        <w:top w:val="none" w:sz="0" w:space="0" w:color="auto"/>
        <w:left w:val="none" w:sz="0" w:space="0" w:color="auto"/>
        <w:bottom w:val="none" w:sz="0" w:space="0" w:color="auto"/>
        <w:right w:val="none" w:sz="0" w:space="0" w:color="auto"/>
      </w:divBdr>
    </w:div>
    <w:div w:id="1190492704">
      <w:bodyDiv w:val="1"/>
      <w:marLeft w:val="0"/>
      <w:marRight w:val="0"/>
      <w:marTop w:val="0"/>
      <w:marBottom w:val="0"/>
      <w:divBdr>
        <w:top w:val="none" w:sz="0" w:space="0" w:color="auto"/>
        <w:left w:val="none" w:sz="0" w:space="0" w:color="auto"/>
        <w:bottom w:val="none" w:sz="0" w:space="0" w:color="auto"/>
        <w:right w:val="none" w:sz="0" w:space="0" w:color="auto"/>
      </w:divBdr>
    </w:div>
    <w:div w:id="1222596470">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92394246">
      <w:bodyDiv w:val="1"/>
      <w:marLeft w:val="0"/>
      <w:marRight w:val="0"/>
      <w:marTop w:val="0"/>
      <w:marBottom w:val="0"/>
      <w:divBdr>
        <w:top w:val="none" w:sz="0" w:space="0" w:color="auto"/>
        <w:left w:val="none" w:sz="0" w:space="0" w:color="auto"/>
        <w:bottom w:val="none" w:sz="0" w:space="0" w:color="auto"/>
        <w:right w:val="none" w:sz="0" w:space="0" w:color="auto"/>
      </w:divBdr>
      <w:divsChild>
        <w:div w:id="789784077">
          <w:marLeft w:val="0"/>
          <w:marRight w:val="0"/>
          <w:marTop w:val="0"/>
          <w:marBottom w:val="0"/>
          <w:divBdr>
            <w:top w:val="none" w:sz="0" w:space="0" w:color="auto"/>
            <w:left w:val="none" w:sz="0" w:space="0" w:color="auto"/>
            <w:bottom w:val="none" w:sz="0" w:space="0" w:color="auto"/>
            <w:right w:val="none" w:sz="0" w:space="0" w:color="auto"/>
          </w:divBdr>
          <w:divsChild>
            <w:div w:id="1728844052">
              <w:marLeft w:val="0"/>
              <w:marRight w:val="0"/>
              <w:marTop w:val="0"/>
              <w:marBottom w:val="0"/>
              <w:divBdr>
                <w:top w:val="none" w:sz="0" w:space="0" w:color="auto"/>
                <w:left w:val="none" w:sz="0" w:space="0" w:color="auto"/>
                <w:bottom w:val="none" w:sz="0" w:space="0" w:color="auto"/>
                <w:right w:val="none" w:sz="0" w:space="0" w:color="auto"/>
              </w:divBdr>
              <w:divsChild>
                <w:div w:id="893734543">
                  <w:marLeft w:val="0"/>
                  <w:marRight w:val="0"/>
                  <w:marTop w:val="0"/>
                  <w:marBottom w:val="0"/>
                  <w:divBdr>
                    <w:top w:val="none" w:sz="0" w:space="0" w:color="auto"/>
                    <w:left w:val="none" w:sz="0" w:space="0" w:color="auto"/>
                    <w:bottom w:val="none" w:sz="0" w:space="0" w:color="auto"/>
                    <w:right w:val="none" w:sz="0" w:space="0" w:color="auto"/>
                  </w:divBdr>
                  <w:divsChild>
                    <w:div w:id="1285968640">
                      <w:marLeft w:val="0"/>
                      <w:marRight w:val="0"/>
                      <w:marTop w:val="0"/>
                      <w:marBottom w:val="0"/>
                      <w:divBdr>
                        <w:top w:val="none" w:sz="0" w:space="0" w:color="auto"/>
                        <w:left w:val="none" w:sz="0" w:space="0" w:color="auto"/>
                        <w:bottom w:val="none" w:sz="0" w:space="0" w:color="auto"/>
                        <w:right w:val="none" w:sz="0" w:space="0" w:color="auto"/>
                      </w:divBdr>
                      <w:divsChild>
                        <w:div w:id="965768726">
                          <w:marLeft w:val="0"/>
                          <w:marRight w:val="0"/>
                          <w:marTop w:val="0"/>
                          <w:marBottom w:val="0"/>
                          <w:divBdr>
                            <w:top w:val="none" w:sz="0" w:space="0" w:color="auto"/>
                            <w:left w:val="none" w:sz="0" w:space="0" w:color="auto"/>
                            <w:bottom w:val="none" w:sz="0" w:space="0" w:color="auto"/>
                            <w:right w:val="none" w:sz="0" w:space="0" w:color="auto"/>
                          </w:divBdr>
                          <w:divsChild>
                            <w:div w:id="2093432067">
                              <w:marLeft w:val="0"/>
                              <w:marRight w:val="0"/>
                              <w:marTop w:val="0"/>
                              <w:marBottom w:val="0"/>
                              <w:divBdr>
                                <w:top w:val="none" w:sz="0" w:space="0" w:color="auto"/>
                                <w:left w:val="none" w:sz="0" w:space="0" w:color="auto"/>
                                <w:bottom w:val="none" w:sz="0" w:space="0" w:color="auto"/>
                                <w:right w:val="none" w:sz="0" w:space="0" w:color="auto"/>
                              </w:divBdr>
                              <w:divsChild>
                                <w:div w:id="1393427516">
                                  <w:marLeft w:val="0"/>
                                  <w:marRight w:val="0"/>
                                  <w:marTop w:val="0"/>
                                  <w:marBottom w:val="0"/>
                                  <w:divBdr>
                                    <w:top w:val="none" w:sz="0" w:space="0" w:color="auto"/>
                                    <w:left w:val="none" w:sz="0" w:space="0" w:color="auto"/>
                                    <w:bottom w:val="none" w:sz="0" w:space="0" w:color="auto"/>
                                    <w:right w:val="none" w:sz="0" w:space="0" w:color="auto"/>
                                  </w:divBdr>
                                  <w:divsChild>
                                    <w:div w:id="147988054">
                                      <w:marLeft w:val="60"/>
                                      <w:marRight w:val="0"/>
                                      <w:marTop w:val="0"/>
                                      <w:marBottom w:val="0"/>
                                      <w:divBdr>
                                        <w:top w:val="none" w:sz="0" w:space="0" w:color="auto"/>
                                        <w:left w:val="none" w:sz="0" w:space="0" w:color="auto"/>
                                        <w:bottom w:val="none" w:sz="0" w:space="0" w:color="auto"/>
                                        <w:right w:val="none" w:sz="0" w:space="0" w:color="auto"/>
                                      </w:divBdr>
                                      <w:divsChild>
                                        <w:div w:id="82843009">
                                          <w:marLeft w:val="0"/>
                                          <w:marRight w:val="0"/>
                                          <w:marTop w:val="0"/>
                                          <w:marBottom w:val="0"/>
                                          <w:divBdr>
                                            <w:top w:val="none" w:sz="0" w:space="0" w:color="auto"/>
                                            <w:left w:val="none" w:sz="0" w:space="0" w:color="auto"/>
                                            <w:bottom w:val="none" w:sz="0" w:space="0" w:color="auto"/>
                                            <w:right w:val="none" w:sz="0" w:space="0" w:color="auto"/>
                                          </w:divBdr>
                                          <w:divsChild>
                                            <w:div w:id="1004670900">
                                              <w:marLeft w:val="0"/>
                                              <w:marRight w:val="0"/>
                                              <w:marTop w:val="0"/>
                                              <w:marBottom w:val="120"/>
                                              <w:divBdr>
                                                <w:top w:val="single" w:sz="6" w:space="0" w:color="F5F5F5"/>
                                                <w:left w:val="single" w:sz="6" w:space="0" w:color="F5F5F5"/>
                                                <w:bottom w:val="single" w:sz="6" w:space="0" w:color="F5F5F5"/>
                                                <w:right w:val="single" w:sz="6" w:space="0" w:color="F5F5F5"/>
                                              </w:divBdr>
                                              <w:divsChild>
                                                <w:div w:id="233708514">
                                                  <w:marLeft w:val="0"/>
                                                  <w:marRight w:val="0"/>
                                                  <w:marTop w:val="0"/>
                                                  <w:marBottom w:val="0"/>
                                                  <w:divBdr>
                                                    <w:top w:val="none" w:sz="0" w:space="0" w:color="auto"/>
                                                    <w:left w:val="none" w:sz="0" w:space="0" w:color="auto"/>
                                                    <w:bottom w:val="none" w:sz="0" w:space="0" w:color="auto"/>
                                                    <w:right w:val="none" w:sz="0" w:space="0" w:color="auto"/>
                                                  </w:divBdr>
                                                  <w:divsChild>
                                                    <w:div w:id="11431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0497278">
      <w:bodyDiv w:val="1"/>
      <w:marLeft w:val="0"/>
      <w:marRight w:val="0"/>
      <w:marTop w:val="0"/>
      <w:marBottom w:val="0"/>
      <w:divBdr>
        <w:top w:val="none" w:sz="0" w:space="0" w:color="auto"/>
        <w:left w:val="none" w:sz="0" w:space="0" w:color="auto"/>
        <w:bottom w:val="none" w:sz="0" w:space="0" w:color="auto"/>
        <w:right w:val="none" w:sz="0" w:space="0" w:color="auto"/>
      </w:divBdr>
      <w:divsChild>
        <w:div w:id="38748550">
          <w:marLeft w:val="547"/>
          <w:marRight w:val="0"/>
          <w:marTop w:val="96"/>
          <w:marBottom w:val="0"/>
          <w:divBdr>
            <w:top w:val="none" w:sz="0" w:space="0" w:color="auto"/>
            <w:left w:val="none" w:sz="0" w:space="0" w:color="auto"/>
            <w:bottom w:val="none" w:sz="0" w:space="0" w:color="auto"/>
            <w:right w:val="none" w:sz="0" w:space="0" w:color="auto"/>
          </w:divBdr>
        </w:div>
        <w:div w:id="1217665883">
          <w:marLeft w:val="547"/>
          <w:marRight w:val="0"/>
          <w:marTop w:val="96"/>
          <w:marBottom w:val="0"/>
          <w:divBdr>
            <w:top w:val="none" w:sz="0" w:space="0" w:color="auto"/>
            <w:left w:val="none" w:sz="0" w:space="0" w:color="auto"/>
            <w:bottom w:val="none" w:sz="0" w:space="0" w:color="auto"/>
            <w:right w:val="none" w:sz="0" w:space="0" w:color="auto"/>
          </w:divBdr>
        </w:div>
      </w:divsChild>
    </w:div>
    <w:div w:id="1347631831">
      <w:bodyDiv w:val="1"/>
      <w:marLeft w:val="0"/>
      <w:marRight w:val="0"/>
      <w:marTop w:val="0"/>
      <w:marBottom w:val="0"/>
      <w:divBdr>
        <w:top w:val="none" w:sz="0" w:space="0" w:color="auto"/>
        <w:left w:val="none" w:sz="0" w:space="0" w:color="auto"/>
        <w:bottom w:val="none" w:sz="0" w:space="0" w:color="auto"/>
        <w:right w:val="none" w:sz="0" w:space="0" w:color="auto"/>
      </w:divBdr>
      <w:divsChild>
        <w:div w:id="1816027448">
          <w:marLeft w:val="0"/>
          <w:marRight w:val="0"/>
          <w:marTop w:val="0"/>
          <w:marBottom w:val="0"/>
          <w:divBdr>
            <w:top w:val="none" w:sz="0" w:space="0" w:color="auto"/>
            <w:left w:val="none" w:sz="0" w:space="0" w:color="auto"/>
            <w:bottom w:val="none" w:sz="0" w:space="0" w:color="auto"/>
            <w:right w:val="none" w:sz="0" w:space="0" w:color="auto"/>
          </w:divBdr>
          <w:divsChild>
            <w:div w:id="457720716">
              <w:marLeft w:val="0"/>
              <w:marRight w:val="0"/>
              <w:marTop w:val="0"/>
              <w:marBottom w:val="0"/>
              <w:divBdr>
                <w:top w:val="none" w:sz="0" w:space="0" w:color="auto"/>
                <w:left w:val="none" w:sz="0" w:space="0" w:color="auto"/>
                <w:bottom w:val="none" w:sz="0" w:space="0" w:color="auto"/>
                <w:right w:val="none" w:sz="0" w:space="0" w:color="auto"/>
              </w:divBdr>
              <w:divsChild>
                <w:div w:id="1625455762">
                  <w:marLeft w:val="0"/>
                  <w:marRight w:val="0"/>
                  <w:marTop w:val="0"/>
                  <w:marBottom w:val="0"/>
                  <w:divBdr>
                    <w:top w:val="none" w:sz="0" w:space="0" w:color="auto"/>
                    <w:left w:val="none" w:sz="0" w:space="0" w:color="auto"/>
                    <w:bottom w:val="none" w:sz="0" w:space="0" w:color="auto"/>
                    <w:right w:val="none" w:sz="0" w:space="0" w:color="auto"/>
                  </w:divBdr>
                  <w:divsChild>
                    <w:div w:id="251931744">
                      <w:marLeft w:val="0"/>
                      <w:marRight w:val="0"/>
                      <w:marTop w:val="0"/>
                      <w:marBottom w:val="0"/>
                      <w:divBdr>
                        <w:top w:val="none" w:sz="0" w:space="0" w:color="auto"/>
                        <w:left w:val="none" w:sz="0" w:space="0" w:color="auto"/>
                        <w:bottom w:val="none" w:sz="0" w:space="0" w:color="auto"/>
                        <w:right w:val="none" w:sz="0" w:space="0" w:color="auto"/>
                      </w:divBdr>
                      <w:divsChild>
                        <w:div w:id="166017122">
                          <w:marLeft w:val="0"/>
                          <w:marRight w:val="0"/>
                          <w:marTop w:val="0"/>
                          <w:marBottom w:val="0"/>
                          <w:divBdr>
                            <w:top w:val="none" w:sz="0" w:space="0" w:color="auto"/>
                            <w:left w:val="none" w:sz="0" w:space="0" w:color="auto"/>
                            <w:bottom w:val="none" w:sz="0" w:space="0" w:color="auto"/>
                            <w:right w:val="none" w:sz="0" w:space="0" w:color="auto"/>
                          </w:divBdr>
                          <w:divsChild>
                            <w:div w:id="942956187">
                              <w:marLeft w:val="0"/>
                              <w:marRight w:val="0"/>
                              <w:marTop w:val="0"/>
                              <w:marBottom w:val="0"/>
                              <w:divBdr>
                                <w:top w:val="none" w:sz="0" w:space="0" w:color="auto"/>
                                <w:left w:val="none" w:sz="0" w:space="0" w:color="auto"/>
                                <w:bottom w:val="none" w:sz="0" w:space="0" w:color="auto"/>
                                <w:right w:val="none" w:sz="0" w:space="0" w:color="auto"/>
                              </w:divBdr>
                              <w:divsChild>
                                <w:div w:id="159394246">
                                  <w:marLeft w:val="0"/>
                                  <w:marRight w:val="0"/>
                                  <w:marTop w:val="0"/>
                                  <w:marBottom w:val="0"/>
                                  <w:divBdr>
                                    <w:top w:val="none" w:sz="0" w:space="0" w:color="auto"/>
                                    <w:left w:val="none" w:sz="0" w:space="0" w:color="auto"/>
                                    <w:bottom w:val="none" w:sz="0" w:space="0" w:color="auto"/>
                                    <w:right w:val="none" w:sz="0" w:space="0" w:color="auto"/>
                                  </w:divBdr>
                                  <w:divsChild>
                                    <w:div w:id="82607143">
                                      <w:marLeft w:val="0"/>
                                      <w:marRight w:val="0"/>
                                      <w:marTop w:val="0"/>
                                      <w:marBottom w:val="0"/>
                                      <w:divBdr>
                                        <w:top w:val="none" w:sz="0" w:space="0" w:color="auto"/>
                                        <w:left w:val="none" w:sz="0" w:space="0" w:color="auto"/>
                                        <w:bottom w:val="none" w:sz="0" w:space="0" w:color="auto"/>
                                        <w:right w:val="none" w:sz="0" w:space="0" w:color="auto"/>
                                      </w:divBdr>
                                      <w:divsChild>
                                        <w:div w:id="1458645372">
                                          <w:marLeft w:val="0"/>
                                          <w:marRight w:val="0"/>
                                          <w:marTop w:val="0"/>
                                          <w:marBottom w:val="0"/>
                                          <w:divBdr>
                                            <w:top w:val="none" w:sz="0" w:space="0" w:color="auto"/>
                                            <w:left w:val="none" w:sz="0" w:space="0" w:color="auto"/>
                                            <w:bottom w:val="none" w:sz="0" w:space="0" w:color="auto"/>
                                            <w:right w:val="none" w:sz="0" w:space="0" w:color="auto"/>
                                          </w:divBdr>
                                          <w:divsChild>
                                            <w:div w:id="1579554059">
                                              <w:marLeft w:val="0"/>
                                              <w:marRight w:val="0"/>
                                              <w:marTop w:val="0"/>
                                              <w:marBottom w:val="0"/>
                                              <w:divBdr>
                                                <w:top w:val="none" w:sz="0" w:space="0" w:color="auto"/>
                                                <w:left w:val="none" w:sz="0" w:space="0" w:color="auto"/>
                                                <w:bottom w:val="none" w:sz="0" w:space="0" w:color="auto"/>
                                                <w:right w:val="none" w:sz="0" w:space="0" w:color="auto"/>
                                              </w:divBdr>
                                              <w:divsChild>
                                                <w:div w:id="435370504">
                                                  <w:marLeft w:val="0"/>
                                                  <w:marRight w:val="0"/>
                                                  <w:marTop w:val="0"/>
                                                  <w:marBottom w:val="0"/>
                                                  <w:divBdr>
                                                    <w:top w:val="single" w:sz="12" w:space="2" w:color="FFFFCC"/>
                                                    <w:left w:val="single" w:sz="12" w:space="2" w:color="FFFFCC"/>
                                                    <w:bottom w:val="single" w:sz="12" w:space="2" w:color="FFFFCC"/>
                                                    <w:right w:val="single" w:sz="12" w:space="0" w:color="FFFFCC"/>
                                                  </w:divBdr>
                                                  <w:divsChild>
                                                    <w:div w:id="872111341">
                                                      <w:marLeft w:val="0"/>
                                                      <w:marRight w:val="0"/>
                                                      <w:marTop w:val="0"/>
                                                      <w:marBottom w:val="0"/>
                                                      <w:divBdr>
                                                        <w:top w:val="none" w:sz="0" w:space="0" w:color="auto"/>
                                                        <w:left w:val="none" w:sz="0" w:space="0" w:color="auto"/>
                                                        <w:bottom w:val="none" w:sz="0" w:space="0" w:color="auto"/>
                                                        <w:right w:val="none" w:sz="0" w:space="0" w:color="auto"/>
                                                      </w:divBdr>
                                                      <w:divsChild>
                                                        <w:div w:id="438108411">
                                                          <w:marLeft w:val="0"/>
                                                          <w:marRight w:val="0"/>
                                                          <w:marTop w:val="0"/>
                                                          <w:marBottom w:val="0"/>
                                                          <w:divBdr>
                                                            <w:top w:val="none" w:sz="0" w:space="0" w:color="auto"/>
                                                            <w:left w:val="none" w:sz="0" w:space="0" w:color="auto"/>
                                                            <w:bottom w:val="none" w:sz="0" w:space="0" w:color="auto"/>
                                                            <w:right w:val="none" w:sz="0" w:space="0" w:color="auto"/>
                                                          </w:divBdr>
                                                          <w:divsChild>
                                                            <w:div w:id="1022636079">
                                                              <w:marLeft w:val="0"/>
                                                              <w:marRight w:val="0"/>
                                                              <w:marTop w:val="0"/>
                                                              <w:marBottom w:val="0"/>
                                                              <w:divBdr>
                                                                <w:top w:val="none" w:sz="0" w:space="0" w:color="auto"/>
                                                                <w:left w:val="none" w:sz="0" w:space="0" w:color="auto"/>
                                                                <w:bottom w:val="none" w:sz="0" w:space="0" w:color="auto"/>
                                                                <w:right w:val="none" w:sz="0" w:space="0" w:color="auto"/>
                                                              </w:divBdr>
                                                              <w:divsChild>
                                                                <w:div w:id="411243239">
                                                                  <w:marLeft w:val="0"/>
                                                                  <w:marRight w:val="0"/>
                                                                  <w:marTop w:val="0"/>
                                                                  <w:marBottom w:val="0"/>
                                                                  <w:divBdr>
                                                                    <w:top w:val="none" w:sz="0" w:space="0" w:color="auto"/>
                                                                    <w:left w:val="none" w:sz="0" w:space="0" w:color="auto"/>
                                                                    <w:bottom w:val="none" w:sz="0" w:space="0" w:color="auto"/>
                                                                    <w:right w:val="none" w:sz="0" w:space="0" w:color="auto"/>
                                                                  </w:divBdr>
                                                                  <w:divsChild>
                                                                    <w:div w:id="1522354438">
                                                                      <w:marLeft w:val="0"/>
                                                                      <w:marRight w:val="0"/>
                                                                      <w:marTop w:val="0"/>
                                                                      <w:marBottom w:val="0"/>
                                                                      <w:divBdr>
                                                                        <w:top w:val="none" w:sz="0" w:space="0" w:color="auto"/>
                                                                        <w:left w:val="none" w:sz="0" w:space="0" w:color="auto"/>
                                                                        <w:bottom w:val="none" w:sz="0" w:space="0" w:color="auto"/>
                                                                        <w:right w:val="none" w:sz="0" w:space="0" w:color="auto"/>
                                                                      </w:divBdr>
                                                                      <w:divsChild>
                                                                        <w:div w:id="750663478">
                                                                          <w:marLeft w:val="0"/>
                                                                          <w:marRight w:val="0"/>
                                                                          <w:marTop w:val="0"/>
                                                                          <w:marBottom w:val="0"/>
                                                                          <w:divBdr>
                                                                            <w:top w:val="none" w:sz="0" w:space="0" w:color="auto"/>
                                                                            <w:left w:val="none" w:sz="0" w:space="0" w:color="auto"/>
                                                                            <w:bottom w:val="none" w:sz="0" w:space="0" w:color="auto"/>
                                                                            <w:right w:val="none" w:sz="0" w:space="0" w:color="auto"/>
                                                                          </w:divBdr>
                                                                          <w:divsChild>
                                                                            <w:div w:id="17661191">
                                                                              <w:marLeft w:val="0"/>
                                                                              <w:marRight w:val="0"/>
                                                                              <w:marTop w:val="0"/>
                                                                              <w:marBottom w:val="0"/>
                                                                              <w:divBdr>
                                                                                <w:top w:val="none" w:sz="0" w:space="0" w:color="auto"/>
                                                                                <w:left w:val="none" w:sz="0" w:space="0" w:color="auto"/>
                                                                                <w:bottom w:val="none" w:sz="0" w:space="0" w:color="auto"/>
                                                                                <w:right w:val="none" w:sz="0" w:space="0" w:color="auto"/>
                                                                              </w:divBdr>
                                                                              <w:divsChild>
                                                                                <w:div w:id="816610369">
                                                                                  <w:marLeft w:val="0"/>
                                                                                  <w:marRight w:val="0"/>
                                                                                  <w:marTop w:val="0"/>
                                                                                  <w:marBottom w:val="0"/>
                                                                                  <w:divBdr>
                                                                                    <w:top w:val="none" w:sz="0" w:space="0" w:color="auto"/>
                                                                                    <w:left w:val="none" w:sz="0" w:space="0" w:color="auto"/>
                                                                                    <w:bottom w:val="none" w:sz="0" w:space="0" w:color="auto"/>
                                                                                    <w:right w:val="none" w:sz="0" w:space="0" w:color="auto"/>
                                                                                  </w:divBdr>
                                                                                  <w:divsChild>
                                                                                    <w:div w:id="216356251">
                                                                                      <w:marLeft w:val="0"/>
                                                                                      <w:marRight w:val="0"/>
                                                                                      <w:marTop w:val="0"/>
                                                                                      <w:marBottom w:val="0"/>
                                                                                      <w:divBdr>
                                                                                        <w:top w:val="none" w:sz="0" w:space="0" w:color="auto"/>
                                                                                        <w:left w:val="none" w:sz="0" w:space="0" w:color="auto"/>
                                                                                        <w:bottom w:val="none" w:sz="0" w:space="0" w:color="auto"/>
                                                                                        <w:right w:val="none" w:sz="0" w:space="0" w:color="auto"/>
                                                                                      </w:divBdr>
                                                                                      <w:divsChild>
                                                                                        <w:div w:id="389421258">
                                                                                          <w:marLeft w:val="0"/>
                                                                                          <w:marRight w:val="0"/>
                                                                                          <w:marTop w:val="0"/>
                                                                                          <w:marBottom w:val="0"/>
                                                                                          <w:divBdr>
                                                                                            <w:top w:val="none" w:sz="0" w:space="0" w:color="auto"/>
                                                                                            <w:left w:val="none" w:sz="0" w:space="0" w:color="auto"/>
                                                                                            <w:bottom w:val="none" w:sz="0" w:space="0" w:color="auto"/>
                                                                                            <w:right w:val="none" w:sz="0" w:space="0" w:color="auto"/>
                                                                                          </w:divBdr>
                                                                                          <w:divsChild>
                                                                                            <w:div w:id="442312981">
                                                                                              <w:marLeft w:val="0"/>
                                                                                              <w:marRight w:val="120"/>
                                                                                              <w:marTop w:val="0"/>
                                                                                              <w:marBottom w:val="150"/>
                                                                                              <w:divBdr>
                                                                                                <w:top w:val="single" w:sz="2" w:space="0" w:color="EFEFEF"/>
                                                                                                <w:left w:val="single" w:sz="6" w:space="0" w:color="EFEFEF"/>
                                                                                                <w:bottom w:val="single" w:sz="6" w:space="0" w:color="E2E2E2"/>
                                                                                                <w:right w:val="single" w:sz="6" w:space="0" w:color="EFEFEF"/>
                                                                                              </w:divBdr>
                                                                                              <w:divsChild>
                                                                                                <w:div w:id="2008433703">
                                                                                                  <w:marLeft w:val="0"/>
                                                                                                  <w:marRight w:val="0"/>
                                                                                                  <w:marTop w:val="0"/>
                                                                                                  <w:marBottom w:val="0"/>
                                                                                                  <w:divBdr>
                                                                                                    <w:top w:val="none" w:sz="0" w:space="0" w:color="auto"/>
                                                                                                    <w:left w:val="none" w:sz="0" w:space="0" w:color="auto"/>
                                                                                                    <w:bottom w:val="none" w:sz="0" w:space="0" w:color="auto"/>
                                                                                                    <w:right w:val="none" w:sz="0" w:space="0" w:color="auto"/>
                                                                                                  </w:divBdr>
                                                                                                  <w:divsChild>
                                                                                                    <w:div w:id="227807767">
                                                                                                      <w:marLeft w:val="0"/>
                                                                                                      <w:marRight w:val="0"/>
                                                                                                      <w:marTop w:val="0"/>
                                                                                                      <w:marBottom w:val="0"/>
                                                                                                      <w:divBdr>
                                                                                                        <w:top w:val="none" w:sz="0" w:space="0" w:color="auto"/>
                                                                                                        <w:left w:val="none" w:sz="0" w:space="0" w:color="auto"/>
                                                                                                        <w:bottom w:val="none" w:sz="0" w:space="0" w:color="auto"/>
                                                                                                        <w:right w:val="none" w:sz="0" w:space="0" w:color="auto"/>
                                                                                                      </w:divBdr>
                                                                                                      <w:divsChild>
                                                                                                        <w:div w:id="1286737648">
                                                                                                          <w:marLeft w:val="0"/>
                                                                                                          <w:marRight w:val="0"/>
                                                                                                          <w:marTop w:val="0"/>
                                                                                                          <w:marBottom w:val="0"/>
                                                                                                          <w:divBdr>
                                                                                                            <w:top w:val="none" w:sz="0" w:space="0" w:color="auto"/>
                                                                                                            <w:left w:val="none" w:sz="0" w:space="0" w:color="auto"/>
                                                                                                            <w:bottom w:val="none" w:sz="0" w:space="0" w:color="auto"/>
                                                                                                            <w:right w:val="none" w:sz="0" w:space="0" w:color="auto"/>
                                                                                                          </w:divBdr>
                                                                                                          <w:divsChild>
                                                                                                            <w:div w:id="859470802">
                                                                                                              <w:marLeft w:val="0"/>
                                                                                                              <w:marRight w:val="0"/>
                                                                                                              <w:marTop w:val="0"/>
                                                                                                              <w:marBottom w:val="0"/>
                                                                                                              <w:divBdr>
                                                                                                                <w:top w:val="none" w:sz="0" w:space="0" w:color="auto"/>
                                                                                                                <w:left w:val="none" w:sz="0" w:space="0" w:color="auto"/>
                                                                                                                <w:bottom w:val="none" w:sz="0" w:space="0" w:color="auto"/>
                                                                                                                <w:right w:val="none" w:sz="0" w:space="0" w:color="auto"/>
                                                                                                              </w:divBdr>
                                                                                                              <w:divsChild>
                                                                                                                <w:div w:id="2088258413">
                                                                                                                  <w:marLeft w:val="0"/>
                                                                                                                  <w:marRight w:val="0"/>
                                                                                                                  <w:marTop w:val="0"/>
                                                                                                                  <w:marBottom w:val="0"/>
                                                                                                                  <w:divBdr>
                                                                                                                    <w:top w:val="single" w:sz="2" w:space="4" w:color="D8D8D8"/>
                                                                                                                    <w:left w:val="single" w:sz="2" w:space="0" w:color="D8D8D8"/>
                                                                                                                    <w:bottom w:val="single" w:sz="2" w:space="4" w:color="D8D8D8"/>
                                                                                                                    <w:right w:val="single" w:sz="2" w:space="0" w:color="D8D8D8"/>
                                                                                                                  </w:divBdr>
                                                                                                                  <w:divsChild>
                                                                                                                    <w:div w:id="1352486050">
                                                                                                                      <w:marLeft w:val="225"/>
                                                                                                                      <w:marRight w:val="225"/>
                                                                                                                      <w:marTop w:val="75"/>
                                                                                                                      <w:marBottom w:val="75"/>
                                                                                                                      <w:divBdr>
                                                                                                                        <w:top w:val="none" w:sz="0" w:space="0" w:color="auto"/>
                                                                                                                        <w:left w:val="none" w:sz="0" w:space="0" w:color="auto"/>
                                                                                                                        <w:bottom w:val="none" w:sz="0" w:space="0" w:color="auto"/>
                                                                                                                        <w:right w:val="none" w:sz="0" w:space="0" w:color="auto"/>
                                                                                                                      </w:divBdr>
                                                                                                                      <w:divsChild>
                                                                                                                        <w:div w:id="1051347708">
                                                                                                                          <w:marLeft w:val="0"/>
                                                                                                                          <w:marRight w:val="0"/>
                                                                                                                          <w:marTop w:val="0"/>
                                                                                                                          <w:marBottom w:val="0"/>
                                                                                                                          <w:divBdr>
                                                                                                                            <w:top w:val="single" w:sz="6" w:space="0" w:color="auto"/>
                                                                                                                            <w:left w:val="single" w:sz="6" w:space="0" w:color="auto"/>
                                                                                                                            <w:bottom w:val="single" w:sz="6" w:space="0" w:color="auto"/>
                                                                                                                            <w:right w:val="single" w:sz="6" w:space="0" w:color="auto"/>
                                                                                                                          </w:divBdr>
                                                                                                                          <w:divsChild>
                                                                                                                            <w:div w:id="691147185">
                                                                                                                              <w:marLeft w:val="0"/>
                                                                                                                              <w:marRight w:val="0"/>
                                                                                                                              <w:marTop w:val="0"/>
                                                                                                                              <w:marBottom w:val="0"/>
                                                                                                                              <w:divBdr>
                                                                                                                                <w:top w:val="none" w:sz="0" w:space="0" w:color="auto"/>
                                                                                                                                <w:left w:val="none" w:sz="0" w:space="0" w:color="auto"/>
                                                                                                                                <w:bottom w:val="none" w:sz="0" w:space="0" w:color="auto"/>
                                                                                                                                <w:right w:val="none" w:sz="0" w:space="0" w:color="auto"/>
                                                                                                                              </w:divBdr>
                                                                                                                              <w:divsChild>
                                                                                                                                <w:div w:id="12111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702185">
      <w:bodyDiv w:val="1"/>
      <w:marLeft w:val="0"/>
      <w:marRight w:val="0"/>
      <w:marTop w:val="0"/>
      <w:marBottom w:val="0"/>
      <w:divBdr>
        <w:top w:val="none" w:sz="0" w:space="0" w:color="auto"/>
        <w:left w:val="none" w:sz="0" w:space="0" w:color="auto"/>
        <w:bottom w:val="none" w:sz="0" w:space="0" w:color="auto"/>
        <w:right w:val="none" w:sz="0" w:space="0" w:color="auto"/>
      </w:divBdr>
    </w:div>
    <w:div w:id="1475104931">
      <w:bodyDiv w:val="1"/>
      <w:marLeft w:val="0"/>
      <w:marRight w:val="0"/>
      <w:marTop w:val="0"/>
      <w:marBottom w:val="0"/>
      <w:divBdr>
        <w:top w:val="none" w:sz="0" w:space="0" w:color="auto"/>
        <w:left w:val="none" w:sz="0" w:space="0" w:color="auto"/>
        <w:bottom w:val="none" w:sz="0" w:space="0" w:color="auto"/>
        <w:right w:val="none" w:sz="0" w:space="0" w:color="auto"/>
      </w:divBdr>
    </w:div>
    <w:div w:id="1729182872">
      <w:bodyDiv w:val="1"/>
      <w:marLeft w:val="0"/>
      <w:marRight w:val="0"/>
      <w:marTop w:val="0"/>
      <w:marBottom w:val="0"/>
      <w:divBdr>
        <w:top w:val="none" w:sz="0" w:space="0" w:color="auto"/>
        <w:left w:val="none" w:sz="0" w:space="0" w:color="auto"/>
        <w:bottom w:val="none" w:sz="0" w:space="0" w:color="auto"/>
        <w:right w:val="none" w:sz="0" w:space="0" w:color="auto"/>
      </w:divBdr>
      <w:divsChild>
        <w:div w:id="841628672">
          <w:marLeft w:val="0"/>
          <w:marRight w:val="0"/>
          <w:marTop w:val="0"/>
          <w:marBottom w:val="0"/>
          <w:divBdr>
            <w:top w:val="none" w:sz="0" w:space="0" w:color="auto"/>
            <w:left w:val="none" w:sz="0" w:space="0" w:color="auto"/>
            <w:bottom w:val="none" w:sz="0" w:space="0" w:color="auto"/>
            <w:right w:val="none" w:sz="0" w:space="0" w:color="auto"/>
          </w:divBdr>
          <w:divsChild>
            <w:div w:id="1239558695">
              <w:marLeft w:val="0"/>
              <w:marRight w:val="0"/>
              <w:marTop w:val="0"/>
              <w:marBottom w:val="0"/>
              <w:divBdr>
                <w:top w:val="none" w:sz="0" w:space="0" w:color="auto"/>
                <w:left w:val="none" w:sz="0" w:space="0" w:color="auto"/>
                <w:bottom w:val="none" w:sz="0" w:space="0" w:color="auto"/>
                <w:right w:val="none" w:sz="0" w:space="0" w:color="auto"/>
              </w:divBdr>
              <w:divsChild>
                <w:div w:id="1207064254">
                  <w:marLeft w:val="0"/>
                  <w:marRight w:val="0"/>
                  <w:marTop w:val="0"/>
                  <w:marBottom w:val="0"/>
                  <w:divBdr>
                    <w:top w:val="none" w:sz="0" w:space="0" w:color="auto"/>
                    <w:left w:val="none" w:sz="0" w:space="0" w:color="auto"/>
                    <w:bottom w:val="none" w:sz="0" w:space="0" w:color="auto"/>
                    <w:right w:val="none" w:sz="0" w:space="0" w:color="auto"/>
                  </w:divBdr>
                  <w:divsChild>
                    <w:div w:id="1252008310">
                      <w:marLeft w:val="0"/>
                      <w:marRight w:val="0"/>
                      <w:marTop w:val="0"/>
                      <w:marBottom w:val="0"/>
                      <w:divBdr>
                        <w:top w:val="none" w:sz="0" w:space="0" w:color="auto"/>
                        <w:left w:val="none" w:sz="0" w:space="0" w:color="auto"/>
                        <w:bottom w:val="none" w:sz="0" w:space="0" w:color="auto"/>
                        <w:right w:val="none" w:sz="0" w:space="0" w:color="auto"/>
                      </w:divBdr>
                      <w:divsChild>
                        <w:div w:id="250437544">
                          <w:marLeft w:val="0"/>
                          <w:marRight w:val="0"/>
                          <w:marTop w:val="0"/>
                          <w:marBottom w:val="0"/>
                          <w:divBdr>
                            <w:top w:val="none" w:sz="0" w:space="0" w:color="auto"/>
                            <w:left w:val="none" w:sz="0" w:space="0" w:color="auto"/>
                            <w:bottom w:val="none" w:sz="0" w:space="0" w:color="auto"/>
                            <w:right w:val="none" w:sz="0" w:space="0" w:color="auto"/>
                          </w:divBdr>
                          <w:divsChild>
                            <w:div w:id="71902327">
                              <w:marLeft w:val="0"/>
                              <w:marRight w:val="0"/>
                              <w:marTop w:val="0"/>
                              <w:marBottom w:val="0"/>
                              <w:divBdr>
                                <w:top w:val="none" w:sz="0" w:space="0" w:color="auto"/>
                                <w:left w:val="none" w:sz="0" w:space="0" w:color="auto"/>
                                <w:bottom w:val="none" w:sz="0" w:space="0" w:color="auto"/>
                                <w:right w:val="none" w:sz="0" w:space="0" w:color="auto"/>
                              </w:divBdr>
                              <w:divsChild>
                                <w:div w:id="1477331963">
                                  <w:marLeft w:val="0"/>
                                  <w:marRight w:val="0"/>
                                  <w:marTop w:val="30"/>
                                  <w:marBottom w:val="2250"/>
                                  <w:divBdr>
                                    <w:top w:val="none" w:sz="0" w:space="0" w:color="auto"/>
                                    <w:left w:val="none" w:sz="0" w:space="0" w:color="auto"/>
                                    <w:bottom w:val="none" w:sz="0" w:space="0" w:color="auto"/>
                                    <w:right w:val="none" w:sz="0" w:space="0" w:color="auto"/>
                                  </w:divBdr>
                                  <w:divsChild>
                                    <w:div w:id="1177698351">
                                      <w:marLeft w:val="0"/>
                                      <w:marRight w:val="0"/>
                                      <w:marTop w:val="0"/>
                                      <w:marBottom w:val="0"/>
                                      <w:divBdr>
                                        <w:top w:val="none" w:sz="0" w:space="0" w:color="auto"/>
                                        <w:left w:val="none" w:sz="0" w:space="0" w:color="auto"/>
                                        <w:bottom w:val="none" w:sz="0" w:space="0" w:color="auto"/>
                                        <w:right w:val="none" w:sz="0" w:space="0" w:color="auto"/>
                                      </w:divBdr>
                                      <w:divsChild>
                                        <w:div w:id="1524857639">
                                          <w:marLeft w:val="0"/>
                                          <w:marRight w:val="0"/>
                                          <w:marTop w:val="0"/>
                                          <w:marBottom w:val="0"/>
                                          <w:divBdr>
                                            <w:top w:val="none" w:sz="0" w:space="0" w:color="auto"/>
                                            <w:left w:val="none" w:sz="0" w:space="0" w:color="auto"/>
                                            <w:bottom w:val="none" w:sz="0" w:space="0" w:color="auto"/>
                                            <w:right w:val="none" w:sz="0" w:space="0" w:color="auto"/>
                                          </w:divBdr>
                                          <w:divsChild>
                                            <w:div w:id="722799909">
                                              <w:marLeft w:val="0"/>
                                              <w:marRight w:val="0"/>
                                              <w:marTop w:val="0"/>
                                              <w:marBottom w:val="0"/>
                                              <w:divBdr>
                                                <w:top w:val="none" w:sz="0" w:space="0" w:color="auto"/>
                                                <w:left w:val="none" w:sz="0" w:space="0" w:color="auto"/>
                                                <w:bottom w:val="none" w:sz="0" w:space="0" w:color="auto"/>
                                                <w:right w:val="none" w:sz="0" w:space="0" w:color="auto"/>
                                              </w:divBdr>
                                              <w:divsChild>
                                                <w:div w:id="732966577">
                                                  <w:marLeft w:val="0"/>
                                                  <w:marRight w:val="0"/>
                                                  <w:marTop w:val="0"/>
                                                  <w:marBottom w:val="0"/>
                                                  <w:divBdr>
                                                    <w:top w:val="none" w:sz="0" w:space="0" w:color="auto"/>
                                                    <w:left w:val="none" w:sz="0" w:space="0" w:color="auto"/>
                                                    <w:bottom w:val="none" w:sz="0" w:space="0" w:color="auto"/>
                                                    <w:right w:val="none" w:sz="0" w:space="0" w:color="auto"/>
                                                  </w:divBdr>
                                                  <w:divsChild>
                                                    <w:div w:id="3196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345262">
      <w:bodyDiv w:val="1"/>
      <w:marLeft w:val="0"/>
      <w:marRight w:val="0"/>
      <w:marTop w:val="0"/>
      <w:marBottom w:val="0"/>
      <w:divBdr>
        <w:top w:val="none" w:sz="0" w:space="0" w:color="auto"/>
        <w:left w:val="none" w:sz="0" w:space="0" w:color="auto"/>
        <w:bottom w:val="none" w:sz="0" w:space="0" w:color="auto"/>
        <w:right w:val="none" w:sz="0" w:space="0" w:color="auto"/>
      </w:divBdr>
    </w:div>
    <w:div w:id="1925338698">
      <w:bodyDiv w:val="1"/>
      <w:marLeft w:val="0"/>
      <w:marRight w:val="0"/>
      <w:marTop w:val="0"/>
      <w:marBottom w:val="0"/>
      <w:divBdr>
        <w:top w:val="none" w:sz="0" w:space="0" w:color="auto"/>
        <w:left w:val="none" w:sz="0" w:space="0" w:color="auto"/>
        <w:bottom w:val="none" w:sz="0" w:space="0" w:color="auto"/>
        <w:right w:val="none" w:sz="0" w:space="0" w:color="auto"/>
      </w:divBdr>
    </w:div>
    <w:div w:id="1941835774">
      <w:bodyDiv w:val="1"/>
      <w:marLeft w:val="0"/>
      <w:marRight w:val="0"/>
      <w:marTop w:val="0"/>
      <w:marBottom w:val="0"/>
      <w:divBdr>
        <w:top w:val="none" w:sz="0" w:space="0" w:color="auto"/>
        <w:left w:val="none" w:sz="0" w:space="0" w:color="auto"/>
        <w:bottom w:val="none" w:sz="0" w:space="0" w:color="auto"/>
        <w:right w:val="none" w:sz="0" w:space="0" w:color="auto"/>
      </w:divBdr>
    </w:div>
    <w:div w:id="2054694196">
      <w:bodyDiv w:val="1"/>
      <w:marLeft w:val="0"/>
      <w:marRight w:val="0"/>
      <w:marTop w:val="0"/>
      <w:marBottom w:val="0"/>
      <w:divBdr>
        <w:top w:val="none" w:sz="0" w:space="0" w:color="auto"/>
        <w:left w:val="none" w:sz="0" w:space="0" w:color="auto"/>
        <w:bottom w:val="none" w:sz="0" w:space="0" w:color="auto"/>
        <w:right w:val="none" w:sz="0" w:space="0" w:color="auto"/>
      </w:divBdr>
    </w:div>
    <w:div w:id="2067488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2.xml><?xml version="1.0" encoding="utf-8"?>
<ds:datastoreItem xmlns:ds="http://schemas.openxmlformats.org/officeDocument/2006/customXml" ds:itemID="{B6B2BE2B-167E-4723-ACEA-F0FD3590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789315-804E-4390-B3DB-B4F66BF924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5.xml><?xml version="1.0" encoding="utf-8"?>
<ds:datastoreItem xmlns:ds="http://schemas.openxmlformats.org/officeDocument/2006/customXml" ds:itemID="{97E9E77B-A31A-4846-958D-F2A9DC91959E}">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CCD71944-9B3B-42DF-88F9-B8D85375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6150</Words>
  <Characters>35059</Characters>
  <Application>Microsoft Office Word</Application>
  <DocSecurity>0</DocSecurity>
  <Lines>292</Lines>
  <Paragraphs>82</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Second/First/Annual session of (year)</vt:lpstr>
      <vt:lpstr>Second/First/Annual session of (year)</vt:lpstr>
      <vt:lpstr>Second/First/Annual session of (year)</vt:lpstr>
    </vt:vector>
  </TitlesOfParts>
  <Company>Microsoft</Company>
  <LinksUpToDate>false</LinksUpToDate>
  <CharactersWithSpaces>41127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Mamadou Ndaw</dc:creator>
  <cp:lastModifiedBy>Svetlana Iazykova</cp:lastModifiedBy>
  <cp:revision>4</cp:revision>
  <cp:lastPrinted>2017-05-02T18:26:00Z</cp:lastPrinted>
  <dcterms:created xsi:type="dcterms:W3CDTF">2017-05-30T16:07:00Z</dcterms:created>
  <dcterms:modified xsi:type="dcterms:W3CDTF">2017-06-05T15:30:00Z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d85662d7-541b-4ade-8939-e23478cf5ab7</vt:lpwstr>
  </property>
</Properties>
</file>