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8CBD4" w14:textId="4D9E7D86" w:rsidR="00694F91" w:rsidRPr="00AC03F0" w:rsidRDefault="00383D11" w:rsidP="002778D8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AC03F0">
        <w:rPr>
          <w:rFonts w:ascii="Times New Roman" w:hAnsi="Times New Roman"/>
          <w:b/>
          <w:sz w:val="20"/>
          <w:szCs w:val="20"/>
        </w:rPr>
        <w:t>Summary of substantiated investigation cases in 2017</w:t>
      </w:r>
      <w:r w:rsidR="00674D0F" w:rsidRPr="00AC03F0">
        <w:rPr>
          <w:rFonts w:ascii="Times New Roman" w:hAnsi="Times New Roman"/>
          <w:b/>
          <w:sz w:val="20"/>
          <w:szCs w:val="20"/>
        </w:rPr>
        <w:t xml:space="preserve"> </w:t>
      </w:r>
    </w:p>
    <w:bookmarkEnd w:id="0"/>
    <w:tbl>
      <w:tblPr>
        <w:tblW w:w="14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2"/>
        <w:gridCol w:w="952"/>
        <w:gridCol w:w="1134"/>
        <w:gridCol w:w="1843"/>
        <w:gridCol w:w="3969"/>
        <w:gridCol w:w="1003"/>
        <w:gridCol w:w="1134"/>
        <w:gridCol w:w="4205"/>
      </w:tblGrid>
      <w:tr w:rsidR="001D596E" w:rsidRPr="00AC03F0" w14:paraId="3EDA4C0A" w14:textId="77777777" w:rsidTr="00A60D91">
        <w:trPr>
          <w:trHeight w:val="838"/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59D04D38" w14:textId="77777777" w:rsidR="00A63413" w:rsidRPr="00AC03F0" w:rsidRDefault="00A63413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B8CCE4"/>
            <w:vAlign w:val="center"/>
            <w:hideMark/>
          </w:tcPr>
          <w:p w14:paraId="272F48F1" w14:textId="77777777" w:rsidR="00A63413" w:rsidRPr="00AC03F0" w:rsidRDefault="00A63413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Case </w:t>
            </w:r>
            <w:r w:rsidR="00674D0F" w:rsidRPr="00AC03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no</w:t>
            </w:r>
            <w:r w:rsidRPr="00AC03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8CCE4"/>
            <w:vAlign w:val="center"/>
            <w:hideMark/>
          </w:tcPr>
          <w:p w14:paraId="5C0E1918" w14:textId="77777777" w:rsidR="00A63413" w:rsidRPr="00AC03F0" w:rsidRDefault="00A63413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Region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8CCE4"/>
            <w:vAlign w:val="center"/>
            <w:hideMark/>
          </w:tcPr>
          <w:p w14:paraId="23E59BDE" w14:textId="77777777" w:rsidR="00A63413" w:rsidRPr="00AC03F0" w:rsidRDefault="00A63413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Type of</w:t>
            </w:r>
            <w:r w:rsidR="008E3E28" w:rsidRPr="00AC03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74D0F" w:rsidRPr="00AC03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wrongdoing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8CCE4"/>
            <w:vAlign w:val="center"/>
            <w:hideMark/>
          </w:tcPr>
          <w:p w14:paraId="3A994793" w14:textId="77777777" w:rsidR="00A63413" w:rsidRPr="00AC03F0" w:rsidRDefault="00A63413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Allegations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B8CCE4"/>
            <w:vAlign w:val="center"/>
            <w:hideMark/>
          </w:tcPr>
          <w:p w14:paraId="255BA786" w14:textId="54426228" w:rsidR="00A63413" w:rsidRPr="00AC03F0" w:rsidRDefault="00A63413" w:rsidP="00EA5A6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Loss</w:t>
            </w:r>
            <w:r w:rsidR="00674D0F" w:rsidRPr="00AC03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 (</w:t>
            </w:r>
            <w:r w:rsidR="00EA5A62" w:rsidRPr="00AC03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U</w:t>
            </w:r>
            <w:r w:rsidR="00AC03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nited </w:t>
            </w:r>
            <w:r w:rsidR="00EA5A62" w:rsidRPr="00AC03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S</w:t>
            </w:r>
            <w:r w:rsidR="00AC03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tates dollars</w:t>
            </w:r>
            <w:r w:rsidR="00674D0F" w:rsidRPr="00AC03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48368058" w14:textId="77777777" w:rsidR="00A63413" w:rsidRPr="00AC03F0" w:rsidRDefault="00A63413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Number of personnel referred to HRLO</w:t>
            </w:r>
          </w:p>
        </w:tc>
        <w:tc>
          <w:tcPr>
            <w:tcW w:w="4205" w:type="dxa"/>
            <w:tcBorders>
              <w:bottom w:val="single" w:sz="4" w:space="0" w:color="auto"/>
            </w:tcBorders>
            <w:shd w:val="clear" w:color="auto" w:fill="B8CCE4"/>
            <w:vAlign w:val="center"/>
            <w:hideMark/>
          </w:tcPr>
          <w:p w14:paraId="6DE68070" w14:textId="77777777" w:rsidR="00A63413" w:rsidRPr="00AC03F0" w:rsidRDefault="00A63413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Action </w:t>
            </w:r>
            <w:r w:rsidR="00674D0F" w:rsidRPr="00AC03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taken</w:t>
            </w:r>
          </w:p>
        </w:tc>
      </w:tr>
      <w:tr w:rsidR="001D596E" w:rsidRPr="00AC03F0" w14:paraId="0533BDC6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7A3DF24" w14:textId="77777777" w:rsidR="00D37AC4" w:rsidRPr="00AC03F0" w:rsidRDefault="00D37AC4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4B45B2B" w14:textId="77777777" w:rsidR="00D37AC4" w:rsidRPr="00AC03F0" w:rsidRDefault="00D37AC4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2016/17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1A5A76" w14:textId="77777777" w:rsidR="00D37AC4" w:rsidRPr="00AC03F0" w:rsidRDefault="00D45DBA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South America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0D328A" w14:textId="77777777" w:rsidR="00D37AC4" w:rsidRPr="00AC03F0" w:rsidRDefault="00D45DBA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158B186" w14:textId="77777777" w:rsidR="00D37AC4" w:rsidRPr="00AC03F0" w:rsidRDefault="00C01A78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Four vendors failed to disclose their relationship when they participated in a UNOPS tender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29F2FE8" w14:textId="77777777" w:rsidR="00D37AC4" w:rsidRPr="00AC03F0" w:rsidRDefault="0076257A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vAlign w:val="center"/>
          </w:tcPr>
          <w:p w14:paraId="1FFDA309" w14:textId="77777777" w:rsidR="00D37AC4" w:rsidRPr="00AC03F0" w:rsidRDefault="00D37AC4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60645C3F" w14:textId="740BBBAD" w:rsidR="00D37AC4" w:rsidRPr="00AC03F0" w:rsidRDefault="0076257A" w:rsidP="001D596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The V</w:t>
            </w:r>
            <w:r w:rsidR="001D59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endor Review Committee (VRC) </w:t>
            </w: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exonerated the four vendors</w:t>
            </w:r>
            <w:r w:rsidR="00F92727"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1D596E" w:rsidRPr="00AC03F0" w14:paraId="67101242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D040316" w14:textId="77777777" w:rsidR="00D37AC4" w:rsidRPr="00AC03F0" w:rsidRDefault="00D37AC4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DF738A3" w14:textId="77777777" w:rsidR="00D37AC4" w:rsidRPr="00AC03F0" w:rsidRDefault="00D37AC4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2016/28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44904B" w14:textId="77777777" w:rsidR="00D45DBA" w:rsidRPr="00AC03F0" w:rsidRDefault="00D45DBA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60673C" w14:textId="77777777" w:rsidR="00D37AC4" w:rsidRPr="00AC03F0" w:rsidRDefault="00D45DBA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654868" w14:textId="77777777" w:rsidR="00D37AC4" w:rsidRPr="00AC03F0" w:rsidRDefault="00C01A78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Two vendors submitted fraudulent invoices for payment. Six UNOPS consultant</w:t>
            </w:r>
            <w:r w:rsidR="002D56E7" w:rsidRPr="00AC03F0">
              <w:rPr>
                <w:rFonts w:ascii="Times New Roman" w:hAnsi="Times New Roman"/>
                <w:sz w:val="20"/>
                <w:szCs w:val="20"/>
              </w:rPr>
              <w:t>s</w:t>
            </w:r>
            <w:r w:rsidRPr="00AC03F0">
              <w:rPr>
                <w:rFonts w:ascii="Times New Roman" w:hAnsi="Times New Roman"/>
                <w:sz w:val="20"/>
                <w:szCs w:val="20"/>
              </w:rPr>
              <w:t xml:space="preserve"> knowingly approved fraudulent invoices.</w:t>
            </w:r>
            <w:r w:rsidR="00D8390C" w:rsidRPr="00AC0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03F0">
              <w:rPr>
                <w:rFonts w:ascii="Times New Roman" w:hAnsi="Times New Roman"/>
                <w:sz w:val="20"/>
                <w:szCs w:val="20"/>
              </w:rPr>
              <w:t>They also failed to require the vendors to correct the faulty and defective work.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A978EEF" w14:textId="77777777" w:rsidR="00D37AC4" w:rsidRPr="00AC03F0" w:rsidRDefault="0076257A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1134" w:type="dxa"/>
            <w:vAlign w:val="center"/>
          </w:tcPr>
          <w:p w14:paraId="73530F6F" w14:textId="77777777" w:rsidR="00D37AC4" w:rsidRPr="00AC03F0" w:rsidRDefault="00C01A78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54840065" w14:textId="461FB9EF" w:rsidR="00C01A78" w:rsidRPr="00AC03F0" w:rsidRDefault="00C01A78" w:rsidP="001D596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 xml:space="preserve">The VRC debarred the two vendors for </w:t>
            </w:r>
            <w:r w:rsidR="00EE3D35" w:rsidRPr="00AC03F0">
              <w:rPr>
                <w:rFonts w:ascii="Times New Roman" w:hAnsi="Times New Roman"/>
                <w:sz w:val="20"/>
                <w:szCs w:val="20"/>
              </w:rPr>
              <w:t xml:space="preserve">three </w:t>
            </w:r>
            <w:r w:rsidRPr="00AC03F0">
              <w:rPr>
                <w:rFonts w:ascii="Times New Roman" w:hAnsi="Times New Roman"/>
                <w:sz w:val="20"/>
                <w:szCs w:val="20"/>
              </w:rPr>
              <w:t>years.</w:t>
            </w:r>
            <w:r w:rsidR="00047FA5" w:rsidRPr="00AC0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The </w:t>
            </w:r>
            <w:r w:rsidR="001D596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Human Resources Legal Officer (HRLO) </w:t>
            </w:r>
            <w:r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>placed notes in the consultants’ personnel files stating that they would have been charged with misconduct if they had not already separated from UNOPS on other grounds.</w:t>
            </w:r>
          </w:p>
        </w:tc>
      </w:tr>
      <w:tr w:rsidR="001D596E" w:rsidRPr="00AC03F0" w14:paraId="20C7C51C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E995992" w14:textId="77777777" w:rsidR="00D45DBA" w:rsidRPr="00AC03F0" w:rsidRDefault="00D45DBA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C0E2FF3" w14:textId="77777777" w:rsidR="00D45DBA" w:rsidRPr="00AC03F0" w:rsidRDefault="00D45DBA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2016/29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24523" w14:textId="77777777" w:rsidR="00D45DBA" w:rsidRPr="00AC03F0" w:rsidRDefault="00D45DBA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Asia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330A9C" w14:textId="77777777" w:rsidR="00D45DBA" w:rsidRPr="00AC03F0" w:rsidRDefault="00D45DBA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2AD3AC" w14:textId="77777777" w:rsidR="00D45DBA" w:rsidRPr="00AC03F0" w:rsidRDefault="00A8761F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 vendor reported false expenses and inflated costs to conceal kickbacks.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D072E86" w14:textId="77777777" w:rsidR="00D45DBA" w:rsidRPr="00AC03F0" w:rsidRDefault="00A8761F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115,749</w:t>
            </w:r>
          </w:p>
        </w:tc>
        <w:tc>
          <w:tcPr>
            <w:tcW w:w="1134" w:type="dxa"/>
            <w:vAlign w:val="center"/>
          </w:tcPr>
          <w:p w14:paraId="579097A1" w14:textId="77777777" w:rsidR="00D45DBA" w:rsidRPr="00AC03F0" w:rsidRDefault="00F44902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6115EA3B" w14:textId="4A2CD8C5" w:rsidR="00D45DBA" w:rsidRPr="00AC03F0" w:rsidRDefault="00A8761F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 xml:space="preserve">The VRC permanently debarred </w:t>
            </w:r>
            <w:r w:rsidR="00562A36" w:rsidRPr="00AC03F0">
              <w:rPr>
                <w:rFonts w:ascii="Times New Roman" w:hAnsi="Times New Roman"/>
                <w:sz w:val="20"/>
                <w:szCs w:val="20"/>
              </w:rPr>
              <w:t>the vendor</w:t>
            </w:r>
            <w:r w:rsidRPr="00AC03F0">
              <w:rPr>
                <w:rFonts w:ascii="Times New Roman" w:hAnsi="Times New Roman"/>
                <w:sz w:val="20"/>
                <w:szCs w:val="20"/>
              </w:rPr>
              <w:t>.</w:t>
            </w:r>
            <w:r w:rsidR="00A76E9C" w:rsidRPr="00AC03F0">
              <w:rPr>
                <w:rFonts w:ascii="Times New Roman" w:hAnsi="Times New Roman"/>
                <w:sz w:val="20"/>
                <w:szCs w:val="20"/>
              </w:rPr>
              <w:t xml:space="preserve"> UNOPS recovered the </w:t>
            </w:r>
            <w:r w:rsidR="00AF0F19">
              <w:rPr>
                <w:rFonts w:ascii="Times New Roman" w:hAnsi="Times New Roman"/>
                <w:sz w:val="20"/>
                <w:szCs w:val="20"/>
              </w:rPr>
              <w:t>$</w:t>
            </w:r>
            <w:r w:rsidR="00A76E9C" w:rsidRPr="00AC03F0">
              <w:rPr>
                <w:rFonts w:ascii="Times New Roman" w:hAnsi="Times New Roman"/>
                <w:sz w:val="20"/>
                <w:szCs w:val="20"/>
              </w:rPr>
              <w:t>115,749 the vendor misappropriated.</w:t>
            </w:r>
          </w:p>
        </w:tc>
      </w:tr>
      <w:tr w:rsidR="001D596E" w:rsidRPr="00AC03F0" w14:paraId="1560634F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AE17753" w14:textId="77777777" w:rsidR="00D45DBA" w:rsidRPr="00AC03F0" w:rsidRDefault="00D45DBA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6AB6ED1" w14:textId="77777777" w:rsidR="00D45DBA" w:rsidRPr="00AC03F0" w:rsidRDefault="00D45DBA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2016/31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C6FC3A" w14:textId="77777777" w:rsidR="00D45DBA" w:rsidRPr="00AC03F0" w:rsidRDefault="00D45DBA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C70EAC" w14:textId="77777777" w:rsidR="00D45DBA" w:rsidRPr="00AC03F0" w:rsidRDefault="00D45DBA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8A888B" w14:textId="77777777" w:rsidR="00A8761F" w:rsidRPr="00AC03F0" w:rsidRDefault="00A8761F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 xml:space="preserve">Three UNOPS vendors paid bribes to </w:t>
            </w:r>
            <w:r w:rsidR="00F44902" w:rsidRPr="00AC03F0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AC03F0">
              <w:rPr>
                <w:rFonts w:ascii="Times New Roman" w:hAnsi="Times New Roman"/>
                <w:sz w:val="20"/>
                <w:szCs w:val="20"/>
              </w:rPr>
              <w:t xml:space="preserve">UNOPS </w:t>
            </w:r>
            <w:r w:rsidR="00F44902" w:rsidRPr="00AC03F0">
              <w:rPr>
                <w:rFonts w:ascii="Times New Roman" w:hAnsi="Times New Roman"/>
                <w:sz w:val="20"/>
                <w:szCs w:val="20"/>
              </w:rPr>
              <w:t>consultant</w:t>
            </w:r>
            <w:r w:rsidR="0021257B" w:rsidRPr="00AC03F0">
              <w:rPr>
                <w:rFonts w:ascii="Times New Roman" w:hAnsi="Times New Roman"/>
                <w:sz w:val="20"/>
                <w:szCs w:val="20"/>
              </w:rPr>
              <w:t>.</w:t>
            </w:r>
            <w:r w:rsidR="00D8390C" w:rsidRPr="00AC0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D35" w:rsidRPr="00AC03F0">
              <w:rPr>
                <w:rFonts w:ascii="Times New Roman" w:hAnsi="Times New Roman"/>
                <w:sz w:val="20"/>
                <w:szCs w:val="20"/>
              </w:rPr>
              <w:t>All three fully cooperated with the investigation and admitted their actions.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9A50ED7" w14:textId="77777777" w:rsidR="00D45DBA" w:rsidRPr="00AC03F0" w:rsidRDefault="00A8761F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1,250</w:t>
            </w:r>
          </w:p>
        </w:tc>
        <w:tc>
          <w:tcPr>
            <w:tcW w:w="1134" w:type="dxa"/>
            <w:vAlign w:val="center"/>
          </w:tcPr>
          <w:p w14:paraId="4C3756D9" w14:textId="77777777" w:rsidR="00D45DBA" w:rsidRPr="00AC03F0" w:rsidRDefault="00F44902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020BAFB5" w14:textId="77777777" w:rsidR="00D45DBA" w:rsidRPr="00AC03F0" w:rsidRDefault="00812FCA" w:rsidP="00047FA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The VRC censured the </w:t>
            </w:r>
            <w:r w:rsidRPr="00AC03F0">
              <w:rPr>
                <w:rFonts w:ascii="Times New Roman" w:hAnsi="Times New Roman"/>
                <w:sz w:val="20"/>
                <w:szCs w:val="20"/>
              </w:rPr>
              <w:t>three vendors.</w:t>
            </w:r>
            <w:r w:rsidR="00047FA5" w:rsidRPr="00AC0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61F"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The HRLO </w:t>
            </w:r>
            <w:r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>placed a note in the consultant</w:t>
            </w:r>
            <w:r w:rsidR="00A8761F"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>’</w:t>
            </w:r>
            <w:r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s personnel file stating that </w:t>
            </w:r>
            <w:r w:rsidR="00512B10"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>s/</w:t>
            </w:r>
            <w:r w:rsidR="003C7189"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he </w:t>
            </w:r>
            <w:r w:rsidR="00A8761F"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would have been charged with misconduct if </w:t>
            </w:r>
            <w:r w:rsidR="00512B10"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>s/</w:t>
            </w:r>
            <w:r w:rsidR="003C7189"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he </w:t>
            </w:r>
            <w:r w:rsidR="00A8761F"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>had not already separated from UNOPS on other grounds.</w:t>
            </w:r>
          </w:p>
        </w:tc>
      </w:tr>
      <w:tr w:rsidR="001D596E" w:rsidRPr="00AC03F0" w14:paraId="1BFC8057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DCE9C27" w14:textId="77777777" w:rsidR="001E402B" w:rsidRPr="00AC03F0" w:rsidRDefault="002F01DE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A495577" w14:textId="77777777" w:rsidR="001E402B" w:rsidRPr="00AC03F0" w:rsidRDefault="001E402B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2016/34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609325" w14:textId="77777777" w:rsidR="001E402B" w:rsidRPr="00AC03F0" w:rsidRDefault="001E402B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F9AEEA" w14:textId="77777777" w:rsidR="001E402B" w:rsidRPr="00AC03F0" w:rsidRDefault="001E402B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B7EA86" w14:textId="77777777" w:rsidR="001E402B" w:rsidRPr="00AC03F0" w:rsidRDefault="001E402B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 consultant defrauded UNOPS by overseeing work done by a company s/he owned.</w:t>
            </w:r>
            <w:r w:rsidRPr="00AC03F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8ACF443" w14:textId="77777777" w:rsidR="001E402B" w:rsidRPr="00AC03F0" w:rsidRDefault="001E402B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1134" w:type="dxa"/>
            <w:vAlign w:val="center"/>
          </w:tcPr>
          <w:p w14:paraId="4E23A985" w14:textId="77777777" w:rsidR="001E402B" w:rsidRPr="00AC03F0" w:rsidRDefault="001E402B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492B44D5" w14:textId="77777777" w:rsidR="001E402B" w:rsidRPr="00AC03F0" w:rsidRDefault="001E402B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1D596E" w:rsidRPr="00AC03F0" w14:paraId="2657A656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0D43EBB" w14:textId="77777777" w:rsidR="00B31A5B" w:rsidRPr="00AC03F0" w:rsidRDefault="002F01DE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6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9775D75" w14:textId="77777777" w:rsidR="00B31A5B" w:rsidRPr="00AC03F0" w:rsidRDefault="00B31A5B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2016/40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491CF4" w14:textId="77777777" w:rsidR="00B31A5B" w:rsidRPr="00AC03F0" w:rsidRDefault="000E6862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North America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E8B97A" w14:textId="77777777" w:rsidR="00B31A5B" w:rsidRPr="00AC03F0" w:rsidRDefault="00F44902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Conflict of interest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92021F6" w14:textId="77777777" w:rsidR="00B31A5B" w:rsidRPr="00AC03F0" w:rsidRDefault="00514AA3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 former consultant refused to cooperate with IAIG, which had an adverse impact on its investigation.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0C3AD63" w14:textId="77777777" w:rsidR="00B31A5B" w:rsidRPr="00AC03F0" w:rsidRDefault="00F44902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1134" w:type="dxa"/>
            <w:vAlign w:val="center"/>
          </w:tcPr>
          <w:p w14:paraId="7DDF92B1" w14:textId="77777777" w:rsidR="00B31A5B" w:rsidRPr="00AC03F0" w:rsidRDefault="00B31A5B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050B8771" w14:textId="77777777" w:rsidR="00B31A5B" w:rsidRPr="00AC03F0" w:rsidRDefault="00B31A5B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The HRLO placed a note in the consultant’s personnel file stating that </w:t>
            </w:r>
            <w:r w:rsidR="00812FCA" w:rsidRPr="00AC03F0">
              <w:rPr>
                <w:rFonts w:ascii="Times New Roman" w:hAnsi="Times New Roman"/>
                <w:sz w:val="20"/>
                <w:szCs w:val="20"/>
              </w:rPr>
              <w:t xml:space="preserve">s/he </w:t>
            </w:r>
            <w:r w:rsidR="00F44902"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>refused to cooperate with a UNOPS investigation.</w:t>
            </w:r>
          </w:p>
        </w:tc>
      </w:tr>
      <w:tr w:rsidR="001D596E" w:rsidRPr="00AC03F0" w14:paraId="26373B9F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94F222" w14:textId="77777777" w:rsidR="00B31A5B" w:rsidRPr="00AC03F0" w:rsidRDefault="002F01DE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C19C15D" w14:textId="77777777" w:rsidR="00B31A5B" w:rsidRPr="00AC03F0" w:rsidRDefault="00B31A5B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2016/43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C03C6" w14:textId="77777777" w:rsidR="00B31A5B" w:rsidRPr="00AC03F0" w:rsidRDefault="00B31A5B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Asia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9877D" w14:textId="77777777" w:rsidR="00B31A5B" w:rsidRPr="00AC03F0" w:rsidRDefault="00B31A5B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25FA7F7" w14:textId="77777777" w:rsidR="00B31A5B" w:rsidRPr="00AC03F0" w:rsidRDefault="00F44902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Four vendors were connected and colluded in a procurement exercise.</w:t>
            </w:r>
            <w:r w:rsidR="00D8390C" w:rsidRPr="00AC0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4AA3" w:rsidRPr="00AC03F0">
              <w:rPr>
                <w:rFonts w:ascii="Times New Roman" w:hAnsi="Times New Roman"/>
                <w:sz w:val="20"/>
                <w:szCs w:val="20"/>
              </w:rPr>
              <w:t xml:space="preserve">They also </w:t>
            </w:r>
            <w:r w:rsidRPr="00AC03F0">
              <w:rPr>
                <w:rFonts w:ascii="Times New Roman" w:hAnsi="Times New Roman"/>
                <w:sz w:val="20"/>
                <w:szCs w:val="20"/>
              </w:rPr>
              <w:t xml:space="preserve">failed to cooperate with </w:t>
            </w:r>
            <w:r w:rsidR="00514AA3" w:rsidRPr="00AC03F0">
              <w:rPr>
                <w:rFonts w:ascii="Times New Roman" w:hAnsi="Times New Roman"/>
                <w:sz w:val="20"/>
                <w:szCs w:val="20"/>
              </w:rPr>
              <w:t xml:space="preserve">a UNOPS </w:t>
            </w:r>
            <w:r w:rsidRPr="00AC03F0">
              <w:rPr>
                <w:rFonts w:ascii="Times New Roman" w:hAnsi="Times New Roman"/>
                <w:sz w:val="20"/>
                <w:szCs w:val="20"/>
              </w:rPr>
              <w:t>investigation.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ABB9B9A" w14:textId="77777777" w:rsidR="00B31A5B" w:rsidRPr="00AC03F0" w:rsidRDefault="00AD5877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1134" w:type="dxa"/>
            <w:vAlign w:val="center"/>
          </w:tcPr>
          <w:p w14:paraId="4A4D39DD" w14:textId="77777777" w:rsidR="00B31A5B" w:rsidRPr="00AC03F0" w:rsidRDefault="00B31A5B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0FB1A1BD" w14:textId="77777777" w:rsidR="00B31A5B" w:rsidRPr="00AC03F0" w:rsidRDefault="00B31A5B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 xml:space="preserve">The VRC debarred the four vendors for </w:t>
            </w:r>
            <w:r w:rsidR="00EE3D35" w:rsidRPr="00AC03F0">
              <w:rPr>
                <w:rFonts w:ascii="Times New Roman" w:hAnsi="Times New Roman"/>
                <w:sz w:val="20"/>
                <w:szCs w:val="20"/>
              </w:rPr>
              <w:t>seven</w:t>
            </w:r>
            <w:r w:rsidRPr="00AC03F0">
              <w:rPr>
                <w:rFonts w:ascii="Times New Roman" w:hAnsi="Times New Roman"/>
                <w:sz w:val="20"/>
                <w:szCs w:val="20"/>
              </w:rPr>
              <w:t xml:space="preserve"> years.</w:t>
            </w:r>
          </w:p>
          <w:p w14:paraId="2C9689F5" w14:textId="77777777" w:rsidR="00B31A5B" w:rsidRPr="00AC03F0" w:rsidRDefault="00B31A5B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96E" w:rsidRPr="00AC03F0" w14:paraId="55E1F0D3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FF6FE68" w14:textId="77777777" w:rsidR="00AB4A2B" w:rsidRPr="00AC03F0" w:rsidRDefault="002F01DE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18AA5BD" w14:textId="77777777" w:rsidR="00AB4A2B" w:rsidRPr="00AC03F0" w:rsidRDefault="00AB4A2B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2016/48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0501DA" w14:textId="77777777" w:rsidR="00AB4A2B" w:rsidRPr="00AC03F0" w:rsidRDefault="00AB4A2B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24D8E4" w14:textId="77777777" w:rsidR="00AB4A2B" w:rsidRPr="00AC03F0" w:rsidRDefault="00AB4A2B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A194B9" w14:textId="77777777" w:rsidR="00AB4A2B" w:rsidRPr="00AC03F0" w:rsidRDefault="00AB4A2B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An external party misappropriated UNOPS funds by diverting a vendor’s payment through identity theft.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FD33447" w14:textId="77777777" w:rsidR="00AB4A2B" w:rsidRPr="00AC03F0" w:rsidRDefault="00AB4A2B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109,956</w:t>
            </w:r>
          </w:p>
        </w:tc>
        <w:tc>
          <w:tcPr>
            <w:tcW w:w="1134" w:type="dxa"/>
            <w:vAlign w:val="center"/>
          </w:tcPr>
          <w:p w14:paraId="74897509" w14:textId="77777777" w:rsidR="00AB4A2B" w:rsidRPr="00AC03F0" w:rsidRDefault="00AB4A2B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585BD407" w14:textId="77777777" w:rsidR="00AB4A2B" w:rsidRPr="00AC03F0" w:rsidRDefault="00AB4A2B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UNOPS referred the case to national authorities.</w:t>
            </w:r>
          </w:p>
        </w:tc>
      </w:tr>
      <w:tr w:rsidR="001D596E" w:rsidRPr="00AC03F0" w14:paraId="7A24A769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7E0B826" w14:textId="77777777" w:rsidR="00B31A5B" w:rsidRPr="00AC03F0" w:rsidRDefault="002F01DE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305806A" w14:textId="77777777" w:rsidR="00B31A5B" w:rsidRPr="00AC03F0" w:rsidRDefault="00B31A5B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2016/51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1C50F3" w14:textId="77777777" w:rsidR="00B31A5B" w:rsidRPr="00AC03F0" w:rsidRDefault="000E6862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5A7071" w14:textId="77777777" w:rsidR="00B31A5B" w:rsidRPr="00AC03F0" w:rsidRDefault="00B31A5B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9863AF" w14:textId="77777777" w:rsidR="00B31A5B" w:rsidRPr="00AC03F0" w:rsidRDefault="00F44902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 xml:space="preserve">A consultant </w:t>
            </w:r>
            <w:r w:rsidR="00AD5877" w:rsidRPr="00AC03F0">
              <w:rPr>
                <w:rFonts w:ascii="Times New Roman" w:hAnsi="Times New Roman"/>
                <w:sz w:val="20"/>
                <w:szCs w:val="20"/>
              </w:rPr>
              <w:t xml:space="preserve">solicited a bribe from a UNOPS vendor, improperly executed an </w:t>
            </w:r>
            <w:r w:rsidR="00E42CBE" w:rsidRPr="00AC03F0">
              <w:rPr>
                <w:rFonts w:ascii="Times New Roman" w:hAnsi="Times New Roman"/>
                <w:sz w:val="20"/>
                <w:szCs w:val="20"/>
              </w:rPr>
              <w:t>un</w:t>
            </w:r>
            <w:r w:rsidR="00AD5877" w:rsidRPr="00AC03F0">
              <w:rPr>
                <w:rFonts w:ascii="Times New Roman" w:hAnsi="Times New Roman"/>
                <w:sz w:val="20"/>
                <w:szCs w:val="20"/>
              </w:rPr>
              <w:t>authorized contract on behalf of UNOPS</w:t>
            </w:r>
            <w:r w:rsidR="00EE3D35" w:rsidRPr="00AC03F0">
              <w:rPr>
                <w:rFonts w:ascii="Times New Roman" w:hAnsi="Times New Roman"/>
                <w:sz w:val="20"/>
                <w:szCs w:val="20"/>
              </w:rPr>
              <w:t>,</w:t>
            </w:r>
            <w:r w:rsidR="00AD5877" w:rsidRPr="00AC03F0">
              <w:rPr>
                <w:rFonts w:ascii="Times New Roman" w:hAnsi="Times New Roman"/>
                <w:sz w:val="20"/>
                <w:szCs w:val="20"/>
              </w:rPr>
              <w:t xml:space="preserve"> and forged an employment letter.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3351919" w14:textId="77777777" w:rsidR="00B31A5B" w:rsidRPr="00AC03F0" w:rsidRDefault="00AD5877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1134" w:type="dxa"/>
            <w:vAlign w:val="center"/>
          </w:tcPr>
          <w:p w14:paraId="3710BCD5" w14:textId="77777777" w:rsidR="00B31A5B" w:rsidRPr="00AC03F0" w:rsidRDefault="00B31A5B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18290EAC" w14:textId="77777777" w:rsidR="00B31A5B" w:rsidRPr="00AC03F0" w:rsidRDefault="00B31A5B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 xml:space="preserve">The HRLO placed a note in the consultant’s personnel file stating that </w:t>
            </w:r>
            <w:r w:rsidR="00514AA3"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s/he </w:t>
            </w:r>
            <w:r w:rsidRPr="00AC03F0">
              <w:rPr>
                <w:rFonts w:ascii="Times New Roman" w:hAnsi="Times New Roman"/>
                <w:sz w:val="20"/>
                <w:szCs w:val="20"/>
              </w:rPr>
              <w:t xml:space="preserve">would have been charged with misconduct if </w:t>
            </w:r>
            <w:r w:rsidR="00514AA3"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s/he </w:t>
            </w:r>
            <w:r w:rsidRPr="00AC03F0">
              <w:rPr>
                <w:rFonts w:ascii="Times New Roman" w:hAnsi="Times New Roman"/>
                <w:sz w:val="20"/>
                <w:szCs w:val="20"/>
              </w:rPr>
              <w:t>had not already separated from UNOPS on other grounds.</w:t>
            </w:r>
          </w:p>
        </w:tc>
      </w:tr>
      <w:tr w:rsidR="001D596E" w:rsidRPr="00AC03F0" w14:paraId="4DA834CC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37598F" w14:textId="77777777" w:rsidR="00B31A5B" w:rsidRPr="00AC03F0" w:rsidRDefault="002F01DE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573AAE0" w14:textId="77777777" w:rsidR="00B31A5B" w:rsidRPr="00AC03F0" w:rsidRDefault="00B31A5B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2016/54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6F2AD2" w14:textId="77777777" w:rsidR="00AD5877" w:rsidRPr="00AC03F0" w:rsidRDefault="00AD5877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CA6CCB" w14:textId="77777777" w:rsidR="00B31A5B" w:rsidRPr="00AC03F0" w:rsidRDefault="00B31A5B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0BC6B90" w14:textId="3584DA54" w:rsidR="00B31A5B" w:rsidRPr="00AC03F0" w:rsidRDefault="00AD5877" w:rsidP="00AF0F19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 consultant was simultaneously employed full-time by UNOPS and</w:t>
            </w:r>
            <w:r w:rsidR="00E42CBE" w:rsidRPr="00AC03F0">
              <w:rPr>
                <w:rFonts w:ascii="Times New Roman" w:hAnsi="Times New Roman"/>
                <w:sz w:val="20"/>
                <w:szCs w:val="20"/>
              </w:rPr>
              <w:t xml:space="preserve"> another</w:t>
            </w:r>
            <w:r w:rsidRPr="00AC03F0">
              <w:rPr>
                <w:rFonts w:ascii="Times New Roman" w:hAnsi="Times New Roman"/>
                <w:sz w:val="20"/>
                <w:szCs w:val="20"/>
              </w:rPr>
              <w:t xml:space="preserve"> United Nations</w:t>
            </w:r>
            <w:r w:rsidR="00E42CBE" w:rsidRPr="00AC0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0F19">
              <w:rPr>
                <w:rFonts w:ascii="Times New Roman" w:hAnsi="Times New Roman"/>
                <w:sz w:val="20"/>
                <w:szCs w:val="20"/>
              </w:rPr>
              <w:t>organization</w:t>
            </w:r>
            <w:r w:rsidRPr="00AC03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7771AB0" w14:textId="77777777" w:rsidR="00B31A5B" w:rsidRPr="00AC03F0" w:rsidRDefault="00B31A5B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20,400</w:t>
            </w:r>
          </w:p>
        </w:tc>
        <w:tc>
          <w:tcPr>
            <w:tcW w:w="1134" w:type="dxa"/>
            <w:vAlign w:val="center"/>
          </w:tcPr>
          <w:p w14:paraId="1F47A9F1" w14:textId="77777777" w:rsidR="00B31A5B" w:rsidRPr="00AC03F0" w:rsidRDefault="00B31A5B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1B4F5623" w14:textId="44B89D69" w:rsidR="00B31A5B" w:rsidRPr="00AC03F0" w:rsidRDefault="00B31A5B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>The HRLO placed a note in the consultant’s</w:t>
            </w:r>
            <w:r w:rsidR="00514AA3"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personnel file stating that s/he</w:t>
            </w:r>
            <w:r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would have been charged with misconduct if </w:t>
            </w:r>
            <w:r w:rsidR="00514AA3"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s/he </w:t>
            </w:r>
            <w:r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>had not already separated from UNOPS on other grounds.</w:t>
            </w:r>
            <w:r w:rsidR="00525C46"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UNOPS recovered the </w:t>
            </w:r>
            <w:r w:rsidR="00AF0F19">
              <w:rPr>
                <w:rFonts w:ascii="Times New Roman" w:hAnsi="Times New Roman"/>
                <w:sz w:val="20"/>
                <w:szCs w:val="20"/>
                <w:lang w:eastAsia="en-GB"/>
              </w:rPr>
              <w:t>$</w:t>
            </w:r>
            <w:r w:rsidR="00525C46"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>20,400 the consultant fraudulently received in salary.</w:t>
            </w:r>
          </w:p>
        </w:tc>
      </w:tr>
      <w:tr w:rsidR="001D596E" w:rsidRPr="00AC03F0" w14:paraId="5F1D00FD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8FE6185" w14:textId="77777777" w:rsidR="00B31A5B" w:rsidRPr="00AC03F0" w:rsidRDefault="002F01DE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F00095" w14:textId="77777777" w:rsidR="00B31A5B" w:rsidRPr="00AC03F0" w:rsidRDefault="00B31A5B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2016/55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34917" w14:textId="77777777" w:rsidR="00AD5877" w:rsidRPr="00AC03F0" w:rsidRDefault="00AD5877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North America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27E5F3" w14:textId="77777777" w:rsidR="00AD5877" w:rsidRPr="00AC03F0" w:rsidRDefault="00B31A5B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AD7904" w14:textId="77777777" w:rsidR="00B31A5B" w:rsidRPr="00AC03F0" w:rsidRDefault="00AD5877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Two staff members and three consultants cheated on a recruitment exam.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C084AD9" w14:textId="77777777" w:rsidR="00B31A5B" w:rsidRPr="00AC03F0" w:rsidRDefault="00AD5877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1134" w:type="dxa"/>
            <w:vAlign w:val="center"/>
          </w:tcPr>
          <w:p w14:paraId="352C29BE" w14:textId="77777777" w:rsidR="00B31A5B" w:rsidRPr="00AC03F0" w:rsidRDefault="00AD5877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7A4A3FBA" w14:textId="77777777" w:rsidR="00B31A5B" w:rsidRPr="00AC03F0" w:rsidRDefault="00B31A5B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T</w:t>
            </w:r>
            <w:r w:rsidR="00EE3D35" w:rsidRPr="00AC03F0">
              <w:rPr>
                <w:rFonts w:ascii="Times New Roman" w:hAnsi="Times New Roman"/>
                <w:sz w:val="20"/>
                <w:szCs w:val="20"/>
              </w:rPr>
              <w:t>he t</w:t>
            </w:r>
            <w:r w:rsidRPr="00AC03F0">
              <w:rPr>
                <w:rFonts w:ascii="Times New Roman" w:hAnsi="Times New Roman"/>
                <w:sz w:val="20"/>
                <w:szCs w:val="20"/>
              </w:rPr>
              <w:t xml:space="preserve">wo </w:t>
            </w:r>
            <w:r w:rsidR="00514AA3" w:rsidRPr="00AC03F0">
              <w:rPr>
                <w:rFonts w:ascii="Times New Roman" w:hAnsi="Times New Roman"/>
                <w:sz w:val="20"/>
                <w:szCs w:val="20"/>
              </w:rPr>
              <w:t>staff members lost two steps in their grade.</w:t>
            </w:r>
            <w:r w:rsidR="00266C4C" w:rsidRPr="00AC0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03F0">
              <w:rPr>
                <w:rFonts w:ascii="Times New Roman" w:hAnsi="Times New Roman"/>
                <w:sz w:val="20"/>
                <w:szCs w:val="20"/>
              </w:rPr>
              <w:t xml:space="preserve">The HRLO placed a note in two consultants’ personnel files stating that they would have been charged with misconduct if they had not </w:t>
            </w:r>
            <w:r w:rsidRPr="00AC03F0">
              <w:rPr>
                <w:rFonts w:ascii="Times New Roman" w:hAnsi="Times New Roman"/>
                <w:sz w:val="20"/>
                <w:szCs w:val="20"/>
              </w:rPr>
              <w:lastRenderedPageBreak/>
              <w:t>already separated from UNOPS on other grounds</w:t>
            </w:r>
          </w:p>
          <w:p w14:paraId="0D7BBD62" w14:textId="77777777" w:rsidR="00514AA3" w:rsidRPr="00AC03F0" w:rsidRDefault="00514AA3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The case</w:t>
            </w:r>
            <w:r w:rsidR="00512B10" w:rsidRPr="00AC03F0">
              <w:rPr>
                <w:rFonts w:ascii="Times New Roman" w:hAnsi="Times New Roman"/>
                <w:sz w:val="20"/>
                <w:szCs w:val="20"/>
              </w:rPr>
              <w:t xml:space="preserve"> of the third consultant</w:t>
            </w:r>
            <w:r w:rsidRPr="00AC03F0">
              <w:rPr>
                <w:rFonts w:ascii="Times New Roman" w:hAnsi="Times New Roman"/>
                <w:sz w:val="20"/>
                <w:szCs w:val="20"/>
              </w:rPr>
              <w:t xml:space="preserve"> is currently pending with the HRLO</w:t>
            </w:r>
            <w:r w:rsidR="00512B10" w:rsidRPr="00AC03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D596E" w:rsidRPr="00AC03F0" w14:paraId="2657A43D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6BBC013" w14:textId="77777777" w:rsidR="00B31A5B" w:rsidRPr="00AC03F0" w:rsidRDefault="002F01DE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12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BC494C3" w14:textId="77777777" w:rsidR="00B31A5B" w:rsidRPr="00AC03F0" w:rsidRDefault="00B31A5B" w:rsidP="003C1FAA">
            <w:pPr>
              <w:pStyle w:val="Footer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2016/59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8BBA0E" w14:textId="77777777" w:rsidR="00AD5877" w:rsidRPr="00AC03F0" w:rsidRDefault="00AD5877" w:rsidP="003C1FAA">
            <w:pPr>
              <w:pStyle w:val="Footer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Europe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6D944A" w14:textId="77777777" w:rsidR="00B31A5B" w:rsidRPr="00AC03F0" w:rsidRDefault="00B31A5B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CDE8F43" w14:textId="77777777" w:rsidR="00B31A5B" w:rsidRPr="00AC03F0" w:rsidRDefault="00AD5877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Two consultants cheated on a recruitment exam.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12AAF8B" w14:textId="77777777" w:rsidR="00B31A5B" w:rsidRPr="00AC03F0" w:rsidRDefault="00AD5877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1134" w:type="dxa"/>
            <w:vAlign w:val="center"/>
          </w:tcPr>
          <w:p w14:paraId="7D9D35CB" w14:textId="77777777" w:rsidR="00B31A5B" w:rsidRPr="00AC03F0" w:rsidRDefault="00AD5877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1325A5D5" w14:textId="77777777" w:rsidR="00B31A5B" w:rsidRPr="00AC03F0" w:rsidRDefault="00B31A5B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The case is currently pending with the HRLO.</w:t>
            </w:r>
          </w:p>
        </w:tc>
      </w:tr>
      <w:tr w:rsidR="001D596E" w:rsidRPr="00AC03F0" w14:paraId="41C245D0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44730F" w14:textId="77777777" w:rsidR="00B31A5B" w:rsidRPr="00AC03F0" w:rsidRDefault="002F01DE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BFEB115" w14:textId="77777777" w:rsidR="00B31A5B" w:rsidRPr="00AC03F0" w:rsidRDefault="00B31A5B" w:rsidP="003C1FAA">
            <w:pPr>
              <w:pStyle w:val="Footer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2017/03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C5A07" w14:textId="77777777" w:rsidR="00AD5877" w:rsidRPr="00AC03F0" w:rsidRDefault="00AD5877" w:rsidP="003C1FAA">
            <w:pPr>
              <w:pStyle w:val="Footer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Asia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76B1DC" w14:textId="77777777" w:rsidR="00B31A5B" w:rsidRPr="00AC03F0" w:rsidRDefault="001B426D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920D4D" w14:textId="77777777" w:rsidR="00B31A5B" w:rsidRPr="00AC03F0" w:rsidRDefault="00AD5877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 xml:space="preserve">A vendor </w:t>
            </w:r>
            <w:r w:rsidR="001B426D" w:rsidRPr="00AC03F0">
              <w:rPr>
                <w:rFonts w:ascii="Times New Roman" w:hAnsi="Times New Roman"/>
                <w:sz w:val="20"/>
                <w:szCs w:val="20"/>
              </w:rPr>
              <w:t>obstructed an investigation into allegations of misconduct by a UNOPS employee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6152EA6" w14:textId="77777777" w:rsidR="00B31A5B" w:rsidRPr="00AC03F0" w:rsidRDefault="001B426D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1134" w:type="dxa"/>
            <w:vAlign w:val="center"/>
          </w:tcPr>
          <w:p w14:paraId="45AB4A88" w14:textId="77777777" w:rsidR="00B31A5B" w:rsidRPr="00AC03F0" w:rsidRDefault="001B426D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57570E09" w14:textId="77777777" w:rsidR="00B31A5B" w:rsidRPr="00AC03F0" w:rsidRDefault="00B31A5B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The case is currently pending with the VRC.</w:t>
            </w:r>
          </w:p>
        </w:tc>
      </w:tr>
      <w:tr w:rsidR="001D596E" w:rsidRPr="00AC03F0" w14:paraId="30D1826E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FD0E88" w14:textId="77777777" w:rsidR="00B31A5B" w:rsidRPr="00AC03F0" w:rsidRDefault="002F01DE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B236CAC" w14:textId="77777777" w:rsidR="00B31A5B" w:rsidRPr="00AC03F0" w:rsidRDefault="00B31A5B" w:rsidP="003C1FAA">
            <w:pPr>
              <w:pStyle w:val="Footer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2017/04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0CC039" w14:textId="77777777" w:rsidR="00B31A5B" w:rsidRPr="00AC03F0" w:rsidRDefault="00B31A5B" w:rsidP="003C1FAA">
            <w:pPr>
              <w:pStyle w:val="Footer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373E53" w14:textId="77777777" w:rsidR="00B31A5B" w:rsidRPr="00AC03F0" w:rsidRDefault="00B31A5B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5EB40B" w14:textId="77777777" w:rsidR="00B31A5B" w:rsidRPr="00AC03F0" w:rsidRDefault="00B3569F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 consultant forged an official UNOPS document.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72DE530" w14:textId="77777777" w:rsidR="00B31A5B" w:rsidRPr="00AC03F0" w:rsidRDefault="00B3569F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1134" w:type="dxa"/>
            <w:vAlign w:val="center"/>
          </w:tcPr>
          <w:p w14:paraId="56BE1816" w14:textId="77777777" w:rsidR="00B31A5B" w:rsidRPr="00AC03F0" w:rsidRDefault="00B3569F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55AEDFEE" w14:textId="77777777" w:rsidR="00B31A5B" w:rsidRPr="00AC03F0" w:rsidRDefault="00B31A5B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The HRLO placed a note in the consultant’s personnel file stating that </w:t>
            </w:r>
            <w:r w:rsidR="001C2592"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>s/he</w:t>
            </w:r>
            <w:r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would have been charged with misconduct if </w:t>
            </w:r>
            <w:r w:rsidR="001C2592"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>s/he</w:t>
            </w:r>
            <w:r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had not already separated from UNOPS on other grounds.</w:t>
            </w:r>
          </w:p>
        </w:tc>
      </w:tr>
      <w:tr w:rsidR="001D596E" w:rsidRPr="00AC03F0" w14:paraId="41033286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0858F0C" w14:textId="77777777" w:rsidR="00B31A5B" w:rsidRPr="00AC03F0" w:rsidRDefault="002F01DE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ECDBE70" w14:textId="77777777" w:rsidR="00B31A5B" w:rsidRPr="00AC03F0" w:rsidRDefault="00B31A5B" w:rsidP="003C1FAA">
            <w:pPr>
              <w:pStyle w:val="Footer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2017/06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0FAAED" w14:textId="77777777" w:rsidR="00B31A5B" w:rsidRPr="00AC03F0" w:rsidRDefault="00B31A5B" w:rsidP="003C1FAA">
            <w:pPr>
              <w:pStyle w:val="Footer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1D1093" w14:textId="77777777" w:rsidR="00B31A5B" w:rsidRPr="00AC03F0" w:rsidRDefault="00B31A5B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011C660" w14:textId="77777777" w:rsidR="00B31A5B" w:rsidRPr="00AC03F0" w:rsidRDefault="00B3569F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 vendor forged an official UNOPS document.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4F404BA" w14:textId="77777777" w:rsidR="00B31A5B" w:rsidRPr="00AC03F0" w:rsidRDefault="00B3569F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1134" w:type="dxa"/>
            <w:vAlign w:val="center"/>
          </w:tcPr>
          <w:p w14:paraId="706621B8" w14:textId="77777777" w:rsidR="00B31A5B" w:rsidRPr="00AC03F0" w:rsidRDefault="00B3569F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19287AFE" w14:textId="77777777" w:rsidR="00B31A5B" w:rsidRPr="00AC03F0" w:rsidRDefault="00B31A5B" w:rsidP="00EA5A6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 xml:space="preserve">The VRC debarred the vendor for </w:t>
            </w:r>
            <w:r w:rsidR="00EE3D35" w:rsidRPr="00AC03F0">
              <w:rPr>
                <w:rFonts w:ascii="Times New Roman" w:hAnsi="Times New Roman"/>
                <w:sz w:val="20"/>
                <w:szCs w:val="20"/>
              </w:rPr>
              <w:t>five</w:t>
            </w:r>
            <w:r w:rsidRPr="00AC03F0">
              <w:rPr>
                <w:rFonts w:ascii="Times New Roman" w:hAnsi="Times New Roman"/>
                <w:sz w:val="20"/>
                <w:szCs w:val="20"/>
              </w:rPr>
              <w:t xml:space="preserve"> years.</w:t>
            </w:r>
          </w:p>
        </w:tc>
      </w:tr>
      <w:tr w:rsidR="001D596E" w:rsidRPr="00AC03F0" w14:paraId="7F5E9426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B606C3" w14:textId="77777777" w:rsidR="00BA3289" w:rsidRPr="00AC03F0" w:rsidRDefault="002F01DE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C2E36A4" w14:textId="77777777" w:rsidR="00BA3289" w:rsidRPr="00AC03F0" w:rsidRDefault="00BA3289" w:rsidP="003C1FAA">
            <w:pPr>
              <w:pStyle w:val="Footer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2017/07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F2F636" w14:textId="77777777" w:rsidR="00BA3289" w:rsidRPr="00AC03F0" w:rsidRDefault="00BA3289" w:rsidP="003C1FAA">
            <w:pPr>
              <w:pStyle w:val="Footer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Asia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DC5E24" w14:textId="77777777" w:rsidR="00BA3289" w:rsidRPr="00AC03F0" w:rsidRDefault="00BA3289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Harassment/Abuse of authority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1473D3" w14:textId="77777777" w:rsidR="00BA3289" w:rsidRPr="00AC03F0" w:rsidRDefault="00BA3289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 xml:space="preserve">A consultant </w:t>
            </w:r>
            <w:r w:rsidR="00EA5A62" w:rsidRPr="00AC03F0">
              <w:rPr>
                <w:rFonts w:ascii="Times New Roman" w:hAnsi="Times New Roman"/>
                <w:sz w:val="20"/>
                <w:szCs w:val="20"/>
              </w:rPr>
              <w:t xml:space="preserve">sent </w:t>
            </w:r>
            <w:r w:rsidRPr="00AC03F0">
              <w:rPr>
                <w:rFonts w:ascii="Times New Roman" w:hAnsi="Times New Roman"/>
                <w:sz w:val="20"/>
                <w:szCs w:val="20"/>
              </w:rPr>
              <w:t xml:space="preserve">threatening </w:t>
            </w:r>
            <w:r w:rsidR="00D37731" w:rsidRPr="00AC03F0">
              <w:rPr>
                <w:rFonts w:ascii="Times New Roman" w:hAnsi="Times New Roman"/>
                <w:sz w:val="20"/>
                <w:szCs w:val="20"/>
              </w:rPr>
              <w:t xml:space="preserve">text </w:t>
            </w:r>
            <w:r w:rsidRPr="00AC03F0">
              <w:rPr>
                <w:rFonts w:ascii="Times New Roman" w:hAnsi="Times New Roman"/>
                <w:sz w:val="20"/>
                <w:szCs w:val="20"/>
              </w:rPr>
              <w:t>messages to his</w:t>
            </w:r>
            <w:r w:rsidR="00D37731" w:rsidRPr="00AC03F0">
              <w:rPr>
                <w:rFonts w:ascii="Times New Roman" w:hAnsi="Times New Roman"/>
                <w:sz w:val="20"/>
                <w:szCs w:val="20"/>
              </w:rPr>
              <w:t>/her</w:t>
            </w:r>
            <w:r w:rsidRPr="00AC03F0">
              <w:rPr>
                <w:rFonts w:ascii="Times New Roman" w:hAnsi="Times New Roman"/>
                <w:sz w:val="20"/>
                <w:szCs w:val="20"/>
              </w:rPr>
              <w:t xml:space="preserve"> supervisor.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2AC6374" w14:textId="77777777" w:rsidR="00BA3289" w:rsidRPr="00AC03F0" w:rsidRDefault="00BA3289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1134" w:type="dxa"/>
            <w:vAlign w:val="center"/>
          </w:tcPr>
          <w:p w14:paraId="5A705871" w14:textId="77777777" w:rsidR="00BA3289" w:rsidRPr="00AC03F0" w:rsidRDefault="00BA3289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22FDD845" w14:textId="77777777" w:rsidR="00BA3289" w:rsidRPr="00AC03F0" w:rsidRDefault="00BA3289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The consultant’s contract was terminated.</w:t>
            </w:r>
          </w:p>
        </w:tc>
      </w:tr>
      <w:tr w:rsidR="001D596E" w:rsidRPr="00AC03F0" w14:paraId="29D3FB31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A6661C6" w14:textId="77777777" w:rsidR="00B31A5B" w:rsidRPr="00AC03F0" w:rsidRDefault="001D5EBE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  <w:r w:rsidR="002F01DE"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4C1DF63" w14:textId="77777777" w:rsidR="00B31A5B" w:rsidRPr="00AC03F0" w:rsidRDefault="00B31A5B" w:rsidP="003C1FAA">
            <w:pPr>
              <w:pStyle w:val="Footer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2017/08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A3DFD6" w14:textId="77777777" w:rsidR="00B31A5B" w:rsidRPr="00AC03F0" w:rsidRDefault="00B31A5B" w:rsidP="003C1FAA">
            <w:pPr>
              <w:pStyle w:val="Footer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CEECC8" w14:textId="77777777" w:rsidR="00B31A5B" w:rsidRPr="00AC03F0" w:rsidRDefault="00B31A5B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E5E9EE8" w14:textId="77777777" w:rsidR="00B3569F" w:rsidRPr="00AC03F0" w:rsidRDefault="00B3569F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 xml:space="preserve">A vendor </w:t>
            </w:r>
            <w:r w:rsidRPr="00AC03F0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committed fraud when it failed to disclose that its subsidiary had been involved in the preparation of a UNOPS tender.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F02F37C" w14:textId="77777777" w:rsidR="00B31A5B" w:rsidRPr="00AC03F0" w:rsidRDefault="00B31A5B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1,221</w:t>
            </w:r>
          </w:p>
        </w:tc>
        <w:tc>
          <w:tcPr>
            <w:tcW w:w="1134" w:type="dxa"/>
            <w:vAlign w:val="center"/>
          </w:tcPr>
          <w:p w14:paraId="2F43C7A5" w14:textId="77777777" w:rsidR="007D0D9F" w:rsidRPr="00AC03F0" w:rsidRDefault="00B3569F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564ED87C" w14:textId="77777777" w:rsidR="00BF6F19" w:rsidRPr="00AC03F0" w:rsidRDefault="001C2592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The case is currently pending with the VRC.</w:t>
            </w:r>
          </w:p>
        </w:tc>
      </w:tr>
      <w:tr w:rsidR="001D596E" w:rsidRPr="00AC03F0" w14:paraId="025B4E81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4586117" w14:textId="77777777" w:rsidR="00A52397" w:rsidRPr="00AC03F0" w:rsidRDefault="001D5EBE" w:rsidP="003C1F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  <w:r w:rsidR="002F01DE"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D91847A" w14:textId="77777777" w:rsidR="00A52397" w:rsidRPr="00AC03F0" w:rsidRDefault="00A52397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2017/11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3FCFC" w14:textId="77777777" w:rsidR="00A52397" w:rsidRPr="00AC03F0" w:rsidRDefault="00A52397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Europe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5D2006" w14:textId="77777777" w:rsidR="00A52397" w:rsidRPr="00AC03F0" w:rsidRDefault="00A52397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A23CCD" w14:textId="77777777" w:rsidR="00A52397" w:rsidRPr="00AC03F0" w:rsidRDefault="00A52397" w:rsidP="003C1FA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 consultant misrepresented information in his/her application for a UNOPS position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0036E46" w14:textId="77777777" w:rsidR="00A52397" w:rsidRPr="00AC03F0" w:rsidRDefault="00A52397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1134" w:type="dxa"/>
            <w:vAlign w:val="center"/>
          </w:tcPr>
          <w:p w14:paraId="6EAA392F" w14:textId="77777777" w:rsidR="00A52397" w:rsidRPr="00AC03F0" w:rsidRDefault="007D0D9F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1360C467" w14:textId="77777777" w:rsidR="00A52397" w:rsidRPr="00AC03F0" w:rsidRDefault="00A52397" w:rsidP="003C1FA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The case is currently pending with the HRLO.</w:t>
            </w:r>
          </w:p>
        </w:tc>
      </w:tr>
      <w:tr w:rsidR="001D596E" w:rsidRPr="00AC03F0" w14:paraId="6F6D19F4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DF6F5A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19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DBF83ED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2017/16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34D65C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1045A7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Conflict of Interest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84CD8AB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 vendor failed to disclose its conflict of interest when it participated in a tender in which its owner was involved as a government focal point.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720F4C6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1134" w:type="dxa"/>
            <w:vAlign w:val="center"/>
          </w:tcPr>
          <w:p w14:paraId="665B073A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4D3117DB" w14:textId="797B9743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 xml:space="preserve">The VRC debarred the vendor and its principal for </w:t>
            </w:r>
            <w:r w:rsidR="00AF0F19">
              <w:rPr>
                <w:rFonts w:ascii="Times New Roman" w:hAnsi="Times New Roman"/>
                <w:sz w:val="20"/>
                <w:szCs w:val="20"/>
              </w:rPr>
              <w:t>five</w:t>
            </w:r>
            <w:r w:rsidRPr="00AC03F0">
              <w:rPr>
                <w:rFonts w:ascii="Times New Roman" w:hAnsi="Times New Roman"/>
                <w:sz w:val="20"/>
                <w:szCs w:val="20"/>
              </w:rPr>
              <w:t xml:space="preserve"> years. </w:t>
            </w:r>
          </w:p>
        </w:tc>
      </w:tr>
      <w:tr w:rsidR="001D596E" w:rsidRPr="00AC03F0" w14:paraId="68126FC4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78986F9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20BD680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2017/19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30B063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EB8F2C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E06739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 consultant stole UNMAS funds from the office’s operational advance.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3E4C030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6,082</w:t>
            </w:r>
          </w:p>
        </w:tc>
        <w:tc>
          <w:tcPr>
            <w:tcW w:w="1134" w:type="dxa"/>
            <w:vAlign w:val="center"/>
          </w:tcPr>
          <w:p w14:paraId="39ADBA0B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58C71235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The case is currently pending with the HRLO.</w:t>
            </w:r>
          </w:p>
        </w:tc>
      </w:tr>
      <w:tr w:rsidR="001D596E" w:rsidRPr="00AC03F0" w14:paraId="67A071E8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569D5A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3DF55CB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2017/21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EB2D42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33EEA8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95766EB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 former intern misrepresented his/her work experience with UNOPS in two employment certificates. (A)</w:t>
            </w:r>
          </w:p>
          <w:p w14:paraId="39140E94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 consultant forged these employment certificates. (B)</w:t>
            </w:r>
          </w:p>
          <w:p w14:paraId="51800900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Another consultant misrepresented information on a reference form for the former intern. (C)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7E6188C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1134" w:type="dxa"/>
            <w:vAlign w:val="center"/>
          </w:tcPr>
          <w:p w14:paraId="11487AA5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2495BFDE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 xml:space="preserve">The HRLO placed a note in </w:t>
            </w:r>
            <w:r w:rsidR="00D95592" w:rsidRPr="00AC03F0">
              <w:rPr>
                <w:rFonts w:ascii="Times New Roman" w:hAnsi="Times New Roman"/>
                <w:sz w:val="20"/>
                <w:szCs w:val="20"/>
              </w:rPr>
              <w:t>a</w:t>
            </w:r>
            <w:r w:rsidRPr="00AC03F0">
              <w:rPr>
                <w:rFonts w:ascii="Times New Roman" w:hAnsi="Times New Roman"/>
                <w:sz w:val="20"/>
                <w:szCs w:val="20"/>
              </w:rPr>
              <w:t xml:space="preserve"> former intern’s file stating that s/he would have been charged with misconduct if s/he had not already separated from UNOPS on other grounds. (A)</w:t>
            </w:r>
          </w:p>
          <w:p w14:paraId="1FEE7CC5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The consultant’s contract was terminated. (B)</w:t>
            </w:r>
          </w:p>
          <w:p w14:paraId="1B35523B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The case of the third consultant is currently pending with the HRLO. (C)</w:t>
            </w:r>
          </w:p>
        </w:tc>
      </w:tr>
      <w:tr w:rsidR="001D596E" w:rsidRPr="00AC03F0" w14:paraId="595F6CAD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13EAE45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CB05081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2017/24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0D2AA0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Asia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28F3B9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1AD181" w14:textId="77777777" w:rsidR="00A60D91" w:rsidRPr="00AC03F0" w:rsidRDefault="00A60D91" w:rsidP="003E1CC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3E1CCF" w:rsidRPr="00AC03F0">
              <w:rPr>
                <w:rFonts w:ascii="Times New Roman" w:hAnsi="Times New Roman"/>
                <w:sz w:val="20"/>
                <w:szCs w:val="20"/>
              </w:rPr>
              <w:t xml:space="preserve">vendor </w:t>
            </w:r>
            <w:r w:rsidRPr="00AC03F0">
              <w:rPr>
                <w:rFonts w:ascii="Times New Roman" w:hAnsi="Times New Roman"/>
                <w:sz w:val="20"/>
                <w:szCs w:val="20"/>
              </w:rPr>
              <w:t>provided fraudulent certificates to a UNOPS vendor. The vendor submitted these certificates to UNOPS without verifying their authenticity.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8E435C6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1134" w:type="dxa"/>
            <w:vAlign w:val="center"/>
          </w:tcPr>
          <w:p w14:paraId="15EFED0F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30662327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The case is currently pending with the VRC</w:t>
            </w:r>
          </w:p>
        </w:tc>
      </w:tr>
      <w:tr w:rsidR="001D596E" w:rsidRPr="00AC03F0" w14:paraId="541C30DA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CD91D10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03CBE16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2017/25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553293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82107D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>External compliance (</w:t>
            </w:r>
            <w:r w:rsidRPr="00AC03F0">
              <w:rPr>
                <w:rFonts w:ascii="Times New Roman" w:hAnsi="Times New Roman"/>
                <w:sz w:val="20"/>
                <w:szCs w:val="20"/>
              </w:rPr>
              <w:t>medical</w:t>
            </w:r>
            <w:r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fraud)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8BF5224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 consultant submitted a fraudulent medical insurance claim.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EBF1AE7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1134" w:type="dxa"/>
            <w:vAlign w:val="center"/>
          </w:tcPr>
          <w:p w14:paraId="5477D201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13C05226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The case is currently pending with the HRLO.</w:t>
            </w:r>
          </w:p>
        </w:tc>
      </w:tr>
      <w:tr w:rsidR="001D596E" w:rsidRPr="00AC03F0" w14:paraId="76604104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88B0C1C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95C841B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2017/28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44FC44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South America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8E8B3A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98017B2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 vendor submitted four fraudulent bank guarantees.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219E998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1134" w:type="dxa"/>
            <w:vAlign w:val="center"/>
          </w:tcPr>
          <w:p w14:paraId="47235591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3196845A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The case is currently pending with the VRC.</w:t>
            </w:r>
          </w:p>
        </w:tc>
      </w:tr>
      <w:tr w:rsidR="001D596E" w:rsidRPr="00AC03F0" w14:paraId="54D8D3EE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5AB2BDD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25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2BEAF66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2017/31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BCE66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Asia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9D9BA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F270AA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 vendor submitted a forged document during a procurement exercise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0D8F729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1134" w:type="dxa"/>
            <w:vAlign w:val="center"/>
          </w:tcPr>
          <w:p w14:paraId="0E8EABBA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125EAB28" w14:textId="1566E88B" w:rsidR="00A60D91" w:rsidRPr="00AC03F0" w:rsidRDefault="00A60D91" w:rsidP="00DE626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DE6269" w:rsidRPr="00AC03F0">
              <w:rPr>
                <w:rFonts w:ascii="Times New Roman" w:hAnsi="Times New Roman"/>
                <w:sz w:val="20"/>
                <w:szCs w:val="20"/>
              </w:rPr>
              <w:t xml:space="preserve">VRC debarred the vendor for </w:t>
            </w:r>
            <w:r w:rsidR="00AF0F19">
              <w:rPr>
                <w:rFonts w:ascii="Times New Roman" w:hAnsi="Times New Roman"/>
                <w:sz w:val="20"/>
                <w:szCs w:val="20"/>
              </w:rPr>
              <w:t>five</w:t>
            </w:r>
            <w:r w:rsidR="00DE6269" w:rsidRPr="00AC03F0">
              <w:rPr>
                <w:rFonts w:ascii="Times New Roman" w:hAnsi="Times New Roman"/>
                <w:sz w:val="20"/>
                <w:szCs w:val="20"/>
              </w:rPr>
              <w:t xml:space="preserve"> years</w:t>
            </w:r>
            <w:r w:rsidR="005D5921" w:rsidRPr="00AC03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D596E" w:rsidRPr="00AC03F0" w14:paraId="0074097A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D47265B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D97432E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>2017/32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9188C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2F8EB8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>Fraud and financial irregularity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831D35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>A staff member embezzled UNOPS funds by diverting vendor payments.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D04578B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>13,543</w:t>
            </w:r>
          </w:p>
        </w:tc>
        <w:tc>
          <w:tcPr>
            <w:tcW w:w="1134" w:type="dxa"/>
            <w:vAlign w:val="center"/>
          </w:tcPr>
          <w:p w14:paraId="7A9F2870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46DF52B0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>The case is currently pending with the HRLO.</w:t>
            </w:r>
          </w:p>
        </w:tc>
      </w:tr>
      <w:tr w:rsidR="001D596E" w:rsidRPr="00AC03F0" w14:paraId="41A060EB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9C3122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915DED0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>2017/33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11A182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eastAsia="en-GB"/>
              </w:rPr>
            </w:pPr>
            <w:r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6DF12A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>Fraud and financial irregularity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C9922D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>A consultant forged an employment certificate.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DF9B1DA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vAlign w:val="center"/>
          </w:tcPr>
          <w:p w14:paraId="3F28A215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14DEC7B6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The consultant’s contract was terminated.</w:t>
            </w:r>
          </w:p>
        </w:tc>
      </w:tr>
      <w:tr w:rsidR="001D596E" w:rsidRPr="00AC03F0" w14:paraId="7F74687D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0B2DC01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AEFAE4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2017/35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DBBF37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North America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437846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69E05B" w14:textId="77777777" w:rsidR="00A60D91" w:rsidRPr="00AC03F0" w:rsidRDefault="00A60D91" w:rsidP="00C41BC0">
            <w:pPr>
              <w:spacing w:before="60" w:after="60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Three candidates for a UNOPS position cheated on a recruitment exam.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BD0F579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1134" w:type="dxa"/>
            <w:vAlign w:val="center"/>
          </w:tcPr>
          <w:p w14:paraId="2A660AE2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27BC5778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The case is currently pending with the HRLO.</w:t>
            </w:r>
          </w:p>
        </w:tc>
      </w:tr>
      <w:tr w:rsidR="001D596E" w:rsidRPr="00AC03F0" w14:paraId="0103E260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FD971B5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3EBEE9E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2017/41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2DF046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679534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ED3DBAE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Two consultants solicited bribes from other UNOPS personnel they supervised. They also failed to fully cooperate with the IAIG investigation.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09FA2B7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1134" w:type="dxa"/>
            <w:vAlign w:val="center"/>
          </w:tcPr>
          <w:p w14:paraId="27320DBD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4645DB89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The case is currently pending with the HRLO.</w:t>
            </w:r>
          </w:p>
        </w:tc>
      </w:tr>
      <w:tr w:rsidR="001D596E" w:rsidRPr="00AC03F0" w14:paraId="173AA4B9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D103AEB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2B10C22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2017/42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2B53A0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South America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33E610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0DAB7C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 consultant submitted forged fuel receipts with inflated amounts.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3788C4F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134" w:type="dxa"/>
            <w:vAlign w:val="center"/>
          </w:tcPr>
          <w:p w14:paraId="72ABB1DA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3FD2DB7A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The case is currently pending with the HRLO.</w:t>
            </w:r>
          </w:p>
        </w:tc>
      </w:tr>
      <w:tr w:rsidR="001D596E" w:rsidRPr="00AC03F0" w14:paraId="44E0BE59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FCE1909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0A34137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2017/44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09B7BD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North America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DAC8EA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95AB191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 consultant fraudulently added his/her name to technical papers written by others.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75AEB8F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1134" w:type="dxa"/>
            <w:vAlign w:val="center"/>
          </w:tcPr>
          <w:p w14:paraId="460B854C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43057EDD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  <w:lang w:eastAsia="en-GB"/>
              </w:rPr>
              <w:t>The HRLO placed a note in the consultant’s personnel file stating that s/he would have been charged with misconduct if s/he had not already separated from UNOPS on other grounds.</w:t>
            </w:r>
          </w:p>
        </w:tc>
      </w:tr>
      <w:tr w:rsidR="001D596E" w:rsidRPr="00AC03F0" w14:paraId="12D071FC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CF342E8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B5AB1AC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2017/46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5EE2D6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Europe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30ECEE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FFE4159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 vendor submitted a forged bank guarantee.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81DE556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1134" w:type="dxa"/>
            <w:vAlign w:val="center"/>
          </w:tcPr>
          <w:p w14:paraId="6DF3E8E9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413B1639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The case is currently pending with the VRC.</w:t>
            </w:r>
          </w:p>
        </w:tc>
      </w:tr>
      <w:tr w:rsidR="001D596E" w:rsidRPr="00AC03F0" w14:paraId="5BB45A05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1B18BE3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33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3507E45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2017/47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09121A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Asia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086528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1D9729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 vendor submitted a forged bank guarantee.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C3CBB62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1134" w:type="dxa"/>
            <w:vAlign w:val="center"/>
          </w:tcPr>
          <w:p w14:paraId="40EDA759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7839C7D6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The case is currently pending with the VRC.</w:t>
            </w:r>
          </w:p>
        </w:tc>
      </w:tr>
      <w:tr w:rsidR="001D596E" w:rsidRPr="00AC03F0" w14:paraId="2BC9404D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0EE66A1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C03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4E40F25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2017/55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25E46A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Asia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8BEE0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7F87B1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A vendor submitted a forged document during a procurement exercise.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D8575DC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1134" w:type="dxa"/>
            <w:vAlign w:val="center"/>
          </w:tcPr>
          <w:p w14:paraId="54072341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30E06681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The case is currently pending with the VRC.</w:t>
            </w:r>
          </w:p>
        </w:tc>
      </w:tr>
      <w:tr w:rsidR="001D596E" w:rsidRPr="00AC03F0" w14:paraId="01FF1239" w14:textId="77777777" w:rsidTr="00A60D91">
        <w:trPr>
          <w:trHeight w:val="6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2B490DA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425F4F4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3314D8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B3AB5C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8C1E33B" w14:textId="77777777" w:rsidR="00A60D91" w:rsidRPr="00AC03F0" w:rsidRDefault="00A60D91" w:rsidP="00A60D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1371D1D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268,507</w:t>
            </w:r>
          </w:p>
        </w:tc>
        <w:tc>
          <w:tcPr>
            <w:tcW w:w="1134" w:type="dxa"/>
            <w:vAlign w:val="center"/>
          </w:tcPr>
          <w:p w14:paraId="3A648A5F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3E1D3821" w14:textId="77777777" w:rsidR="00A60D91" w:rsidRPr="00AC03F0" w:rsidRDefault="00A60D91" w:rsidP="00A60D9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16ACC15" w14:textId="77777777" w:rsidR="00B101D3" w:rsidRPr="00AC03F0" w:rsidRDefault="00B101D3" w:rsidP="0038777F">
      <w:pPr>
        <w:rPr>
          <w:rFonts w:ascii="Times New Roman" w:hAnsi="Times New Roman"/>
        </w:rPr>
      </w:pPr>
    </w:p>
    <w:sectPr w:rsidR="00B101D3" w:rsidRPr="00AC03F0" w:rsidSect="00840E52">
      <w:headerReference w:type="default" r:id="rId8"/>
      <w:footerReference w:type="default" r:id="rId9"/>
      <w:pgSz w:w="16838" w:h="11906" w:orient="landscape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D2821" w14:textId="77777777" w:rsidR="003B5727" w:rsidRDefault="003B5727" w:rsidP="00D52103">
      <w:pPr>
        <w:spacing w:after="0" w:line="240" w:lineRule="auto"/>
      </w:pPr>
      <w:r>
        <w:separator/>
      </w:r>
    </w:p>
  </w:endnote>
  <w:endnote w:type="continuationSeparator" w:id="0">
    <w:p w14:paraId="536A6373" w14:textId="77777777" w:rsidR="003B5727" w:rsidRDefault="003B5727" w:rsidP="00D52103">
      <w:pPr>
        <w:spacing w:after="0" w:line="240" w:lineRule="auto"/>
      </w:pPr>
      <w:r>
        <w:continuationSeparator/>
      </w:r>
    </w:p>
  </w:endnote>
  <w:endnote w:type="continuationNotice" w:id="1">
    <w:p w14:paraId="54DA0388" w14:textId="77777777" w:rsidR="003B5727" w:rsidRDefault="003B57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4B0C2" w14:textId="29157918" w:rsidR="00F550FB" w:rsidRPr="00851393" w:rsidRDefault="00F550FB">
    <w:pPr>
      <w:pStyle w:val="Footer"/>
      <w:jc w:val="right"/>
      <w:rPr>
        <w:rFonts w:ascii="Times New Roman" w:hAnsi="Times New Roman"/>
      </w:rPr>
    </w:pPr>
    <w:r w:rsidRPr="00851393">
      <w:rPr>
        <w:rFonts w:ascii="Times New Roman" w:hAnsi="Times New Roman"/>
      </w:rPr>
      <w:fldChar w:fldCharType="begin"/>
    </w:r>
    <w:r w:rsidRPr="00851393">
      <w:rPr>
        <w:rFonts w:ascii="Times New Roman" w:hAnsi="Times New Roman"/>
      </w:rPr>
      <w:instrText xml:space="preserve"> PAGE   \* MERGEFORMAT </w:instrText>
    </w:r>
    <w:r w:rsidRPr="00851393">
      <w:rPr>
        <w:rFonts w:ascii="Times New Roman" w:hAnsi="Times New Roman"/>
      </w:rPr>
      <w:fldChar w:fldCharType="separate"/>
    </w:r>
    <w:r w:rsidR="00B13D31">
      <w:rPr>
        <w:rFonts w:ascii="Times New Roman" w:hAnsi="Times New Roman"/>
        <w:noProof/>
      </w:rPr>
      <w:t>6</w:t>
    </w:r>
    <w:r w:rsidRPr="00851393">
      <w:rPr>
        <w:rFonts w:ascii="Times New Roman" w:hAnsi="Times New Roman"/>
        <w:noProof/>
      </w:rPr>
      <w:fldChar w:fldCharType="end"/>
    </w:r>
  </w:p>
  <w:p w14:paraId="7D2DBE7E" w14:textId="77777777" w:rsidR="00F550FB" w:rsidRDefault="00F55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A6826" w14:textId="77777777" w:rsidR="003B5727" w:rsidRDefault="003B5727" w:rsidP="00D52103">
      <w:pPr>
        <w:spacing w:after="0" w:line="240" w:lineRule="auto"/>
      </w:pPr>
      <w:r>
        <w:separator/>
      </w:r>
    </w:p>
  </w:footnote>
  <w:footnote w:type="continuationSeparator" w:id="0">
    <w:p w14:paraId="6A503744" w14:textId="77777777" w:rsidR="003B5727" w:rsidRDefault="003B5727" w:rsidP="00D52103">
      <w:pPr>
        <w:spacing w:after="0" w:line="240" w:lineRule="auto"/>
      </w:pPr>
      <w:r>
        <w:continuationSeparator/>
      </w:r>
    </w:p>
  </w:footnote>
  <w:footnote w:type="continuationNotice" w:id="1">
    <w:p w14:paraId="1D7D7E87" w14:textId="77777777" w:rsidR="003B5727" w:rsidRDefault="003B5727">
      <w:pPr>
        <w:spacing w:after="0" w:line="240" w:lineRule="auto"/>
      </w:pPr>
    </w:p>
  </w:footnote>
  <w:footnote w:id="2">
    <w:p w14:paraId="2FB422F9" w14:textId="27F3D212" w:rsidR="00F550FB" w:rsidRPr="00047FA5" w:rsidRDefault="00F550FB">
      <w:pPr>
        <w:pStyle w:val="FootnoteText"/>
        <w:rPr>
          <w:rFonts w:ascii="Times New Roman" w:hAnsi="Times New Roman"/>
        </w:rPr>
      </w:pPr>
      <w:r w:rsidRPr="00047FA5">
        <w:rPr>
          <w:rStyle w:val="FootnoteReference"/>
          <w:rFonts w:ascii="Times New Roman" w:hAnsi="Times New Roman"/>
        </w:rPr>
        <w:footnoteRef/>
      </w:r>
      <w:r w:rsidRPr="00047FA5">
        <w:rPr>
          <w:rFonts w:ascii="Times New Roman" w:hAnsi="Times New Roman"/>
        </w:rPr>
        <w:t xml:space="preserve"> IAIG referred the</w:t>
      </w:r>
      <w:r w:rsidR="00047FA5" w:rsidRPr="00047FA5">
        <w:rPr>
          <w:rFonts w:ascii="Times New Roman" w:hAnsi="Times New Roman"/>
        </w:rPr>
        <w:t xml:space="preserve"> consultant to the HRLO and VRC in 2016. These </w:t>
      </w:r>
      <w:r w:rsidRPr="00047FA5">
        <w:rPr>
          <w:rFonts w:ascii="Times New Roman" w:hAnsi="Times New Roman"/>
        </w:rPr>
        <w:t xml:space="preserve">were reported in </w:t>
      </w:r>
      <w:r w:rsidR="00AF0F19">
        <w:rPr>
          <w:rFonts w:ascii="Times New Roman" w:hAnsi="Times New Roman"/>
        </w:rPr>
        <w:t xml:space="preserve">the </w:t>
      </w:r>
      <w:r w:rsidRPr="00047FA5">
        <w:rPr>
          <w:rFonts w:ascii="Times New Roman" w:hAnsi="Times New Roman"/>
        </w:rPr>
        <w:t xml:space="preserve">IAIG 2016 annual report. Thus, IAIG did not count these referrals for 2017 statistics.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A298" w14:textId="77777777" w:rsidR="00F550FB" w:rsidRDefault="00F550FB" w:rsidP="00840E52">
    <w:pPr>
      <w:pStyle w:val="Header"/>
      <w:rPr>
        <w:sz w:val="20"/>
        <w:szCs w:val="20"/>
      </w:rPr>
    </w:pPr>
    <w:r>
      <w:rPr>
        <w:rFonts w:ascii="Arial" w:hAnsi="Arial" w:cs="Arial"/>
        <w:noProof/>
        <w:color w:val="000000"/>
        <w:sz w:val="20"/>
        <w:szCs w:val="20"/>
        <w:lang w:val="en-US"/>
      </w:rPr>
      <w:drawing>
        <wp:inline distT="0" distB="0" distL="0" distR="0" wp14:anchorId="5E50207B" wp14:editId="42FAEF1E">
          <wp:extent cx="3209925" cy="685800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                                                                                 </w:t>
    </w:r>
  </w:p>
  <w:p w14:paraId="503C7750" w14:textId="77777777" w:rsidR="00F550FB" w:rsidRPr="004F2A15" w:rsidRDefault="00F550FB" w:rsidP="00840E52">
    <w:pPr>
      <w:pStyle w:val="Header"/>
      <w:rPr>
        <w:rFonts w:ascii="Times New Roman" w:hAnsi="Times New Roman"/>
        <w:sz w:val="20"/>
        <w:szCs w:val="20"/>
      </w:rPr>
    </w:pPr>
    <w:r w:rsidRPr="004F2A15">
      <w:rPr>
        <w:rFonts w:ascii="Times New Roman" w:hAnsi="Times New Roman"/>
        <w:sz w:val="20"/>
        <w:szCs w:val="20"/>
      </w:rPr>
      <w:t>Internal Audit and Investigations Group</w:t>
    </w:r>
  </w:p>
  <w:p w14:paraId="3ABA0697" w14:textId="77777777" w:rsidR="00F550FB" w:rsidRPr="00487431" w:rsidRDefault="00F550FB" w:rsidP="00840E52">
    <w:pPr>
      <w:tabs>
        <w:tab w:val="right" w:pos="8505"/>
      </w:tabs>
      <w:rPr>
        <w:rFonts w:ascii="Times New Roman" w:hAnsi="Times New Roman"/>
        <w:b/>
        <w:sz w:val="20"/>
        <w:szCs w:val="20"/>
      </w:rPr>
    </w:pPr>
    <w:r w:rsidRPr="00AC03F0">
      <w:rPr>
        <w:rFonts w:ascii="Times New Roman" w:hAnsi="Times New Roman"/>
        <w:b/>
        <w:sz w:val="20"/>
        <w:szCs w:val="20"/>
      </w:rPr>
      <w:t>IAIG Activity Report for 2017</w:t>
    </w:r>
    <w:r w:rsidRPr="005812F8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/>
        <w:b/>
        <w:sz w:val="20"/>
        <w:szCs w:val="20"/>
      </w:rPr>
      <w:t xml:space="preserve">                   </w:t>
    </w:r>
    <w:r w:rsidRPr="005812F8">
      <w:rPr>
        <w:rFonts w:ascii="Times New Roman" w:hAnsi="Times New Roman"/>
        <w:b/>
        <w:sz w:val="20"/>
        <w:szCs w:val="20"/>
      </w:rPr>
      <w:t xml:space="preserve">  Annex </w:t>
    </w:r>
    <w:r>
      <w:rPr>
        <w:rFonts w:ascii="Times New Roman" w:hAnsi="Times New Roman"/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179B3"/>
    <w:multiLevelType w:val="hybridMultilevel"/>
    <w:tmpl w:val="35AE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F39C7"/>
    <w:multiLevelType w:val="hybridMultilevel"/>
    <w:tmpl w:val="9DAC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54A4F"/>
    <w:multiLevelType w:val="hybridMultilevel"/>
    <w:tmpl w:val="DDFCD1E4"/>
    <w:lvl w:ilvl="0" w:tplc="DDE096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2"/>
    <w:rsid w:val="00011CE4"/>
    <w:rsid w:val="00011D80"/>
    <w:rsid w:val="00036C3C"/>
    <w:rsid w:val="0004337F"/>
    <w:rsid w:val="00047FA5"/>
    <w:rsid w:val="0005214C"/>
    <w:rsid w:val="0005486E"/>
    <w:rsid w:val="0005746E"/>
    <w:rsid w:val="00065489"/>
    <w:rsid w:val="00066B6C"/>
    <w:rsid w:val="00071FBB"/>
    <w:rsid w:val="00075F83"/>
    <w:rsid w:val="00083D9A"/>
    <w:rsid w:val="0009013F"/>
    <w:rsid w:val="000937DD"/>
    <w:rsid w:val="000944F2"/>
    <w:rsid w:val="00095224"/>
    <w:rsid w:val="00096FDE"/>
    <w:rsid w:val="000A2180"/>
    <w:rsid w:val="000A3292"/>
    <w:rsid w:val="000A5259"/>
    <w:rsid w:val="000B117F"/>
    <w:rsid w:val="000B3AB0"/>
    <w:rsid w:val="000C676A"/>
    <w:rsid w:val="000C7341"/>
    <w:rsid w:val="000D0B99"/>
    <w:rsid w:val="000D211C"/>
    <w:rsid w:val="000D2144"/>
    <w:rsid w:val="000D375E"/>
    <w:rsid w:val="000D6E2E"/>
    <w:rsid w:val="000D7227"/>
    <w:rsid w:val="000E4937"/>
    <w:rsid w:val="000E6862"/>
    <w:rsid w:val="00102254"/>
    <w:rsid w:val="001171C4"/>
    <w:rsid w:val="00135BF7"/>
    <w:rsid w:val="00143C70"/>
    <w:rsid w:val="00143F7C"/>
    <w:rsid w:val="00144927"/>
    <w:rsid w:val="00147619"/>
    <w:rsid w:val="00152CC0"/>
    <w:rsid w:val="00157C01"/>
    <w:rsid w:val="001939D2"/>
    <w:rsid w:val="00193F65"/>
    <w:rsid w:val="00197FF7"/>
    <w:rsid w:val="001A3B99"/>
    <w:rsid w:val="001A4994"/>
    <w:rsid w:val="001A5B87"/>
    <w:rsid w:val="001B13B1"/>
    <w:rsid w:val="001B2BC9"/>
    <w:rsid w:val="001B406D"/>
    <w:rsid w:val="001B426D"/>
    <w:rsid w:val="001B4D73"/>
    <w:rsid w:val="001B4EF7"/>
    <w:rsid w:val="001B5E82"/>
    <w:rsid w:val="001B6BE6"/>
    <w:rsid w:val="001C2592"/>
    <w:rsid w:val="001C27DB"/>
    <w:rsid w:val="001C738C"/>
    <w:rsid w:val="001D0526"/>
    <w:rsid w:val="001D596E"/>
    <w:rsid w:val="001D5EBE"/>
    <w:rsid w:val="001D6940"/>
    <w:rsid w:val="001E3BE2"/>
    <w:rsid w:val="001E402B"/>
    <w:rsid w:val="001E4E16"/>
    <w:rsid w:val="001E755C"/>
    <w:rsid w:val="001E7906"/>
    <w:rsid w:val="001F018E"/>
    <w:rsid w:val="001F31D2"/>
    <w:rsid w:val="001F6504"/>
    <w:rsid w:val="002030A6"/>
    <w:rsid w:val="00204922"/>
    <w:rsid w:val="002057FA"/>
    <w:rsid w:val="0021257B"/>
    <w:rsid w:val="002135BB"/>
    <w:rsid w:val="00226EFD"/>
    <w:rsid w:val="00227626"/>
    <w:rsid w:val="00232CA2"/>
    <w:rsid w:val="00234060"/>
    <w:rsid w:val="00234B67"/>
    <w:rsid w:val="002360E6"/>
    <w:rsid w:val="00241BEA"/>
    <w:rsid w:val="00257270"/>
    <w:rsid w:val="00266C4C"/>
    <w:rsid w:val="00274B6F"/>
    <w:rsid w:val="002778D8"/>
    <w:rsid w:val="00285AF0"/>
    <w:rsid w:val="00287E1F"/>
    <w:rsid w:val="002A0832"/>
    <w:rsid w:val="002B0060"/>
    <w:rsid w:val="002C64A1"/>
    <w:rsid w:val="002D37AF"/>
    <w:rsid w:val="002D4879"/>
    <w:rsid w:val="002D56E7"/>
    <w:rsid w:val="002D5A57"/>
    <w:rsid w:val="002F01DE"/>
    <w:rsid w:val="002F156A"/>
    <w:rsid w:val="002F4F68"/>
    <w:rsid w:val="00303D5C"/>
    <w:rsid w:val="003079F7"/>
    <w:rsid w:val="003150DB"/>
    <w:rsid w:val="003155F4"/>
    <w:rsid w:val="00323597"/>
    <w:rsid w:val="003258E1"/>
    <w:rsid w:val="00334590"/>
    <w:rsid w:val="00340132"/>
    <w:rsid w:val="00341361"/>
    <w:rsid w:val="00351350"/>
    <w:rsid w:val="00357543"/>
    <w:rsid w:val="003643BC"/>
    <w:rsid w:val="00376EE1"/>
    <w:rsid w:val="00377E9E"/>
    <w:rsid w:val="00383D11"/>
    <w:rsid w:val="00385400"/>
    <w:rsid w:val="0038777F"/>
    <w:rsid w:val="00387E8C"/>
    <w:rsid w:val="00392DB2"/>
    <w:rsid w:val="00395FBE"/>
    <w:rsid w:val="003B296C"/>
    <w:rsid w:val="003B5727"/>
    <w:rsid w:val="003B7D7D"/>
    <w:rsid w:val="003B7EE6"/>
    <w:rsid w:val="003C1FAA"/>
    <w:rsid w:val="003C7189"/>
    <w:rsid w:val="003E097A"/>
    <w:rsid w:val="003E1CCF"/>
    <w:rsid w:val="003E656F"/>
    <w:rsid w:val="003F5217"/>
    <w:rsid w:val="004157CB"/>
    <w:rsid w:val="004244E7"/>
    <w:rsid w:val="00440422"/>
    <w:rsid w:val="00443B84"/>
    <w:rsid w:val="004503A1"/>
    <w:rsid w:val="00450F86"/>
    <w:rsid w:val="004661EC"/>
    <w:rsid w:val="00471C58"/>
    <w:rsid w:val="004722BF"/>
    <w:rsid w:val="00484394"/>
    <w:rsid w:val="00487431"/>
    <w:rsid w:val="004909E5"/>
    <w:rsid w:val="004A2099"/>
    <w:rsid w:val="004A606A"/>
    <w:rsid w:val="004A7A8E"/>
    <w:rsid w:val="004D3956"/>
    <w:rsid w:val="004E4434"/>
    <w:rsid w:val="004F565A"/>
    <w:rsid w:val="0050141E"/>
    <w:rsid w:val="0051262C"/>
    <w:rsid w:val="00512B10"/>
    <w:rsid w:val="00513679"/>
    <w:rsid w:val="00514AA3"/>
    <w:rsid w:val="005226FB"/>
    <w:rsid w:val="00525C46"/>
    <w:rsid w:val="005415F2"/>
    <w:rsid w:val="005475E0"/>
    <w:rsid w:val="00556E1B"/>
    <w:rsid w:val="00561C6B"/>
    <w:rsid w:val="00562A36"/>
    <w:rsid w:val="005736B0"/>
    <w:rsid w:val="0057444B"/>
    <w:rsid w:val="005841B6"/>
    <w:rsid w:val="0059155E"/>
    <w:rsid w:val="005A2074"/>
    <w:rsid w:val="005A4F51"/>
    <w:rsid w:val="005A63FD"/>
    <w:rsid w:val="005B5F82"/>
    <w:rsid w:val="005D5921"/>
    <w:rsid w:val="005E49D7"/>
    <w:rsid w:val="006030BB"/>
    <w:rsid w:val="006109C5"/>
    <w:rsid w:val="006119D1"/>
    <w:rsid w:val="00615EE1"/>
    <w:rsid w:val="0064051E"/>
    <w:rsid w:val="0064218D"/>
    <w:rsid w:val="006520D8"/>
    <w:rsid w:val="0065390C"/>
    <w:rsid w:val="00655BA1"/>
    <w:rsid w:val="0066247A"/>
    <w:rsid w:val="0066341F"/>
    <w:rsid w:val="00674D0F"/>
    <w:rsid w:val="00685313"/>
    <w:rsid w:val="00694F91"/>
    <w:rsid w:val="006A0A8C"/>
    <w:rsid w:val="006A2D0B"/>
    <w:rsid w:val="006A6FFF"/>
    <w:rsid w:val="006B3EB0"/>
    <w:rsid w:val="006B7658"/>
    <w:rsid w:val="006D45E3"/>
    <w:rsid w:val="006E28C7"/>
    <w:rsid w:val="006E2F67"/>
    <w:rsid w:val="006E6BA5"/>
    <w:rsid w:val="007069B7"/>
    <w:rsid w:val="00721F5B"/>
    <w:rsid w:val="00723AB8"/>
    <w:rsid w:val="007258CB"/>
    <w:rsid w:val="00725B6C"/>
    <w:rsid w:val="007260B9"/>
    <w:rsid w:val="007333BE"/>
    <w:rsid w:val="00740D03"/>
    <w:rsid w:val="00742846"/>
    <w:rsid w:val="007463ED"/>
    <w:rsid w:val="00751539"/>
    <w:rsid w:val="0076257A"/>
    <w:rsid w:val="00762D25"/>
    <w:rsid w:val="00764101"/>
    <w:rsid w:val="007768BD"/>
    <w:rsid w:val="00777750"/>
    <w:rsid w:val="007777F1"/>
    <w:rsid w:val="00781D43"/>
    <w:rsid w:val="00792846"/>
    <w:rsid w:val="007970B1"/>
    <w:rsid w:val="0079794F"/>
    <w:rsid w:val="00797A17"/>
    <w:rsid w:val="007A3040"/>
    <w:rsid w:val="007A396B"/>
    <w:rsid w:val="007B2CB6"/>
    <w:rsid w:val="007D0D0A"/>
    <w:rsid w:val="007D0D9F"/>
    <w:rsid w:val="007E5AA1"/>
    <w:rsid w:val="007F0A32"/>
    <w:rsid w:val="007F27A3"/>
    <w:rsid w:val="007F3A8F"/>
    <w:rsid w:val="00800DA6"/>
    <w:rsid w:val="00812FCA"/>
    <w:rsid w:val="008204DA"/>
    <w:rsid w:val="00825A0C"/>
    <w:rsid w:val="008312BF"/>
    <w:rsid w:val="008330D8"/>
    <w:rsid w:val="00833975"/>
    <w:rsid w:val="008347C3"/>
    <w:rsid w:val="00840E52"/>
    <w:rsid w:val="008508B2"/>
    <w:rsid w:val="0085114B"/>
    <w:rsid w:val="00851393"/>
    <w:rsid w:val="00854FD9"/>
    <w:rsid w:val="00855CBA"/>
    <w:rsid w:val="00862DB2"/>
    <w:rsid w:val="00864980"/>
    <w:rsid w:val="008749A8"/>
    <w:rsid w:val="00874CEC"/>
    <w:rsid w:val="00890C11"/>
    <w:rsid w:val="0089432C"/>
    <w:rsid w:val="008A2B08"/>
    <w:rsid w:val="008A70A5"/>
    <w:rsid w:val="008B3A45"/>
    <w:rsid w:val="008C4AE7"/>
    <w:rsid w:val="008C774B"/>
    <w:rsid w:val="008E3E28"/>
    <w:rsid w:val="008E684D"/>
    <w:rsid w:val="008E6CAC"/>
    <w:rsid w:val="008F0727"/>
    <w:rsid w:val="008F0E9A"/>
    <w:rsid w:val="008F22C9"/>
    <w:rsid w:val="008F55F9"/>
    <w:rsid w:val="008F6617"/>
    <w:rsid w:val="008F7871"/>
    <w:rsid w:val="00900673"/>
    <w:rsid w:val="00902F4E"/>
    <w:rsid w:val="00921369"/>
    <w:rsid w:val="00937000"/>
    <w:rsid w:val="009371F4"/>
    <w:rsid w:val="0094388F"/>
    <w:rsid w:val="00945965"/>
    <w:rsid w:val="0094709E"/>
    <w:rsid w:val="00953BB8"/>
    <w:rsid w:val="00970C43"/>
    <w:rsid w:val="00975FBF"/>
    <w:rsid w:val="009A0619"/>
    <w:rsid w:val="009B186B"/>
    <w:rsid w:val="009B27F2"/>
    <w:rsid w:val="009D3A2C"/>
    <w:rsid w:val="009E369A"/>
    <w:rsid w:val="009E671B"/>
    <w:rsid w:val="009E7318"/>
    <w:rsid w:val="009E73DF"/>
    <w:rsid w:val="009F3C01"/>
    <w:rsid w:val="00A01EE4"/>
    <w:rsid w:val="00A0228D"/>
    <w:rsid w:val="00A04AA3"/>
    <w:rsid w:val="00A054CB"/>
    <w:rsid w:val="00A1164B"/>
    <w:rsid w:val="00A248EA"/>
    <w:rsid w:val="00A3773A"/>
    <w:rsid w:val="00A52397"/>
    <w:rsid w:val="00A60D91"/>
    <w:rsid w:val="00A63413"/>
    <w:rsid w:val="00A65C7C"/>
    <w:rsid w:val="00A70E37"/>
    <w:rsid w:val="00A74F51"/>
    <w:rsid w:val="00A76E9C"/>
    <w:rsid w:val="00A8761F"/>
    <w:rsid w:val="00A960D2"/>
    <w:rsid w:val="00AA1DB7"/>
    <w:rsid w:val="00AA53B1"/>
    <w:rsid w:val="00AB4A2B"/>
    <w:rsid w:val="00AC03F0"/>
    <w:rsid w:val="00AC29D7"/>
    <w:rsid w:val="00AC5042"/>
    <w:rsid w:val="00AD077A"/>
    <w:rsid w:val="00AD4D0C"/>
    <w:rsid w:val="00AD5877"/>
    <w:rsid w:val="00AD7A35"/>
    <w:rsid w:val="00AF0F19"/>
    <w:rsid w:val="00AF29E9"/>
    <w:rsid w:val="00AF2DF6"/>
    <w:rsid w:val="00B02E51"/>
    <w:rsid w:val="00B04600"/>
    <w:rsid w:val="00B101D3"/>
    <w:rsid w:val="00B13D31"/>
    <w:rsid w:val="00B2088E"/>
    <w:rsid w:val="00B31A5B"/>
    <w:rsid w:val="00B31D74"/>
    <w:rsid w:val="00B32854"/>
    <w:rsid w:val="00B3569F"/>
    <w:rsid w:val="00B356F6"/>
    <w:rsid w:val="00B375C3"/>
    <w:rsid w:val="00B51AB2"/>
    <w:rsid w:val="00B53DE0"/>
    <w:rsid w:val="00B60EB1"/>
    <w:rsid w:val="00B64E43"/>
    <w:rsid w:val="00B677A0"/>
    <w:rsid w:val="00B72F1C"/>
    <w:rsid w:val="00B75D73"/>
    <w:rsid w:val="00B94948"/>
    <w:rsid w:val="00B97F7E"/>
    <w:rsid w:val="00BA3289"/>
    <w:rsid w:val="00BA7FE0"/>
    <w:rsid w:val="00BD1D66"/>
    <w:rsid w:val="00BD2045"/>
    <w:rsid w:val="00BD5D33"/>
    <w:rsid w:val="00BE2555"/>
    <w:rsid w:val="00BE55B3"/>
    <w:rsid w:val="00BF1992"/>
    <w:rsid w:val="00BF1DCE"/>
    <w:rsid w:val="00BF4D91"/>
    <w:rsid w:val="00BF6F19"/>
    <w:rsid w:val="00C01A78"/>
    <w:rsid w:val="00C1299E"/>
    <w:rsid w:val="00C34092"/>
    <w:rsid w:val="00C41BC0"/>
    <w:rsid w:val="00C44D81"/>
    <w:rsid w:val="00C44FA3"/>
    <w:rsid w:val="00C45D06"/>
    <w:rsid w:val="00C505A7"/>
    <w:rsid w:val="00C5128E"/>
    <w:rsid w:val="00C55D57"/>
    <w:rsid w:val="00C566F2"/>
    <w:rsid w:val="00C62041"/>
    <w:rsid w:val="00C6241B"/>
    <w:rsid w:val="00C63385"/>
    <w:rsid w:val="00C64349"/>
    <w:rsid w:val="00C65858"/>
    <w:rsid w:val="00C801B2"/>
    <w:rsid w:val="00C8028F"/>
    <w:rsid w:val="00CA1774"/>
    <w:rsid w:val="00CA2E00"/>
    <w:rsid w:val="00CA57C5"/>
    <w:rsid w:val="00CA7E1F"/>
    <w:rsid w:val="00CC31F3"/>
    <w:rsid w:val="00CC689C"/>
    <w:rsid w:val="00CC7E5F"/>
    <w:rsid w:val="00CD5F9B"/>
    <w:rsid w:val="00CE4686"/>
    <w:rsid w:val="00CE72DF"/>
    <w:rsid w:val="00CF1C12"/>
    <w:rsid w:val="00CF1D0F"/>
    <w:rsid w:val="00D056AA"/>
    <w:rsid w:val="00D1030E"/>
    <w:rsid w:val="00D162BB"/>
    <w:rsid w:val="00D23604"/>
    <w:rsid w:val="00D254C2"/>
    <w:rsid w:val="00D34C73"/>
    <w:rsid w:val="00D37731"/>
    <w:rsid w:val="00D37975"/>
    <w:rsid w:val="00D37AC4"/>
    <w:rsid w:val="00D37D91"/>
    <w:rsid w:val="00D4130E"/>
    <w:rsid w:val="00D442CD"/>
    <w:rsid w:val="00D45DBA"/>
    <w:rsid w:val="00D45DBE"/>
    <w:rsid w:val="00D51C83"/>
    <w:rsid w:val="00D52103"/>
    <w:rsid w:val="00D52645"/>
    <w:rsid w:val="00D5546B"/>
    <w:rsid w:val="00D66D98"/>
    <w:rsid w:val="00D72FAA"/>
    <w:rsid w:val="00D80E3B"/>
    <w:rsid w:val="00D8390C"/>
    <w:rsid w:val="00D91387"/>
    <w:rsid w:val="00D95592"/>
    <w:rsid w:val="00D961E1"/>
    <w:rsid w:val="00DA5193"/>
    <w:rsid w:val="00DB1EB5"/>
    <w:rsid w:val="00DB5BC3"/>
    <w:rsid w:val="00DB610F"/>
    <w:rsid w:val="00DC0A41"/>
    <w:rsid w:val="00DC1CD0"/>
    <w:rsid w:val="00DC4523"/>
    <w:rsid w:val="00DC6CE6"/>
    <w:rsid w:val="00DE39EE"/>
    <w:rsid w:val="00DE6269"/>
    <w:rsid w:val="00DF01EF"/>
    <w:rsid w:val="00DF0E27"/>
    <w:rsid w:val="00DF2532"/>
    <w:rsid w:val="00DF4ADC"/>
    <w:rsid w:val="00E22588"/>
    <w:rsid w:val="00E37027"/>
    <w:rsid w:val="00E42CBE"/>
    <w:rsid w:val="00E432D9"/>
    <w:rsid w:val="00E447C7"/>
    <w:rsid w:val="00E578AB"/>
    <w:rsid w:val="00E57B7F"/>
    <w:rsid w:val="00E74CEA"/>
    <w:rsid w:val="00E770AF"/>
    <w:rsid w:val="00E77DC8"/>
    <w:rsid w:val="00E86485"/>
    <w:rsid w:val="00E90F25"/>
    <w:rsid w:val="00EA5A62"/>
    <w:rsid w:val="00EB4EFE"/>
    <w:rsid w:val="00EB5717"/>
    <w:rsid w:val="00ED0285"/>
    <w:rsid w:val="00ED2C50"/>
    <w:rsid w:val="00ED3992"/>
    <w:rsid w:val="00ED6F4B"/>
    <w:rsid w:val="00EE3D35"/>
    <w:rsid w:val="00EE5225"/>
    <w:rsid w:val="00F008A8"/>
    <w:rsid w:val="00F1248E"/>
    <w:rsid w:val="00F30C45"/>
    <w:rsid w:val="00F32B3B"/>
    <w:rsid w:val="00F43DE7"/>
    <w:rsid w:val="00F44902"/>
    <w:rsid w:val="00F508E1"/>
    <w:rsid w:val="00F550FB"/>
    <w:rsid w:val="00F55FE2"/>
    <w:rsid w:val="00F56890"/>
    <w:rsid w:val="00F87907"/>
    <w:rsid w:val="00F92727"/>
    <w:rsid w:val="00F97892"/>
    <w:rsid w:val="00F97E2B"/>
    <w:rsid w:val="00FA3D45"/>
    <w:rsid w:val="00FB10DD"/>
    <w:rsid w:val="00FB23D2"/>
    <w:rsid w:val="00FB48E7"/>
    <w:rsid w:val="00FB67B4"/>
    <w:rsid w:val="00FC16DA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C41691"/>
  <w15:docId w15:val="{8799D26D-48A8-458B-8B7A-48B2B89F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6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103"/>
  </w:style>
  <w:style w:type="paragraph" w:styleId="Footer">
    <w:name w:val="footer"/>
    <w:basedOn w:val="Normal"/>
    <w:link w:val="FooterChar"/>
    <w:uiPriority w:val="99"/>
    <w:unhideWhenUsed/>
    <w:rsid w:val="00D52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103"/>
  </w:style>
  <w:style w:type="paragraph" w:styleId="BalloonText">
    <w:name w:val="Balloon Text"/>
    <w:basedOn w:val="Normal"/>
    <w:link w:val="BalloonTextChar"/>
    <w:uiPriority w:val="99"/>
    <w:semiHidden/>
    <w:unhideWhenUsed/>
    <w:rsid w:val="00D5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21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36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610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0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10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9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09C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94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2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34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41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634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2FD67-F715-4AB3-A07D-D07DAD9C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CHANDER</dc:creator>
  <cp:lastModifiedBy>Svetlana Iazykova</cp:lastModifiedBy>
  <cp:revision>2</cp:revision>
  <cp:lastPrinted>2018-01-19T09:36:00Z</cp:lastPrinted>
  <dcterms:created xsi:type="dcterms:W3CDTF">2018-04-23T16:05:00Z</dcterms:created>
  <dcterms:modified xsi:type="dcterms:W3CDTF">2018-04-23T16:05:00Z</dcterms:modified>
</cp:coreProperties>
</file>