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27AEF" w14:textId="0B11FCDF" w:rsidR="001D5AC7" w:rsidRPr="00382791" w:rsidRDefault="001D5AC7" w:rsidP="001D5AC7">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URUGUAY</w:t>
      </w:r>
      <w:r>
        <w:rPr>
          <w:rFonts w:ascii="Calibri" w:eastAsia="Calibri" w:hAnsi="Calibri" w:cs="Times New Roman"/>
          <w:b/>
          <w:sz w:val="24"/>
          <w:szCs w:val="24"/>
        </w:rPr>
        <w:t xml:space="preserve"> </w:t>
      </w:r>
      <w:r w:rsidRPr="00382791">
        <w:rPr>
          <w:rFonts w:ascii="Calibri" w:eastAsia="Calibri" w:hAnsi="Calibri" w:cs="Times New Roman"/>
          <w:b/>
          <w:sz w:val="24"/>
          <w:szCs w:val="24"/>
        </w:rPr>
        <w:t>(202</w:t>
      </w:r>
      <w:r>
        <w:rPr>
          <w:rFonts w:ascii="Calibri" w:eastAsia="Calibri" w:hAnsi="Calibri" w:cs="Times New Roman"/>
          <w:b/>
          <w:sz w:val="24"/>
          <w:szCs w:val="24"/>
        </w:rPr>
        <w:t>1</w:t>
      </w:r>
      <w:r w:rsidRPr="00382791">
        <w:rPr>
          <w:rFonts w:ascii="Calibri" w:eastAsia="Calibri" w:hAnsi="Calibri" w:cs="Times New Roman"/>
          <w:b/>
          <w:sz w:val="24"/>
          <w:szCs w:val="24"/>
        </w:rPr>
        <w:t>-202</w:t>
      </w:r>
      <w:r>
        <w:rPr>
          <w:rFonts w:ascii="Calibri" w:eastAsia="Calibri" w:hAnsi="Calibri" w:cs="Times New Roman"/>
          <w:b/>
          <w:sz w:val="24"/>
          <w:szCs w:val="24"/>
        </w:rPr>
        <w:t>5)</w:t>
      </w:r>
    </w:p>
    <w:p w14:paraId="53F340D5" w14:textId="34758339" w:rsidR="00DA5D1C" w:rsidRDefault="00E03066" w:rsidP="00A457DA">
      <w:pPr>
        <w:spacing w:line="240" w:lineRule="auto"/>
        <w:jc w:val="center"/>
        <w:rPr>
          <w:rFonts w:cs="Times New Roman"/>
          <w:i/>
          <w:sz w:val="24"/>
          <w:szCs w:val="24"/>
        </w:rPr>
      </w:pPr>
      <w:r>
        <w:rPr>
          <w:rFonts w:cs="Times New Roman"/>
          <w:i/>
          <w:sz w:val="24"/>
          <w:szCs w:val="24"/>
        </w:rPr>
        <w:t>First</w:t>
      </w:r>
      <w:r w:rsidR="00DA503F">
        <w:rPr>
          <w:rFonts w:cs="Times New Roman"/>
          <w:i/>
          <w:sz w:val="24"/>
          <w:szCs w:val="24"/>
        </w:rPr>
        <w:t xml:space="preserve"> regular</w:t>
      </w:r>
      <w:r w:rsidR="00DA5D1C" w:rsidRPr="00A457DA">
        <w:rPr>
          <w:rFonts w:cs="Times New Roman"/>
          <w:i/>
          <w:sz w:val="24"/>
          <w:szCs w:val="24"/>
        </w:rPr>
        <w:t xml:space="preserve">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w:t>
      </w:r>
      <w:r>
        <w:rPr>
          <w:rFonts w:cs="Times New Roman"/>
          <w:i/>
          <w:sz w:val="24"/>
          <w:szCs w:val="24"/>
        </w:rPr>
        <w:t>1</w:t>
      </w:r>
    </w:p>
    <w:p w14:paraId="1B37F541" w14:textId="77777777" w:rsidR="00D43F9D" w:rsidRPr="00A457DA" w:rsidRDefault="00D43F9D" w:rsidP="00D43F9D">
      <w:pPr>
        <w:spacing w:after="0" w:line="240" w:lineRule="auto"/>
        <w:jc w:val="center"/>
        <w:rPr>
          <w:rFonts w:cs="Times New Roman"/>
          <w:i/>
          <w:sz w:val="24"/>
          <w:szCs w:val="24"/>
        </w:rPr>
      </w:pPr>
    </w:p>
    <w:tbl>
      <w:tblPr>
        <w:tblStyle w:val="TableGrid"/>
        <w:tblW w:w="14434" w:type="dxa"/>
        <w:tblLook w:val="04A0" w:firstRow="1" w:lastRow="0" w:firstColumn="1" w:lastColumn="0" w:noHBand="0" w:noVBand="1"/>
      </w:tblPr>
      <w:tblGrid>
        <w:gridCol w:w="7799"/>
        <w:gridCol w:w="6635"/>
      </w:tblGrid>
      <w:tr w:rsidR="00757031" w:rsidRPr="005323D5" w14:paraId="218C0B4A" w14:textId="34E80177" w:rsidTr="00154693">
        <w:trPr>
          <w:trHeight w:val="476"/>
        </w:trPr>
        <w:tc>
          <w:tcPr>
            <w:tcW w:w="7799" w:type="dxa"/>
            <w:vAlign w:val="center"/>
          </w:tcPr>
          <w:p w14:paraId="4E86B9A0" w14:textId="15444996" w:rsidR="00757031" w:rsidRPr="00A457DA" w:rsidRDefault="00D4192F" w:rsidP="00F142F3">
            <w:pPr>
              <w:jc w:val="center"/>
              <w:rPr>
                <w:rFonts w:cs="Times New Roman"/>
                <w:b/>
                <w:sz w:val="24"/>
                <w:szCs w:val="24"/>
              </w:rPr>
            </w:pPr>
            <w:r w:rsidRPr="005323D5">
              <w:rPr>
                <w:rFonts w:cstheme="minorHAnsi"/>
                <w:sz w:val="24"/>
                <w:szCs w:val="24"/>
              </w:rPr>
              <w:t xml:space="preserve"> </w:t>
            </w:r>
            <w:r w:rsidR="00757031" w:rsidRPr="00534E03">
              <w:rPr>
                <w:rFonts w:cs="Times New Roman"/>
                <w:b/>
                <w:sz w:val="24"/>
                <w:szCs w:val="24"/>
              </w:rPr>
              <w:t>C</w:t>
            </w:r>
            <w:r w:rsidR="00757031">
              <w:rPr>
                <w:rFonts w:cs="Times New Roman"/>
                <w:b/>
                <w:sz w:val="24"/>
                <w:szCs w:val="24"/>
              </w:rPr>
              <w:t>omments</w:t>
            </w:r>
            <w:r w:rsidR="00757031" w:rsidRPr="00534E03">
              <w:rPr>
                <w:rFonts w:cs="Times New Roman"/>
                <w:b/>
                <w:sz w:val="24"/>
                <w:szCs w:val="24"/>
              </w:rPr>
              <w:t xml:space="preserve"> </w:t>
            </w:r>
            <w:r w:rsidR="00757031" w:rsidRPr="00A457DA">
              <w:rPr>
                <w:rFonts w:cs="Times New Roman"/>
                <w:b/>
                <w:sz w:val="24"/>
                <w:szCs w:val="24"/>
              </w:rPr>
              <w:t xml:space="preserve">by </w:t>
            </w:r>
            <w:r w:rsidR="00154693">
              <w:rPr>
                <w:rFonts w:cs="Times New Roman"/>
                <w:b/>
                <w:sz w:val="24"/>
                <w:szCs w:val="24"/>
              </w:rPr>
              <w:t>the European Union</w:t>
            </w:r>
          </w:p>
        </w:tc>
        <w:tc>
          <w:tcPr>
            <w:tcW w:w="6635" w:type="dxa"/>
            <w:vAlign w:val="center"/>
          </w:tcPr>
          <w:p w14:paraId="438D0EC4" w14:textId="383CD249" w:rsidR="00757031" w:rsidRPr="00534E03" w:rsidRDefault="00757031" w:rsidP="00F142F3">
            <w:pPr>
              <w:jc w:val="center"/>
              <w:rPr>
                <w:rFonts w:cs="Times New Roman"/>
                <w:b/>
                <w:sz w:val="24"/>
                <w:szCs w:val="24"/>
              </w:rPr>
            </w:pPr>
            <w:r>
              <w:rPr>
                <w:rFonts w:cs="Times New Roman"/>
                <w:b/>
                <w:sz w:val="24"/>
                <w:szCs w:val="24"/>
              </w:rPr>
              <w:t>C</w:t>
            </w:r>
            <w:r w:rsidR="00154693">
              <w:rPr>
                <w:rFonts w:cs="Times New Roman"/>
                <w:b/>
                <w:sz w:val="24"/>
                <w:szCs w:val="24"/>
              </w:rPr>
              <w:t xml:space="preserve">ountry </w:t>
            </w:r>
            <w:r>
              <w:rPr>
                <w:rFonts w:cs="Times New Roman"/>
                <w:b/>
                <w:sz w:val="24"/>
                <w:szCs w:val="24"/>
              </w:rPr>
              <w:t>O</w:t>
            </w:r>
            <w:r w:rsidR="00154693">
              <w:rPr>
                <w:rFonts w:cs="Times New Roman"/>
                <w:b/>
                <w:sz w:val="24"/>
                <w:szCs w:val="24"/>
              </w:rPr>
              <w:t>ffice</w:t>
            </w:r>
            <w:r>
              <w:rPr>
                <w:rFonts w:cs="Times New Roman"/>
                <w:b/>
                <w:sz w:val="24"/>
                <w:szCs w:val="24"/>
              </w:rPr>
              <w:t xml:space="preserve"> </w:t>
            </w:r>
            <w:r w:rsidR="00154693">
              <w:rPr>
                <w:rFonts w:cs="Times New Roman"/>
                <w:b/>
                <w:sz w:val="24"/>
                <w:szCs w:val="24"/>
              </w:rPr>
              <w:t>r</w:t>
            </w:r>
            <w:r>
              <w:rPr>
                <w:rFonts w:cs="Times New Roman"/>
                <w:b/>
                <w:sz w:val="24"/>
                <w:szCs w:val="24"/>
              </w:rPr>
              <w:t xml:space="preserve">esponse </w:t>
            </w:r>
          </w:p>
        </w:tc>
      </w:tr>
      <w:tr w:rsidR="00757031" w:rsidRPr="005323D5" w14:paraId="59FFD639" w14:textId="157C5B8F" w:rsidTr="00154693">
        <w:trPr>
          <w:trHeight w:val="2132"/>
        </w:trPr>
        <w:tc>
          <w:tcPr>
            <w:tcW w:w="7799" w:type="dxa"/>
          </w:tcPr>
          <w:p w14:paraId="106DA92D" w14:textId="1824EE1D" w:rsidR="00757031" w:rsidRPr="00534E03" w:rsidRDefault="00757031" w:rsidP="009D5901">
            <w:pPr>
              <w:pStyle w:val="ListParagraph"/>
              <w:numPr>
                <w:ilvl w:val="0"/>
                <w:numId w:val="12"/>
              </w:numPr>
              <w:rPr>
                <w:rFonts w:cs="Times New Roman"/>
                <w:sz w:val="24"/>
                <w:szCs w:val="24"/>
              </w:rPr>
            </w:pPr>
            <w:r>
              <w:rPr>
                <w:rFonts w:cs="Times New Roman"/>
                <w:sz w:val="24"/>
                <w:szCs w:val="24"/>
              </w:rPr>
              <w:t xml:space="preserve">There is a potential for synergies with EU priorities, notably digital transformation, sustainable </w:t>
            </w:r>
            <w:proofErr w:type="gramStart"/>
            <w:r>
              <w:rPr>
                <w:rFonts w:cs="Times New Roman"/>
                <w:sz w:val="24"/>
                <w:szCs w:val="24"/>
              </w:rPr>
              <w:t>production</w:t>
            </w:r>
            <w:proofErr w:type="gramEnd"/>
            <w:r>
              <w:rPr>
                <w:rFonts w:cs="Times New Roman"/>
                <w:sz w:val="24"/>
                <w:szCs w:val="24"/>
              </w:rPr>
              <w:t xml:space="preserve"> and low-carbon mobility.</w:t>
            </w:r>
          </w:p>
        </w:tc>
        <w:tc>
          <w:tcPr>
            <w:tcW w:w="6635" w:type="dxa"/>
          </w:tcPr>
          <w:p w14:paraId="5ED13512" w14:textId="765CCB0F" w:rsidR="00757031" w:rsidRPr="009F6E1F" w:rsidRDefault="009F6E1F" w:rsidP="009F6E1F">
            <w:pPr>
              <w:jc w:val="both"/>
              <w:rPr>
                <w:sz w:val="24"/>
                <w:szCs w:val="24"/>
                <w:lang w:val="en-GB"/>
              </w:rPr>
            </w:pPr>
            <w:r>
              <w:rPr>
                <w:sz w:val="24"/>
                <w:szCs w:val="24"/>
              </w:rPr>
              <w:t>The CO takes due note of the comment. When the EUD in Uruguay undertook consultations in June 2020 on its future flagship initiatives, UNDP provided extensive comments and inputs on synergies and opportunities linked to its current and upcoming program, particularly in relation to what the EUD was proposing relating to the ”</w:t>
            </w:r>
            <w:r>
              <w:rPr>
                <w:sz w:val="24"/>
                <w:szCs w:val="24"/>
                <w:lang w:val="en-GB"/>
              </w:rPr>
              <w:t xml:space="preserve">Green Deal - Environmental Protection &amp; Paris Agreement” and “Digital Transformation”. </w:t>
            </w:r>
          </w:p>
        </w:tc>
      </w:tr>
      <w:tr w:rsidR="00757031" w:rsidRPr="005323D5" w14:paraId="1F829039" w14:textId="1AEDCF41" w:rsidTr="00154693">
        <w:trPr>
          <w:trHeight w:val="1070"/>
        </w:trPr>
        <w:tc>
          <w:tcPr>
            <w:tcW w:w="7799" w:type="dxa"/>
          </w:tcPr>
          <w:p w14:paraId="7B1CEB7A" w14:textId="50855CDA" w:rsidR="00757031" w:rsidRPr="00A457DA" w:rsidRDefault="00757031" w:rsidP="00A457DA">
            <w:pPr>
              <w:pStyle w:val="ListParagraph"/>
              <w:numPr>
                <w:ilvl w:val="0"/>
                <w:numId w:val="12"/>
              </w:numPr>
              <w:rPr>
                <w:rFonts w:cs="Times New Roman"/>
                <w:sz w:val="24"/>
                <w:szCs w:val="24"/>
              </w:rPr>
            </w:pPr>
            <w:r>
              <w:rPr>
                <w:rFonts w:cs="Times New Roman"/>
                <w:sz w:val="24"/>
                <w:szCs w:val="24"/>
              </w:rPr>
              <w:t>Similarly, it will be important to coordinate between the EU and UNDP on transversal issues like gender equality and youth rights and opportunities.</w:t>
            </w:r>
          </w:p>
        </w:tc>
        <w:tc>
          <w:tcPr>
            <w:tcW w:w="6635" w:type="dxa"/>
          </w:tcPr>
          <w:p w14:paraId="3034B0AE" w14:textId="2D9972B4" w:rsidR="00757031" w:rsidRPr="009F6E1F" w:rsidRDefault="009F6E1F" w:rsidP="009F6E1F">
            <w:pPr>
              <w:rPr>
                <w:rFonts w:cs="Times New Roman"/>
                <w:sz w:val="24"/>
                <w:szCs w:val="24"/>
              </w:rPr>
            </w:pPr>
            <w:r>
              <w:rPr>
                <w:sz w:val="24"/>
                <w:szCs w:val="24"/>
              </w:rPr>
              <w:t>The CO takes due note of the comment and will engage with the EUD in Uruguay to explore how to ensure this coordination, which is in the interest of both organizations.</w:t>
            </w:r>
          </w:p>
        </w:tc>
      </w:tr>
      <w:tr w:rsidR="00757031" w:rsidRPr="005323D5" w14:paraId="08712356" w14:textId="706AC24C" w:rsidTr="00757031">
        <w:trPr>
          <w:trHeight w:val="476"/>
        </w:trPr>
        <w:tc>
          <w:tcPr>
            <w:tcW w:w="7799" w:type="dxa"/>
            <w:vAlign w:val="center"/>
          </w:tcPr>
          <w:p w14:paraId="42D1DF52" w14:textId="6E4BFA32" w:rsidR="00757031" w:rsidRPr="00A457DA" w:rsidRDefault="00757031" w:rsidP="00154693">
            <w:pPr>
              <w:pStyle w:val="ListParagraph"/>
              <w:numPr>
                <w:ilvl w:val="0"/>
                <w:numId w:val="12"/>
              </w:numPr>
              <w:spacing w:after="60"/>
              <w:rPr>
                <w:rFonts w:cs="Times New Roman"/>
                <w:sz w:val="24"/>
                <w:szCs w:val="24"/>
              </w:rPr>
            </w:pPr>
            <w:r w:rsidRPr="001D5AC7">
              <w:rPr>
                <w:rFonts w:cs="Times New Roman"/>
                <w:sz w:val="24"/>
                <w:szCs w:val="24"/>
              </w:rPr>
              <w:t>In the absence of a wider donor coordination mechanism, ad hoc bilateral meetings between UNDP and the EU in Uruguay can provide the platform for coordination. The meeting on 7 October 2020 between the Resident Representative of UNDP and the Head of Cooperation of the EU was a good starting point.</w:t>
            </w:r>
          </w:p>
        </w:tc>
        <w:tc>
          <w:tcPr>
            <w:tcW w:w="6635" w:type="dxa"/>
          </w:tcPr>
          <w:p w14:paraId="4AACDB90" w14:textId="030022D4" w:rsidR="00757031" w:rsidRPr="009F6E1F" w:rsidRDefault="009F6E1F" w:rsidP="009F6E1F">
            <w:pPr>
              <w:rPr>
                <w:rFonts w:cs="Times New Roman"/>
                <w:sz w:val="24"/>
                <w:szCs w:val="24"/>
                <w:highlight w:val="yellow"/>
              </w:rPr>
            </w:pPr>
            <w:r>
              <w:rPr>
                <w:sz w:val="24"/>
                <w:szCs w:val="24"/>
              </w:rPr>
              <w:t>The CO takes due note of the comment. The October meeting was indeed a good starting point and UNDP would be interested to explore having regular programmatic exchanges with the EUD given all the areas of common interest.  </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t>_______</w:t>
      </w: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4B90" w14:textId="77777777" w:rsidR="006721A7" w:rsidRDefault="006721A7" w:rsidP="0053576A">
      <w:pPr>
        <w:spacing w:after="0" w:line="240" w:lineRule="auto"/>
      </w:pPr>
      <w:r>
        <w:separator/>
      </w:r>
    </w:p>
  </w:endnote>
  <w:endnote w:type="continuationSeparator" w:id="0">
    <w:p w14:paraId="37F5BC0B" w14:textId="77777777" w:rsidR="006721A7" w:rsidRDefault="006721A7"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D69F1" w14:textId="77777777" w:rsidR="006721A7" w:rsidRDefault="006721A7" w:rsidP="0053576A">
      <w:pPr>
        <w:spacing w:after="0" w:line="240" w:lineRule="auto"/>
      </w:pPr>
      <w:r>
        <w:separator/>
      </w:r>
    </w:p>
  </w:footnote>
  <w:footnote w:type="continuationSeparator" w:id="0">
    <w:p w14:paraId="1165A2ED" w14:textId="77777777" w:rsidR="006721A7" w:rsidRDefault="006721A7"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3"/>
  </w:num>
  <w:num w:numId="6">
    <w:abstractNumId w:val="5"/>
  </w:num>
  <w:num w:numId="7">
    <w:abstractNumId w:val="4"/>
  </w:num>
  <w:num w:numId="8">
    <w:abstractNumId w:val="0"/>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0Njc0NTI1s7A0sDBT0lEKTi0uzszPAykwqgUAiQafviwAAAA="/>
    <w:docVar w:name="LW_DocType" w:val="NORMAL"/>
  </w:docVars>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4693"/>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5AC7"/>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09C5"/>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5E1A"/>
    <w:rsid w:val="004261B4"/>
    <w:rsid w:val="00431490"/>
    <w:rsid w:val="004334BB"/>
    <w:rsid w:val="00437124"/>
    <w:rsid w:val="00441968"/>
    <w:rsid w:val="004444FE"/>
    <w:rsid w:val="00445521"/>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6E84"/>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1A7"/>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C5457"/>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031"/>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2C37"/>
    <w:rsid w:val="008331C2"/>
    <w:rsid w:val="00833AFD"/>
    <w:rsid w:val="008348C2"/>
    <w:rsid w:val="00835473"/>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D5901"/>
    <w:rsid w:val="009E1A1F"/>
    <w:rsid w:val="009E25AA"/>
    <w:rsid w:val="009E340A"/>
    <w:rsid w:val="009E4940"/>
    <w:rsid w:val="009E6218"/>
    <w:rsid w:val="009F0097"/>
    <w:rsid w:val="009F157F"/>
    <w:rsid w:val="009F5068"/>
    <w:rsid w:val="009F6E1F"/>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43F9D"/>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42F3"/>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4505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FC83DCF8-37AD-4207-9B6B-CDAB9017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1342</Characters>
  <Application>Microsoft Office Word</Application>
  <DocSecurity>4</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2019-10-23T14:31:00Z</cp:lastPrinted>
  <dcterms:created xsi:type="dcterms:W3CDTF">2020-12-02T11:48:00Z</dcterms:created>
  <dcterms:modified xsi:type="dcterms:W3CDTF">2020-12-02T11:48:00Z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