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1D3D" w14:textId="07D4C29C" w:rsidR="00B8302E" w:rsidRPr="009041A1" w:rsidRDefault="00B8302E" w:rsidP="00B8302E">
      <w:pPr>
        <w:rPr>
          <w:b/>
          <w:i/>
        </w:rPr>
      </w:pPr>
      <w:r w:rsidRPr="003C26C1">
        <w:rPr>
          <w:b/>
          <w:bCs/>
          <w:color w:val="000000"/>
        </w:rPr>
        <w:t>ANNEX</w:t>
      </w:r>
      <w:r w:rsidRPr="003C26C1">
        <w:rPr>
          <w:bCs/>
          <w:color w:val="000000"/>
        </w:rPr>
        <w:t xml:space="preserve">. </w:t>
      </w:r>
      <w:r w:rsidR="00355A57" w:rsidRPr="003C26C1">
        <w:rPr>
          <w:b/>
          <w:bCs/>
          <w:color w:val="000000"/>
        </w:rPr>
        <w:t>FULLY COSTED</w:t>
      </w:r>
      <w:r w:rsidRPr="003C26C1">
        <w:rPr>
          <w:b/>
          <w:color w:val="000000"/>
        </w:rPr>
        <w:t xml:space="preserve"> EVALUATION </w:t>
      </w:r>
      <w:r w:rsidRPr="009041A1">
        <w:rPr>
          <w:b/>
        </w:rPr>
        <w:t xml:space="preserve">PLAN </w:t>
      </w:r>
    </w:p>
    <w:p w14:paraId="6F6ADF1C" w14:textId="7FFF2055" w:rsidR="00AC1A1D" w:rsidRPr="009041A1" w:rsidRDefault="00AC1A1D" w:rsidP="00B8302E">
      <w:pPr>
        <w:rPr>
          <w:b/>
          <w:i/>
        </w:rPr>
      </w:pPr>
    </w:p>
    <w:p w14:paraId="3B882A38" w14:textId="6CFCCE80" w:rsidR="00AC1A1D" w:rsidRDefault="00AC1A1D" w:rsidP="00B8302E">
      <w:pPr>
        <w:rPr>
          <w:sz w:val="16"/>
          <w:szCs w:val="16"/>
          <w:lang w:val="en-GB"/>
        </w:rPr>
      </w:pPr>
      <w:r w:rsidRPr="009041A1">
        <w:rPr>
          <w:sz w:val="16"/>
          <w:szCs w:val="16"/>
          <w:lang w:val="en-GB"/>
        </w:rPr>
        <w:t>The present evaluation plan</w:t>
      </w:r>
      <w:r w:rsidR="004A0EFD" w:rsidRPr="009041A1">
        <w:rPr>
          <w:sz w:val="16"/>
          <w:szCs w:val="16"/>
          <w:lang w:val="en-GB"/>
        </w:rPr>
        <w:t xml:space="preserve"> (2023- 2027)</w:t>
      </w:r>
      <w:r w:rsidRPr="009041A1">
        <w:rPr>
          <w:sz w:val="16"/>
          <w:szCs w:val="16"/>
          <w:lang w:val="en-GB"/>
        </w:rPr>
        <w:t xml:space="preserve"> was developed </w:t>
      </w:r>
      <w:r w:rsidR="00C56EE5" w:rsidRPr="009041A1">
        <w:rPr>
          <w:sz w:val="16"/>
          <w:szCs w:val="16"/>
          <w:lang w:val="en-GB"/>
        </w:rPr>
        <w:t xml:space="preserve">to contribute to </w:t>
      </w:r>
      <w:r w:rsidR="00455D99" w:rsidRPr="009041A1">
        <w:rPr>
          <w:sz w:val="16"/>
          <w:szCs w:val="16"/>
          <w:lang w:val="en-GB"/>
        </w:rPr>
        <w:t>the</w:t>
      </w:r>
      <w:r w:rsidR="00455D99">
        <w:rPr>
          <w:sz w:val="16"/>
          <w:szCs w:val="16"/>
          <w:lang w:val="en-GB"/>
        </w:rPr>
        <w:t xml:space="preserve"> CO’s </w:t>
      </w:r>
      <w:r w:rsidR="00B51A8A">
        <w:rPr>
          <w:sz w:val="16"/>
          <w:szCs w:val="16"/>
          <w:lang w:val="en-GB"/>
        </w:rPr>
        <w:t xml:space="preserve">accountability and </w:t>
      </w:r>
      <w:r w:rsidR="00455D99">
        <w:rPr>
          <w:sz w:val="16"/>
          <w:szCs w:val="16"/>
          <w:lang w:val="en-GB"/>
        </w:rPr>
        <w:t xml:space="preserve">learning needs, </w:t>
      </w:r>
      <w:r w:rsidR="00C04354">
        <w:rPr>
          <w:sz w:val="16"/>
          <w:szCs w:val="16"/>
          <w:lang w:val="en-GB"/>
        </w:rPr>
        <w:t>potential need</w:t>
      </w:r>
      <w:r w:rsidR="00B51A8A">
        <w:rPr>
          <w:sz w:val="16"/>
          <w:szCs w:val="16"/>
          <w:lang w:val="en-GB"/>
        </w:rPr>
        <w:t>s</w:t>
      </w:r>
      <w:r w:rsidR="00C04354">
        <w:rPr>
          <w:sz w:val="16"/>
          <w:szCs w:val="16"/>
          <w:lang w:val="en-GB"/>
        </w:rPr>
        <w:t xml:space="preserve"> for </w:t>
      </w:r>
      <w:r w:rsidR="00B51A8A">
        <w:rPr>
          <w:sz w:val="16"/>
          <w:szCs w:val="16"/>
          <w:lang w:val="en-GB"/>
        </w:rPr>
        <w:t>course correction</w:t>
      </w:r>
      <w:r w:rsidR="00C04354">
        <w:rPr>
          <w:sz w:val="16"/>
          <w:szCs w:val="16"/>
          <w:lang w:val="en-GB"/>
        </w:rPr>
        <w:t xml:space="preserve"> </w:t>
      </w:r>
      <w:r w:rsidR="00A0564C">
        <w:rPr>
          <w:sz w:val="16"/>
          <w:szCs w:val="16"/>
          <w:lang w:val="en-GB"/>
        </w:rPr>
        <w:t>and builds more specifically on the following criteria:</w:t>
      </w:r>
      <w:r w:rsidR="00455D99">
        <w:rPr>
          <w:sz w:val="16"/>
          <w:szCs w:val="16"/>
          <w:lang w:val="en-GB"/>
        </w:rPr>
        <w:t xml:space="preserve"> </w:t>
      </w:r>
    </w:p>
    <w:p w14:paraId="271A2AEF" w14:textId="4F1566D2" w:rsidR="00AD388E" w:rsidRPr="00AD388E" w:rsidRDefault="00AD388E" w:rsidP="00AD388E">
      <w:pPr>
        <w:pStyle w:val="ListParagraph"/>
        <w:numPr>
          <w:ilvl w:val="0"/>
          <w:numId w:val="1"/>
        </w:numPr>
        <w:rPr>
          <w:sz w:val="16"/>
          <w:szCs w:val="16"/>
          <w:lang w:val="en-GB"/>
        </w:rPr>
      </w:pPr>
      <w:r>
        <w:rPr>
          <w:sz w:val="16"/>
          <w:szCs w:val="16"/>
          <w:lang w:val="en-GB"/>
        </w:rPr>
        <w:t xml:space="preserve">Final </w:t>
      </w:r>
      <w:r w:rsidR="000832C1">
        <w:rPr>
          <w:sz w:val="16"/>
          <w:szCs w:val="16"/>
          <w:lang w:val="en-GB"/>
        </w:rPr>
        <w:t>and</w:t>
      </w:r>
      <w:r>
        <w:rPr>
          <w:sz w:val="16"/>
          <w:szCs w:val="16"/>
          <w:lang w:val="en-GB"/>
        </w:rPr>
        <w:t xml:space="preserve"> mid-term </w:t>
      </w:r>
      <w:r w:rsidRPr="00AD388E">
        <w:rPr>
          <w:sz w:val="16"/>
          <w:szCs w:val="16"/>
          <w:lang w:val="en-GB"/>
        </w:rPr>
        <w:t xml:space="preserve">evaluations will inform programme design and implementation, identify opportunities for </w:t>
      </w:r>
      <w:r w:rsidR="003B1A6E">
        <w:rPr>
          <w:sz w:val="16"/>
          <w:szCs w:val="16"/>
          <w:lang w:val="en-GB"/>
        </w:rPr>
        <w:t xml:space="preserve">course-correction, </w:t>
      </w:r>
      <w:r w:rsidRPr="00AD388E">
        <w:rPr>
          <w:sz w:val="16"/>
          <w:szCs w:val="16"/>
          <w:lang w:val="en-GB"/>
        </w:rPr>
        <w:t>synergies across the country programme and promote joint learning and innovation.</w:t>
      </w:r>
    </w:p>
    <w:p w14:paraId="31AA5519" w14:textId="6DA6939E" w:rsidR="00E118FD" w:rsidRDefault="00E118FD" w:rsidP="00E118FD">
      <w:pPr>
        <w:pStyle w:val="ListParagraph"/>
        <w:numPr>
          <w:ilvl w:val="0"/>
          <w:numId w:val="1"/>
        </w:numPr>
        <w:rPr>
          <w:sz w:val="16"/>
          <w:szCs w:val="16"/>
          <w:lang w:val="en-GB"/>
        </w:rPr>
      </w:pPr>
      <w:r>
        <w:rPr>
          <w:sz w:val="16"/>
          <w:szCs w:val="16"/>
          <w:lang w:val="en-GB"/>
        </w:rPr>
        <w:t>Compulsory evaluations for GEF and GCF projects have been included and</w:t>
      </w:r>
      <w:r w:rsidR="00EC1D53">
        <w:rPr>
          <w:sz w:val="16"/>
          <w:szCs w:val="16"/>
          <w:lang w:val="en-GB"/>
        </w:rPr>
        <w:t xml:space="preserve"> programmed according to </w:t>
      </w:r>
      <w:r w:rsidR="001E57C8">
        <w:rPr>
          <w:sz w:val="16"/>
          <w:szCs w:val="16"/>
          <w:lang w:val="en-GB"/>
        </w:rPr>
        <w:t>foreseen project</w:t>
      </w:r>
      <w:r w:rsidR="00EC1D53">
        <w:rPr>
          <w:sz w:val="16"/>
          <w:szCs w:val="16"/>
          <w:lang w:val="en-GB"/>
        </w:rPr>
        <w:t xml:space="preserve"> implementation timelines;</w:t>
      </w:r>
    </w:p>
    <w:p w14:paraId="6B9FEB91" w14:textId="787D2895" w:rsidR="00EC1D53" w:rsidRDefault="00B46A77" w:rsidP="00E118FD">
      <w:pPr>
        <w:pStyle w:val="ListParagraph"/>
        <w:numPr>
          <w:ilvl w:val="0"/>
          <w:numId w:val="1"/>
        </w:numPr>
        <w:rPr>
          <w:sz w:val="16"/>
          <w:szCs w:val="16"/>
          <w:lang w:val="en-GB"/>
        </w:rPr>
      </w:pPr>
      <w:r>
        <w:rPr>
          <w:sz w:val="16"/>
          <w:szCs w:val="16"/>
          <w:lang w:val="en-GB"/>
        </w:rPr>
        <w:t>Mid-term and Final evaluations were added for projects over</w:t>
      </w:r>
      <w:r w:rsidR="003A656B">
        <w:rPr>
          <w:sz w:val="16"/>
          <w:szCs w:val="16"/>
          <w:lang w:val="en-GB"/>
        </w:rPr>
        <w:t xml:space="preserve"> $5 million and 3 years of duration </w:t>
      </w:r>
      <w:r w:rsidR="00303AAD">
        <w:rPr>
          <w:sz w:val="16"/>
          <w:szCs w:val="16"/>
          <w:lang w:val="en-GB"/>
        </w:rPr>
        <w:t>as per evaluation gui</w:t>
      </w:r>
      <w:r w:rsidR="000832C1">
        <w:rPr>
          <w:sz w:val="16"/>
          <w:szCs w:val="16"/>
          <w:lang w:val="en-GB"/>
        </w:rPr>
        <w:t>de</w:t>
      </w:r>
      <w:r w:rsidR="00303AAD">
        <w:rPr>
          <w:sz w:val="16"/>
          <w:szCs w:val="16"/>
          <w:lang w:val="en-GB"/>
        </w:rPr>
        <w:t>lines;</w:t>
      </w:r>
      <w:r w:rsidR="003A656B">
        <w:rPr>
          <w:sz w:val="16"/>
          <w:szCs w:val="16"/>
          <w:lang w:val="en-GB"/>
        </w:rPr>
        <w:t xml:space="preserve"> </w:t>
      </w:r>
    </w:p>
    <w:p w14:paraId="28B435ED" w14:textId="7B42251B" w:rsidR="007D1467" w:rsidRDefault="00C83023" w:rsidP="00E118FD">
      <w:pPr>
        <w:pStyle w:val="ListParagraph"/>
        <w:numPr>
          <w:ilvl w:val="0"/>
          <w:numId w:val="1"/>
        </w:numPr>
        <w:rPr>
          <w:sz w:val="16"/>
          <w:szCs w:val="16"/>
          <w:lang w:val="en-GB"/>
        </w:rPr>
      </w:pPr>
      <w:r>
        <w:rPr>
          <w:sz w:val="16"/>
          <w:szCs w:val="16"/>
          <w:lang w:val="en-GB"/>
        </w:rPr>
        <w:t xml:space="preserve">A thematic </w:t>
      </w:r>
      <w:r w:rsidR="006E7F39">
        <w:rPr>
          <w:sz w:val="16"/>
          <w:szCs w:val="16"/>
          <w:lang w:val="en-GB"/>
        </w:rPr>
        <w:t xml:space="preserve">evaluation for the Governance portfolio </w:t>
      </w:r>
      <w:r w:rsidR="00CC1777">
        <w:rPr>
          <w:sz w:val="16"/>
          <w:szCs w:val="16"/>
          <w:lang w:val="en-GB"/>
        </w:rPr>
        <w:t xml:space="preserve">with a focus on its contribution to </w:t>
      </w:r>
      <w:r w:rsidR="00D73B55">
        <w:rPr>
          <w:sz w:val="16"/>
          <w:szCs w:val="16"/>
          <w:lang w:val="en-GB"/>
        </w:rPr>
        <w:t>democratic governance, rule of law, integrity and anticorruption, social inclusion and cohesion</w:t>
      </w:r>
      <w:r w:rsidR="00767D3D">
        <w:rPr>
          <w:sz w:val="16"/>
          <w:szCs w:val="16"/>
          <w:lang w:val="en-GB"/>
        </w:rPr>
        <w:t xml:space="preserve">, and gender equality and women </w:t>
      </w:r>
      <w:r w:rsidR="00355A57">
        <w:rPr>
          <w:sz w:val="16"/>
          <w:szCs w:val="16"/>
          <w:lang w:val="en-GB"/>
        </w:rPr>
        <w:t>empowerment.</w:t>
      </w:r>
    </w:p>
    <w:p w14:paraId="32A9638E" w14:textId="16744D5B" w:rsidR="00CC1777" w:rsidRDefault="00CC1777" w:rsidP="00E118FD">
      <w:pPr>
        <w:pStyle w:val="ListParagraph"/>
        <w:numPr>
          <w:ilvl w:val="0"/>
          <w:numId w:val="1"/>
        </w:numPr>
        <w:rPr>
          <w:sz w:val="16"/>
          <w:szCs w:val="16"/>
          <w:lang w:val="en-GB"/>
        </w:rPr>
      </w:pPr>
      <w:r>
        <w:rPr>
          <w:sz w:val="16"/>
          <w:szCs w:val="16"/>
          <w:lang w:val="en-GB"/>
        </w:rPr>
        <w:t>A mid-term review of the CPD implementation for learning purpose and potential course correction is foreseen by end of 202</w:t>
      </w:r>
      <w:r w:rsidR="00AC6F04">
        <w:rPr>
          <w:sz w:val="16"/>
          <w:szCs w:val="16"/>
          <w:lang w:val="en-GB"/>
        </w:rPr>
        <w:t>5</w:t>
      </w:r>
      <w:r>
        <w:rPr>
          <w:sz w:val="16"/>
          <w:szCs w:val="16"/>
          <w:lang w:val="en-GB"/>
        </w:rPr>
        <w:t>;</w:t>
      </w:r>
    </w:p>
    <w:p w14:paraId="24834D61" w14:textId="401E5BF5" w:rsidR="000B40FF" w:rsidRPr="000B40FF" w:rsidRDefault="00436310" w:rsidP="008F1090">
      <w:pPr>
        <w:pStyle w:val="ListParagraph"/>
        <w:numPr>
          <w:ilvl w:val="0"/>
          <w:numId w:val="1"/>
        </w:numPr>
        <w:textAlignment w:val="baseline"/>
        <w:rPr>
          <w:rFonts w:ascii="Verdana" w:hAnsi="Verdana"/>
          <w:sz w:val="16"/>
          <w:szCs w:val="16"/>
        </w:rPr>
      </w:pPr>
      <w:r w:rsidRPr="00AC045E">
        <w:rPr>
          <w:sz w:val="16"/>
          <w:szCs w:val="16"/>
          <w:lang w:val="en-GB"/>
        </w:rPr>
        <w:t xml:space="preserve">Evaluations have been spread over the whole CPD to optimise their contribution to learning and accountability objectives. </w:t>
      </w:r>
      <w:r w:rsidR="00AC045E" w:rsidRPr="00AC045E">
        <w:rPr>
          <w:sz w:val="16"/>
          <w:szCs w:val="16"/>
          <w:lang w:val="en-GB"/>
        </w:rPr>
        <w:t xml:space="preserve">In total there are </w:t>
      </w:r>
      <w:r w:rsidR="00AC045E">
        <w:rPr>
          <w:sz w:val="16"/>
          <w:szCs w:val="16"/>
          <w:lang w:val="en-GB"/>
        </w:rPr>
        <w:t>9</w:t>
      </w:r>
      <w:r w:rsidR="00AC045E" w:rsidRPr="00AC045E">
        <w:rPr>
          <w:sz w:val="16"/>
          <w:szCs w:val="16"/>
          <w:lang w:val="en-GB"/>
        </w:rPr>
        <w:t xml:space="preserve"> evaluations </w:t>
      </w:r>
      <w:r w:rsidR="00AC045E">
        <w:rPr>
          <w:sz w:val="16"/>
          <w:szCs w:val="16"/>
          <w:lang w:val="en-GB"/>
        </w:rPr>
        <w:t xml:space="preserve">planned: </w:t>
      </w:r>
      <w:r w:rsidR="00AC045E" w:rsidRPr="00AC045E">
        <w:rPr>
          <w:sz w:val="16"/>
          <w:szCs w:val="16"/>
          <w:lang w:val="en-GB"/>
        </w:rPr>
        <w:t xml:space="preserve">1 in 2023, </w:t>
      </w:r>
      <w:r w:rsidR="000832C1">
        <w:rPr>
          <w:sz w:val="16"/>
          <w:szCs w:val="16"/>
          <w:lang w:val="en-GB"/>
        </w:rPr>
        <w:t>3</w:t>
      </w:r>
      <w:r w:rsidR="00AC045E" w:rsidRPr="00AC045E">
        <w:rPr>
          <w:sz w:val="16"/>
          <w:szCs w:val="16"/>
          <w:lang w:val="en-GB"/>
        </w:rPr>
        <w:t xml:space="preserve"> in 2024, 2 in 2025</w:t>
      </w:r>
      <w:r w:rsidR="000832C1">
        <w:rPr>
          <w:sz w:val="16"/>
          <w:szCs w:val="16"/>
          <w:lang w:val="en-GB"/>
        </w:rPr>
        <w:t xml:space="preserve"> and</w:t>
      </w:r>
      <w:r w:rsidR="00AC045E" w:rsidRPr="00AC045E">
        <w:rPr>
          <w:sz w:val="16"/>
          <w:szCs w:val="16"/>
          <w:lang w:val="en-GB"/>
        </w:rPr>
        <w:t xml:space="preserve"> </w:t>
      </w:r>
      <w:r w:rsidR="00AC045E">
        <w:rPr>
          <w:sz w:val="16"/>
          <w:szCs w:val="16"/>
          <w:lang w:val="en-GB"/>
        </w:rPr>
        <w:t>3</w:t>
      </w:r>
      <w:r w:rsidR="00AC045E" w:rsidRPr="00AC045E">
        <w:rPr>
          <w:sz w:val="16"/>
          <w:szCs w:val="16"/>
          <w:lang w:val="en-GB"/>
        </w:rPr>
        <w:t xml:space="preserve"> in 2026.</w:t>
      </w:r>
    </w:p>
    <w:p w14:paraId="2699C2E4" w14:textId="33FA4DB1" w:rsidR="006C295C" w:rsidRPr="00AC045E" w:rsidRDefault="006C295C" w:rsidP="008F1090">
      <w:pPr>
        <w:pStyle w:val="ListParagraph"/>
        <w:numPr>
          <w:ilvl w:val="0"/>
          <w:numId w:val="1"/>
        </w:numPr>
        <w:textAlignment w:val="baseline"/>
        <w:rPr>
          <w:rFonts w:ascii="Verdana" w:hAnsi="Verdana"/>
          <w:sz w:val="16"/>
          <w:szCs w:val="16"/>
        </w:rPr>
      </w:pPr>
      <w:r w:rsidRPr="00AC045E">
        <w:rPr>
          <w:rStyle w:val="normaltextrun"/>
          <w:sz w:val="16"/>
          <w:szCs w:val="16"/>
          <w:lang w:val="en-GB"/>
        </w:rPr>
        <w:t>For future projects approved within the framework of the new cycle, relevant evaluations will be integrated in the Evaluation Plan as they arise, in compliance with UNDP regulations.</w:t>
      </w:r>
      <w:r w:rsidRPr="00AC045E">
        <w:rPr>
          <w:rStyle w:val="eop"/>
          <w:sz w:val="16"/>
          <w:szCs w:val="16"/>
        </w:rPr>
        <w:t> </w:t>
      </w:r>
    </w:p>
    <w:p w14:paraId="73D6779F" w14:textId="77777777" w:rsidR="006C295C" w:rsidRPr="000831B8" w:rsidRDefault="006C295C" w:rsidP="006C295C">
      <w:pPr>
        <w:pStyle w:val="paragraph"/>
        <w:numPr>
          <w:ilvl w:val="0"/>
          <w:numId w:val="1"/>
        </w:numPr>
        <w:spacing w:before="0" w:beforeAutospacing="0" w:after="0" w:afterAutospacing="0"/>
        <w:textAlignment w:val="baseline"/>
        <w:rPr>
          <w:sz w:val="16"/>
          <w:szCs w:val="16"/>
        </w:rPr>
      </w:pPr>
      <w:r w:rsidRPr="000831B8">
        <w:rPr>
          <w:rStyle w:val="normaltextrun"/>
          <w:sz w:val="16"/>
          <w:szCs w:val="16"/>
          <w:lang w:val="en-GB"/>
        </w:rPr>
        <w:t>The evaluation plan will be reviewed on a yearly basis to verify that the planned project evaluations in particular could indeed take place at the expected time and any required adjustments would be indicated to the concerned focal point at regional office.</w:t>
      </w:r>
      <w:r w:rsidRPr="000831B8">
        <w:rPr>
          <w:rStyle w:val="eop"/>
          <w:sz w:val="16"/>
          <w:szCs w:val="16"/>
        </w:rPr>
        <w:t> </w:t>
      </w:r>
    </w:p>
    <w:p w14:paraId="4E259C21" w14:textId="18FC63AE" w:rsidR="001E4AC0" w:rsidRPr="00E118FD" w:rsidRDefault="001E4AC0" w:rsidP="00E118FD">
      <w:pPr>
        <w:pStyle w:val="ListParagraph"/>
        <w:numPr>
          <w:ilvl w:val="0"/>
          <w:numId w:val="1"/>
        </w:numPr>
        <w:rPr>
          <w:sz w:val="16"/>
          <w:szCs w:val="16"/>
          <w:lang w:val="en-GB"/>
        </w:rPr>
      </w:pPr>
      <w:r>
        <w:rPr>
          <w:sz w:val="16"/>
          <w:szCs w:val="16"/>
          <w:lang w:val="en-GB"/>
        </w:rPr>
        <w:t xml:space="preserve">Any constraints due to </w:t>
      </w:r>
      <w:r w:rsidRPr="00D53437">
        <w:rPr>
          <w:i/>
          <w:iCs/>
          <w:sz w:val="16"/>
          <w:szCs w:val="16"/>
          <w:lang w:val="en-GB"/>
        </w:rPr>
        <w:t xml:space="preserve">force </w:t>
      </w:r>
      <w:proofErr w:type="spellStart"/>
      <w:r w:rsidRPr="00D53437">
        <w:rPr>
          <w:i/>
          <w:iCs/>
          <w:sz w:val="16"/>
          <w:szCs w:val="16"/>
          <w:lang w:val="en-GB"/>
        </w:rPr>
        <w:t>majeur</w:t>
      </w:r>
      <w:proofErr w:type="spellEnd"/>
      <w:r>
        <w:rPr>
          <w:sz w:val="16"/>
          <w:szCs w:val="16"/>
          <w:lang w:val="en-GB"/>
        </w:rPr>
        <w:t xml:space="preserve"> (climatic, pandemic or </w:t>
      </w:r>
      <w:r w:rsidR="00D53437">
        <w:rPr>
          <w:sz w:val="16"/>
          <w:szCs w:val="16"/>
          <w:lang w:val="en-GB"/>
        </w:rPr>
        <w:t>context-specific related) will be dealt with accordingly using remote work modalities as introduced during the Covid-19 pandemic.</w:t>
      </w:r>
    </w:p>
    <w:p w14:paraId="40855ED7" w14:textId="77777777" w:rsidR="00B8302E" w:rsidRPr="00E118FD" w:rsidRDefault="00B8302E" w:rsidP="00B8302E">
      <w:pPr>
        <w:rPr>
          <w:color w:val="000000"/>
          <w:lang w:val="en-GB"/>
        </w:rPr>
      </w:pP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865"/>
        <w:gridCol w:w="1434"/>
        <w:gridCol w:w="1738"/>
        <w:gridCol w:w="1744"/>
        <w:gridCol w:w="1439"/>
        <w:gridCol w:w="1674"/>
        <w:gridCol w:w="1529"/>
        <w:gridCol w:w="1506"/>
      </w:tblGrid>
      <w:tr w:rsidR="003624C7" w:rsidRPr="003C26C1" w14:paraId="5174145E" w14:textId="77777777" w:rsidTr="007C51AD">
        <w:trPr>
          <w:trHeight w:val="845"/>
        </w:trPr>
        <w:tc>
          <w:tcPr>
            <w:tcW w:w="724" w:type="pct"/>
            <w:shd w:val="clear" w:color="auto" w:fill="D9E2F3" w:themeFill="accent1" w:themeFillTint="33"/>
            <w:vAlign w:val="center"/>
          </w:tcPr>
          <w:p w14:paraId="579421FD" w14:textId="77777777" w:rsidR="00B8302E" w:rsidRPr="003C26C1" w:rsidRDefault="00B8302E" w:rsidP="00F014E7">
            <w:pPr>
              <w:jc w:val="center"/>
              <w:rPr>
                <w:b/>
                <w:bCs/>
                <w:sz w:val="16"/>
                <w:szCs w:val="16"/>
              </w:rPr>
            </w:pPr>
            <w:r w:rsidRPr="003C26C1">
              <w:rPr>
                <w:b/>
                <w:bCs/>
                <w:sz w:val="16"/>
                <w:szCs w:val="16"/>
              </w:rPr>
              <w:t>UNDAF (or equivalent)</w:t>
            </w:r>
          </w:p>
          <w:p w14:paraId="68E8D67A" w14:textId="77777777" w:rsidR="00B8302E" w:rsidRPr="003C26C1" w:rsidRDefault="00B8302E" w:rsidP="00F014E7">
            <w:pPr>
              <w:jc w:val="center"/>
              <w:rPr>
                <w:b/>
                <w:bCs/>
                <w:sz w:val="16"/>
                <w:szCs w:val="16"/>
              </w:rPr>
            </w:pPr>
            <w:r w:rsidRPr="003C26C1">
              <w:rPr>
                <w:b/>
                <w:bCs/>
                <w:sz w:val="16"/>
                <w:szCs w:val="16"/>
              </w:rPr>
              <w:t xml:space="preserve">Outcome </w:t>
            </w:r>
          </w:p>
        </w:tc>
        <w:tc>
          <w:tcPr>
            <w:tcW w:w="310" w:type="pct"/>
            <w:shd w:val="clear" w:color="auto" w:fill="D9E2F3" w:themeFill="accent1" w:themeFillTint="33"/>
            <w:vAlign w:val="center"/>
          </w:tcPr>
          <w:p w14:paraId="4778F1EB" w14:textId="77777777" w:rsidR="00B8302E" w:rsidRPr="003C26C1" w:rsidRDefault="00B8302E" w:rsidP="00F014E7">
            <w:pPr>
              <w:jc w:val="center"/>
              <w:rPr>
                <w:b/>
                <w:bCs/>
                <w:sz w:val="16"/>
                <w:szCs w:val="16"/>
              </w:rPr>
            </w:pPr>
            <w:r w:rsidRPr="003C26C1">
              <w:rPr>
                <w:b/>
                <w:bCs/>
                <w:sz w:val="16"/>
                <w:szCs w:val="16"/>
              </w:rPr>
              <w:t>UNDP Strategic Plan Outcome</w:t>
            </w:r>
          </w:p>
        </w:tc>
        <w:tc>
          <w:tcPr>
            <w:tcW w:w="514" w:type="pct"/>
            <w:shd w:val="clear" w:color="auto" w:fill="D9E2F3" w:themeFill="accent1" w:themeFillTint="33"/>
            <w:vAlign w:val="center"/>
          </w:tcPr>
          <w:p w14:paraId="05E597EC" w14:textId="77777777" w:rsidR="00B8302E" w:rsidRPr="003C26C1" w:rsidRDefault="00B8302E" w:rsidP="00F014E7">
            <w:pPr>
              <w:jc w:val="center"/>
              <w:rPr>
                <w:b/>
                <w:bCs/>
                <w:sz w:val="16"/>
                <w:szCs w:val="16"/>
              </w:rPr>
            </w:pPr>
            <w:r w:rsidRPr="003C26C1">
              <w:rPr>
                <w:b/>
                <w:bCs/>
                <w:sz w:val="16"/>
                <w:szCs w:val="16"/>
              </w:rPr>
              <w:t>Evaluation Title</w:t>
            </w:r>
          </w:p>
        </w:tc>
        <w:tc>
          <w:tcPr>
            <w:tcW w:w="623" w:type="pct"/>
            <w:shd w:val="clear" w:color="auto" w:fill="D9E2F3" w:themeFill="accent1" w:themeFillTint="33"/>
            <w:vAlign w:val="center"/>
          </w:tcPr>
          <w:p w14:paraId="5401DA27" w14:textId="77777777" w:rsidR="00B8302E" w:rsidRPr="003C26C1" w:rsidDel="00BA628C" w:rsidRDefault="00B8302E" w:rsidP="00F014E7">
            <w:pPr>
              <w:jc w:val="center"/>
              <w:rPr>
                <w:b/>
                <w:bCs/>
                <w:sz w:val="16"/>
                <w:szCs w:val="16"/>
              </w:rPr>
            </w:pPr>
            <w:r w:rsidRPr="003C26C1">
              <w:rPr>
                <w:b/>
                <w:bCs/>
                <w:sz w:val="16"/>
                <w:szCs w:val="16"/>
              </w:rPr>
              <w:t>Partners (joint evaluation)</w:t>
            </w:r>
          </w:p>
        </w:tc>
        <w:tc>
          <w:tcPr>
            <w:tcW w:w="625" w:type="pct"/>
            <w:shd w:val="clear" w:color="auto" w:fill="D9E2F3" w:themeFill="accent1" w:themeFillTint="33"/>
            <w:vAlign w:val="center"/>
          </w:tcPr>
          <w:p w14:paraId="661AE474" w14:textId="77777777" w:rsidR="00B8302E" w:rsidRPr="003C26C1" w:rsidRDefault="00B8302E" w:rsidP="00F014E7">
            <w:pPr>
              <w:jc w:val="center"/>
              <w:rPr>
                <w:b/>
                <w:bCs/>
                <w:sz w:val="16"/>
                <w:szCs w:val="16"/>
              </w:rPr>
            </w:pPr>
            <w:r w:rsidRPr="003C26C1">
              <w:rPr>
                <w:b/>
                <w:bCs/>
                <w:sz w:val="16"/>
                <w:szCs w:val="16"/>
              </w:rPr>
              <w:t>Evaluation commissioned by (if not UNDP)</w:t>
            </w:r>
          </w:p>
        </w:tc>
        <w:tc>
          <w:tcPr>
            <w:tcW w:w="516" w:type="pct"/>
            <w:shd w:val="clear" w:color="auto" w:fill="D9E2F3" w:themeFill="accent1" w:themeFillTint="33"/>
            <w:vAlign w:val="center"/>
          </w:tcPr>
          <w:p w14:paraId="30BB31A0" w14:textId="77777777" w:rsidR="00B8302E" w:rsidRPr="003C26C1" w:rsidRDefault="00B8302E" w:rsidP="00F014E7">
            <w:pPr>
              <w:jc w:val="center"/>
              <w:rPr>
                <w:b/>
                <w:bCs/>
                <w:sz w:val="16"/>
                <w:szCs w:val="16"/>
              </w:rPr>
            </w:pPr>
            <w:r w:rsidRPr="003C26C1">
              <w:rPr>
                <w:b/>
                <w:bCs/>
                <w:sz w:val="16"/>
                <w:szCs w:val="16"/>
              </w:rPr>
              <w:t>Type of evaluation</w:t>
            </w:r>
          </w:p>
        </w:tc>
        <w:tc>
          <w:tcPr>
            <w:tcW w:w="600" w:type="pct"/>
            <w:shd w:val="clear" w:color="auto" w:fill="D9E2F3" w:themeFill="accent1" w:themeFillTint="33"/>
            <w:vAlign w:val="center"/>
          </w:tcPr>
          <w:p w14:paraId="186B87CA" w14:textId="77777777" w:rsidR="00B8302E" w:rsidRPr="003C26C1" w:rsidRDefault="00B8302E" w:rsidP="00F014E7">
            <w:pPr>
              <w:jc w:val="center"/>
              <w:rPr>
                <w:b/>
                <w:bCs/>
                <w:sz w:val="16"/>
                <w:szCs w:val="16"/>
              </w:rPr>
            </w:pPr>
            <w:r w:rsidRPr="003C26C1">
              <w:rPr>
                <w:b/>
                <w:bCs/>
                <w:sz w:val="16"/>
                <w:szCs w:val="16"/>
              </w:rPr>
              <w:t>Planned Evaluation Completion Date</w:t>
            </w:r>
          </w:p>
        </w:tc>
        <w:tc>
          <w:tcPr>
            <w:tcW w:w="548" w:type="pct"/>
            <w:shd w:val="clear" w:color="auto" w:fill="D9E2F3" w:themeFill="accent1" w:themeFillTint="33"/>
            <w:vAlign w:val="center"/>
          </w:tcPr>
          <w:p w14:paraId="704520DA" w14:textId="77777777" w:rsidR="00B8302E" w:rsidRPr="003C26C1" w:rsidRDefault="00B8302E" w:rsidP="00F014E7">
            <w:pPr>
              <w:jc w:val="center"/>
              <w:rPr>
                <w:b/>
                <w:bCs/>
                <w:sz w:val="16"/>
                <w:szCs w:val="16"/>
              </w:rPr>
            </w:pPr>
            <w:r w:rsidRPr="003C26C1">
              <w:rPr>
                <w:b/>
                <w:bCs/>
                <w:sz w:val="16"/>
                <w:szCs w:val="16"/>
              </w:rPr>
              <w:t>Estimated Cost</w:t>
            </w:r>
          </w:p>
        </w:tc>
        <w:tc>
          <w:tcPr>
            <w:tcW w:w="540" w:type="pct"/>
            <w:shd w:val="clear" w:color="auto" w:fill="D9E2F3" w:themeFill="accent1" w:themeFillTint="33"/>
            <w:vAlign w:val="center"/>
          </w:tcPr>
          <w:p w14:paraId="270A4E8C" w14:textId="77777777" w:rsidR="00B8302E" w:rsidRPr="003C26C1" w:rsidRDefault="00B8302E" w:rsidP="00F014E7">
            <w:pPr>
              <w:jc w:val="center"/>
              <w:rPr>
                <w:b/>
                <w:bCs/>
                <w:sz w:val="16"/>
                <w:szCs w:val="16"/>
              </w:rPr>
            </w:pPr>
            <w:r w:rsidRPr="003C26C1">
              <w:rPr>
                <w:b/>
                <w:bCs/>
                <w:sz w:val="16"/>
                <w:szCs w:val="16"/>
              </w:rPr>
              <w:t>Provisional Source of Funding</w:t>
            </w:r>
          </w:p>
        </w:tc>
      </w:tr>
      <w:tr w:rsidR="003F170B" w:rsidRPr="003C26C1" w14:paraId="47DE6147" w14:textId="77777777" w:rsidTr="007C51AD">
        <w:trPr>
          <w:trHeight w:val="983"/>
        </w:trPr>
        <w:tc>
          <w:tcPr>
            <w:tcW w:w="724" w:type="pct"/>
            <w:vMerge w:val="restart"/>
          </w:tcPr>
          <w:p w14:paraId="6D3E4D3C" w14:textId="5160213F" w:rsidR="003F170B" w:rsidRPr="00024910" w:rsidRDefault="003F170B" w:rsidP="00F014E7">
            <w:pPr>
              <w:rPr>
                <w:sz w:val="16"/>
                <w:szCs w:val="16"/>
                <w:lang w:val="en-GB"/>
              </w:rPr>
            </w:pPr>
            <w:r>
              <w:rPr>
                <w:sz w:val="16"/>
                <w:szCs w:val="16"/>
                <w:lang w:val="en-GB"/>
              </w:rPr>
              <w:t>Outcome</w:t>
            </w:r>
            <w:r w:rsidRPr="00024910">
              <w:rPr>
                <w:sz w:val="16"/>
                <w:szCs w:val="16"/>
                <w:lang w:val="en-GB"/>
              </w:rPr>
              <w:t xml:space="preserve"> 1: </w:t>
            </w:r>
            <w:r w:rsidRPr="00024910">
              <w:rPr>
                <w:rFonts w:cstheme="minorHAnsi"/>
                <w:b/>
                <w:bCs/>
                <w:sz w:val="16"/>
                <w:szCs w:val="16"/>
                <w:lang w:val="en-GB"/>
              </w:rPr>
              <w:t xml:space="preserve"> </w:t>
            </w:r>
            <w:r w:rsidRPr="004A3591">
              <w:rPr>
                <w:b/>
                <w:bCs/>
                <w:sz w:val="18"/>
                <w:szCs w:val="18"/>
                <w:lang w:val="en-GB"/>
              </w:rPr>
              <w:t>In 2027, the population will benefit from the implementation of sustainable environmental policies, which guarantee the fight against climate change, the preservation of ecosystems, the management of major risks, the energy transition, a rational management of resources and the right to a healthy environment in line with multilateral environmental frameworks</w:t>
            </w:r>
          </w:p>
        </w:tc>
        <w:tc>
          <w:tcPr>
            <w:tcW w:w="310" w:type="pct"/>
            <w:vMerge w:val="restart"/>
          </w:tcPr>
          <w:p w14:paraId="0A25F701" w14:textId="16CF4C66" w:rsidR="003F170B" w:rsidRPr="003C26C1" w:rsidRDefault="003F170B" w:rsidP="00F014E7">
            <w:pPr>
              <w:rPr>
                <w:sz w:val="16"/>
                <w:szCs w:val="16"/>
              </w:rPr>
            </w:pPr>
            <w:r>
              <w:rPr>
                <w:sz w:val="16"/>
                <w:szCs w:val="16"/>
              </w:rPr>
              <w:t>SP outcomes 1 and 3</w:t>
            </w:r>
          </w:p>
        </w:tc>
        <w:tc>
          <w:tcPr>
            <w:tcW w:w="514" w:type="pct"/>
          </w:tcPr>
          <w:p w14:paraId="6D818CBF" w14:textId="5B076D27" w:rsidR="003F170B" w:rsidRPr="00E41188" w:rsidRDefault="003F170B" w:rsidP="00D05371">
            <w:pPr>
              <w:rPr>
                <w:sz w:val="16"/>
                <w:szCs w:val="16"/>
                <w:lang w:val="en-GB"/>
              </w:rPr>
            </w:pPr>
            <w:r>
              <w:rPr>
                <w:sz w:val="16"/>
                <w:szCs w:val="16"/>
                <w:lang w:val="en-GB"/>
              </w:rPr>
              <w:t>Final Evaluation of the national climate change adaptation plan development project</w:t>
            </w:r>
          </w:p>
        </w:tc>
        <w:tc>
          <w:tcPr>
            <w:tcW w:w="623" w:type="pct"/>
          </w:tcPr>
          <w:p w14:paraId="1E015BBF" w14:textId="6FE84BEB" w:rsidR="003F170B" w:rsidRPr="00843E59" w:rsidRDefault="003F170B" w:rsidP="00F014E7">
            <w:pPr>
              <w:rPr>
                <w:sz w:val="16"/>
                <w:szCs w:val="16"/>
                <w:lang w:val="en-GB"/>
              </w:rPr>
            </w:pPr>
          </w:p>
        </w:tc>
        <w:tc>
          <w:tcPr>
            <w:tcW w:w="625" w:type="pct"/>
          </w:tcPr>
          <w:p w14:paraId="352978A4" w14:textId="58D49524" w:rsidR="003F170B" w:rsidRPr="00843E59" w:rsidRDefault="003F170B" w:rsidP="00F014E7">
            <w:pPr>
              <w:rPr>
                <w:sz w:val="16"/>
                <w:szCs w:val="16"/>
                <w:lang w:val="en-GB"/>
              </w:rPr>
            </w:pPr>
          </w:p>
        </w:tc>
        <w:tc>
          <w:tcPr>
            <w:tcW w:w="516" w:type="pct"/>
          </w:tcPr>
          <w:p w14:paraId="24370A8F" w14:textId="4FEA4764" w:rsidR="003F170B" w:rsidRPr="003C26C1" w:rsidRDefault="003F170B" w:rsidP="00F014E7">
            <w:pPr>
              <w:rPr>
                <w:sz w:val="16"/>
                <w:szCs w:val="16"/>
              </w:rPr>
            </w:pPr>
            <w:r>
              <w:rPr>
                <w:sz w:val="16"/>
                <w:szCs w:val="16"/>
                <w:lang w:val="fr-FR"/>
              </w:rPr>
              <w:t xml:space="preserve">GCF </w:t>
            </w:r>
            <w:proofErr w:type="spellStart"/>
            <w:r>
              <w:rPr>
                <w:sz w:val="16"/>
                <w:szCs w:val="16"/>
                <w:lang w:val="fr-FR"/>
              </w:rPr>
              <w:t>funded</w:t>
            </w:r>
            <w:proofErr w:type="spellEnd"/>
            <w:r>
              <w:rPr>
                <w:sz w:val="16"/>
                <w:szCs w:val="16"/>
                <w:lang w:val="fr-FR"/>
              </w:rPr>
              <w:t xml:space="preserve"> </w:t>
            </w:r>
            <w:r w:rsidR="00472872">
              <w:rPr>
                <w:sz w:val="16"/>
                <w:szCs w:val="16"/>
                <w:lang w:val="fr-FR"/>
              </w:rPr>
              <w:t>Project</w:t>
            </w:r>
          </w:p>
        </w:tc>
        <w:tc>
          <w:tcPr>
            <w:tcW w:w="600" w:type="pct"/>
          </w:tcPr>
          <w:p w14:paraId="18D655EF" w14:textId="1F7D5A39" w:rsidR="003F170B" w:rsidRPr="003C26C1" w:rsidRDefault="003F170B" w:rsidP="00F014E7">
            <w:pPr>
              <w:spacing w:before="40" w:after="40"/>
              <w:rPr>
                <w:sz w:val="16"/>
                <w:szCs w:val="16"/>
              </w:rPr>
            </w:pPr>
            <w:r>
              <w:rPr>
                <w:sz w:val="16"/>
                <w:szCs w:val="16"/>
              </w:rPr>
              <w:t>30/09/2025</w:t>
            </w:r>
          </w:p>
        </w:tc>
        <w:tc>
          <w:tcPr>
            <w:tcW w:w="548" w:type="pct"/>
          </w:tcPr>
          <w:p w14:paraId="22F775F5" w14:textId="512B1394" w:rsidR="003F170B" w:rsidRPr="003C26C1" w:rsidRDefault="003F170B" w:rsidP="00F014E7">
            <w:pPr>
              <w:rPr>
                <w:sz w:val="16"/>
                <w:szCs w:val="16"/>
              </w:rPr>
            </w:pPr>
            <w:r>
              <w:rPr>
                <w:sz w:val="16"/>
                <w:szCs w:val="16"/>
                <w:lang w:val="en-GB"/>
              </w:rPr>
              <w:t>40000 USD</w:t>
            </w:r>
          </w:p>
        </w:tc>
        <w:tc>
          <w:tcPr>
            <w:tcW w:w="540" w:type="pct"/>
          </w:tcPr>
          <w:p w14:paraId="0A750F73" w14:textId="4B325537" w:rsidR="003F170B" w:rsidRPr="003C26C1" w:rsidRDefault="003F170B" w:rsidP="00F014E7">
            <w:pPr>
              <w:rPr>
                <w:rStyle w:val="CommentReference"/>
                <w:sz w:val="16"/>
                <w:szCs w:val="16"/>
                <w:lang w:eastAsia="uk-UA"/>
              </w:rPr>
            </w:pPr>
            <w:r>
              <w:rPr>
                <w:rStyle w:val="CommentReference"/>
                <w:sz w:val="16"/>
                <w:szCs w:val="16"/>
                <w:lang w:eastAsia="uk-UA"/>
              </w:rPr>
              <w:t>Project funded</w:t>
            </w:r>
          </w:p>
        </w:tc>
      </w:tr>
      <w:tr w:rsidR="003B5F10" w:rsidRPr="003C26C1" w14:paraId="7F9A5FF7" w14:textId="77777777" w:rsidTr="007C51AD">
        <w:trPr>
          <w:trHeight w:val="782"/>
        </w:trPr>
        <w:tc>
          <w:tcPr>
            <w:tcW w:w="724" w:type="pct"/>
            <w:vMerge/>
          </w:tcPr>
          <w:p w14:paraId="4EC47CC7" w14:textId="77777777" w:rsidR="003B5F10" w:rsidRPr="00355A57" w:rsidRDefault="003B5F10" w:rsidP="003B5F10">
            <w:pPr>
              <w:rPr>
                <w:sz w:val="16"/>
                <w:szCs w:val="16"/>
              </w:rPr>
            </w:pPr>
          </w:p>
        </w:tc>
        <w:tc>
          <w:tcPr>
            <w:tcW w:w="310" w:type="pct"/>
            <w:vMerge/>
          </w:tcPr>
          <w:p w14:paraId="62F3BF40" w14:textId="77777777" w:rsidR="003B5F10" w:rsidRDefault="003B5F10" w:rsidP="003B5F10">
            <w:pPr>
              <w:rPr>
                <w:sz w:val="16"/>
                <w:szCs w:val="16"/>
              </w:rPr>
            </w:pPr>
          </w:p>
        </w:tc>
        <w:tc>
          <w:tcPr>
            <w:tcW w:w="514" w:type="pct"/>
          </w:tcPr>
          <w:p w14:paraId="3BFCD5BD" w14:textId="0CC53D55" w:rsidR="003B5F10" w:rsidRDefault="003B5F10" w:rsidP="003B5F10">
            <w:pPr>
              <w:rPr>
                <w:sz w:val="16"/>
                <w:szCs w:val="16"/>
                <w:lang w:val="en-GB"/>
              </w:rPr>
            </w:pPr>
            <w:r>
              <w:rPr>
                <w:sz w:val="16"/>
                <w:szCs w:val="16"/>
                <w:lang w:val="en-GB"/>
              </w:rPr>
              <w:t>Mid-Term Evaluation of Integrated management of solid waste project</w:t>
            </w:r>
          </w:p>
        </w:tc>
        <w:tc>
          <w:tcPr>
            <w:tcW w:w="623" w:type="pct"/>
          </w:tcPr>
          <w:p w14:paraId="6DA0852E" w14:textId="637BF71B" w:rsidR="003B5F10" w:rsidRDefault="003B5F10" w:rsidP="003B5F10">
            <w:pPr>
              <w:rPr>
                <w:sz w:val="16"/>
                <w:szCs w:val="16"/>
                <w:lang w:val="en-GB"/>
              </w:rPr>
            </w:pPr>
          </w:p>
        </w:tc>
        <w:tc>
          <w:tcPr>
            <w:tcW w:w="625" w:type="pct"/>
          </w:tcPr>
          <w:p w14:paraId="42222787" w14:textId="77777777" w:rsidR="003B5F10" w:rsidRPr="00843E59" w:rsidRDefault="003B5F10" w:rsidP="003B5F10">
            <w:pPr>
              <w:rPr>
                <w:sz w:val="16"/>
                <w:szCs w:val="16"/>
                <w:lang w:val="en-GB"/>
              </w:rPr>
            </w:pPr>
          </w:p>
        </w:tc>
        <w:tc>
          <w:tcPr>
            <w:tcW w:w="516" w:type="pct"/>
          </w:tcPr>
          <w:p w14:paraId="33533C96" w14:textId="25C3B495" w:rsidR="003B5F10" w:rsidRPr="00F77844" w:rsidRDefault="003B5F10" w:rsidP="003B5F10">
            <w:pPr>
              <w:rPr>
                <w:sz w:val="16"/>
                <w:szCs w:val="16"/>
                <w:lang w:val="en-GB"/>
              </w:rPr>
            </w:pPr>
            <w:r>
              <w:rPr>
                <w:sz w:val="16"/>
                <w:szCs w:val="16"/>
                <w:lang w:val="en-GB"/>
              </w:rPr>
              <w:t>GEF funded project</w:t>
            </w:r>
          </w:p>
        </w:tc>
        <w:tc>
          <w:tcPr>
            <w:tcW w:w="600" w:type="pct"/>
          </w:tcPr>
          <w:p w14:paraId="1B481877" w14:textId="5FF36F93" w:rsidR="003B5F10" w:rsidRDefault="003B5F10" w:rsidP="003B5F10">
            <w:pPr>
              <w:spacing w:before="40" w:after="40"/>
              <w:rPr>
                <w:sz w:val="16"/>
                <w:szCs w:val="16"/>
              </w:rPr>
            </w:pPr>
            <w:r>
              <w:rPr>
                <w:sz w:val="16"/>
                <w:szCs w:val="16"/>
              </w:rPr>
              <w:t>31/05/2024</w:t>
            </w:r>
          </w:p>
        </w:tc>
        <w:tc>
          <w:tcPr>
            <w:tcW w:w="548" w:type="pct"/>
          </w:tcPr>
          <w:p w14:paraId="37DF5C21" w14:textId="190C4421" w:rsidR="003B5F10" w:rsidRPr="00F77844" w:rsidRDefault="003B5F10" w:rsidP="003B5F10">
            <w:pPr>
              <w:rPr>
                <w:sz w:val="16"/>
                <w:szCs w:val="16"/>
                <w:lang w:val="en-GB"/>
              </w:rPr>
            </w:pPr>
            <w:r>
              <w:rPr>
                <w:sz w:val="16"/>
                <w:szCs w:val="16"/>
                <w:lang w:val="en-GB"/>
              </w:rPr>
              <w:t>30000 USD</w:t>
            </w:r>
          </w:p>
        </w:tc>
        <w:tc>
          <w:tcPr>
            <w:tcW w:w="540" w:type="pct"/>
          </w:tcPr>
          <w:p w14:paraId="0EDE4219" w14:textId="069E64C8" w:rsidR="003B5F10" w:rsidRDefault="003B5F10" w:rsidP="003B5F10">
            <w:pPr>
              <w:rPr>
                <w:rStyle w:val="CommentReference"/>
                <w:sz w:val="16"/>
                <w:szCs w:val="16"/>
                <w:lang w:eastAsia="uk-UA"/>
              </w:rPr>
            </w:pPr>
            <w:r>
              <w:rPr>
                <w:rStyle w:val="CommentReference"/>
                <w:sz w:val="16"/>
                <w:szCs w:val="16"/>
                <w:lang w:eastAsia="uk-UA"/>
              </w:rPr>
              <w:t>Project funded</w:t>
            </w:r>
          </w:p>
        </w:tc>
      </w:tr>
      <w:tr w:rsidR="003B5F10" w:rsidRPr="003C26C1" w14:paraId="59E67646" w14:textId="77777777" w:rsidTr="007C51AD">
        <w:trPr>
          <w:trHeight w:val="782"/>
        </w:trPr>
        <w:tc>
          <w:tcPr>
            <w:tcW w:w="724" w:type="pct"/>
            <w:vMerge/>
          </w:tcPr>
          <w:p w14:paraId="32256FD9" w14:textId="77777777" w:rsidR="003B5F10" w:rsidRPr="00355A57" w:rsidRDefault="003B5F10" w:rsidP="003B5F10">
            <w:pPr>
              <w:rPr>
                <w:sz w:val="16"/>
                <w:szCs w:val="16"/>
              </w:rPr>
            </w:pPr>
          </w:p>
        </w:tc>
        <w:tc>
          <w:tcPr>
            <w:tcW w:w="310" w:type="pct"/>
            <w:vMerge/>
          </w:tcPr>
          <w:p w14:paraId="6140A12F" w14:textId="77777777" w:rsidR="003B5F10" w:rsidRDefault="003B5F10" w:rsidP="003B5F10">
            <w:pPr>
              <w:rPr>
                <w:sz w:val="16"/>
                <w:szCs w:val="16"/>
              </w:rPr>
            </w:pPr>
          </w:p>
        </w:tc>
        <w:tc>
          <w:tcPr>
            <w:tcW w:w="514" w:type="pct"/>
          </w:tcPr>
          <w:p w14:paraId="0774819D" w14:textId="70764DB7" w:rsidR="003B5F10" w:rsidRPr="003B5F10" w:rsidRDefault="003B5F10" w:rsidP="003B5F10">
            <w:pPr>
              <w:rPr>
                <w:sz w:val="16"/>
                <w:szCs w:val="16"/>
                <w:lang w:val="en-GB"/>
              </w:rPr>
            </w:pPr>
            <w:r w:rsidRPr="003B5F10">
              <w:rPr>
                <w:sz w:val="16"/>
                <w:szCs w:val="16"/>
                <w:lang w:val="en-GB"/>
              </w:rPr>
              <w:t>F</w:t>
            </w:r>
            <w:r w:rsidRPr="00B22EAC">
              <w:rPr>
                <w:sz w:val="16"/>
                <w:szCs w:val="16"/>
                <w:lang w:val="en-GB"/>
              </w:rPr>
              <w:t>inal</w:t>
            </w:r>
            <w:r w:rsidRPr="003B5F10">
              <w:rPr>
                <w:sz w:val="16"/>
                <w:szCs w:val="16"/>
                <w:lang w:val="en-GB"/>
              </w:rPr>
              <w:t xml:space="preserve"> Evaluation of Integrated management of solid waste project</w:t>
            </w:r>
          </w:p>
        </w:tc>
        <w:tc>
          <w:tcPr>
            <w:tcW w:w="623" w:type="pct"/>
          </w:tcPr>
          <w:p w14:paraId="1B9D08FA" w14:textId="149EBB0D" w:rsidR="003B5F10" w:rsidRDefault="003B5F10" w:rsidP="003B5F10">
            <w:pPr>
              <w:rPr>
                <w:sz w:val="16"/>
                <w:szCs w:val="16"/>
                <w:lang w:val="en-GB"/>
              </w:rPr>
            </w:pPr>
          </w:p>
        </w:tc>
        <w:tc>
          <w:tcPr>
            <w:tcW w:w="625" w:type="pct"/>
          </w:tcPr>
          <w:p w14:paraId="726E2759" w14:textId="77777777" w:rsidR="003B5F10" w:rsidRPr="00843E59" w:rsidRDefault="003B5F10" w:rsidP="003B5F10">
            <w:pPr>
              <w:rPr>
                <w:sz w:val="16"/>
                <w:szCs w:val="16"/>
                <w:lang w:val="en-GB"/>
              </w:rPr>
            </w:pPr>
          </w:p>
        </w:tc>
        <w:tc>
          <w:tcPr>
            <w:tcW w:w="516" w:type="pct"/>
          </w:tcPr>
          <w:p w14:paraId="06E87AF2" w14:textId="0BAE8989" w:rsidR="003B5F10" w:rsidRDefault="003B5F10" w:rsidP="003B5F10">
            <w:pPr>
              <w:rPr>
                <w:sz w:val="16"/>
                <w:szCs w:val="16"/>
                <w:lang w:val="en-GB"/>
              </w:rPr>
            </w:pPr>
            <w:r>
              <w:rPr>
                <w:sz w:val="16"/>
                <w:szCs w:val="16"/>
                <w:lang w:val="en-GB"/>
              </w:rPr>
              <w:t>GEF funded project</w:t>
            </w:r>
          </w:p>
        </w:tc>
        <w:tc>
          <w:tcPr>
            <w:tcW w:w="600" w:type="pct"/>
          </w:tcPr>
          <w:p w14:paraId="1FC141E6" w14:textId="22306D09" w:rsidR="003B5F10" w:rsidRDefault="003B5F10" w:rsidP="003B5F10">
            <w:pPr>
              <w:spacing w:before="40" w:after="40"/>
              <w:rPr>
                <w:sz w:val="16"/>
                <w:szCs w:val="16"/>
              </w:rPr>
            </w:pPr>
            <w:r>
              <w:rPr>
                <w:sz w:val="16"/>
                <w:szCs w:val="16"/>
              </w:rPr>
              <w:t>31/01/2026</w:t>
            </w:r>
          </w:p>
        </w:tc>
        <w:tc>
          <w:tcPr>
            <w:tcW w:w="548" w:type="pct"/>
          </w:tcPr>
          <w:p w14:paraId="5409DFEF" w14:textId="3BB191C3" w:rsidR="003B5F10" w:rsidRDefault="00C566B9" w:rsidP="003B5F10">
            <w:pPr>
              <w:rPr>
                <w:sz w:val="16"/>
                <w:szCs w:val="16"/>
                <w:lang w:val="en-GB"/>
              </w:rPr>
            </w:pPr>
            <w:r>
              <w:rPr>
                <w:sz w:val="16"/>
                <w:szCs w:val="16"/>
                <w:lang w:val="en-GB"/>
              </w:rPr>
              <w:t>5</w:t>
            </w:r>
            <w:r w:rsidR="003B5F10">
              <w:rPr>
                <w:sz w:val="16"/>
                <w:szCs w:val="16"/>
                <w:lang w:val="en-GB"/>
              </w:rPr>
              <w:t>0000 USD</w:t>
            </w:r>
          </w:p>
        </w:tc>
        <w:tc>
          <w:tcPr>
            <w:tcW w:w="540" w:type="pct"/>
          </w:tcPr>
          <w:p w14:paraId="19E0A353" w14:textId="5E74480E" w:rsidR="003B5F10" w:rsidRDefault="003B5F10" w:rsidP="003B5F10">
            <w:pPr>
              <w:rPr>
                <w:rStyle w:val="CommentReference"/>
                <w:sz w:val="16"/>
                <w:szCs w:val="16"/>
                <w:lang w:eastAsia="uk-UA"/>
              </w:rPr>
            </w:pPr>
            <w:r>
              <w:rPr>
                <w:rStyle w:val="CommentReference"/>
                <w:sz w:val="16"/>
                <w:szCs w:val="16"/>
                <w:lang w:eastAsia="uk-UA"/>
              </w:rPr>
              <w:t>Project funded</w:t>
            </w:r>
          </w:p>
        </w:tc>
      </w:tr>
      <w:tr w:rsidR="00763037" w:rsidRPr="00F84545" w14:paraId="413FDCA8" w14:textId="77777777" w:rsidTr="007C51AD">
        <w:trPr>
          <w:trHeight w:val="2600"/>
        </w:trPr>
        <w:tc>
          <w:tcPr>
            <w:tcW w:w="724" w:type="pct"/>
            <w:vMerge w:val="restart"/>
          </w:tcPr>
          <w:p w14:paraId="3F1F3D9E" w14:textId="626F64C6" w:rsidR="00763037" w:rsidRPr="00024910" w:rsidRDefault="00763037" w:rsidP="00453C11">
            <w:pPr>
              <w:rPr>
                <w:sz w:val="16"/>
                <w:szCs w:val="16"/>
                <w:lang w:val="en-GB"/>
              </w:rPr>
            </w:pPr>
            <w:r w:rsidRPr="00024910">
              <w:rPr>
                <w:bCs/>
                <w:sz w:val="18"/>
                <w:szCs w:val="18"/>
                <w:lang w:val="en-GB"/>
              </w:rPr>
              <w:lastRenderedPageBreak/>
              <w:t xml:space="preserve">Outcome 2: </w:t>
            </w:r>
            <w:r w:rsidRPr="00A1248C">
              <w:rPr>
                <w:b/>
                <w:sz w:val="18"/>
                <w:szCs w:val="18"/>
                <w:lang w:val="en-GB"/>
              </w:rPr>
              <w:t>In 2027, people, including the vulnerable, benefit from a more resilient and diversified economy thanks to an enabling environment for investment and the development of sustainable businesses that generate decent jobs</w:t>
            </w:r>
          </w:p>
        </w:tc>
        <w:tc>
          <w:tcPr>
            <w:tcW w:w="310" w:type="pct"/>
            <w:vMerge w:val="restart"/>
          </w:tcPr>
          <w:p w14:paraId="0E876C44" w14:textId="058D0861" w:rsidR="00763037" w:rsidRDefault="00763037" w:rsidP="00453C11">
            <w:pPr>
              <w:rPr>
                <w:sz w:val="16"/>
                <w:szCs w:val="16"/>
                <w:lang w:val="en-GB"/>
              </w:rPr>
            </w:pPr>
            <w:r>
              <w:rPr>
                <w:sz w:val="16"/>
                <w:szCs w:val="16"/>
                <w:lang w:val="en-GB"/>
              </w:rPr>
              <w:t>SP Outcomes 1, 2 and 3</w:t>
            </w:r>
          </w:p>
          <w:p w14:paraId="4ED39BD0" w14:textId="77777777" w:rsidR="00763037" w:rsidRPr="00763037" w:rsidRDefault="00763037" w:rsidP="00B22EAC">
            <w:pPr>
              <w:rPr>
                <w:sz w:val="16"/>
                <w:szCs w:val="16"/>
                <w:lang w:val="en-GB"/>
              </w:rPr>
            </w:pPr>
          </w:p>
          <w:p w14:paraId="484BA3FB" w14:textId="77777777" w:rsidR="00763037" w:rsidRPr="00763037" w:rsidRDefault="00763037" w:rsidP="00B22EAC">
            <w:pPr>
              <w:rPr>
                <w:sz w:val="16"/>
                <w:szCs w:val="16"/>
                <w:lang w:val="en-GB"/>
              </w:rPr>
            </w:pPr>
          </w:p>
          <w:p w14:paraId="34958D85" w14:textId="77777777" w:rsidR="00763037" w:rsidRPr="00763037" w:rsidRDefault="00763037" w:rsidP="00B22EAC">
            <w:pPr>
              <w:rPr>
                <w:sz w:val="16"/>
                <w:szCs w:val="16"/>
                <w:lang w:val="en-GB"/>
              </w:rPr>
            </w:pPr>
          </w:p>
          <w:p w14:paraId="39F3A469" w14:textId="77777777" w:rsidR="00763037" w:rsidRDefault="00763037" w:rsidP="00763037">
            <w:pPr>
              <w:rPr>
                <w:sz w:val="16"/>
                <w:szCs w:val="16"/>
                <w:lang w:val="en-GB"/>
              </w:rPr>
            </w:pPr>
          </w:p>
          <w:p w14:paraId="2C8BA18E" w14:textId="68630640" w:rsidR="00763037" w:rsidRPr="00763037" w:rsidRDefault="00763037" w:rsidP="00B22EAC">
            <w:pPr>
              <w:rPr>
                <w:sz w:val="16"/>
                <w:szCs w:val="16"/>
                <w:lang w:val="en-GB"/>
              </w:rPr>
            </w:pPr>
          </w:p>
        </w:tc>
        <w:tc>
          <w:tcPr>
            <w:tcW w:w="514" w:type="pct"/>
          </w:tcPr>
          <w:p w14:paraId="03C17F2F" w14:textId="0E871BCD" w:rsidR="00763037" w:rsidRPr="005E1846" w:rsidRDefault="00763037" w:rsidP="00453C11">
            <w:pPr>
              <w:rPr>
                <w:sz w:val="16"/>
                <w:szCs w:val="16"/>
                <w:lang w:val="en-GB"/>
              </w:rPr>
            </w:pPr>
            <w:r>
              <w:rPr>
                <w:sz w:val="16"/>
                <w:szCs w:val="16"/>
                <w:lang w:val="en-GB"/>
              </w:rPr>
              <w:t>Final Evaluation of the EU-funded Social and Solidarity Economy project</w:t>
            </w:r>
          </w:p>
        </w:tc>
        <w:tc>
          <w:tcPr>
            <w:tcW w:w="623" w:type="pct"/>
          </w:tcPr>
          <w:p w14:paraId="3138E333" w14:textId="7042418A" w:rsidR="00763037" w:rsidRPr="005E1846" w:rsidRDefault="00763037" w:rsidP="00453C11">
            <w:pPr>
              <w:rPr>
                <w:sz w:val="16"/>
                <w:szCs w:val="16"/>
                <w:lang w:val="en-GB"/>
              </w:rPr>
            </w:pPr>
          </w:p>
        </w:tc>
        <w:tc>
          <w:tcPr>
            <w:tcW w:w="625" w:type="pct"/>
          </w:tcPr>
          <w:p w14:paraId="6E70ED0C" w14:textId="77777777" w:rsidR="00763037" w:rsidRPr="005E1846" w:rsidRDefault="00763037" w:rsidP="00453C11">
            <w:pPr>
              <w:rPr>
                <w:sz w:val="16"/>
                <w:szCs w:val="16"/>
                <w:lang w:val="en-GB"/>
              </w:rPr>
            </w:pPr>
          </w:p>
        </w:tc>
        <w:tc>
          <w:tcPr>
            <w:tcW w:w="516" w:type="pct"/>
          </w:tcPr>
          <w:p w14:paraId="7D42D72C" w14:textId="38D94292" w:rsidR="00763037" w:rsidRPr="005E1846" w:rsidRDefault="00763037" w:rsidP="00453C11">
            <w:pPr>
              <w:rPr>
                <w:sz w:val="16"/>
                <w:szCs w:val="16"/>
                <w:lang w:val="en-GB"/>
              </w:rPr>
            </w:pPr>
            <w:r>
              <w:rPr>
                <w:sz w:val="16"/>
                <w:szCs w:val="16"/>
                <w:lang w:val="en-GB"/>
              </w:rPr>
              <w:t>EU funded project</w:t>
            </w:r>
          </w:p>
        </w:tc>
        <w:tc>
          <w:tcPr>
            <w:tcW w:w="600" w:type="pct"/>
          </w:tcPr>
          <w:p w14:paraId="0845AFE5" w14:textId="01DBA333" w:rsidR="00763037" w:rsidRPr="00024910" w:rsidRDefault="00763037" w:rsidP="00453C11">
            <w:pPr>
              <w:rPr>
                <w:color w:val="000000"/>
                <w:sz w:val="16"/>
                <w:szCs w:val="16"/>
                <w:lang w:val="en-GB"/>
              </w:rPr>
            </w:pPr>
            <w:r>
              <w:rPr>
                <w:color w:val="000000"/>
                <w:sz w:val="16"/>
                <w:szCs w:val="16"/>
                <w:lang w:val="en-GB"/>
              </w:rPr>
              <w:t>30/11/2026</w:t>
            </w:r>
          </w:p>
        </w:tc>
        <w:tc>
          <w:tcPr>
            <w:tcW w:w="548" w:type="pct"/>
          </w:tcPr>
          <w:p w14:paraId="74798FDF" w14:textId="62108BEE" w:rsidR="00763037" w:rsidRPr="005E1846" w:rsidRDefault="000B5B0D" w:rsidP="00453C11">
            <w:pPr>
              <w:rPr>
                <w:sz w:val="16"/>
                <w:szCs w:val="16"/>
                <w:lang w:val="en-GB"/>
              </w:rPr>
            </w:pPr>
            <w:r>
              <w:rPr>
                <w:sz w:val="16"/>
                <w:szCs w:val="16"/>
                <w:lang w:val="en-GB"/>
              </w:rPr>
              <w:t>50000</w:t>
            </w:r>
            <w:r w:rsidR="00763037">
              <w:rPr>
                <w:sz w:val="16"/>
                <w:szCs w:val="16"/>
                <w:lang w:val="en-GB"/>
              </w:rPr>
              <w:t xml:space="preserve"> USD</w:t>
            </w:r>
          </w:p>
        </w:tc>
        <w:tc>
          <w:tcPr>
            <w:tcW w:w="540" w:type="pct"/>
          </w:tcPr>
          <w:p w14:paraId="76915A3D" w14:textId="2FD51057" w:rsidR="00763037" w:rsidRPr="00024910" w:rsidRDefault="00763037" w:rsidP="00453C11">
            <w:pPr>
              <w:rPr>
                <w:rStyle w:val="CommentReference"/>
                <w:sz w:val="16"/>
                <w:szCs w:val="16"/>
                <w:lang w:val="en-GB" w:eastAsia="uk-UA"/>
              </w:rPr>
            </w:pPr>
            <w:r>
              <w:rPr>
                <w:rStyle w:val="CommentReference"/>
                <w:sz w:val="16"/>
                <w:szCs w:val="16"/>
                <w:lang w:val="en-GB" w:eastAsia="uk-UA"/>
              </w:rPr>
              <w:t>Project funded</w:t>
            </w:r>
          </w:p>
        </w:tc>
      </w:tr>
      <w:tr w:rsidR="00763037" w:rsidRPr="00F84545" w14:paraId="2B3C4099" w14:textId="77777777" w:rsidTr="00E9358D">
        <w:trPr>
          <w:trHeight w:val="1204"/>
        </w:trPr>
        <w:tc>
          <w:tcPr>
            <w:tcW w:w="724" w:type="pct"/>
            <w:vMerge/>
          </w:tcPr>
          <w:p w14:paraId="25D92011" w14:textId="77777777" w:rsidR="00763037" w:rsidRPr="00024910" w:rsidRDefault="00763037" w:rsidP="00453C11">
            <w:pPr>
              <w:rPr>
                <w:bCs/>
                <w:sz w:val="18"/>
                <w:szCs w:val="18"/>
                <w:lang w:val="en-GB"/>
              </w:rPr>
            </w:pPr>
          </w:p>
        </w:tc>
        <w:tc>
          <w:tcPr>
            <w:tcW w:w="310" w:type="pct"/>
            <w:vMerge/>
          </w:tcPr>
          <w:p w14:paraId="15AFE87F" w14:textId="77777777" w:rsidR="00763037" w:rsidRDefault="00763037" w:rsidP="00453C11">
            <w:pPr>
              <w:rPr>
                <w:sz w:val="16"/>
                <w:szCs w:val="16"/>
                <w:lang w:val="en-GB"/>
              </w:rPr>
            </w:pPr>
          </w:p>
        </w:tc>
        <w:tc>
          <w:tcPr>
            <w:tcW w:w="514" w:type="pct"/>
          </w:tcPr>
          <w:p w14:paraId="18770C15" w14:textId="5DBBEBDA" w:rsidR="00763037" w:rsidRDefault="00763037" w:rsidP="00453C11">
            <w:pPr>
              <w:rPr>
                <w:sz w:val="16"/>
                <w:szCs w:val="16"/>
                <w:lang w:val="en-GB"/>
              </w:rPr>
            </w:pPr>
            <w:r>
              <w:rPr>
                <w:sz w:val="16"/>
                <w:szCs w:val="16"/>
                <w:lang w:val="en-GB"/>
              </w:rPr>
              <w:t>Mid-term  Evaluation of the EU-funded Social and Solidarity Economy project</w:t>
            </w:r>
          </w:p>
        </w:tc>
        <w:tc>
          <w:tcPr>
            <w:tcW w:w="623" w:type="pct"/>
          </w:tcPr>
          <w:p w14:paraId="2A174118" w14:textId="77777777" w:rsidR="00763037" w:rsidDel="00760A13" w:rsidRDefault="00763037" w:rsidP="00453C11">
            <w:pPr>
              <w:rPr>
                <w:sz w:val="16"/>
                <w:szCs w:val="16"/>
                <w:lang w:val="en-GB"/>
              </w:rPr>
            </w:pPr>
          </w:p>
        </w:tc>
        <w:tc>
          <w:tcPr>
            <w:tcW w:w="625" w:type="pct"/>
          </w:tcPr>
          <w:p w14:paraId="592909C9" w14:textId="77777777" w:rsidR="00763037" w:rsidRPr="005E1846" w:rsidRDefault="00763037" w:rsidP="00453C11">
            <w:pPr>
              <w:rPr>
                <w:sz w:val="16"/>
                <w:szCs w:val="16"/>
                <w:lang w:val="en-GB"/>
              </w:rPr>
            </w:pPr>
          </w:p>
        </w:tc>
        <w:tc>
          <w:tcPr>
            <w:tcW w:w="516" w:type="pct"/>
          </w:tcPr>
          <w:p w14:paraId="16695C95" w14:textId="55770687" w:rsidR="00763037" w:rsidRDefault="00763037" w:rsidP="00453C11">
            <w:pPr>
              <w:rPr>
                <w:sz w:val="16"/>
                <w:szCs w:val="16"/>
                <w:lang w:val="en-GB"/>
              </w:rPr>
            </w:pPr>
            <w:r>
              <w:rPr>
                <w:sz w:val="16"/>
                <w:szCs w:val="16"/>
                <w:lang w:val="en-GB"/>
              </w:rPr>
              <w:t>E</w:t>
            </w:r>
            <w:r w:rsidR="00640E57">
              <w:rPr>
                <w:sz w:val="16"/>
                <w:szCs w:val="16"/>
                <w:lang w:val="en-GB"/>
              </w:rPr>
              <w:t>U</w:t>
            </w:r>
            <w:r>
              <w:rPr>
                <w:sz w:val="16"/>
                <w:szCs w:val="16"/>
                <w:lang w:val="en-GB"/>
              </w:rPr>
              <w:t xml:space="preserve"> Funded project</w:t>
            </w:r>
          </w:p>
        </w:tc>
        <w:tc>
          <w:tcPr>
            <w:tcW w:w="600" w:type="pct"/>
          </w:tcPr>
          <w:p w14:paraId="63117D91" w14:textId="44DC4B15" w:rsidR="00763037" w:rsidRDefault="0077039F" w:rsidP="00453C11">
            <w:pPr>
              <w:rPr>
                <w:color w:val="000000"/>
                <w:sz w:val="16"/>
                <w:szCs w:val="16"/>
                <w:lang w:val="en-GB"/>
              </w:rPr>
            </w:pPr>
            <w:r>
              <w:rPr>
                <w:color w:val="000000"/>
                <w:sz w:val="16"/>
                <w:szCs w:val="16"/>
                <w:lang w:val="en-GB"/>
              </w:rPr>
              <w:t>31/12/20</w:t>
            </w:r>
            <w:r w:rsidR="000B5B0D">
              <w:rPr>
                <w:color w:val="000000"/>
                <w:sz w:val="16"/>
                <w:szCs w:val="16"/>
                <w:lang w:val="en-GB"/>
              </w:rPr>
              <w:t>24</w:t>
            </w:r>
          </w:p>
        </w:tc>
        <w:tc>
          <w:tcPr>
            <w:tcW w:w="548" w:type="pct"/>
          </w:tcPr>
          <w:p w14:paraId="310B21C8" w14:textId="3122C996" w:rsidR="00763037" w:rsidRDefault="000B5B0D" w:rsidP="00453C11">
            <w:pPr>
              <w:rPr>
                <w:sz w:val="16"/>
                <w:szCs w:val="16"/>
                <w:lang w:val="en-GB"/>
              </w:rPr>
            </w:pPr>
            <w:r>
              <w:rPr>
                <w:sz w:val="16"/>
                <w:szCs w:val="16"/>
                <w:lang w:val="en-GB"/>
              </w:rPr>
              <w:t>50000 USD</w:t>
            </w:r>
          </w:p>
        </w:tc>
        <w:tc>
          <w:tcPr>
            <w:tcW w:w="540" w:type="pct"/>
          </w:tcPr>
          <w:p w14:paraId="131BC409" w14:textId="735ECCB1" w:rsidR="00763037" w:rsidRDefault="000B5B0D" w:rsidP="00453C11">
            <w:pPr>
              <w:rPr>
                <w:rStyle w:val="CommentReference"/>
                <w:sz w:val="16"/>
                <w:szCs w:val="16"/>
                <w:lang w:val="en-GB" w:eastAsia="uk-UA"/>
              </w:rPr>
            </w:pPr>
            <w:r>
              <w:rPr>
                <w:rStyle w:val="CommentReference"/>
                <w:sz w:val="16"/>
                <w:szCs w:val="16"/>
                <w:lang w:val="en-GB" w:eastAsia="uk-UA"/>
              </w:rPr>
              <w:t>Project funded</w:t>
            </w:r>
          </w:p>
        </w:tc>
      </w:tr>
      <w:tr w:rsidR="00453C11" w:rsidRPr="00241263" w14:paraId="0CED6AF2" w14:textId="77777777" w:rsidTr="007C51AD">
        <w:trPr>
          <w:trHeight w:val="910"/>
        </w:trPr>
        <w:tc>
          <w:tcPr>
            <w:tcW w:w="724" w:type="pct"/>
            <w:vMerge w:val="restart"/>
          </w:tcPr>
          <w:p w14:paraId="6059391F" w14:textId="1BE0B326" w:rsidR="00453C11" w:rsidRPr="00024910" w:rsidRDefault="00453C11" w:rsidP="00453C11">
            <w:pPr>
              <w:rPr>
                <w:sz w:val="16"/>
                <w:szCs w:val="16"/>
                <w:lang w:val="en-GB"/>
              </w:rPr>
            </w:pPr>
            <w:r w:rsidRPr="00024910">
              <w:rPr>
                <w:sz w:val="16"/>
                <w:szCs w:val="16"/>
                <w:lang w:val="en-GB"/>
              </w:rPr>
              <w:t xml:space="preserve">Outcome 3: </w:t>
            </w:r>
            <w:r w:rsidRPr="004A3591">
              <w:rPr>
                <w:b/>
                <w:bCs/>
                <w:sz w:val="18"/>
                <w:szCs w:val="18"/>
                <w:lang w:val="en-GB"/>
              </w:rPr>
              <w:t>In 2027, the population benefits from transparent, accountable and effective institutions that guarantee their effective participation and representation, the rule of law and the promotion of the values of inclusiveness and non-discrimination, especially for the most vulnerable people</w:t>
            </w:r>
          </w:p>
        </w:tc>
        <w:tc>
          <w:tcPr>
            <w:tcW w:w="310" w:type="pct"/>
            <w:vMerge w:val="restart"/>
          </w:tcPr>
          <w:p w14:paraId="59F13C31" w14:textId="176FBB80" w:rsidR="00453C11" w:rsidRDefault="00453C11" w:rsidP="00453C11">
            <w:pPr>
              <w:rPr>
                <w:sz w:val="16"/>
                <w:szCs w:val="16"/>
              </w:rPr>
            </w:pPr>
            <w:r>
              <w:rPr>
                <w:sz w:val="16"/>
                <w:szCs w:val="16"/>
              </w:rPr>
              <w:t>SP Outcomes 1, 2 and 3</w:t>
            </w:r>
          </w:p>
        </w:tc>
        <w:tc>
          <w:tcPr>
            <w:tcW w:w="514" w:type="pct"/>
          </w:tcPr>
          <w:p w14:paraId="169F0D27" w14:textId="3FEA40FA" w:rsidR="00453C11" w:rsidRDefault="00453C11" w:rsidP="00453C11">
            <w:pPr>
              <w:rPr>
                <w:sz w:val="16"/>
                <w:szCs w:val="16"/>
                <w:lang w:val="en-GB"/>
              </w:rPr>
            </w:pPr>
            <w:r>
              <w:rPr>
                <w:sz w:val="16"/>
                <w:szCs w:val="16"/>
                <w:lang w:val="en-GB"/>
              </w:rPr>
              <w:t xml:space="preserve">Final Evaluation of </w:t>
            </w:r>
            <w:proofErr w:type="spellStart"/>
            <w:r>
              <w:rPr>
                <w:sz w:val="16"/>
                <w:szCs w:val="16"/>
                <w:lang w:val="en-GB"/>
              </w:rPr>
              <w:t>KfW</w:t>
            </w:r>
            <w:proofErr w:type="spellEnd"/>
            <w:r>
              <w:rPr>
                <w:sz w:val="16"/>
                <w:szCs w:val="16"/>
                <w:lang w:val="en-GB"/>
              </w:rPr>
              <w:t xml:space="preserve"> Health Support project in response to Covid-19</w:t>
            </w:r>
          </w:p>
        </w:tc>
        <w:tc>
          <w:tcPr>
            <w:tcW w:w="623" w:type="pct"/>
          </w:tcPr>
          <w:p w14:paraId="6EC8537A" w14:textId="16456E9B" w:rsidR="00453C11" w:rsidRDefault="00453C11" w:rsidP="00453C11">
            <w:pPr>
              <w:rPr>
                <w:sz w:val="16"/>
                <w:szCs w:val="16"/>
                <w:lang w:val="en-GB"/>
              </w:rPr>
            </w:pPr>
          </w:p>
        </w:tc>
        <w:tc>
          <w:tcPr>
            <w:tcW w:w="625" w:type="pct"/>
          </w:tcPr>
          <w:p w14:paraId="16376602" w14:textId="77777777" w:rsidR="00453C11" w:rsidRPr="001A4B27" w:rsidRDefault="00453C11" w:rsidP="00453C11">
            <w:pPr>
              <w:rPr>
                <w:sz w:val="16"/>
                <w:szCs w:val="16"/>
                <w:lang w:val="en-GB"/>
              </w:rPr>
            </w:pPr>
          </w:p>
        </w:tc>
        <w:tc>
          <w:tcPr>
            <w:tcW w:w="516" w:type="pct"/>
          </w:tcPr>
          <w:p w14:paraId="665129C6" w14:textId="71BBAC6B" w:rsidR="00453C11" w:rsidRDefault="00453C11" w:rsidP="00453C11">
            <w:pPr>
              <w:rPr>
                <w:sz w:val="16"/>
                <w:szCs w:val="16"/>
                <w:lang w:val="en-GB"/>
              </w:rPr>
            </w:pPr>
            <w:r>
              <w:rPr>
                <w:sz w:val="16"/>
                <w:szCs w:val="16"/>
                <w:lang w:val="en-GB"/>
              </w:rPr>
              <w:t>Project Final evaluation</w:t>
            </w:r>
          </w:p>
        </w:tc>
        <w:tc>
          <w:tcPr>
            <w:tcW w:w="600" w:type="pct"/>
          </w:tcPr>
          <w:p w14:paraId="52BC82F8" w14:textId="6D66F181" w:rsidR="00453C11" w:rsidRDefault="00453C11" w:rsidP="00453C11">
            <w:pPr>
              <w:rPr>
                <w:color w:val="000000"/>
                <w:sz w:val="16"/>
                <w:szCs w:val="16"/>
              </w:rPr>
            </w:pPr>
            <w:r>
              <w:rPr>
                <w:color w:val="000000"/>
                <w:sz w:val="16"/>
                <w:szCs w:val="16"/>
              </w:rPr>
              <w:t>30/04/2024</w:t>
            </w:r>
          </w:p>
        </w:tc>
        <w:tc>
          <w:tcPr>
            <w:tcW w:w="548" w:type="pct"/>
          </w:tcPr>
          <w:p w14:paraId="24F94F78" w14:textId="52A111CD" w:rsidR="00453C11" w:rsidRDefault="00453C11" w:rsidP="00453C11">
            <w:pPr>
              <w:rPr>
                <w:sz w:val="16"/>
                <w:szCs w:val="16"/>
                <w:lang w:val="en-GB"/>
              </w:rPr>
            </w:pPr>
            <w:r>
              <w:rPr>
                <w:sz w:val="16"/>
                <w:szCs w:val="16"/>
                <w:lang w:val="en-GB"/>
              </w:rPr>
              <w:t>30000 USD</w:t>
            </w:r>
          </w:p>
        </w:tc>
        <w:tc>
          <w:tcPr>
            <w:tcW w:w="540" w:type="pct"/>
          </w:tcPr>
          <w:p w14:paraId="0B6A6D3D" w14:textId="5C365F74" w:rsidR="00453C11" w:rsidRDefault="00453C11" w:rsidP="00453C11">
            <w:pPr>
              <w:rPr>
                <w:rStyle w:val="CommentReference"/>
                <w:sz w:val="16"/>
                <w:szCs w:val="16"/>
                <w:lang w:eastAsia="uk-UA"/>
              </w:rPr>
            </w:pPr>
            <w:r>
              <w:rPr>
                <w:rStyle w:val="CommentReference"/>
                <w:sz w:val="16"/>
                <w:szCs w:val="16"/>
                <w:lang w:eastAsia="uk-UA"/>
              </w:rPr>
              <w:t>Project funded</w:t>
            </w:r>
          </w:p>
        </w:tc>
      </w:tr>
      <w:tr w:rsidR="00453C11" w:rsidRPr="00241263" w14:paraId="083C59AE" w14:textId="77777777" w:rsidTr="007C51AD">
        <w:trPr>
          <w:trHeight w:val="60"/>
        </w:trPr>
        <w:tc>
          <w:tcPr>
            <w:tcW w:w="724" w:type="pct"/>
            <w:vMerge/>
          </w:tcPr>
          <w:p w14:paraId="5DB7733D" w14:textId="77777777" w:rsidR="00453C11" w:rsidRPr="00312A00" w:rsidRDefault="00453C11" w:rsidP="00453C11">
            <w:pPr>
              <w:rPr>
                <w:sz w:val="16"/>
                <w:szCs w:val="16"/>
                <w:lang w:val="en-GB"/>
              </w:rPr>
            </w:pPr>
          </w:p>
        </w:tc>
        <w:tc>
          <w:tcPr>
            <w:tcW w:w="310" w:type="pct"/>
            <w:vMerge/>
          </w:tcPr>
          <w:p w14:paraId="61CCDED9" w14:textId="77777777" w:rsidR="00453C11" w:rsidRDefault="00453C11" w:rsidP="00453C11">
            <w:pPr>
              <w:rPr>
                <w:sz w:val="16"/>
                <w:szCs w:val="16"/>
              </w:rPr>
            </w:pPr>
          </w:p>
        </w:tc>
        <w:tc>
          <w:tcPr>
            <w:tcW w:w="514" w:type="pct"/>
          </w:tcPr>
          <w:p w14:paraId="0B8E160F" w14:textId="7143D85C" w:rsidR="00453C11" w:rsidRDefault="00453C11" w:rsidP="00453C11">
            <w:pPr>
              <w:rPr>
                <w:sz w:val="16"/>
                <w:szCs w:val="16"/>
                <w:lang w:val="en-GB"/>
              </w:rPr>
            </w:pPr>
            <w:r>
              <w:rPr>
                <w:sz w:val="16"/>
                <w:szCs w:val="16"/>
                <w:lang w:val="en-GB"/>
              </w:rPr>
              <w:t>Final Evaluation of EU Solidarity response to Covid-19</w:t>
            </w:r>
          </w:p>
        </w:tc>
        <w:tc>
          <w:tcPr>
            <w:tcW w:w="623" w:type="pct"/>
          </w:tcPr>
          <w:p w14:paraId="64F0EE27" w14:textId="00B0F3D3" w:rsidR="00453C11" w:rsidRDefault="00453C11" w:rsidP="00453C11">
            <w:pPr>
              <w:rPr>
                <w:sz w:val="16"/>
                <w:szCs w:val="16"/>
                <w:lang w:val="en-GB"/>
              </w:rPr>
            </w:pPr>
          </w:p>
        </w:tc>
        <w:tc>
          <w:tcPr>
            <w:tcW w:w="625" w:type="pct"/>
          </w:tcPr>
          <w:p w14:paraId="09ED2A8F" w14:textId="77777777" w:rsidR="00453C11" w:rsidRPr="001A4B27" w:rsidRDefault="00453C11" w:rsidP="00453C11">
            <w:pPr>
              <w:rPr>
                <w:sz w:val="16"/>
                <w:szCs w:val="16"/>
                <w:lang w:val="en-GB"/>
              </w:rPr>
            </w:pPr>
          </w:p>
        </w:tc>
        <w:tc>
          <w:tcPr>
            <w:tcW w:w="516" w:type="pct"/>
          </w:tcPr>
          <w:p w14:paraId="6A866200" w14:textId="1DD20224" w:rsidR="00453C11" w:rsidRPr="00315DDD" w:rsidRDefault="00453C11" w:rsidP="00453C11">
            <w:pPr>
              <w:rPr>
                <w:sz w:val="16"/>
                <w:szCs w:val="16"/>
                <w:lang w:val="en-GB"/>
              </w:rPr>
            </w:pPr>
            <w:r>
              <w:rPr>
                <w:sz w:val="16"/>
                <w:szCs w:val="16"/>
                <w:lang w:val="en-GB"/>
              </w:rPr>
              <w:t>Project Final evaluation</w:t>
            </w:r>
          </w:p>
        </w:tc>
        <w:tc>
          <w:tcPr>
            <w:tcW w:w="600" w:type="pct"/>
          </w:tcPr>
          <w:p w14:paraId="406A80BA" w14:textId="1F868C05" w:rsidR="00453C11" w:rsidRDefault="00453C11" w:rsidP="00453C11">
            <w:pPr>
              <w:rPr>
                <w:color w:val="000000"/>
                <w:sz w:val="16"/>
                <w:szCs w:val="16"/>
              </w:rPr>
            </w:pPr>
            <w:r>
              <w:rPr>
                <w:color w:val="000000"/>
                <w:sz w:val="16"/>
                <w:szCs w:val="16"/>
              </w:rPr>
              <w:t>31/03/2023</w:t>
            </w:r>
          </w:p>
        </w:tc>
        <w:tc>
          <w:tcPr>
            <w:tcW w:w="548" w:type="pct"/>
          </w:tcPr>
          <w:p w14:paraId="50D93A88" w14:textId="17D26CDB" w:rsidR="00453C11" w:rsidRDefault="00453C11" w:rsidP="00453C11">
            <w:pPr>
              <w:rPr>
                <w:sz w:val="16"/>
                <w:szCs w:val="16"/>
                <w:lang w:val="en-GB"/>
              </w:rPr>
            </w:pPr>
            <w:r>
              <w:rPr>
                <w:sz w:val="16"/>
                <w:szCs w:val="16"/>
                <w:lang w:val="en-GB"/>
              </w:rPr>
              <w:t>30000 USD</w:t>
            </w:r>
          </w:p>
        </w:tc>
        <w:tc>
          <w:tcPr>
            <w:tcW w:w="540" w:type="pct"/>
          </w:tcPr>
          <w:p w14:paraId="38A760E1" w14:textId="3FF7A20E" w:rsidR="00453C11" w:rsidRDefault="00453C11" w:rsidP="00453C11">
            <w:pPr>
              <w:rPr>
                <w:rStyle w:val="CommentReference"/>
                <w:sz w:val="16"/>
                <w:szCs w:val="16"/>
                <w:lang w:eastAsia="uk-UA"/>
              </w:rPr>
            </w:pPr>
            <w:r>
              <w:rPr>
                <w:rStyle w:val="CommentReference"/>
                <w:sz w:val="16"/>
                <w:szCs w:val="16"/>
                <w:lang w:eastAsia="uk-UA"/>
              </w:rPr>
              <w:t>Project funded</w:t>
            </w:r>
          </w:p>
        </w:tc>
      </w:tr>
      <w:tr w:rsidR="00453C11" w:rsidRPr="00241263" w14:paraId="4790A06A" w14:textId="34B1ABDD" w:rsidTr="007C51AD">
        <w:trPr>
          <w:trHeight w:val="60"/>
        </w:trPr>
        <w:tc>
          <w:tcPr>
            <w:tcW w:w="724" w:type="pct"/>
            <w:vMerge/>
          </w:tcPr>
          <w:p w14:paraId="745C8472" w14:textId="1E0C1709" w:rsidR="00453C11" w:rsidRPr="00312A00" w:rsidRDefault="00453C11" w:rsidP="00453C11">
            <w:pPr>
              <w:rPr>
                <w:sz w:val="16"/>
                <w:szCs w:val="16"/>
                <w:lang w:val="en-GB"/>
              </w:rPr>
            </w:pPr>
          </w:p>
        </w:tc>
        <w:tc>
          <w:tcPr>
            <w:tcW w:w="310" w:type="pct"/>
            <w:vMerge/>
          </w:tcPr>
          <w:p w14:paraId="1C520952" w14:textId="50DC7BAD" w:rsidR="00453C11" w:rsidRDefault="00453C11" w:rsidP="00453C11">
            <w:pPr>
              <w:rPr>
                <w:sz w:val="16"/>
                <w:szCs w:val="16"/>
              </w:rPr>
            </w:pPr>
          </w:p>
        </w:tc>
        <w:tc>
          <w:tcPr>
            <w:tcW w:w="514" w:type="pct"/>
          </w:tcPr>
          <w:p w14:paraId="123C44AA" w14:textId="358179A9" w:rsidR="00453C11" w:rsidRDefault="00453C11" w:rsidP="00453C11">
            <w:pPr>
              <w:rPr>
                <w:sz w:val="16"/>
                <w:szCs w:val="16"/>
                <w:lang w:val="en-GB"/>
              </w:rPr>
            </w:pPr>
            <w:r>
              <w:rPr>
                <w:sz w:val="16"/>
                <w:szCs w:val="16"/>
                <w:lang w:val="en-GB"/>
              </w:rPr>
              <w:t>Final Evaluation of the Governance portfolio with a thematic focus on its contribution to social cohesion</w:t>
            </w:r>
          </w:p>
        </w:tc>
        <w:tc>
          <w:tcPr>
            <w:tcW w:w="623" w:type="pct"/>
          </w:tcPr>
          <w:p w14:paraId="2D22F83D" w14:textId="780CCD6B" w:rsidR="00453C11" w:rsidRDefault="00453C11" w:rsidP="00453C11">
            <w:pPr>
              <w:rPr>
                <w:sz w:val="16"/>
                <w:szCs w:val="16"/>
                <w:lang w:val="en-GB"/>
              </w:rPr>
            </w:pPr>
          </w:p>
        </w:tc>
        <w:tc>
          <w:tcPr>
            <w:tcW w:w="625" w:type="pct"/>
          </w:tcPr>
          <w:p w14:paraId="319A04C4" w14:textId="7F40D043" w:rsidR="00453C11" w:rsidRPr="001A4B27" w:rsidRDefault="00453C11" w:rsidP="00453C11">
            <w:pPr>
              <w:rPr>
                <w:sz w:val="16"/>
                <w:szCs w:val="16"/>
                <w:lang w:val="en-GB"/>
              </w:rPr>
            </w:pPr>
          </w:p>
        </w:tc>
        <w:tc>
          <w:tcPr>
            <w:tcW w:w="516" w:type="pct"/>
          </w:tcPr>
          <w:p w14:paraId="7CB5AD6A" w14:textId="17CAC3CF" w:rsidR="00453C11" w:rsidRDefault="00640E57" w:rsidP="00453C11">
            <w:pPr>
              <w:rPr>
                <w:sz w:val="16"/>
                <w:szCs w:val="16"/>
                <w:lang w:val="en-GB"/>
              </w:rPr>
            </w:pPr>
            <w:r>
              <w:rPr>
                <w:sz w:val="16"/>
                <w:szCs w:val="16"/>
                <w:lang w:val="en-GB"/>
              </w:rPr>
              <w:t xml:space="preserve">Final </w:t>
            </w:r>
            <w:r w:rsidR="00453C11">
              <w:rPr>
                <w:sz w:val="16"/>
                <w:szCs w:val="16"/>
                <w:lang w:val="en-GB"/>
              </w:rPr>
              <w:t>Thematic</w:t>
            </w:r>
            <w:r w:rsidR="00453C11" w:rsidRPr="00925F6D">
              <w:rPr>
                <w:sz w:val="16"/>
                <w:szCs w:val="16"/>
                <w:lang w:val="en-GB"/>
              </w:rPr>
              <w:t xml:space="preserve"> evaluation</w:t>
            </w:r>
          </w:p>
        </w:tc>
        <w:tc>
          <w:tcPr>
            <w:tcW w:w="600" w:type="pct"/>
          </w:tcPr>
          <w:p w14:paraId="60CAB005" w14:textId="6EF2A851" w:rsidR="00453C11" w:rsidRDefault="00453C11" w:rsidP="00453C11">
            <w:pPr>
              <w:rPr>
                <w:color w:val="000000"/>
                <w:sz w:val="16"/>
                <w:szCs w:val="16"/>
              </w:rPr>
            </w:pPr>
            <w:r>
              <w:rPr>
                <w:color w:val="000000"/>
                <w:sz w:val="16"/>
                <w:szCs w:val="16"/>
              </w:rPr>
              <w:t>30</w:t>
            </w:r>
            <w:r w:rsidRPr="006D348F">
              <w:rPr>
                <w:color w:val="000000"/>
                <w:sz w:val="16"/>
                <w:szCs w:val="16"/>
              </w:rPr>
              <w:t>/</w:t>
            </w:r>
            <w:r>
              <w:rPr>
                <w:color w:val="000000"/>
                <w:sz w:val="16"/>
                <w:szCs w:val="16"/>
              </w:rPr>
              <w:t>0</w:t>
            </w:r>
            <w:r w:rsidR="000A2FA9">
              <w:rPr>
                <w:color w:val="000000"/>
                <w:sz w:val="16"/>
                <w:szCs w:val="16"/>
              </w:rPr>
              <w:t>4</w:t>
            </w:r>
            <w:r w:rsidRPr="006D348F">
              <w:rPr>
                <w:color w:val="000000"/>
                <w:sz w:val="16"/>
                <w:szCs w:val="16"/>
              </w:rPr>
              <w:t>/202</w:t>
            </w:r>
            <w:r w:rsidR="000A2FA9">
              <w:rPr>
                <w:color w:val="000000"/>
                <w:sz w:val="16"/>
                <w:szCs w:val="16"/>
              </w:rPr>
              <w:t>6</w:t>
            </w:r>
          </w:p>
        </w:tc>
        <w:tc>
          <w:tcPr>
            <w:tcW w:w="548" w:type="pct"/>
          </w:tcPr>
          <w:p w14:paraId="5ACF9B0A" w14:textId="2371E2EE" w:rsidR="00453C11" w:rsidRDefault="00453C11" w:rsidP="00453C11">
            <w:pPr>
              <w:rPr>
                <w:sz w:val="16"/>
                <w:szCs w:val="16"/>
                <w:lang w:val="en-GB"/>
              </w:rPr>
            </w:pPr>
            <w:r>
              <w:rPr>
                <w:sz w:val="16"/>
                <w:szCs w:val="16"/>
                <w:lang w:val="en-GB"/>
              </w:rPr>
              <w:t>40000 USD</w:t>
            </w:r>
          </w:p>
        </w:tc>
        <w:tc>
          <w:tcPr>
            <w:tcW w:w="540" w:type="pct"/>
          </w:tcPr>
          <w:p w14:paraId="697BA5B3" w14:textId="631B9861" w:rsidR="00453C11" w:rsidRDefault="00453C11" w:rsidP="00453C11">
            <w:pPr>
              <w:rPr>
                <w:rStyle w:val="CommentReference"/>
                <w:sz w:val="16"/>
                <w:szCs w:val="16"/>
                <w:lang w:eastAsia="uk-UA"/>
              </w:rPr>
            </w:pPr>
            <w:r>
              <w:rPr>
                <w:rStyle w:val="CommentReference"/>
                <w:sz w:val="16"/>
                <w:szCs w:val="16"/>
                <w:lang w:eastAsia="uk-UA"/>
              </w:rPr>
              <w:t>CO funded</w:t>
            </w:r>
          </w:p>
        </w:tc>
      </w:tr>
      <w:tr w:rsidR="00453C11" w:rsidRPr="00241263" w14:paraId="6D21CD98" w14:textId="77777777" w:rsidTr="007C51AD">
        <w:trPr>
          <w:trHeight w:val="60"/>
        </w:trPr>
        <w:tc>
          <w:tcPr>
            <w:tcW w:w="724" w:type="pct"/>
          </w:tcPr>
          <w:p w14:paraId="5ED98F91" w14:textId="118F76A0" w:rsidR="00453C11" w:rsidRPr="00024910" w:rsidRDefault="00453C11" w:rsidP="00453C11">
            <w:pPr>
              <w:rPr>
                <w:b/>
                <w:bCs/>
                <w:sz w:val="16"/>
                <w:szCs w:val="16"/>
                <w:lang w:val="en-GB"/>
              </w:rPr>
            </w:pPr>
            <w:r w:rsidRPr="00024910">
              <w:rPr>
                <w:b/>
                <w:bCs/>
                <w:sz w:val="16"/>
                <w:szCs w:val="16"/>
                <w:lang w:val="en-GB"/>
              </w:rPr>
              <w:t>CPD</w:t>
            </w:r>
          </w:p>
        </w:tc>
        <w:tc>
          <w:tcPr>
            <w:tcW w:w="310" w:type="pct"/>
          </w:tcPr>
          <w:p w14:paraId="5B658FFB" w14:textId="370475EF" w:rsidR="00453C11" w:rsidRDefault="00453C11" w:rsidP="00453C11">
            <w:pPr>
              <w:rPr>
                <w:sz w:val="16"/>
                <w:szCs w:val="16"/>
              </w:rPr>
            </w:pPr>
            <w:r>
              <w:rPr>
                <w:sz w:val="16"/>
                <w:szCs w:val="16"/>
              </w:rPr>
              <w:t>SP Outcomes 1, 2 and 3</w:t>
            </w:r>
          </w:p>
        </w:tc>
        <w:tc>
          <w:tcPr>
            <w:tcW w:w="514" w:type="pct"/>
          </w:tcPr>
          <w:p w14:paraId="62517602" w14:textId="26979950" w:rsidR="00453C11" w:rsidRDefault="00453C11" w:rsidP="00453C11">
            <w:pPr>
              <w:rPr>
                <w:sz w:val="16"/>
                <w:szCs w:val="16"/>
                <w:lang w:val="en-GB"/>
              </w:rPr>
            </w:pPr>
            <w:r>
              <w:rPr>
                <w:sz w:val="16"/>
                <w:szCs w:val="16"/>
                <w:lang w:val="en-GB"/>
              </w:rPr>
              <w:t>Mid-Term Evaluation of the CPD</w:t>
            </w:r>
          </w:p>
        </w:tc>
        <w:tc>
          <w:tcPr>
            <w:tcW w:w="623" w:type="pct"/>
          </w:tcPr>
          <w:p w14:paraId="6A292528" w14:textId="021AAAAE" w:rsidR="00453C11" w:rsidRDefault="00453C11" w:rsidP="00453C11">
            <w:pPr>
              <w:rPr>
                <w:sz w:val="16"/>
                <w:szCs w:val="16"/>
                <w:lang w:val="en-GB"/>
              </w:rPr>
            </w:pPr>
            <w:r>
              <w:rPr>
                <w:sz w:val="16"/>
                <w:szCs w:val="16"/>
                <w:lang w:val="en-GB"/>
              </w:rPr>
              <w:t xml:space="preserve">All relevant </w:t>
            </w:r>
            <w:proofErr w:type="spellStart"/>
            <w:r>
              <w:rPr>
                <w:sz w:val="16"/>
                <w:szCs w:val="16"/>
                <w:lang w:val="en-GB"/>
              </w:rPr>
              <w:t>GoA</w:t>
            </w:r>
            <w:proofErr w:type="spellEnd"/>
            <w:r>
              <w:rPr>
                <w:sz w:val="16"/>
                <w:szCs w:val="16"/>
                <w:lang w:val="en-GB"/>
              </w:rPr>
              <w:t xml:space="preserve"> Sectors</w:t>
            </w:r>
          </w:p>
        </w:tc>
        <w:tc>
          <w:tcPr>
            <w:tcW w:w="625" w:type="pct"/>
          </w:tcPr>
          <w:p w14:paraId="47836817" w14:textId="77777777" w:rsidR="00453C11" w:rsidRPr="001A4B27" w:rsidRDefault="00453C11" w:rsidP="00453C11">
            <w:pPr>
              <w:rPr>
                <w:sz w:val="16"/>
                <w:szCs w:val="16"/>
                <w:lang w:val="en-GB"/>
              </w:rPr>
            </w:pPr>
          </w:p>
        </w:tc>
        <w:tc>
          <w:tcPr>
            <w:tcW w:w="516" w:type="pct"/>
          </w:tcPr>
          <w:p w14:paraId="173D1E2A" w14:textId="1A792859" w:rsidR="00453C11" w:rsidRDefault="00453C11" w:rsidP="00453C11">
            <w:pPr>
              <w:rPr>
                <w:sz w:val="16"/>
                <w:szCs w:val="16"/>
                <w:lang w:val="en-GB"/>
              </w:rPr>
            </w:pPr>
            <w:r>
              <w:rPr>
                <w:sz w:val="16"/>
                <w:szCs w:val="16"/>
                <w:lang w:val="en-GB"/>
              </w:rPr>
              <w:t>CPD Mid-Term evaluation</w:t>
            </w:r>
          </w:p>
        </w:tc>
        <w:tc>
          <w:tcPr>
            <w:tcW w:w="600" w:type="pct"/>
          </w:tcPr>
          <w:p w14:paraId="1EBAE2A3" w14:textId="68B8DE64" w:rsidR="00453C11" w:rsidRDefault="00453C11" w:rsidP="00453C11">
            <w:pPr>
              <w:rPr>
                <w:color w:val="000000"/>
                <w:sz w:val="16"/>
                <w:szCs w:val="16"/>
              </w:rPr>
            </w:pPr>
            <w:r>
              <w:rPr>
                <w:color w:val="000000"/>
                <w:sz w:val="16"/>
                <w:szCs w:val="16"/>
              </w:rPr>
              <w:t>31/12/2025</w:t>
            </w:r>
          </w:p>
        </w:tc>
        <w:tc>
          <w:tcPr>
            <w:tcW w:w="548" w:type="pct"/>
          </w:tcPr>
          <w:p w14:paraId="02955598" w14:textId="144C7DC9" w:rsidR="00453C11" w:rsidRDefault="00453C11" w:rsidP="00453C11">
            <w:pPr>
              <w:rPr>
                <w:sz w:val="16"/>
                <w:szCs w:val="16"/>
                <w:lang w:val="en-GB"/>
              </w:rPr>
            </w:pPr>
            <w:r>
              <w:rPr>
                <w:sz w:val="16"/>
                <w:szCs w:val="16"/>
                <w:lang w:val="en-GB"/>
              </w:rPr>
              <w:t>40000 USD</w:t>
            </w:r>
          </w:p>
        </w:tc>
        <w:tc>
          <w:tcPr>
            <w:tcW w:w="540" w:type="pct"/>
          </w:tcPr>
          <w:p w14:paraId="36015B8C" w14:textId="4250D80B" w:rsidR="00453C11" w:rsidRDefault="00453C11" w:rsidP="00453C11">
            <w:pPr>
              <w:rPr>
                <w:rStyle w:val="CommentReference"/>
                <w:sz w:val="16"/>
                <w:szCs w:val="16"/>
                <w:lang w:eastAsia="uk-UA"/>
              </w:rPr>
            </w:pPr>
            <w:r>
              <w:rPr>
                <w:rStyle w:val="CommentReference"/>
                <w:sz w:val="16"/>
                <w:szCs w:val="16"/>
                <w:lang w:eastAsia="uk-UA"/>
              </w:rPr>
              <w:t>CO funded</w:t>
            </w:r>
          </w:p>
        </w:tc>
      </w:tr>
      <w:tr w:rsidR="00453C11" w:rsidRPr="00241263" w14:paraId="1742395C" w14:textId="77777777" w:rsidTr="007C51AD">
        <w:trPr>
          <w:trHeight w:val="60"/>
        </w:trPr>
        <w:tc>
          <w:tcPr>
            <w:tcW w:w="724" w:type="pct"/>
          </w:tcPr>
          <w:p w14:paraId="3D88A2D6" w14:textId="7B22D308" w:rsidR="00453C11" w:rsidRDefault="00453C11" w:rsidP="00453C11">
            <w:pPr>
              <w:rPr>
                <w:sz w:val="16"/>
                <w:szCs w:val="16"/>
                <w:lang w:val="fr-FR"/>
              </w:rPr>
            </w:pPr>
            <w:r>
              <w:rPr>
                <w:sz w:val="16"/>
                <w:szCs w:val="16"/>
                <w:lang w:val="fr-FR"/>
              </w:rPr>
              <w:t>T</w:t>
            </w:r>
            <w:r>
              <w:rPr>
                <w:lang w:val="fr-FR"/>
              </w:rPr>
              <w:t>otal</w:t>
            </w:r>
          </w:p>
        </w:tc>
        <w:tc>
          <w:tcPr>
            <w:tcW w:w="2072" w:type="pct"/>
            <w:gridSpan w:val="4"/>
          </w:tcPr>
          <w:p w14:paraId="5DC9451D" w14:textId="77777777" w:rsidR="00453C11" w:rsidRPr="001A4B27" w:rsidRDefault="00453C11" w:rsidP="00453C11">
            <w:pPr>
              <w:rPr>
                <w:sz w:val="16"/>
                <w:szCs w:val="16"/>
                <w:lang w:val="en-GB"/>
              </w:rPr>
            </w:pPr>
          </w:p>
        </w:tc>
        <w:tc>
          <w:tcPr>
            <w:tcW w:w="516" w:type="pct"/>
          </w:tcPr>
          <w:p w14:paraId="0D6D4613" w14:textId="422870AF" w:rsidR="00453C11" w:rsidRPr="00315DDD" w:rsidRDefault="009C5A75" w:rsidP="00453C11">
            <w:pPr>
              <w:rPr>
                <w:sz w:val="16"/>
                <w:szCs w:val="16"/>
                <w:lang w:val="en-GB"/>
              </w:rPr>
            </w:pPr>
            <w:r>
              <w:rPr>
                <w:lang w:val="en-GB"/>
              </w:rPr>
              <w:t>9</w:t>
            </w:r>
            <w:r w:rsidR="00453C11">
              <w:rPr>
                <w:lang w:val="en-GB"/>
              </w:rPr>
              <w:t xml:space="preserve"> evaluations</w:t>
            </w:r>
          </w:p>
        </w:tc>
        <w:tc>
          <w:tcPr>
            <w:tcW w:w="600" w:type="pct"/>
          </w:tcPr>
          <w:p w14:paraId="342606E4" w14:textId="77777777" w:rsidR="00453C11" w:rsidRDefault="00453C11" w:rsidP="00453C11">
            <w:pPr>
              <w:rPr>
                <w:color w:val="000000"/>
                <w:sz w:val="16"/>
                <w:szCs w:val="16"/>
              </w:rPr>
            </w:pPr>
          </w:p>
        </w:tc>
        <w:tc>
          <w:tcPr>
            <w:tcW w:w="548" w:type="pct"/>
          </w:tcPr>
          <w:p w14:paraId="31E33750" w14:textId="076CB431" w:rsidR="00453C11" w:rsidRDefault="00C0337F" w:rsidP="00453C11">
            <w:pPr>
              <w:rPr>
                <w:sz w:val="16"/>
                <w:szCs w:val="16"/>
                <w:lang w:val="en-GB"/>
              </w:rPr>
            </w:pPr>
            <w:r>
              <w:rPr>
                <w:sz w:val="16"/>
                <w:szCs w:val="16"/>
                <w:lang w:val="en-GB"/>
              </w:rPr>
              <w:t>3</w:t>
            </w:r>
            <w:r w:rsidR="000A2FA9">
              <w:rPr>
                <w:sz w:val="16"/>
                <w:szCs w:val="16"/>
                <w:lang w:val="en-GB"/>
              </w:rPr>
              <w:t>6</w:t>
            </w:r>
            <w:r w:rsidR="00453C11">
              <w:rPr>
                <w:sz w:val="16"/>
                <w:szCs w:val="16"/>
                <w:lang w:val="en-GB"/>
              </w:rPr>
              <w:t>0000USD</w:t>
            </w:r>
          </w:p>
        </w:tc>
        <w:tc>
          <w:tcPr>
            <w:tcW w:w="540" w:type="pct"/>
          </w:tcPr>
          <w:p w14:paraId="74CDD3C6" w14:textId="77777777" w:rsidR="00453C11" w:rsidRDefault="00453C11" w:rsidP="00453C11">
            <w:pPr>
              <w:rPr>
                <w:rStyle w:val="CommentReference"/>
                <w:sz w:val="16"/>
                <w:szCs w:val="16"/>
                <w:lang w:eastAsia="uk-UA"/>
              </w:rPr>
            </w:pPr>
          </w:p>
        </w:tc>
      </w:tr>
    </w:tbl>
    <w:p w14:paraId="08275ED0" w14:textId="71AC4495" w:rsidR="00B8302E" w:rsidRPr="001A4B27" w:rsidRDefault="00B8302E" w:rsidP="007E6D1A">
      <w:pPr>
        <w:rPr>
          <w:color w:val="000000"/>
          <w:lang w:val="en-GB"/>
        </w:rPr>
      </w:pPr>
    </w:p>
    <w:sectPr w:rsidR="00B8302E" w:rsidRPr="001A4B27" w:rsidSect="00B8302E">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E2C8" w14:textId="77777777" w:rsidR="000D1C4C" w:rsidRDefault="000D1C4C" w:rsidP="00AF02CE">
      <w:r>
        <w:separator/>
      </w:r>
    </w:p>
  </w:endnote>
  <w:endnote w:type="continuationSeparator" w:id="0">
    <w:p w14:paraId="434BEED7" w14:textId="77777777" w:rsidR="000D1C4C" w:rsidRDefault="000D1C4C" w:rsidP="00AF02CE">
      <w:r>
        <w:continuationSeparator/>
      </w:r>
    </w:p>
  </w:endnote>
  <w:endnote w:type="continuationNotice" w:id="1">
    <w:p w14:paraId="247DE8AA" w14:textId="77777777" w:rsidR="000D1C4C" w:rsidRDefault="000D1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899718"/>
      <w:docPartObj>
        <w:docPartGallery w:val="Page Numbers (Bottom of Page)"/>
        <w:docPartUnique/>
      </w:docPartObj>
    </w:sdtPr>
    <w:sdtEndPr>
      <w:rPr>
        <w:noProof/>
      </w:rPr>
    </w:sdtEndPr>
    <w:sdtContent>
      <w:p w14:paraId="51B52589" w14:textId="6807A9EC" w:rsidR="00AF02CE" w:rsidRDefault="00AF02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B3ADD7" w14:textId="77777777" w:rsidR="00AF02CE" w:rsidRDefault="00AF0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4E6C" w14:textId="77777777" w:rsidR="000D1C4C" w:rsidRDefault="000D1C4C" w:rsidP="00AF02CE">
      <w:r>
        <w:separator/>
      </w:r>
    </w:p>
  </w:footnote>
  <w:footnote w:type="continuationSeparator" w:id="0">
    <w:p w14:paraId="0838AD1E" w14:textId="77777777" w:rsidR="000D1C4C" w:rsidRDefault="000D1C4C" w:rsidP="00AF02CE">
      <w:r>
        <w:continuationSeparator/>
      </w:r>
    </w:p>
  </w:footnote>
  <w:footnote w:type="continuationNotice" w:id="1">
    <w:p w14:paraId="5D2771BC" w14:textId="77777777" w:rsidR="000D1C4C" w:rsidRDefault="000D1C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3B9"/>
    <w:multiLevelType w:val="hybridMultilevel"/>
    <w:tmpl w:val="1484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4B"/>
    <w:rsid w:val="00004986"/>
    <w:rsid w:val="00021EC0"/>
    <w:rsid w:val="00022D5B"/>
    <w:rsid w:val="00024910"/>
    <w:rsid w:val="00027604"/>
    <w:rsid w:val="0003545D"/>
    <w:rsid w:val="00035A64"/>
    <w:rsid w:val="00045B33"/>
    <w:rsid w:val="0006307F"/>
    <w:rsid w:val="000831B8"/>
    <w:rsid w:val="000832C1"/>
    <w:rsid w:val="00090465"/>
    <w:rsid w:val="000A2FA9"/>
    <w:rsid w:val="000B40FF"/>
    <w:rsid w:val="000B4CBB"/>
    <w:rsid w:val="000B5B0D"/>
    <w:rsid w:val="000C68C1"/>
    <w:rsid w:val="000D1C4C"/>
    <w:rsid w:val="000D642E"/>
    <w:rsid w:val="0010126B"/>
    <w:rsid w:val="00106AF3"/>
    <w:rsid w:val="00116A81"/>
    <w:rsid w:val="00121746"/>
    <w:rsid w:val="00132CA3"/>
    <w:rsid w:val="001362DA"/>
    <w:rsid w:val="0014241F"/>
    <w:rsid w:val="00145381"/>
    <w:rsid w:val="00146BA2"/>
    <w:rsid w:val="00147E42"/>
    <w:rsid w:val="00161F69"/>
    <w:rsid w:val="00171D84"/>
    <w:rsid w:val="00174070"/>
    <w:rsid w:val="001812B0"/>
    <w:rsid w:val="00182532"/>
    <w:rsid w:val="00187426"/>
    <w:rsid w:val="001914BA"/>
    <w:rsid w:val="00193C12"/>
    <w:rsid w:val="001A4B27"/>
    <w:rsid w:val="001B5269"/>
    <w:rsid w:val="001D2DE5"/>
    <w:rsid w:val="001E4AC0"/>
    <w:rsid w:val="001E57C8"/>
    <w:rsid w:val="001F2064"/>
    <w:rsid w:val="001F3EF6"/>
    <w:rsid w:val="001F47B0"/>
    <w:rsid w:val="001F53AE"/>
    <w:rsid w:val="0020027F"/>
    <w:rsid w:val="002038DF"/>
    <w:rsid w:val="00241263"/>
    <w:rsid w:val="002414E4"/>
    <w:rsid w:val="00256491"/>
    <w:rsid w:val="00256503"/>
    <w:rsid w:val="00263B03"/>
    <w:rsid w:val="00281A48"/>
    <w:rsid w:val="00290635"/>
    <w:rsid w:val="002925F5"/>
    <w:rsid w:val="002A18DA"/>
    <w:rsid w:val="002B7995"/>
    <w:rsid w:val="002B79CD"/>
    <w:rsid w:val="002C14EC"/>
    <w:rsid w:val="002E02D7"/>
    <w:rsid w:val="002F2384"/>
    <w:rsid w:val="002F52D5"/>
    <w:rsid w:val="00303AAD"/>
    <w:rsid w:val="00311A9C"/>
    <w:rsid w:val="00312A00"/>
    <w:rsid w:val="00315DDD"/>
    <w:rsid w:val="0031691D"/>
    <w:rsid w:val="0032354B"/>
    <w:rsid w:val="00342B78"/>
    <w:rsid w:val="00344859"/>
    <w:rsid w:val="00354A26"/>
    <w:rsid w:val="00355A57"/>
    <w:rsid w:val="00356E8D"/>
    <w:rsid w:val="003624C7"/>
    <w:rsid w:val="003666AC"/>
    <w:rsid w:val="00376772"/>
    <w:rsid w:val="003A27F2"/>
    <w:rsid w:val="003A656B"/>
    <w:rsid w:val="003B1A6E"/>
    <w:rsid w:val="003B31CF"/>
    <w:rsid w:val="003B3AAA"/>
    <w:rsid w:val="003B5F10"/>
    <w:rsid w:val="003D28B6"/>
    <w:rsid w:val="003E3315"/>
    <w:rsid w:val="003E3CD5"/>
    <w:rsid w:val="003F170B"/>
    <w:rsid w:val="003F3666"/>
    <w:rsid w:val="004022C1"/>
    <w:rsid w:val="00413F6F"/>
    <w:rsid w:val="00416FE1"/>
    <w:rsid w:val="00436310"/>
    <w:rsid w:val="00453C11"/>
    <w:rsid w:val="00455D99"/>
    <w:rsid w:val="00463C1C"/>
    <w:rsid w:val="004660AA"/>
    <w:rsid w:val="00472872"/>
    <w:rsid w:val="00482DAF"/>
    <w:rsid w:val="00484E2F"/>
    <w:rsid w:val="004919E8"/>
    <w:rsid w:val="004A0EFD"/>
    <w:rsid w:val="004A19BF"/>
    <w:rsid w:val="004A7EA4"/>
    <w:rsid w:val="004B2A32"/>
    <w:rsid w:val="004B3E2D"/>
    <w:rsid w:val="004B68E0"/>
    <w:rsid w:val="004B73BC"/>
    <w:rsid w:val="004C0978"/>
    <w:rsid w:val="004C6DEC"/>
    <w:rsid w:val="004F3481"/>
    <w:rsid w:val="004F3D76"/>
    <w:rsid w:val="00507B4C"/>
    <w:rsid w:val="005110E4"/>
    <w:rsid w:val="0052195C"/>
    <w:rsid w:val="005236C7"/>
    <w:rsid w:val="0053733F"/>
    <w:rsid w:val="00540606"/>
    <w:rsid w:val="00554F15"/>
    <w:rsid w:val="005564A9"/>
    <w:rsid w:val="00556882"/>
    <w:rsid w:val="005601D7"/>
    <w:rsid w:val="00560999"/>
    <w:rsid w:val="00564630"/>
    <w:rsid w:val="00572310"/>
    <w:rsid w:val="00572D9D"/>
    <w:rsid w:val="00575008"/>
    <w:rsid w:val="00575046"/>
    <w:rsid w:val="00592FD1"/>
    <w:rsid w:val="005A61A5"/>
    <w:rsid w:val="005B570B"/>
    <w:rsid w:val="005E1846"/>
    <w:rsid w:val="00621478"/>
    <w:rsid w:val="006216EF"/>
    <w:rsid w:val="0062668B"/>
    <w:rsid w:val="00626BEB"/>
    <w:rsid w:val="00627B8A"/>
    <w:rsid w:val="00635F2C"/>
    <w:rsid w:val="00640E57"/>
    <w:rsid w:val="00642ABC"/>
    <w:rsid w:val="00646399"/>
    <w:rsid w:val="006737E7"/>
    <w:rsid w:val="00690524"/>
    <w:rsid w:val="006C295C"/>
    <w:rsid w:val="006C2B46"/>
    <w:rsid w:val="006D348F"/>
    <w:rsid w:val="006E6D70"/>
    <w:rsid w:val="006E7F39"/>
    <w:rsid w:val="0070192F"/>
    <w:rsid w:val="007042F8"/>
    <w:rsid w:val="0072109C"/>
    <w:rsid w:val="00723FE0"/>
    <w:rsid w:val="00747E0E"/>
    <w:rsid w:val="00760A13"/>
    <w:rsid w:val="0076253C"/>
    <w:rsid w:val="00763037"/>
    <w:rsid w:val="0076653B"/>
    <w:rsid w:val="00767D3D"/>
    <w:rsid w:val="0077039F"/>
    <w:rsid w:val="007747CA"/>
    <w:rsid w:val="00784549"/>
    <w:rsid w:val="007B1046"/>
    <w:rsid w:val="007B4C8E"/>
    <w:rsid w:val="007C1DF7"/>
    <w:rsid w:val="007C51AD"/>
    <w:rsid w:val="007D1467"/>
    <w:rsid w:val="007D6F24"/>
    <w:rsid w:val="007E3F6D"/>
    <w:rsid w:val="007E6D1A"/>
    <w:rsid w:val="007E70CA"/>
    <w:rsid w:val="00804DAC"/>
    <w:rsid w:val="00814101"/>
    <w:rsid w:val="008321D0"/>
    <w:rsid w:val="008374E1"/>
    <w:rsid w:val="00843E59"/>
    <w:rsid w:val="00845000"/>
    <w:rsid w:val="008512E8"/>
    <w:rsid w:val="00855E28"/>
    <w:rsid w:val="00863C06"/>
    <w:rsid w:val="00870D06"/>
    <w:rsid w:val="0089046D"/>
    <w:rsid w:val="008A5870"/>
    <w:rsid w:val="008B4631"/>
    <w:rsid w:val="008C2BC0"/>
    <w:rsid w:val="008E10F3"/>
    <w:rsid w:val="008F03CA"/>
    <w:rsid w:val="008F1879"/>
    <w:rsid w:val="008F1CC2"/>
    <w:rsid w:val="008F7276"/>
    <w:rsid w:val="009041A1"/>
    <w:rsid w:val="009218CB"/>
    <w:rsid w:val="00925F6D"/>
    <w:rsid w:val="009308D1"/>
    <w:rsid w:val="00940236"/>
    <w:rsid w:val="0095336B"/>
    <w:rsid w:val="0096486B"/>
    <w:rsid w:val="009759E8"/>
    <w:rsid w:val="009B3C6C"/>
    <w:rsid w:val="009C34D2"/>
    <w:rsid w:val="009C46C4"/>
    <w:rsid w:val="009C5A75"/>
    <w:rsid w:val="009E14C1"/>
    <w:rsid w:val="009F3F31"/>
    <w:rsid w:val="009F49B1"/>
    <w:rsid w:val="009F5CC0"/>
    <w:rsid w:val="00A0564C"/>
    <w:rsid w:val="00A76A93"/>
    <w:rsid w:val="00AA7F48"/>
    <w:rsid w:val="00AB78C5"/>
    <w:rsid w:val="00AC045E"/>
    <w:rsid w:val="00AC14F7"/>
    <w:rsid w:val="00AC1A1D"/>
    <w:rsid w:val="00AC3F10"/>
    <w:rsid w:val="00AC6F04"/>
    <w:rsid w:val="00AD040B"/>
    <w:rsid w:val="00AD388E"/>
    <w:rsid w:val="00AD3F0A"/>
    <w:rsid w:val="00AD477E"/>
    <w:rsid w:val="00AE0188"/>
    <w:rsid w:val="00AE51E6"/>
    <w:rsid w:val="00AF02CE"/>
    <w:rsid w:val="00B13271"/>
    <w:rsid w:val="00B22EAC"/>
    <w:rsid w:val="00B23C86"/>
    <w:rsid w:val="00B27BED"/>
    <w:rsid w:val="00B36BE0"/>
    <w:rsid w:val="00B46A77"/>
    <w:rsid w:val="00B51A8A"/>
    <w:rsid w:val="00B65EDA"/>
    <w:rsid w:val="00B66A0A"/>
    <w:rsid w:val="00B7586C"/>
    <w:rsid w:val="00B775CD"/>
    <w:rsid w:val="00B8302E"/>
    <w:rsid w:val="00BA32BB"/>
    <w:rsid w:val="00BB6195"/>
    <w:rsid w:val="00BC086E"/>
    <w:rsid w:val="00BD2394"/>
    <w:rsid w:val="00BE1F8D"/>
    <w:rsid w:val="00BE2756"/>
    <w:rsid w:val="00BF1C4C"/>
    <w:rsid w:val="00C0337F"/>
    <w:rsid w:val="00C04354"/>
    <w:rsid w:val="00C06A52"/>
    <w:rsid w:val="00C10FC5"/>
    <w:rsid w:val="00C1255A"/>
    <w:rsid w:val="00C24F73"/>
    <w:rsid w:val="00C25A84"/>
    <w:rsid w:val="00C25F37"/>
    <w:rsid w:val="00C30AFA"/>
    <w:rsid w:val="00C35356"/>
    <w:rsid w:val="00C36283"/>
    <w:rsid w:val="00C37654"/>
    <w:rsid w:val="00C566B9"/>
    <w:rsid w:val="00C5681A"/>
    <w:rsid w:val="00C56EE5"/>
    <w:rsid w:val="00C57BC0"/>
    <w:rsid w:val="00C615A3"/>
    <w:rsid w:val="00C757BB"/>
    <w:rsid w:val="00C83023"/>
    <w:rsid w:val="00C90474"/>
    <w:rsid w:val="00C9628C"/>
    <w:rsid w:val="00CA1D50"/>
    <w:rsid w:val="00CC1777"/>
    <w:rsid w:val="00CE1675"/>
    <w:rsid w:val="00CE61AC"/>
    <w:rsid w:val="00D05371"/>
    <w:rsid w:val="00D152D6"/>
    <w:rsid w:val="00D36B34"/>
    <w:rsid w:val="00D46AC2"/>
    <w:rsid w:val="00D51900"/>
    <w:rsid w:val="00D53437"/>
    <w:rsid w:val="00D73B55"/>
    <w:rsid w:val="00D96ACB"/>
    <w:rsid w:val="00DA6A50"/>
    <w:rsid w:val="00DA6E37"/>
    <w:rsid w:val="00DB5BD9"/>
    <w:rsid w:val="00DB5E3C"/>
    <w:rsid w:val="00DC275F"/>
    <w:rsid w:val="00DD27C8"/>
    <w:rsid w:val="00DE4667"/>
    <w:rsid w:val="00DE5592"/>
    <w:rsid w:val="00DF6B92"/>
    <w:rsid w:val="00E05EC7"/>
    <w:rsid w:val="00E05F4F"/>
    <w:rsid w:val="00E118FD"/>
    <w:rsid w:val="00E3290A"/>
    <w:rsid w:val="00E41188"/>
    <w:rsid w:val="00E729F4"/>
    <w:rsid w:val="00E73BC1"/>
    <w:rsid w:val="00E8113E"/>
    <w:rsid w:val="00E82D5C"/>
    <w:rsid w:val="00E85C6F"/>
    <w:rsid w:val="00E866AD"/>
    <w:rsid w:val="00E9358D"/>
    <w:rsid w:val="00EA0CF3"/>
    <w:rsid w:val="00EB0552"/>
    <w:rsid w:val="00EB2848"/>
    <w:rsid w:val="00EC1D53"/>
    <w:rsid w:val="00EC374D"/>
    <w:rsid w:val="00EC6C32"/>
    <w:rsid w:val="00F014E7"/>
    <w:rsid w:val="00F06E94"/>
    <w:rsid w:val="00F209A7"/>
    <w:rsid w:val="00F24547"/>
    <w:rsid w:val="00F55C8A"/>
    <w:rsid w:val="00F7621F"/>
    <w:rsid w:val="00F77844"/>
    <w:rsid w:val="00F82116"/>
    <w:rsid w:val="00F84545"/>
    <w:rsid w:val="00F86E99"/>
    <w:rsid w:val="00F90E2A"/>
    <w:rsid w:val="00F93276"/>
    <w:rsid w:val="00F944A4"/>
    <w:rsid w:val="00F950D6"/>
    <w:rsid w:val="00F97863"/>
    <w:rsid w:val="00FB3B23"/>
    <w:rsid w:val="00FD061E"/>
    <w:rsid w:val="00FD6212"/>
    <w:rsid w:val="00FE29B2"/>
    <w:rsid w:val="00FE7117"/>
    <w:rsid w:val="00FF7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8362"/>
  <w15:chartTrackingRefBased/>
  <w15:docId w15:val="{6405309A-18E8-4D54-BD35-BDD8B5C8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0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8302E"/>
    <w:rPr>
      <w:rFonts w:cs="Times New Roman"/>
      <w:sz w:val="6"/>
      <w:szCs w:val="6"/>
    </w:rPr>
  </w:style>
  <w:style w:type="paragraph" w:styleId="Header">
    <w:name w:val="header"/>
    <w:basedOn w:val="Normal"/>
    <w:link w:val="HeaderChar"/>
    <w:uiPriority w:val="99"/>
    <w:unhideWhenUsed/>
    <w:rsid w:val="00AF02CE"/>
    <w:pPr>
      <w:tabs>
        <w:tab w:val="center" w:pos="4513"/>
        <w:tab w:val="right" w:pos="9026"/>
      </w:tabs>
    </w:pPr>
  </w:style>
  <w:style w:type="character" w:customStyle="1" w:styleId="HeaderChar">
    <w:name w:val="Header Char"/>
    <w:basedOn w:val="DefaultParagraphFont"/>
    <w:link w:val="Header"/>
    <w:uiPriority w:val="99"/>
    <w:rsid w:val="00AF02C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F02CE"/>
    <w:pPr>
      <w:tabs>
        <w:tab w:val="center" w:pos="4513"/>
        <w:tab w:val="right" w:pos="9026"/>
      </w:tabs>
    </w:pPr>
  </w:style>
  <w:style w:type="character" w:customStyle="1" w:styleId="FooterChar">
    <w:name w:val="Footer Char"/>
    <w:basedOn w:val="DefaultParagraphFont"/>
    <w:link w:val="Footer"/>
    <w:uiPriority w:val="99"/>
    <w:rsid w:val="00AF02CE"/>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118FD"/>
    <w:pPr>
      <w:ind w:left="720"/>
      <w:contextualSpacing/>
    </w:pPr>
  </w:style>
  <w:style w:type="paragraph" w:styleId="Revision">
    <w:name w:val="Revision"/>
    <w:hidden/>
    <w:uiPriority w:val="99"/>
    <w:semiHidden/>
    <w:rsid w:val="002A18DA"/>
    <w:pPr>
      <w:spacing w:after="0" w:line="240" w:lineRule="auto"/>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090465"/>
  </w:style>
  <w:style w:type="character" w:customStyle="1" w:styleId="CommentTextChar">
    <w:name w:val="Comment Text Char"/>
    <w:basedOn w:val="DefaultParagraphFont"/>
    <w:link w:val="CommentText"/>
    <w:uiPriority w:val="99"/>
    <w:rsid w:val="000904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0465"/>
    <w:rPr>
      <w:b/>
      <w:bCs/>
    </w:rPr>
  </w:style>
  <w:style w:type="character" w:customStyle="1" w:styleId="CommentSubjectChar">
    <w:name w:val="Comment Subject Char"/>
    <w:basedOn w:val="CommentTextChar"/>
    <w:link w:val="CommentSubject"/>
    <w:uiPriority w:val="99"/>
    <w:semiHidden/>
    <w:rsid w:val="00090465"/>
    <w:rPr>
      <w:rFonts w:ascii="Times New Roman" w:eastAsia="Times New Roman" w:hAnsi="Times New Roman" w:cs="Times New Roman"/>
      <w:b/>
      <w:bCs/>
      <w:sz w:val="20"/>
      <w:szCs w:val="20"/>
    </w:rPr>
  </w:style>
  <w:style w:type="paragraph" w:customStyle="1" w:styleId="paragraph">
    <w:name w:val="paragraph"/>
    <w:basedOn w:val="Normal"/>
    <w:rsid w:val="006C295C"/>
    <w:pPr>
      <w:spacing w:before="100" w:beforeAutospacing="1" w:after="100" w:afterAutospacing="1"/>
    </w:pPr>
    <w:rPr>
      <w:sz w:val="24"/>
      <w:szCs w:val="24"/>
    </w:rPr>
  </w:style>
  <w:style w:type="character" w:customStyle="1" w:styleId="normaltextrun">
    <w:name w:val="normaltextrun"/>
    <w:basedOn w:val="DefaultParagraphFont"/>
    <w:rsid w:val="006C295C"/>
  </w:style>
  <w:style w:type="character" w:customStyle="1" w:styleId="eop">
    <w:name w:val="eop"/>
    <w:basedOn w:val="DefaultParagraphFont"/>
    <w:rsid w:val="006C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5919">
      <w:bodyDiv w:val="1"/>
      <w:marLeft w:val="0"/>
      <w:marRight w:val="0"/>
      <w:marTop w:val="0"/>
      <w:marBottom w:val="0"/>
      <w:divBdr>
        <w:top w:val="none" w:sz="0" w:space="0" w:color="auto"/>
        <w:left w:val="none" w:sz="0" w:space="0" w:color="auto"/>
        <w:bottom w:val="none" w:sz="0" w:space="0" w:color="auto"/>
        <w:right w:val="none" w:sz="0" w:space="0" w:color="auto"/>
      </w:divBdr>
    </w:div>
    <w:div w:id="14473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UNITOFFICE-440-2534</_dlc_DocId>
    <_dlc_DocIdUrl xmlns="5ebeba3d-fd60-4dcb-8548-a9fd3c51d9ff">
      <Url>https://intranet.undp.org/unit/office/exo/sp2014/SP201417/_layouts/15/DocIdRedir.aspx?ID=UNITOFFICE-440-2534</Url>
      <Description>UNITOFFICE-440-2534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17471-A088-4045-B679-BB711CE6D46C}">
  <ds:schemaRefs>
    <ds:schemaRef ds:uri="http://schemas.microsoft.com/sharepoint/events"/>
  </ds:schemaRefs>
</ds:datastoreItem>
</file>

<file path=customXml/itemProps2.xml><?xml version="1.0" encoding="utf-8"?>
<ds:datastoreItem xmlns:ds="http://schemas.openxmlformats.org/officeDocument/2006/customXml" ds:itemID="{651C053C-1682-428A-AAB6-E35BF6EA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444E3-21C4-472B-BB7C-6E8985067C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ebeba3d-fd60-4dcb-8548-a9fd3c51d9f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6986D29-3820-45C8-AB22-5DB9301FE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3790</Characters>
  <Application>Microsoft Office Word</Application>
  <DocSecurity>4</DocSecurity>
  <Lines>82</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Derio</dc:creator>
  <cp:keywords/>
  <dc:description/>
  <cp:lastModifiedBy>Svetlana Iazykova</cp:lastModifiedBy>
  <cp:revision>2</cp:revision>
  <dcterms:created xsi:type="dcterms:W3CDTF">2022-10-27T12:09:00Z</dcterms:created>
  <dcterms:modified xsi:type="dcterms:W3CDTF">2022-10-27T12:09:00Z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99690be3-1b3e-4af8-a604-ef529fd1f873</vt:lpwstr>
  </property>
</Properties>
</file>