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D3A4" w14:textId="77777777" w:rsidR="00785474" w:rsidRPr="003C26C1" w:rsidRDefault="00785474" w:rsidP="00D9153B">
      <w:pPr>
        <w:rPr>
          <w:color w:val="000000"/>
          <w:sz w:val="6"/>
        </w:rPr>
        <w:sectPr w:rsidR="00785474" w:rsidRPr="003C26C1" w:rsidSect="00437220">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800" w:bottom="1440" w:left="1195" w:header="578" w:footer="1032" w:gutter="0"/>
          <w:pgNumType w:start="1"/>
          <w:cols w:space="720"/>
          <w:titlePg/>
        </w:sectPr>
      </w:pPr>
    </w:p>
    <w:p w14:paraId="1C3F8F48" w14:textId="77777777" w:rsidR="00437220" w:rsidRPr="00437220" w:rsidRDefault="00437220" w:rsidP="004372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437220">
        <w:rPr>
          <w:b/>
          <w:color w:val="000000"/>
          <w:lang w:val="en-GB"/>
        </w:rPr>
        <w:t>Second regular session 2016</w:t>
      </w:r>
    </w:p>
    <w:p w14:paraId="4D687833" w14:textId="44CA7A63" w:rsidR="00437220" w:rsidRPr="00437220" w:rsidRDefault="00437220" w:rsidP="004372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437220">
        <w:rPr>
          <w:color w:val="000000"/>
          <w:lang w:val="en-GB"/>
        </w:rPr>
        <w:t>6-9 September 2016, New York</w:t>
      </w:r>
    </w:p>
    <w:p w14:paraId="3BD81B76" w14:textId="26C5FD9C" w:rsidR="00437220" w:rsidRPr="00437220" w:rsidRDefault="00437220" w:rsidP="004372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437220">
        <w:rPr>
          <w:color w:val="000000"/>
          <w:lang w:val="en-GB"/>
        </w:rPr>
        <w:t xml:space="preserve">Item </w:t>
      </w:r>
      <w:r w:rsidR="004B38BB">
        <w:rPr>
          <w:color w:val="000000"/>
          <w:lang w:val="en-GB"/>
        </w:rPr>
        <w:t>3</w:t>
      </w:r>
      <w:r w:rsidRPr="00437220">
        <w:rPr>
          <w:color w:val="000000"/>
          <w:lang w:val="en-GB"/>
        </w:rPr>
        <w:t xml:space="preserve"> of the provisional agenda</w:t>
      </w:r>
    </w:p>
    <w:p w14:paraId="6CA25D06" w14:textId="77777777" w:rsidR="00437220" w:rsidRPr="00437220" w:rsidRDefault="00437220" w:rsidP="00437220">
      <w:pPr>
        <w:ind w:right="1260"/>
        <w:rPr>
          <w:b/>
          <w:color w:val="000000"/>
          <w:lang w:val="en-GB"/>
        </w:rPr>
      </w:pPr>
      <w:r w:rsidRPr="00437220">
        <w:rPr>
          <w:b/>
          <w:color w:val="000000"/>
          <w:lang w:val="en-GB"/>
        </w:rPr>
        <w:t>Country programmes and related matters</w:t>
      </w:r>
    </w:p>
    <w:p w14:paraId="2BD7A33F" w14:textId="77777777" w:rsidR="00437220" w:rsidRPr="00437220" w:rsidRDefault="00437220" w:rsidP="00437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A9E694D" w14:textId="77777777" w:rsidR="00437220" w:rsidRPr="00437220" w:rsidRDefault="00437220" w:rsidP="00437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A3A7866" w14:textId="77777777" w:rsidR="00437220" w:rsidRPr="00437220" w:rsidRDefault="00437220" w:rsidP="00437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029E18F" w14:textId="77777777" w:rsidR="00437220" w:rsidRPr="00437220" w:rsidRDefault="00437220" w:rsidP="004372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51BEF235" w14:textId="253927D1" w:rsidR="00437220" w:rsidRPr="00437220" w:rsidRDefault="00437220" w:rsidP="004372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b/>
          <w:color w:val="000000"/>
          <w:spacing w:val="-2"/>
          <w:w w:val="103"/>
          <w:kern w:val="14"/>
          <w:sz w:val="32"/>
          <w:szCs w:val="32"/>
          <w:lang w:val="en-GB"/>
        </w:rPr>
      </w:pPr>
      <w:r w:rsidRPr="00437220">
        <w:rPr>
          <w:b/>
          <w:color w:val="000000"/>
          <w:spacing w:val="-2"/>
          <w:w w:val="103"/>
          <w:kern w:val="14"/>
          <w:sz w:val="32"/>
          <w:szCs w:val="32"/>
          <w:lang w:val="en-GB"/>
        </w:rPr>
        <w:t xml:space="preserve">Draft country programme document for </w:t>
      </w:r>
      <w:r>
        <w:rPr>
          <w:b/>
          <w:color w:val="000000"/>
          <w:spacing w:val="-2"/>
          <w:w w:val="103"/>
          <w:kern w:val="14"/>
          <w:sz w:val="32"/>
          <w:szCs w:val="32"/>
          <w:lang w:val="en-GB"/>
        </w:rPr>
        <w:t>Peru</w:t>
      </w:r>
      <w:r w:rsidRPr="00437220">
        <w:rPr>
          <w:b/>
          <w:color w:val="000000"/>
          <w:spacing w:val="-2"/>
          <w:w w:val="103"/>
          <w:kern w:val="14"/>
          <w:sz w:val="32"/>
          <w:szCs w:val="32"/>
        </w:rPr>
        <w:t xml:space="preserve"> </w:t>
      </w:r>
      <w:r w:rsidRPr="00437220">
        <w:rPr>
          <w:b/>
          <w:color w:val="000000"/>
          <w:spacing w:val="-2"/>
          <w:w w:val="103"/>
          <w:kern w:val="14"/>
          <w:sz w:val="32"/>
          <w:szCs w:val="32"/>
          <w:lang w:val="en-GB"/>
        </w:rPr>
        <w:t>(2017-2021)</w:t>
      </w:r>
    </w:p>
    <w:p w14:paraId="255EAB21" w14:textId="77777777" w:rsidR="00437220" w:rsidRPr="00437220" w:rsidRDefault="00437220" w:rsidP="00437220">
      <w:pPr>
        <w:rPr>
          <w:lang w:val="en-GB"/>
        </w:rPr>
      </w:pPr>
    </w:p>
    <w:p w14:paraId="3BD7DC97" w14:textId="77777777" w:rsidR="00437220" w:rsidRPr="00437220" w:rsidRDefault="00437220" w:rsidP="00437220">
      <w:pPr>
        <w:tabs>
          <w:tab w:val="left" w:pos="1620"/>
        </w:tabs>
        <w:rPr>
          <w:lang w:val="en-GB"/>
        </w:rPr>
      </w:pPr>
    </w:p>
    <w:p w14:paraId="63367142" w14:textId="77777777" w:rsidR="00437220" w:rsidRPr="00437220" w:rsidRDefault="00437220" w:rsidP="0043722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4"/>
          <w:szCs w:val="24"/>
          <w:lang w:val="en-GB"/>
        </w:rPr>
      </w:pPr>
      <w:r w:rsidRPr="00437220">
        <w:rPr>
          <w:spacing w:val="-2"/>
          <w:w w:val="103"/>
          <w:kern w:val="14"/>
          <w:sz w:val="24"/>
          <w:szCs w:val="24"/>
          <w:lang w:val="en-GB"/>
        </w:rPr>
        <w:t>Contents</w:t>
      </w:r>
    </w:p>
    <w:tbl>
      <w:tblPr>
        <w:tblW w:w="9902" w:type="dxa"/>
        <w:tblLayout w:type="fixed"/>
        <w:tblCellMar>
          <w:left w:w="0" w:type="dxa"/>
          <w:right w:w="0" w:type="dxa"/>
        </w:tblCellMar>
        <w:tblLook w:val="0000" w:firstRow="0" w:lastRow="0" w:firstColumn="0" w:lastColumn="0" w:noHBand="0" w:noVBand="0"/>
      </w:tblPr>
      <w:tblGrid>
        <w:gridCol w:w="720"/>
        <w:gridCol w:w="8640"/>
        <w:gridCol w:w="9"/>
        <w:gridCol w:w="533"/>
      </w:tblGrid>
      <w:tr w:rsidR="00437220" w:rsidRPr="00437220" w14:paraId="08E6630D" w14:textId="77777777" w:rsidTr="00437220">
        <w:tc>
          <w:tcPr>
            <w:tcW w:w="720" w:type="dxa"/>
            <w:shd w:val="clear" w:color="auto" w:fill="auto"/>
          </w:tcPr>
          <w:p w14:paraId="3AA3DA1A" w14:textId="77777777" w:rsidR="00437220" w:rsidRPr="00437220" w:rsidRDefault="00437220" w:rsidP="00437220">
            <w:pPr>
              <w:tabs>
                <w:tab w:val="left" w:pos="1620"/>
              </w:tabs>
              <w:suppressAutoHyphens/>
              <w:spacing w:after="120"/>
              <w:jc w:val="right"/>
              <w:rPr>
                <w:i/>
                <w:spacing w:val="4"/>
                <w:w w:val="103"/>
                <w:kern w:val="14"/>
                <w:sz w:val="14"/>
                <w:lang w:val="en-GB"/>
              </w:rPr>
            </w:pPr>
          </w:p>
        </w:tc>
        <w:tc>
          <w:tcPr>
            <w:tcW w:w="8640" w:type="dxa"/>
            <w:shd w:val="clear" w:color="auto" w:fill="auto"/>
          </w:tcPr>
          <w:p w14:paraId="3AF2EB37" w14:textId="77777777" w:rsidR="00437220" w:rsidRPr="00437220" w:rsidRDefault="00437220" w:rsidP="00437220">
            <w:pPr>
              <w:tabs>
                <w:tab w:val="left" w:pos="1620"/>
              </w:tabs>
              <w:suppressAutoHyphens/>
              <w:spacing w:after="120"/>
              <w:rPr>
                <w:i/>
                <w:spacing w:val="4"/>
                <w:w w:val="103"/>
                <w:kern w:val="14"/>
                <w:sz w:val="14"/>
                <w:lang w:val="en-GB"/>
              </w:rPr>
            </w:pPr>
            <w:r w:rsidRPr="00437220">
              <w:rPr>
                <w:i/>
                <w:spacing w:val="4"/>
                <w:w w:val="103"/>
                <w:kern w:val="14"/>
                <w:sz w:val="14"/>
                <w:lang w:val="en-GB"/>
              </w:rPr>
              <w:t>Chapter</w:t>
            </w:r>
          </w:p>
        </w:tc>
        <w:tc>
          <w:tcPr>
            <w:tcW w:w="542" w:type="dxa"/>
            <w:gridSpan w:val="2"/>
            <w:shd w:val="clear" w:color="auto" w:fill="auto"/>
          </w:tcPr>
          <w:p w14:paraId="143679AB" w14:textId="77777777" w:rsidR="00437220" w:rsidRPr="00437220" w:rsidRDefault="00437220" w:rsidP="00437220">
            <w:pPr>
              <w:tabs>
                <w:tab w:val="left" w:pos="1620"/>
              </w:tabs>
              <w:suppressAutoHyphens/>
              <w:spacing w:after="120"/>
              <w:jc w:val="right"/>
              <w:rPr>
                <w:i/>
                <w:spacing w:val="4"/>
                <w:w w:val="103"/>
                <w:kern w:val="14"/>
                <w:sz w:val="14"/>
                <w:lang w:val="en-GB"/>
              </w:rPr>
            </w:pPr>
            <w:r w:rsidRPr="00437220">
              <w:rPr>
                <w:i/>
                <w:spacing w:val="4"/>
                <w:w w:val="103"/>
                <w:kern w:val="14"/>
                <w:sz w:val="14"/>
                <w:lang w:val="en-GB"/>
              </w:rPr>
              <w:t>Page</w:t>
            </w:r>
          </w:p>
        </w:tc>
      </w:tr>
      <w:tr w:rsidR="00437220" w:rsidRPr="00437220" w14:paraId="66F41BDD" w14:textId="77777777" w:rsidTr="00437220">
        <w:tc>
          <w:tcPr>
            <w:tcW w:w="9360" w:type="dxa"/>
            <w:gridSpan w:val="2"/>
            <w:shd w:val="clear" w:color="auto" w:fill="auto"/>
          </w:tcPr>
          <w:p w14:paraId="0972999B" w14:textId="77777777" w:rsidR="00437220" w:rsidRPr="00437220" w:rsidRDefault="00437220" w:rsidP="00437220">
            <w:pPr>
              <w:numPr>
                <w:ilvl w:val="0"/>
                <w:numId w:val="42"/>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437220">
              <w:rPr>
                <w:spacing w:val="4"/>
                <w:w w:val="103"/>
                <w:kern w:val="14"/>
                <w:lang w:val="en-GB"/>
              </w:rPr>
              <w:tab/>
              <w:t>Programme rationale</w:t>
            </w:r>
            <w:r w:rsidRPr="00437220">
              <w:rPr>
                <w:spacing w:val="60"/>
                <w:w w:val="103"/>
                <w:kern w:val="14"/>
                <w:sz w:val="17"/>
                <w:lang w:val="en-GB"/>
              </w:rPr>
              <w:tab/>
            </w:r>
          </w:p>
        </w:tc>
        <w:tc>
          <w:tcPr>
            <w:tcW w:w="542" w:type="dxa"/>
            <w:gridSpan w:val="2"/>
            <w:vMerge w:val="restart"/>
            <w:shd w:val="clear" w:color="auto" w:fill="auto"/>
            <w:vAlign w:val="bottom"/>
          </w:tcPr>
          <w:p w14:paraId="0C7B8569" w14:textId="77777777" w:rsidR="00437220" w:rsidRPr="00437220" w:rsidRDefault="00437220" w:rsidP="00437220">
            <w:pPr>
              <w:tabs>
                <w:tab w:val="left" w:pos="1620"/>
              </w:tabs>
              <w:suppressAutoHyphens/>
              <w:spacing w:after="120" w:line="240" w:lineRule="exact"/>
              <w:jc w:val="right"/>
              <w:rPr>
                <w:spacing w:val="4"/>
                <w:w w:val="103"/>
                <w:kern w:val="14"/>
                <w:lang w:val="en-GB"/>
              </w:rPr>
            </w:pPr>
            <w:r w:rsidRPr="00437220">
              <w:rPr>
                <w:spacing w:val="4"/>
                <w:w w:val="103"/>
                <w:kern w:val="14"/>
                <w:lang w:val="en-GB"/>
              </w:rPr>
              <w:t>2</w:t>
            </w:r>
          </w:p>
          <w:p w14:paraId="79B9C629" w14:textId="77777777" w:rsidR="00437220" w:rsidRPr="00437220" w:rsidRDefault="00437220" w:rsidP="00437220">
            <w:pPr>
              <w:tabs>
                <w:tab w:val="left" w:pos="1620"/>
              </w:tabs>
              <w:suppressAutoHyphens/>
              <w:spacing w:after="120" w:line="240" w:lineRule="exact"/>
              <w:jc w:val="right"/>
              <w:rPr>
                <w:spacing w:val="4"/>
                <w:w w:val="103"/>
                <w:kern w:val="14"/>
                <w:lang w:val="en-GB"/>
              </w:rPr>
            </w:pPr>
            <w:r w:rsidRPr="00437220">
              <w:rPr>
                <w:spacing w:val="4"/>
                <w:w w:val="103"/>
                <w:kern w:val="14"/>
                <w:lang w:val="en-GB"/>
              </w:rPr>
              <w:t>4</w:t>
            </w:r>
          </w:p>
        </w:tc>
      </w:tr>
      <w:tr w:rsidR="00437220" w:rsidRPr="00437220" w14:paraId="7358CACF" w14:textId="77777777" w:rsidTr="00437220">
        <w:tc>
          <w:tcPr>
            <w:tcW w:w="9360" w:type="dxa"/>
            <w:gridSpan w:val="2"/>
            <w:shd w:val="clear" w:color="auto" w:fill="auto"/>
          </w:tcPr>
          <w:p w14:paraId="3DDDC8A0" w14:textId="77777777" w:rsidR="00437220" w:rsidRPr="00437220" w:rsidRDefault="00437220" w:rsidP="00437220">
            <w:pPr>
              <w:numPr>
                <w:ilvl w:val="0"/>
                <w:numId w:val="42"/>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437220">
              <w:rPr>
                <w:spacing w:val="4"/>
                <w:w w:val="103"/>
                <w:kern w:val="14"/>
                <w:lang w:val="en-GB"/>
              </w:rPr>
              <w:tab/>
              <w:t>Programme priorities and partnerships</w:t>
            </w:r>
            <w:r w:rsidRPr="00437220">
              <w:rPr>
                <w:spacing w:val="60"/>
                <w:w w:val="103"/>
                <w:kern w:val="14"/>
                <w:sz w:val="17"/>
                <w:lang w:val="en-GB"/>
              </w:rPr>
              <w:tab/>
            </w:r>
          </w:p>
        </w:tc>
        <w:tc>
          <w:tcPr>
            <w:tcW w:w="542" w:type="dxa"/>
            <w:gridSpan w:val="2"/>
            <w:vMerge/>
            <w:shd w:val="clear" w:color="auto" w:fill="auto"/>
            <w:vAlign w:val="bottom"/>
          </w:tcPr>
          <w:p w14:paraId="006665B7" w14:textId="77777777" w:rsidR="00437220" w:rsidRPr="00437220" w:rsidRDefault="00437220" w:rsidP="00437220">
            <w:pPr>
              <w:tabs>
                <w:tab w:val="left" w:pos="1620"/>
              </w:tabs>
              <w:suppressAutoHyphens/>
              <w:spacing w:after="120" w:line="240" w:lineRule="exact"/>
              <w:jc w:val="right"/>
              <w:rPr>
                <w:spacing w:val="4"/>
                <w:w w:val="103"/>
                <w:kern w:val="14"/>
                <w:lang w:val="en-GB"/>
              </w:rPr>
            </w:pPr>
          </w:p>
        </w:tc>
      </w:tr>
      <w:tr w:rsidR="00437220" w:rsidRPr="00437220" w14:paraId="2E53E878" w14:textId="77777777" w:rsidTr="00437220">
        <w:tc>
          <w:tcPr>
            <w:tcW w:w="9360" w:type="dxa"/>
            <w:gridSpan w:val="2"/>
            <w:shd w:val="clear" w:color="auto" w:fill="auto"/>
          </w:tcPr>
          <w:p w14:paraId="30696349" w14:textId="77777777" w:rsidR="00437220" w:rsidRPr="00437220" w:rsidRDefault="00437220" w:rsidP="00437220">
            <w:pPr>
              <w:numPr>
                <w:ilvl w:val="0"/>
                <w:numId w:val="42"/>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437220">
              <w:rPr>
                <w:spacing w:val="4"/>
                <w:w w:val="103"/>
                <w:kern w:val="14"/>
                <w:lang w:val="en-GB"/>
              </w:rPr>
              <w:tab/>
              <w:t>Programme and risk management</w:t>
            </w:r>
            <w:r w:rsidRPr="00437220">
              <w:rPr>
                <w:spacing w:val="60"/>
                <w:w w:val="103"/>
                <w:kern w:val="14"/>
                <w:sz w:val="17"/>
                <w:lang w:val="en-GB"/>
              </w:rPr>
              <w:tab/>
            </w:r>
          </w:p>
        </w:tc>
        <w:tc>
          <w:tcPr>
            <w:tcW w:w="542" w:type="dxa"/>
            <w:gridSpan w:val="2"/>
            <w:vMerge w:val="restart"/>
            <w:shd w:val="clear" w:color="auto" w:fill="auto"/>
            <w:vAlign w:val="bottom"/>
          </w:tcPr>
          <w:p w14:paraId="5612A197" w14:textId="09594119" w:rsidR="00437220" w:rsidRPr="00437220" w:rsidRDefault="004B38BB" w:rsidP="00437220">
            <w:pPr>
              <w:tabs>
                <w:tab w:val="left" w:pos="1620"/>
              </w:tabs>
              <w:suppressAutoHyphens/>
              <w:spacing w:after="120" w:line="240" w:lineRule="exact"/>
              <w:jc w:val="right"/>
              <w:rPr>
                <w:spacing w:val="4"/>
                <w:w w:val="103"/>
                <w:kern w:val="14"/>
                <w:lang w:val="en-GB"/>
              </w:rPr>
            </w:pPr>
            <w:r>
              <w:rPr>
                <w:spacing w:val="4"/>
                <w:w w:val="103"/>
                <w:kern w:val="14"/>
                <w:lang w:val="en-GB"/>
              </w:rPr>
              <w:t>7</w:t>
            </w:r>
          </w:p>
          <w:p w14:paraId="23CDEEEE" w14:textId="1D6EC33C" w:rsidR="00437220" w:rsidRPr="00437220" w:rsidRDefault="004B38BB" w:rsidP="00437220">
            <w:pPr>
              <w:tabs>
                <w:tab w:val="left" w:pos="1620"/>
              </w:tabs>
              <w:suppressAutoHyphens/>
              <w:spacing w:after="120" w:line="240" w:lineRule="exact"/>
              <w:jc w:val="right"/>
              <w:rPr>
                <w:spacing w:val="4"/>
                <w:w w:val="103"/>
                <w:kern w:val="14"/>
                <w:lang w:val="en-GB"/>
              </w:rPr>
            </w:pPr>
            <w:r>
              <w:rPr>
                <w:spacing w:val="4"/>
                <w:w w:val="103"/>
                <w:kern w:val="14"/>
                <w:lang w:val="en-GB"/>
              </w:rPr>
              <w:t>8</w:t>
            </w:r>
            <w:r w:rsidR="00437220" w:rsidRPr="00437220">
              <w:rPr>
                <w:spacing w:val="4"/>
                <w:w w:val="103"/>
                <w:kern w:val="14"/>
                <w:lang w:val="en-GB"/>
              </w:rPr>
              <w:t xml:space="preserve"> </w:t>
            </w:r>
          </w:p>
        </w:tc>
      </w:tr>
      <w:tr w:rsidR="00437220" w:rsidRPr="00437220" w14:paraId="31E1B6D9" w14:textId="77777777" w:rsidTr="00437220">
        <w:tc>
          <w:tcPr>
            <w:tcW w:w="9360" w:type="dxa"/>
            <w:gridSpan w:val="2"/>
            <w:shd w:val="clear" w:color="auto" w:fill="auto"/>
          </w:tcPr>
          <w:p w14:paraId="640A0C6C" w14:textId="77777777" w:rsidR="00437220" w:rsidRPr="00437220" w:rsidRDefault="00437220" w:rsidP="00437220">
            <w:pPr>
              <w:numPr>
                <w:ilvl w:val="0"/>
                <w:numId w:val="42"/>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437220">
              <w:rPr>
                <w:spacing w:val="4"/>
                <w:w w:val="103"/>
                <w:kern w:val="14"/>
                <w:lang w:val="en-GB"/>
              </w:rPr>
              <w:tab/>
              <w:t>Monitoring and evaluation</w:t>
            </w:r>
            <w:r w:rsidRPr="00437220">
              <w:rPr>
                <w:spacing w:val="60"/>
                <w:w w:val="103"/>
                <w:kern w:val="14"/>
                <w:sz w:val="17"/>
                <w:lang w:val="en-GB"/>
              </w:rPr>
              <w:tab/>
            </w:r>
            <w:r w:rsidRPr="00437220">
              <w:rPr>
                <w:spacing w:val="60"/>
                <w:w w:val="103"/>
                <w:kern w:val="14"/>
                <w:sz w:val="17"/>
                <w:lang w:val="en-GB"/>
              </w:rPr>
              <w:tab/>
            </w:r>
          </w:p>
        </w:tc>
        <w:tc>
          <w:tcPr>
            <w:tcW w:w="542" w:type="dxa"/>
            <w:gridSpan w:val="2"/>
            <w:vMerge/>
            <w:shd w:val="clear" w:color="auto" w:fill="auto"/>
            <w:vAlign w:val="bottom"/>
          </w:tcPr>
          <w:p w14:paraId="708B7A5A" w14:textId="77777777" w:rsidR="00437220" w:rsidRPr="00437220" w:rsidRDefault="00437220" w:rsidP="00437220">
            <w:pPr>
              <w:tabs>
                <w:tab w:val="left" w:pos="1620"/>
              </w:tabs>
              <w:suppressAutoHyphens/>
              <w:spacing w:after="120" w:line="240" w:lineRule="exact"/>
              <w:jc w:val="right"/>
              <w:rPr>
                <w:spacing w:val="4"/>
                <w:w w:val="103"/>
                <w:kern w:val="14"/>
                <w:lang w:val="en-GB"/>
              </w:rPr>
            </w:pPr>
          </w:p>
        </w:tc>
      </w:tr>
      <w:tr w:rsidR="00437220" w:rsidRPr="00437220" w14:paraId="42A838C9" w14:textId="77777777" w:rsidTr="00437220">
        <w:tc>
          <w:tcPr>
            <w:tcW w:w="9369" w:type="dxa"/>
            <w:gridSpan w:val="3"/>
            <w:shd w:val="clear" w:color="auto" w:fill="auto"/>
          </w:tcPr>
          <w:p w14:paraId="3B3068E4" w14:textId="77777777" w:rsidR="00437220" w:rsidRPr="00437220" w:rsidRDefault="00437220" w:rsidP="0043722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437220">
              <w:rPr>
                <w:spacing w:val="4"/>
                <w:w w:val="103"/>
                <w:kern w:val="14"/>
                <w:lang w:val="en-GB"/>
              </w:rPr>
              <w:t xml:space="preserve">     Annex</w:t>
            </w:r>
          </w:p>
        </w:tc>
        <w:tc>
          <w:tcPr>
            <w:tcW w:w="533" w:type="dxa"/>
            <w:shd w:val="clear" w:color="auto" w:fill="auto"/>
            <w:vAlign w:val="bottom"/>
          </w:tcPr>
          <w:p w14:paraId="4B34C64C" w14:textId="77777777" w:rsidR="00437220" w:rsidRPr="00437220" w:rsidRDefault="00437220" w:rsidP="00437220">
            <w:pPr>
              <w:tabs>
                <w:tab w:val="left" w:pos="1620"/>
              </w:tabs>
              <w:suppressAutoHyphens/>
              <w:spacing w:after="120" w:line="240" w:lineRule="exact"/>
              <w:jc w:val="right"/>
              <w:rPr>
                <w:spacing w:val="4"/>
                <w:w w:val="103"/>
                <w:kern w:val="14"/>
                <w:lang w:val="en-GB"/>
              </w:rPr>
            </w:pPr>
          </w:p>
        </w:tc>
      </w:tr>
      <w:tr w:rsidR="00437220" w:rsidRPr="00437220" w14:paraId="0440B0F1" w14:textId="77777777" w:rsidTr="00437220">
        <w:tc>
          <w:tcPr>
            <w:tcW w:w="9369" w:type="dxa"/>
            <w:gridSpan w:val="3"/>
            <w:shd w:val="clear" w:color="auto" w:fill="auto"/>
          </w:tcPr>
          <w:p w14:paraId="4A97556E" w14:textId="0C8A7728" w:rsidR="00437220" w:rsidRPr="00437220" w:rsidRDefault="00437220" w:rsidP="00437220">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right" w:leader="dot" w:pos="9360"/>
              </w:tabs>
              <w:suppressAutoHyphens/>
              <w:spacing w:after="120" w:line="240" w:lineRule="exact"/>
              <w:ind w:left="1296"/>
              <w:rPr>
                <w:spacing w:val="60"/>
                <w:w w:val="103"/>
                <w:kern w:val="14"/>
                <w:sz w:val="17"/>
                <w:lang w:val="en-GB"/>
              </w:rPr>
            </w:pPr>
            <w:r w:rsidRPr="00437220">
              <w:rPr>
                <w:spacing w:val="4"/>
                <w:w w:val="103"/>
                <w:kern w:val="14"/>
                <w:lang w:val="en-GB"/>
              </w:rPr>
              <w:t xml:space="preserve">Results and resources framework for </w:t>
            </w:r>
            <w:r>
              <w:rPr>
                <w:spacing w:val="4"/>
                <w:w w:val="103"/>
                <w:kern w:val="14"/>
                <w:lang w:val="en-GB"/>
              </w:rPr>
              <w:t>Peru</w:t>
            </w:r>
            <w:r w:rsidRPr="00437220">
              <w:rPr>
                <w:spacing w:val="4"/>
                <w:w w:val="103"/>
                <w:kern w:val="14"/>
                <w:lang w:val="en-GB"/>
              </w:rPr>
              <w:t xml:space="preserve"> (2017-2021)</w:t>
            </w:r>
            <w:r w:rsidRPr="00437220">
              <w:rPr>
                <w:spacing w:val="60"/>
                <w:w w:val="103"/>
                <w:kern w:val="14"/>
                <w:sz w:val="17"/>
                <w:lang w:val="en-GB"/>
              </w:rPr>
              <w:tab/>
            </w:r>
          </w:p>
        </w:tc>
        <w:tc>
          <w:tcPr>
            <w:tcW w:w="533" w:type="dxa"/>
            <w:shd w:val="clear" w:color="auto" w:fill="auto"/>
            <w:vAlign w:val="bottom"/>
          </w:tcPr>
          <w:p w14:paraId="2AB531B5" w14:textId="4E5AA85B" w:rsidR="00437220" w:rsidRPr="00437220" w:rsidRDefault="004B38BB" w:rsidP="004B38BB">
            <w:pPr>
              <w:tabs>
                <w:tab w:val="left" w:pos="1620"/>
              </w:tabs>
              <w:suppressAutoHyphens/>
              <w:spacing w:after="120" w:line="240" w:lineRule="exact"/>
              <w:jc w:val="right"/>
              <w:rPr>
                <w:spacing w:val="4"/>
                <w:w w:val="103"/>
                <w:kern w:val="14"/>
                <w:lang w:val="en-GB"/>
              </w:rPr>
            </w:pPr>
            <w:r>
              <w:rPr>
                <w:spacing w:val="4"/>
                <w:w w:val="103"/>
                <w:kern w:val="14"/>
                <w:lang w:val="en-GB"/>
              </w:rPr>
              <w:t>9</w:t>
            </w:r>
          </w:p>
        </w:tc>
      </w:tr>
    </w:tbl>
    <w:p w14:paraId="2440D3D6" w14:textId="77777777" w:rsidR="00785474" w:rsidRPr="003C26C1" w:rsidRDefault="00785474" w:rsidP="00D63B91"/>
    <w:p w14:paraId="3D58EB39" w14:textId="73CDDB57" w:rsidR="000C3E32" w:rsidRPr="002C09D9" w:rsidRDefault="00785474" w:rsidP="00437220">
      <w:pPr>
        <w:pStyle w:val="Heading2"/>
        <w:numPr>
          <w:ilvl w:val="0"/>
          <w:numId w:val="43"/>
        </w:numPr>
        <w:tabs>
          <w:tab w:val="left" w:pos="1350"/>
        </w:tabs>
        <w:ind w:left="1080" w:right="-25" w:hanging="360"/>
        <w:jc w:val="both"/>
        <w:rPr>
          <w:rFonts w:ascii="Times New Roman" w:hAnsi="Times New Roman"/>
          <w:bCs/>
          <w:color w:val="000000"/>
          <w:sz w:val="24"/>
          <w:szCs w:val="24"/>
        </w:rPr>
      </w:pPr>
      <w:r w:rsidRPr="003C26C1">
        <w:br w:type="page"/>
      </w:r>
      <w:r w:rsidR="000C3E32" w:rsidRPr="002C09D9">
        <w:rPr>
          <w:rFonts w:ascii="Times New Roman" w:hAnsi="Times New Roman"/>
          <w:bCs/>
          <w:color w:val="000000"/>
          <w:sz w:val="24"/>
          <w:szCs w:val="24"/>
        </w:rPr>
        <w:lastRenderedPageBreak/>
        <w:t xml:space="preserve">Programme </w:t>
      </w:r>
      <w:r w:rsidR="00437220">
        <w:rPr>
          <w:rFonts w:ascii="Times New Roman" w:hAnsi="Times New Roman"/>
          <w:bCs/>
          <w:color w:val="000000"/>
          <w:sz w:val="24"/>
          <w:szCs w:val="24"/>
        </w:rPr>
        <w:t>r</w:t>
      </w:r>
      <w:r w:rsidR="000C3E32" w:rsidRPr="002C09D9">
        <w:rPr>
          <w:rFonts w:ascii="Times New Roman" w:hAnsi="Times New Roman"/>
          <w:bCs/>
          <w:color w:val="000000"/>
          <w:sz w:val="24"/>
          <w:szCs w:val="24"/>
        </w:rPr>
        <w:t xml:space="preserve">ationale </w:t>
      </w:r>
    </w:p>
    <w:p w14:paraId="1744AC3F" w14:textId="77777777" w:rsidR="000C3E32" w:rsidRPr="002C09D9" w:rsidRDefault="000C3E32" w:rsidP="001C4D9F">
      <w:pPr>
        <w:ind w:left="1080" w:right="-25"/>
        <w:jc w:val="both"/>
      </w:pPr>
    </w:p>
    <w:p w14:paraId="1354E3F4" w14:textId="5B3D493C" w:rsidR="00302618" w:rsidRDefault="00145E20" w:rsidP="00FA4630">
      <w:pPr>
        <w:pStyle w:val="ListParagraph"/>
        <w:numPr>
          <w:ilvl w:val="0"/>
          <w:numId w:val="37"/>
        </w:numPr>
        <w:spacing w:after="120"/>
        <w:ind w:left="1080" w:right="-25" w:firstLine="0"/>
        <w:jc w:val="both"/>
      </w:pPr>
      <w:r w:rsidRPr="008F3CEC">
        <w:t>Peru</w:t>
      </w:r>
      <w:r>
        <w:t xml:space="preserve">, one of the most biodiverse countries and </w:t>
      </w:r>
      <w:r w:rsidR="002272F9">
        <w:t xml:space="preserve">also one of the most </w:t>
      </w:r>
      <w:r>
        <w:t xml:space="preserve">vulnerable to disasters and </w:t>
      </w:r>
      <w:r w:rsidR="002272F9">
        <w:t xml:space="preserve">the </w:t>
      </w:r>
      <w:r>
        <w:t>adverse effects of climate change,</w:t>
      </w:r>
      <w:r w:rsidRPr="008F3CEC">
        <w:t xml:space="preserve"> </w:t>
      </w:r>
      <w:r w:rsidR="002272F9">
        <w:t xml:space="preserve">has </w:t>
      </w:r>
      <w:r w:rsidRPr="008F3CEC">
        <w:t xml:space="preserve">experienced important progress in the last decade. </w:t>
      </w:r>
      <w:r>
        <w:t xml:space="preserve">It </w:t>
      </w:r>
      <w:r w:rsidRPr="008F3CEC">
        <w:t xml:space="preserve">is currently ranked as </w:t>
      </w:r>
      <w:r>
        <w:t xml:space="preserve">a </w:t>
      </w:r>
      <w:r w:rsidRPr="008F3CEC">
        <w:t>high human development</w:t>
      </w:r>
      <w:r w:rsidR="00B03CA5">
        <w:t xml:space="preserve"> country</w:t>
      </w:r>
      <w:r w:rsidR="007D46CC">
        <w:t xml:space="preserve"> (H</w:t>
      </w:r>
      <w:r w:rsidR="002272F9">
        <w:t xml:space="preserve">uman </w:t>
      </w:r>
      <w:r w:rsidR="007D46CC">
        <w:t>D</w:t>
      </w:r>
      <w:r w:rsidR="002272F9">
        <w:t xml:space="preserve">evelopment </w:t>
      </w:r>
      <w:r w:rsidR="007D46CC">
        <w:t>I</w:t>
      </w:r>
      <w:r w:rsidR="002272F9">
        <w:t>ndex</w:t>
      </w:r>
      <w:r w:rsidR="007D46CC">
        <w:t xml:space="preserve"> of </w:t>
      </w:r>
      <w:r w:rsidR="00C850CC">
        <w:t>0.734</w:t>
      </w:r>
      <w:r w:rsidR="00435B28">
        <w:t xml:space="preserve"> </w:t>
      </w:r>
      <w:r w:rsidR="007D46CC">
        <w:t>for 2014)</w:t>
      </w:r>
      <w:r>
        <w:t>.</w:t>
      </w:r>
      <w:r w:rsidRPr="008F3CEC">
        <w:t xml:space="preserve"> The economy grew 87</w:t>
      </w:r>
      <w:r w:rsidR="002272F9">
        <w:t xml:space="preserve"> per cent</w:t>
      </w:r>
      <w:r w:rsidR="002272F9" w:rsidRPr="008F3CEC">
        <w:t xml:space="preserve"> </w:t>
      </w:r>
      <w:r w:rsidRPr="008F3CEC">
        <w:t>between 2004 and 2015 and poverty dropped from 58.7 to 22.7</w:t>
      </w:r>
      <w:r w:rsidR="002272F9">
        <w:t xml:space="preserve"> per cent</w:t>
      </w:r>
      <w:r w:rsidR="002272F9" w:rsidRPr="008F3CEC">
        <w:t xml:space="preserve"> </w:t>
      </w:r>
      <w:r w:rsidRPr="008F3CEC">
        <w:t xml:space="preserve">in </w:t>
      </w:r>
      <w:r>
        <w:t xml:space="preserve">the </w:t>
      </w:r>
      <w:r w:rsidRPr="008F3CEC">
        <w:t xml:space="preserve">same period. </w:t>
      </w:r>
      <w:r w:rsidR="002272F9">
        <w:t>Peru</w:t>
      </w:r>
      <w:r w:rsidRPr="008F3CEC">
        <w:t xml:space="preserve"> aspires to commemorate its bicentenary in 2021 having become a member of the Organization for Economic Cooperation and Development (OECD)</w:t>
      </w:r>
      <w:r>
        <w:t xml:space="preserve">. </w:t>
      </w:r>
      <w:r w:rsidRPr="008F3CEC">
        <w:t>However,</w:t>
      </w:r>
      <w:r>
        <w:t xml:space="preserve"> sustained eradication of extreme poverty and reduction of persistent inequalities</w:t>
      </w:r>
      <w:r w:rsidRPr="008F3CEC">
        <w:t xml:space="preserve"> </w:t>
      </w:r>
      <w:r>
        <w:t xml:space="preserve">remain as </w:t>
      </w:r>
      <w:r w:rsidRPr="008F3CEC">
        <w:t xml:space="preserve">key development challenges </w:t>
      </w:r>
      <w:r>
        <w:t>for Peru during the new programming period</w:t>
      </w:r>
      <w:r w:rsidR="00CA55DB">
        <w:t xml:space="preserve">. </w:t>
      </w:r>
      <w:r w:rsidR="007F251F">
        <w:t xml:space="preserve"> </w:t>
      </w:r>
    </w:p>
    <w:p w14:paraId="152A435F" w14:textId="152F564E" w:rsidR="00145E20" w:rsidRDefault="00145E20" w:rsidP="00FA4630">
      <w:pPr>
        <w:pStyle w:val="ListParagraph"/>
        <w:numPr>
          <w:ilvl w:val="0"/>
          <w:numId w:val="37"/>
        </w:numPr>
        <w:spacing w:after="120"/>
        <w:ind w:left="1080" w:right="-25" w:firstLine="0"/>
        <w:jc w:val="both"/>
      </w:pPr>
      <w:r>
        <w:t>Development is driven by an export-oriented growth model based on natural capital</w:t>
      </w:r>
      <w:r w:rsidR="00D507D3">
        <w:t xml:space="preserve">. The </w:t>
      </w:r>
      <w:r>
        <w:t>international price boom of mineral commodities contributed to extraordinary rates of economic growth and poverty reduction in the last decade</w:t>
      </w:r>
      <w:r w:rsidR="00D507D3">
        <w:t xml:space="preserve"> due </w:t>
      </w:r>
      <w:r w:rsidR="00A6396F">
        <w:t xml:space="preserve">to </w:t>
      </w:r>
      <w:r>
        <w:t>the spillover effects of growth on employment and income and the funding of social and redistributive policies</w:t>
      </w:r>
      <w:r w:rsidR="0005200F">
        <w:t>.</w:t>
      </w:r>
      <w:r>
        <w:rPr>
          <w:rStyle w:val="FootnoteReference"/>
        </w:rPr>
        <w:footnoteReference w:id="1"/>
      </w:r>
      <w:r>
        <w:t xml:space="preserve"> However, the model faces challenges to ensure inclusive and sustainable prosperity. First, it is very vulnerable to external shocks: the economic deceleration is curtailing further poverty reduction</w:t>
      </w:r>
      <w:r w:rsidR="0005200F">
        <w:t>,</w:t>
      </w:r>
      <w:r>
        <w:t xml:space="preserve"> and is</w:t>
      </w:r>
      <w:r w:rsidR="00AE4B42">
        <w:t xml:space="preserve"> </w:t>
      </w:r>
      <w:r>
        <w:t>increasing the vulnerability of 40</w:t>
      </w:r>
      <w:r w:rsidR="0005200F">
        <w:t xml:space="preserve"> per cent </w:t>
      </w:r>
      <w:r>
        <w:t xml:space="preserve">of </w:t>
      </w:r>
      <w:r w:rsidR="0005200F">
        <w:t xml:space="preserve">the </w:t>
      </w:r>
      <w:r>
        <w:t>population with average daily income between</w:t>
      </w:r>
      <w:r w:rsidR="0005200F">
        <w:t xml:space="preserve"> $</w:t>
      </w:r>
      <w:r>
        <w:t xml:space="preserve">4 and </w:t>
      </w:r>
      <w:r w:rsidR="0005200F">
        <w:t>$10</w:t>
      </w:r>
      <w:r>
        <w:t xml:space="preserve">. Second, notwithstanding government efforts to improve environmental and disaster risk management, unsustainable practices </w:t>
      </w:r>
      <w:r w:rsidR="000D3555">
        <w:t xml:space="preserve">persist </w:t>
      </w:r>
      <w:r>
        <w:t xml:space="preserve">in the use of natural resources in forest, mountain and coastal-marine ecosystems, </w:t>
      </w:r>
      <w:r w:rsidR="00CF375C">
        <w:t>as do</w:t>
      </w:r>
      <w:r>
        <w:t xml:space="preserve"> capacity gaps in land use and planning, resulting in high vulnerability of the livelihoods of populations in rural and urban areas. Third, the development model is not sufficiently inclusive</w:t>
      </w:r>
      <w:r w:rsidR="00CF4EA8">
        <w:t>;</w:t>
      </w:r>
      <w:r>
        <w:rPr>
          <w:rStyle w:val="FootnoteReference"/>
        </w:rPr>
        <w:footnoteReference w:id="2"/>
      </w:r>
      <w:r w:rsidR="00CF4EA8">
        <w:t xml:space="preserve"> </w:t>
      </w:r>
      <w:r>
        <w:t xml:space="preserve">economic diversification </w:t>
      </w:r>
      <w:r w:rsidRPr="00CF375C">
        <w:t>is low</w:t>
      </w:r>
      <w:r>
        <w:t xml:space="preserve"> and the benefits of growth are concentrated in capital-intensive sectors. This has resulted in low </w:t>
      </w:r>
      <w:r w:rsidR="0005200F">
        <w:t xml:space="preserve">absorption </w:t>
      </w:r>
      <w:r>
        <w:t xml:space="preserve">capacity of </w:t>
      </w:r>
      <w:r w:rsidR="0005200F">
        <w:t>the</w:t>
      </w:r>
      <w:r>
        <w:t xml:space="preserve"> labo</w:t>
      </w:r>
      <w:r w:rsidR="0005200F">
        <w:t>u</w:t>
      </w:r>
      <w:r>
        <w:t>r market to the detriment of women (40</w:t>
      </w:r>
      <w:r w:rsidR="0005200F">
        <w:t xml:space="preserve"> per cent </w:t>
      </w:r>
      <w:r>
        <w:t>do not participate in the labo</w:t>
      </w:r>
      <w:r w:rsidR="0005200F">
        <w:t>u</w:t>
      </w:r>
      <w:r>
        <w:t>r force) and youth (unemployment of 13.8</w:t>
      </w:r>
      <w:r w:rsidR="0005200F">
        <w:t xml:space="preserve"> per cent); </w:t>
      </w:r>
      <w:r>
        <w:t>high informality of labor (74.2</w:t>
      </w:r>
      <w:r w:rsidR="0005200F">
        <w:t xml:space="preserve"> per cent) </w:t>
      </w:r>
      <w:r>
        <w:t>which affects especially women and young people</w:t>
      </w:r>
      <w:r w:rsidR="0005200F">
        <w:t>;</w:t>
      </w:r>
      <w:r>
        <w:t xml:space="preserve"> and employment of 81</w:t>
      </w:r>
      <w:r w:rsidR="0005200F">
        <w:t xml:space="preserve"> per cent </w:t>
      </w:r>
      <w:r>
        <w:t>of people living in poverty by small enterprises with low productivity</w:t>
      </w:r>
      <w:r w:rsidR="00CF4EA8">
        <w:t>.</w:t>
      </w:r>
      <w:r>
        <w:rPr>
          <w:rStyle w:val="FootnoteReference"/>
        </w:rPr>
        <w:footnoteReference w:id="3"/>
      </w:r>
      <w:r>
        <w:t xml:space="preserve"> </w:t>
      </w:r>
    </w:p>
    <w:p w14:paraId="58041FD2" w14:textId="540EA495" w:rsidR="00B62ADA" w:rsidRPr="00AC75AB" w:rsidRDefault="00145E20" w:rsidP="00FA4630">
      <w:pPr>
        <w:pStyle w:val="ListParagraph"/>
        <w:numPr>
          <w:ilvl w:val="0"/>
          <w:numId w:val="37"/>
        </w:numPr>
        <w:spacing w:after="120"/>
        <w:ind w:left="1080" w:right="-25" w:firstLine="0"/>
        <w:jc w:val="both"/>
      </w:pPr>
      <w:r>
        <w:t>The</w:t>
      </w:r>
      <w:r w:rsidR="0005200F">
        <w:t>se</w:t>
      </w:r>
      <w:r>
        <w:t xml:space="preserve"> challenges are intertwined with structural inequalities. In Peru, place of birth</w:t>
      </w:r>
      <w:r w:rsidR="00CF4EA8">
        <w:t xml:space="preserve"> </w:t>
      </w:r>
      <w:r>
        <w:t>and ethnic origin</w:t>
      </w:r>
      <w:r>
        <w:rPr>
          <w:rStyle w:val="FootnoteReference"/>
        </w:rPr>
        <w:footnoteReference w:id="4"/>
      </w:r>
      <w:r>
        <w:t xml:space="preserve"> still determine to a large extent access to basic services and development opportunities. Traditionally excluded groups in terms of poverty </w:t>
      </w:r>
      <w:r w:rsidR="00AF0572">
        <w:t xml:space="preserve">live in </w:t>
      </w:r>
      <w:r>
        <w:t>rural</w:t>
      </w:r>
      <w:r w:rsidR="00AF0572">
        <w:t xml:space="preserve"> areas</w:t>
      </w:r>
      <w:r>
        <w:t xml:space="preserve"> (</w:t>
      </w:r>
      <w:r w:rsidR="00A6396F">
        <w:t xml:space="preserve">poverty rate of </w:t>
      </w:r>
      <w:r>
        <w:t>45.18</w:t>
      </w:r>
      <w:r w:rsidR="00AF0572">
        <w:t xml:space="preserve"> per cent </w:t>
      </w:r>
      <w:r>
        <w:t>and extreme poverty of 13.9</w:t>
      </w:r>
      <w:r w:rsidR="00AF0572">
        <w:t xml:space="preserve"> per cent</w:t>
      </w:r>
      <w:r>
        <w:t xml:space="preserve">; </w:t>
      </w:r>
      <w:r w:rsidR="00A6396F">
        <w:t xml:space="preserve">poverty rate of </w:t>
      </w:r>
      <w:r>
        <w:t>49</w:t>
      </w:r>
      <w:r w:rsidR="00AF0572">
        <w:t xml:space="preserve"> per cent </w:t>
      </w:r>
      <w:r>
        <w:t>in rural highlands and 41.07</w:t>
      </w:r>
      <w:r w:rsidR="00AF0572">
        <w:t xml:space="preserve"> per cent </w:t>
      </w:r>
      <w:r>
        <w:t xml:space="preserve">in rural jungle areas), peri-urban and marginal urban </w:t>
      </w:r>
      <w:r w:rsidR="00AF0572">
        <w:t xml:space="preserve">areas for which </w:t>
      </w:r>
      <w:r>
        <w:t xml:space="preserve">no data </w:t>
      </w:r>
      <w:r w:rsidR="00AF0572">
        <w:t xml:space="preserve">are </w:t>
      </w:r>
      <w:r>
        <w:t>available</w:t>
      </w:r>
      <w:r w:rsidR="00AF0572">
        <w:t>;</w:t>
      </w:r>
      <w:r>
        <w:t xml:space="preserve"> </w:t>
      </w:r>
      <w:r w:rsidR="00AF0572">
        <w:t xml:space="preserve">or are members of </w:t>
      </w:r>
      <w:r>
        <w:t>indigenous (26.21</w:t>
      </w:r>
      <w:r w:rsidR="00AF0572">
        <w:t xml:space="preserve"> per cent) </w:t>
      </w:r>
      <w:r w:rsidR="00CF4EA8">
        <w:t>or</w:t>
      </w:r>
      <w:r>
        <w:t xml:space="preserve"> Afro-descendant population</w:t>
      </w:r>
      <w:r w:rsidR="00AF0572">
        <w:t>s</w:t>
      </w:r>
      <w:r>
        <w:t xml:space="preserve"> (22.48</w:t>
      </w:r>
      <w:r w:rsidR="00AF0572">
        <w:t xml:space="preserve"> per cent</w:t>
      </w:r>
      <w:r>
        <w:t>)</w:t>
      </w:r>
      <w:r w:rsidR="00AF0572">
        <w:t>.</w:t>
      </w:r>
      <w:r>
        <w:rPr>
          <w:rStyle w:val="FootnoteReference"/>
        </w:rPr>
        <w:footnoteReference w:id="5"/>
      </w:r>
      <w:r>
        <w:t xml:space="preserve"> Population</w:t>
      </w:r>
      <w:r w:rsidR="00AF0572">
        <w:t>s</w:t>
      </w:r>
      <w:r>
        <w:t xml:space="preserve"> living in poverty in rural, peri-urban and marginal urban areas are very vulnerable to recurrent disasters and </w:t>
      </w:r>
      <w:r w:rsidR="00AF0572">
        <w:t xml:space="preserve">the </w:t>
      </w:r>
      <w:r>
        <w:t>effects of climate change due to their low capacity for recovery</w:t>
      </w:r>
      <w:r w:rsidR="00AF0572">
        <w:t>.</w:t>
      </w:r>
      <w:r>
        <w:rPr>
          <w:rStyle w:val="FootnoteReference"/>
        </w:rPr>
        <w:footnoteReference w:id="6"/>
      </w:r>
      <w:r>
        <w:t xml:space="preserve"> </w:t>
      </w:r>
      <w:r w:rsidRPr="002C09D9">
        <w:t>Social protection</w:t>
      </w:r>
      <w:r>
        <w:t xml:space="preserve"> and redistributive policies </w:t>
      </w:r>
      <w:r w:rsidRPr="002C09D9">
        <w:t xml:space="preserve">expanded significantly in </w:t>
      </w:r>
      <w:r>
        <w:t xml:space="preserve">the </w:t>
      </w:r>
      <w:r w:rsidRPr="002C09D9">
        <w:t xml:space="preserve">last decade with increasing </w:t>
      </w:r>
      <w:r>
        <w:t>coverage</w:t>
      </w:r>
      <w:r w:rsidRPr="002C09D9">
        <w:t xml:space="preserve"> of social programmes</w:t>
      </w:r>
      <w:r>
        <w:t xml:space="preserve">, but face challenges of coordination, </w:t>
      </w:r>
      <w:r w:rsidRPr="002C09D9">
        <w:t>scalability</w:t>
      </w:r>
      <w:r w:rsidR="00CF4EA8">
        <w:t xml:space="preserve">, </w:t>
      </w:r>
      <w:r>
        <w:t xml:space="preserve">lack of </w:t>
      </w:r>
      <w:r w:rsidRPr="002C09D9">
        <w:t xml:space="preserve">independent evaluations </w:t>
      </w:r>
      <w:r w:rsidRPr="00AC75AB">
        <w:t>and</w:t>
      </w:r>
      <w:r w:rsidR="00A6396F" w:rsidRPr="00AC75AB">
        <w:t xml:space="preserve"> </w:t>
      </w:r>
      <w:r w:rsidR="00CF4EA8" w:rsidRPr="00AC75AB">
        <w:t>absence of linkage with productive programmes.</w:t>
      </w:r>
      <w:r w:rsidRPr="00AC75AB">
        <w:rPr>
          <w:rStyle w:val="FootnoteReference"/>
        </w:rPr>
        <w:footnoteReference w:id="7"/>
      </w:r>
    </w:p>
    <w:p w14:paraId="360CB096" w14:textId="1E48ADD6" w:rsidR="00B03CA5" w:rsidRDefault="00B03CA5" w:rsidP="00FA4630">
      <w:pPr>
        <w:pStyle w:val="ListParagraph"/>
        <w:numPr>
          <w:ilvl w:val="0"/>
          <w:numId w:val="37"/>
        </w:numPr>
        <w:spacing w:after="120"/>
        <w:ind w:left="1080" w:right="-25" w:firstLine="0"/>
        <w:jc w:val="both"/>
      </w:pPr>
      <w:r>
        <w:t>Despite significant improvement, t</w:t>
      </w:r>
      <w:r w:rsidRPr="008B6AF9">
        <w:t xml:space="preserve">erritorial inequalities in access, coverage and quality of basic services </w:t>
      </w:r>
      <w:r>
        <w:t xml:space="preserve">in general, including justice and citizen security, also </w:t>
      </w:r>
      <w:r w:rsidR="00203416">
        <w:t xml:space="preserve">affect </w:t>
      </w:r>
      <w:r w:rsidRPr="008B6AF9">
        <w:t xml:space="preserve">people </w:t>
      </w:r>
      <w:r>
        <w:t xml:space="preserve">living in </w:t>
      </w:r>
      <w:r>
        <w:lastRenderedPageBreak/>
        <w:t xml:space="preserve">poverty </w:t>
      </w:r>
      <w:r w:rsidRPr="008B6AF9">
        <w:t>in rural and marginal urban areas</w:t>
      </w:r>
      <w:r>
        <w:t xml:space="preserve">. </w:t>
      </w:r>
      <w:r w:rsidR="00203416">
        <w:t xml:space="preserve">Barriers to access </w:t>
      </w:r>
      <w:r>
        <w:t xml:space="preserve">are not only geographic and cultural, but also include </w:t>
      </w:r>
      <w:r w:rsidR="00203416">
        <w:t xml:space="preserve">the </w:t>
      </w:r>
      <w:r>
        <w:t>economic costs imposed by public servants for payment of bribes in order to deliver services</w:t>
      </w:r>
      <w:r w:rsidR="00203416">
        <w:t>.</w:t>
      </w:r>
      <w:r>
        <w:rPr>
          <w:rStyle w:val="FootnoteReference"/>
        </w:rPr>
        <w:footnoteReference w:id="8"/>
      </w:r>
      <w:r>
        <w:t xml:space="preserve"> </w:t>
      </w:r>
      <w:r w:rsidR="00203416">
        <w:t xml:space="preserve">Opinion polls identify the corruption </w:t>
      </w:r>
      <w:r>
        <w:t>of public institutions as the main development problem</w:t>
      </w:r>
      <w:r>
        <w:rPr>
          <w:rStyle w:val="FootnoteReference"/>
        </w:rPr>
        <w:footnoteReference w:id="9"/>
      </w:r>
      <w:r>
        <w:t xml:space="preserve"> with </w:t>
      </w:r>
      <w:r w:rsidRPr="002C09D9">
        <w:t>annual cost</w:t>
      </w:r>
      <w:r w:rsidR="00203416">
        <w:t>s</w:t>
      </w:r>
      <w:r w:rsidRPr="002C09D9">
        <w:t xml:space="preserve"> estimated at 11 billion soles</w:t>
      </w:r>
      <w:r w:rsidR="00203416">
        <w:t>.</w:t>
      </w:r>
      <w:r>
        <w:rPr>
          <w:rStyle w:val="FootnoteReference"/>
        </w:rPr>
        <w:footnoteReference w:id="10"/>
      </w:r>
      <w:r>
        <w:t xml:space="preserve"> </w:t>
      </w:r>
      <w:r w:rsidRPr="00562272">
        <w:t xml:space="preserve">This situation has contributed to widespread distrust in the system of administration of justice, </w:t>
      </w:r>
      <w:r>
        <w:t xml:space="preserve">notwithstanding </w:t>
      </w:r>
      <w:r w:rsidRPr="00562272">
        <w:t xml:space="preserve">improvements in delivery of transitional justice and </w:t>
      </w:r>
      <w:r w:rsidR="00203416">
        <w:t>the introduction</w:t>
      </w:r>
      <w:r w:rsidR="00203416" w:rsidRPr="00562272">
        <w:t xml:space="preserve"> </w:t>
      </w:r>
      <w:r w:rsidRPr="00562272">
        <w:t xml:space="preserve">of </w:t>
      </w:r>
      <w:r>
        <w:t xml:space="preserve">an </w:t>
      </w:r>
      <w:r w:rsidRPr="00562272">
        <w:t>intercultural approach.</w:t>
      </w:r>
      <w:r>
        <w:t xml:space="preserve"> Challenges in the justice sector are linked to citizen security, </w:t>
      </w:r>
      <w:r w:rsidR="008F34E7">
        <w:t xml:space="preserve">as </w:t>
      </w:r>
      <w:r>
        <w:t xml:space="preserve">traditional determinants of criminality </w:t>
      </w:r>
      <w:r w:rsidR="008F34E7">
        <w:t xml:space="preserve">are compounded by </w:t>
      </w:r>
      <w:r>
        <w:t xml:space="preserve">territorial and income inequalities, </w:t>
      </w:r>
      <w:r w:rsidR="00203416">
        <w:t xml:space="preserve">an </w:t>
      </w:r>
      <w:r>
        <w:t xml:space="preserve">uneven </w:t>
      </w:r>
      <w:r w:rsidR="00203416">
        <w:t xml:space="preserve">presence of the </w:t>
      </w:r>
      <w:r>
        <w:t xml:space="preserve">State and </w:t>
      </w:r>
      <w:r w:rsidR="00203416">
        <w:t xml:space="preserve">a </w:t>
      </w:r>
      <w:r>
        <w:t>lack of legitimacy of institutions</w:t>
      </w:r>
      <w:r w:rsidR="00E60DB1">
        <w:t>.</w:t>
      </w:r>
      <w:r>
        <w:t xml:space="preserve"> Peru has an increasing perception of insecurity</w:t>
      </w:r>
      <w:r w:rsidR="00293936">
        <w:t>,</w:t>
      </w:r>
      <w:r>
        <w:t xml:space="preserve"> the </w:t>
      </w:r>
      <w:r w:rsidR="00FD5F3C" w:rsidRPr="008B0299">
        <w:t>highest</w:t>
      </w:r>
      <w:r w:rsidR="00FD5F3C">
        <w:t xml:space="preserve"> </w:t>
      </w:r>
      <w:r w:rsidRPr="00B62ADA">
        <w:t xml:space="preserve">victimization </w:t>
      </w:r>
      <w:r w:rsidR="005F2475">
        <w:t xml:space="preserve">rate </w:t>
      </w:r>
      <w:r w:rsidRPr="00B62ADA">
        <w:t>in the Latin American regi</w:t>
      </w:r>
      <w:r>
        <w:t>o</w:t>
      </w:r>
      <w:r w:rsidRPr="00B62ADA">
        <w:t>n (30</w:t>
      </w:r>
      <w:r w:rsidR="00203416">
        <w:t xml:space="preserve"> per cent</w:t>
      </w:r>
      <w:r w:rsidRPr="00B62ADA">
        <w:t>)</w:t>
      </w:r>
      <w:r>
        <w:rPr>
          <w:rStyle w:val="FootnoteReference"/>
        </w:rPr>
        <w:footnoteReference w:id="11"/>
      </w:r>
      <w:r>
        <w:t xml:space="preserve"> and a relatively low</w:t>
      </w:r>
      <w:r w:rsidR="00203416">
        <w:t>,</w:t>
      </w:r>
      <w:r>
        <w:t xml:space="preserve"> </w:t>
      </w:r>
      <w:r w:rsidR="00203416">
        <w:t>albeit</w:t>
      </w:r>
      <w:r>
        <w:t xml:space="preserve"> growing homicide rate</w:t>
      </w:r>
      <w:r w:rsidR="00203416">
        <w:t>,</w:t>
      </w:r>
      <w:r>
        <w:t xml:space="preserve"> with higher rates in Lima and the Northern Coast regions. Gender-based violence and domestic violence are at the core of citizen </w:t>
      </w:r>
      <w:r w:rsidRPr="00CD5377">
        <w:t>insecurity</w:t>
      </w:r>
      <w:r w:rsidR="003D67B3">
        <w:t>;</w:t>
      </w:r>
      <w:r w:rsidR="003D67B3" w:rsidRPr="00CD5377">
        <w:t xml:space="preserve"> </w:t>
      </w:r>
      <w:r w:rsidRPr="00CD5377">
        <w:t>72.4</w:t>
      </w:r>
      <w:r w:rsidR="00203416">
        <w:t xml:space="preserve"> per cent</w:t>
      </w:r>
      <w:r w:rsidR="00203416" w:rsidRPr="00CD5377">
        <w:t xml:space="preserve"> </w:t>
      </w:r>
      <w:r w:rsidRPr="00CD5377">
        <w:t xml:space="preserve">of women </w:t>
      </w:r>
      <w:r w:rsidR="00203416" w:rsidRPr="00CD5377">
        <w:t xml:space="preserve">report </w:t>
      </w:r>
      <w:r w:rsidRPr="00CD5377">
        <w:t>having experienced some form of violence by an intimate partner, and 44</w:t>
      </w:r>
      <w:r w:rsidR="00203416">
        <w:t xml:space="preserve"> per cent</w:t>
      </w:r>
      <w:r w:rsidR="00203416" w:rsidRPr="00CD5377">
        <w:t xml:space="preserve"> </w:t>
      </w:r>
      <w:r w:rsidRPr="00CD5377">
        <w:t xml:space="preserve">of prison inmates </w:t>
      </w:r>
      <w:r w:rsidR="003D67B3" w:rsidRPr="00CD5377">
        <w:t>declar</w:t>
      </w:r>
      <w:r w:rsidR="003D67B3">
        <w:t>e</w:t>
      </w:r>
      <w:r w:rsidR="003D67B3" w:rsidRPr="00CD5377">
        <w:t xml:space="preserve"> </w:t>
      </w:r>
      <w:r w:rsidR="00236609">
        <w:t xml:space="preserve">that they were </w:t>
      </w:r>
      <w:r w:rsidRPr="00CD5377">
        <w:t>victims of domestic violence during their childhood</w:t>
      </w:r>
      <w:r w:rsidR="00236609">
        <w:t>s.</w:t>
      </w:r>
      <w:r>
        <w:rPr>
          <w:rStyle w:val="FootnoteReference"/>
        </w:rPr>
        <w:footnoteReference w:id="12"/>
      </w:r>
    </w:p>
    <w:p w14:paraId="7053E431" w14:textId="6312CAF4" w:rsidR="00B03CA5" w:rsidRDefault="00B03CA5" w:rsidP="00FA4630">
      <w:pPr>
        <w:pStyle w:val="ListParagraph"/>
        <w:numPr>
          <w:ilvl w:val="0"/>
          <w:numId w:val="37"/>
        </w:numPr>
        <w:spacing w:after="120"/>
        <w:ind w:left="1080" w:right="-25" w:firstLine="0"/>
        <w:jc w:val="both"/>
      </w:pPr>
      <w:r>
        <w:t>Strong national institutions</w:t>
      </w:r>
      <w:r w:rsidR="003D67B3">
        <w:t>,</w:t>
      </w:r>
      <w:r>
        <w:t xml:space="preserve"> necessary to guarantee </w:t>
      </w:r>
      <w:r w:rsidRPr="002C09D9">
        <w:t>inclusive and sustainable development opportunities</w:t>
      </w:r>
      <w:r>
        <w:t xml:space="preserve"> and equitable coverage of quality basic services, continue to face challenges of ef</w:t>
      </w:r>
      <w:r w:rsidRPr="002C09D9">
        <w:t>ficiency, effectiveness</w:t>
      </w:r>
      <w:r>
        <w:t xml:space="preserve">, </w:t>
      </w:r>
      <w:r w:rsidRPr="002C09D9">
        <w:t>transparency</w:t>
      </w:r>
      <w:r>
        <w:t xml:space="preserve"> and corruption. In order to further </w:t>
      </w:r>
      <w:r w:rsidR="00236609">
        <w:t xml:space="preserve">the </w:t>
      </w:r>
      <w:r>
        <w:t>modernization of state institutions connected to OECD accession and achievement</w:t>
      </w:r>
      <w:r w:rsidR="00236609">
        <w:t xml:space="preserve"> of the Sustainable Development Goals</w:t>
      </w:r>
      <w:r>
        <w:t xml:space="preserve">, it will be necessary to continue </w:t>
      </w:r>
      <w:r w:rsidR="00236609">
        <w:t xml:space="preserve">to improve </w:t>
      </w:r>
      <w:r>
        <w:t xml:space="preserve">multilevel governance and multi-year financial planning, including the integration of </w:t>
      </w:r>
      <w:r w:rsidR="00236609">
        <w:t xml:space="preserve">a </w:t>
      </w:r>
      <w:r>
        <w:t>territorial approach in development planning</w:t>
      </w:r>
      <w:r w:rsidR="00236609">
        <w:t>.</w:t>
      </w:r>
      <w:r w:rsidRPr="0012483E">
        <w:rPr>
          <w:vertAlign w:val="superscript"/>
        </w:rPr>
        <w:footnoteReference w:id="13"/>
      </w:r>
      <w:r>
        <w:t xml:space="preserve"> For example, the National Strategic Development Plan</w:t>
      </w:r>
      <w:r w:rsidR="00236609">
        <w:t>,</w:t>
      </w:r>
      <w:r>
        <w:t xml:space="preserve"> prepared by the </w:t>
      </w:r>
      <w:r w:rsidR="00236609">
        <w:t xml:space="preserve">National Centre for </w:t>
      </w:r>
      <w:r>
        <w:t>Strategic Planning (</w:t>
      </w:r>
      <w:r w:rsidR="00236609" w:rsidRPr="00236609">
        <w:rPr>
          <w:i/>
        </w:rPr>
        <w:t>Centro Nacional de Planeamiento Estratégico</w:t>
      </w:r>
      <w:r w:rsidR="00874936">
        <w:rPr>
          <w:i/>
        </w:rPr>
        <w:t xml:space="preserve"> </w:t>
      </w:r>
      <w:r w:rsidR="0012483E" w:rsidRPr="0012483E">
        <w:t>(</w:t>
      </w:r>
      <w:r>
        <w:t>CEPLAN</w:t>
      </w:r>
      <w:r w:rsidR="00236609">
        <w:t>)</w:t>
      </w:r>
      <w:r w:rsidR="0012483E">
        <w:t>)</w:t>
      </w:r>
      <w:r w:rsidR="00236609">
        <w:t>,</w:t>
      </w:r>
      <w:r>
        <w:t xml:space="preserve"> will benefit from a connection to the national budget which is managed by the Ministry of Economy and Finance</w:t>
      </w:r>
      <w:r w:rsidR="00651065">
        <w:t xml:space="preserve"> </w:t>
      </w:r>
      <w:r w:rsidR="00651065" w:rsidRPr="00651065">
        <w:t>(</w:t>
      </w:r>
      <w:r w:rsidR="00651065" w:rsidRPr="005242FC">
        <w:rPr>
          <w:i/>
        </w:rPr>
        <w:t>Ministerio de Economía y Finanzas</w:t>
      </w:r>
      <w:r w:rsidR="00DE7ACD" w:rsidRPr="005242FC">
        <w:rPr>
          <w:i/>
        </w:rPr>
        <w:t>,</w:t>
      </w:r>
      <w:r w:rsidR="00DE7ACD">
        <w:t xml:space="preserve"> (</w:t>
      </w:r>
      <w:r w:rsidR="00874936">
        <w:t>MEF)</w:t>
      </w:r>
      <w:r w:rsidR="00651065">
        <w:t>)</w:t>
      </w:r>
      <w:r>
        <w:t>.</w:t>
      </w:r>
    </w:p>
    <w:p w14:paraId="546AD21D" w14:textId="20BBAFCD" w:rsidR="00661B73" w:rsidRDefault="00F94B79" w:rsidP="00FA4630">
      <w:pPr>
        <w:pStyle w:val="ListParagraph"/>
        <w:numPr>
          <w:ilvl w:val="0"/>
          <w:numId w:val="37"/>
        </w:numPr>
        <w:spacing w:after="120"/>
        <w:ind w:left="1080" w:right="-25" w:firstLine="0"/>
        <w:jc w:val="both"/>
      </w:pPr>
      <w:r>
        <w:t xml:space="preserve">A key challenge to </w:t>
      </w:r>
      <w:r w:rsidR="00236609">
        <w:t xml:space="preserve">reducing </w:t>
      </w:r>
      <w:r>
        <w:t>p</w:t>
      </w:r>
      <w:r w:rsidR="00CF3F6E">
        <w:t xml:space="preserve">overty and inequality </w:t>
      </w:r>
      <w:r>
        <w:t xml:space="preserve">is the reduction </w:t>
      </w:r>
      <w:r w:rsidR="00661B73">
        <w:t>of r</w:t>
      </w:r>
      <w:r w:rsidR="00661B73" w:rsidRPr="00661B73">
        <w:t>acism and discrimination</w:t>
      </w:r>
      <w:r w:rsidR="00893269">
        <w:t>.</w:t>
      </w:r>
      <w:r w:rsidR="00661B73">
        <w:t xml:space="preserve"> </w:t>
      </w:r>
      <w:r w:rsidR="00236609">
        <w:t xml:space="preserve">The groups </w:t>
      </w:r>
      <w:r w:rsidR="00661B73">
        <w:t>most prone to discrimination are people living in poverty</w:t>
      </w:r>
      <w:r w:rsidR="00236609">
        <w:t xml:space="preserve"> and </w:t>
      </w:r>
      <w:r w:rsidR="00893269">
        <w:t xml:space="preserve">rural, </w:t>
      </w:r>
      <w:r w:rsidR="00661B73" w:rsidRPr="00661B73">
        <w:t xml:space="preserve">indigenous and </w:t>
      </w:r>
      <w:r w:rsidR="00236609">
        <w:t>A</w:t>
      </w:r>
      <w:r w:rsidR="00236609" w:rsidRPr="00661B73">
        <w:t>fro</w:t>
      </w:r>
      <w:r w:rsidR="00661B73" w:rsidRPr="00661B73">
        <w:t>-descendant p</w:t>
      </w:r>
      <w:r w:rsidR="00893269">
        <w:t xml:space="preserve">opulations, especially </w:t>
      </w:r>
      <w:r w:rsidR="00661B73" w:rsidRPr="00661B73">
        <w:t xml:space="preserve">young </w:t>
      </w:r>
      <w:r w:rsidR="00893269">
        <w:t xml:space="preserve">people </w:t>
      </w:r>
      <w:r w:rsidR="00661B73" w:rsidRPr="00661B73">
        <w:t>and women</w:t>
      </w:r>
      <w:r w:rsidR="00236609">
        <w:t xml:space="preserve">, </w:t>
      </w:r>
      <w:r w:rsidR="00E01667">
        <w:t xml:space="preserve">who have limited </w:t>
      </w:r>
      <w:r>
        <w:t xml:space="preserve">participation in public policy design and </w:t>
      </w:r>
      <w:r w:rsidR="00236609">
        <w:t>decision-</w:t>
      </w:r>
      <w:r>
        <w:t xml:space="preserve">making processes. </w:t>
      </w:r>
      <w:r w:rsidR="00A220A2" w:rsidRPr="00661B73">
        <w:t xml:space="preserve">Discrimination is addressed by human rights mechanisms </w:t>
      </w:r>
      <w:r>
        <w:t>(e.g.</w:t>
      </w:r>
      <w:r w:rsidR="00236609">
        <w:t>,</w:t>
      </w:r>
      <w:r>
        <w:t xml:space="preserve"> </w:t>
      </w:r>
      <w:r w:rsidR="00236609">
        <w:t>the universal periodic review</w:t>
      </w:r>
      <w:r>
        <w:t xml:space="preserve">) and </w:t>
      </w:r>
      <w:r w:rsidR="00E01667">
        <w:t xml:space="preserve">government </w:t>
      </w:r>
      <w:r w:rsidR="00A220A2" w:rsidRPr="00661B73">
        <w:t>attention to their recommendations is still limited</w:t>
      </w:r>
      <w:r w:rsidR="00F74B34">
        <w:t>. A</w:t>
      </w:r>
      <w:r w:rsidR="00A220A2">
        <w:t xml:space="preserve"> multisector</w:t>
      </w:r>
      <w:r w:rsidR="00E01667">
        <w:t>al</w:t>
      </w:r>
      <w:r w:rsidR="00A220A2">
        <w:t xml:space="preserve"> platform is in place to address discrimination and </w:t>
      </w:r>
      <w:r w:rsidR="00F74B34">
        <w:t xml:space="preserve">the Ombudsman’s Office has promoted </w:t>
      </w:r>
      <w:r w:rsidR="00A220A2">
        <w:t xml:space="preserve">ordinances against </w:t>
      </w:r>
      <w:r w:rsidR="00F74B34">
        <w:t xml:space="preserve">discrimination (for </w:t>
      </w:r>
      <w:r w:rsidR="00A220A2" w:rsidRPr="00661B73">
        <w:t xml:space="preserve">60 of </w:t>
      </w:r>
      <w:r w:rsidR="00F74B34">
        <w:t xml:space="preserve">more </w:t>
      </w:r>
      <w:r w:rsidR="00E01667">
        <w:t xml:space="preserve">than </w:t>
      </w:r>
      <w:r w:rsidR="00A220A2" w:rsidRPr="00661B73">
        <w:t>2,000 public institutions</w:t>
      </w:r>
      <w:r w:rsidR="00F74B34">
        <w:t>)</w:t>
      </w:r>
      <w:r w:rsidR="00A220A2" w:rsidRPr="00661B73">
        <w:t>.</w:t>
      </w:r>
      <w:r w:rsidR="00A220A2">
        <w:t xml:space="preserve"> Eradication of discrimination is </w:t>
      </w:r>
      <w:r w:rsidR="00254E8F">
        <w:t xml:space="preserve">consistent with strengthening </w:t>
      </w:r>
      <w:r w:rsidR="00A220A2">
        <w:t xml:space="preserve">a culture of dialogue that </w:t>
      </w:r>
      <w:r w:rsidR="00254E8F">
        <w:t xml:space="preserve">is expected to </w:t>
      </w:r>
      <w:r w:rsidR="00A220A2">
        <w:t xml:space="preserve">contribute to prevention and </w:t>
      </w:r>
      <w:r w:rsidR="00254E8F">
        <w:t xml:space="preserve">management of </w:t>
      </w:r>
      <w:r w:rsidR="00E01667">
        <w:t xml:space="preserve">the </w:t>
      </w:r>
      <w:r w:rsidR="00254E8F">
        <w:t xml:space="preserve">increasing number of social conflicts (209 according to </w:t>
      </w:r>
      <w:r w:rsidR="00E01667">
        <w:t xml:space="preserve">the </w:t>
      </w:r>
      <w:r w:rsidR="00254E8F">
        <w:t>Ombudsman</w:t>
      </w:r>
      <w:r w:rsidR="00F74B34">
        <w:t>’s</w:t>
      </w:r>
      <w:r w:rsidR="00254E8F">
        <w:t xml:space="preserve"> Office) related to natural resources. It is also consistent with a</w:t>
      </w:r>
      <w:r w:rsidR="00A220A2" w:rsidRPr="00387438">
        <w:t xml:space="preserve"> more inclusive system of political representation </w:t>
      </w:r>
      <w:r w:rsidR="00254E8F">
        <w:t xml:space="preserve">that </w:t>
      </w:r>
      <w:r w:rsidR="00A220A2" w:rsidRPr="00387438">
        <w:t>is needed to modernize and democratize the political system and political parties.</w:t>
      </w:r>
      <w:r w:rsidR="00A220A2">
        <w:t xml:space="preserve"> Excluded groups </w:t>
      </w:r>
      <w:r w:rsidR="00893269">
        <w:t xml:space="preserve">barely </w:t>
      </w:r>
      <w:r w:rsidR="00E01667">
        <w:t xml:space="preserve">participate </w:t>
      </w:r>
      <w:r w:rsidR="00893269">
        <w:t xml:space="preserve">in public policy design and </w:t>
      </w:r>
      <w:r w:rsidR="00E01667">
        <w:t>decision-</w:t>
      </w:r>
      <w:r w:rsidR="00893269">
        <w:t>making processes</w:t>
      </w:r>
      <w:r w:rsidR="00A220A2">
        <w:t>, e.g.</w:t>
      </w:r>
      <w:r w:rsidR="00E01667">
        <w:t>,</w:t>
      </w:r>
      <w:r w:rsidR="00A220A2">
        <w:t xml:space="preserve"> </w:t>
      </w:r>
      <w:r w:rsidR="00E01667">
        <w:t xml:space="preserve">only </w:t>
      </w:r>
      <w:r w:rsidR="00661B73" w:rsidRPr="00661B73">
        <w:t>28</w:t>
      </w:r>
      <w:r w:rsidR="00E01667">
        <w:t xml:space="preserve"> per cent</w:t>
      </w:r>
      <w:r w:rsidR="00E01667" w:rsidRPr="00661B73">
        <w:t xml:space="preserve"> </w:t>
      </w:r>
      <w:r w:rsidR="00661B73" w:rsidRPr="00661B73">
        <w:t>of political authorities are women and 2.56</w:t>
      </w:r>
      <w:r w:rsidR="00E01667">
        <w:t xml:space="preserve"> per cent</w:t>
      </w:r>
      <w:r w:rsidR="00E01667" w:rsidRPr="00661B73">
        <w:t xml:space="preserve"> </w:t>
      </w:r>
      <w:r w:rsidR="00661B73" w:rsidRPr="00661B73">
        <w:t xml:space="preserve">of authorities of </w:t>
      </w:r>
      <w:r w:rsidR="00893269">
        <w:t xml:space="preserve">subnational </w:t>
      </w:r>
      <w:r w:rsidR="00661B73" w:rsidRPr="00661B73">
        <w:t>governments are indigenous people</w:t>
      </w:r>
      <w:r w:rsidR="00E01667">
        <w:t xml:space="preserve">, and </w:t>
      </w:r>
      <w:r w:rsidR="00893269" w:rsidRPr="00893269">
        <w:t xml:space="preserve">Afro-descendants are invisible in </w:t>
      </w:r>
      <w:r w:rsidR="00B03CA5">
        <w:t xml:space="preserve">the </w:t>
      </w:r>
      <w:r w:rsidR="00893269" w:rsidRPr="00893269">
        <w:t>political scene</w:t>
      </w:r>
      <w:r w:rsidR="00893269">
        <w:t xml:space="preserve">. </w:t>
      </w:r>
    </w:p>
    <w:p w14:paraId="0A19E037" w14:textId="6B2D3F23" w:rsidR="00B03CA5" w:rsidRDefault="00E01667" w:rsidP="00DC69AF">
      <w:pPr>
        <w:pStyle w:val="ListParagraph"/>
        <w:numPr>
          <w:ilvl w:val="0"/>
          <w:numId w:val="37"/>
        </w:numPr>
        <w:spacing w:after="120"/>
        <w:ind w:left="1080" w:right="-25" w:firstLine="0"/>
        <w:jc w:val="both"/>
      </w:pPr>
      <w:r>
        <w:t xml:space="preserve">The country office conducted an </w:t>
      </w:r>
      <w:r w:rsidR="00B03CA5">
        <w:t xml:space="preserve">online survey late </w:t>
      </w:r>
      <w:r>
        <w:t xml:space="preserve">in </w:t>
      </w:r>
      <w:r w:rsidR="00B03CA5">
        <w:t xml:space="preserve">2015 to assess </w:t>
      </w:r>
      <w:r>
        <w:t xml:space="preserve">the </w:t>
      </w:r>
      <w:r w:rsidR="00B03CA5">
        <w:t xml:space="preserve">value added </w:t>
      </w:r>
      <w:r>
        <w:t>by UNDP according to</w:t>
      </w:r>
      <w:r w:rsidR="00B03CA5">
        <w:t xml:space="preserve"> its main strategic partners. </w:t>
      </w:r>
      <w:r>
        <w:t xml:space="preserve">The results </w:t>
      </w:r>
      <w:r w:rsidR="00B03CA5">
        <w:t xml:space="preserve">indicated that </w:t>
      </w:r>
      <w:r>
        <w:t xml:space="preserve">this value is </w:t>
      </w:r>
      <w:r w:rsidR="00B03CA5">
        <w:t xml:space="preserve">centred </w:t>
      </w:r>
      <w:r w:rsidR="00B03CA5">
        <w:lastRenderedPageBreak/>
        <w:t>on</w:t>
      </w:r>
      <w:r w:rsidR="00B03CA5" w:rsidRPr="002C09D9">
        <w:t xml:space="preserve">: </w:t>
      </w:r>
      <w:r w:rsidR="00B03CA5">
        <w:t xml:space="preserve">provision of </w:t>
      </w:r>
      <w:r w:rsidR="00B03CA5" w:rsidRPr="002C09D9">
        <w:t xml:space="preserve">advocacy and policy advice; </w:t>
      </w:r>
      <w:r w:rsidR="00B03CA5">
        <w:t xml:space="preserve">capacity development </w:t>
      </w:r>
      <w:r>
        <w:t xml:space="preserve">at </w:t>
      </w:r>
      <w:r w:rsidR="00B03CA5" w:rsidRPr="002C09D9">
        <w:t xml:space="preserve">three levels of government; </w:t>
      </w:r>
      <w:r>
        <w:t xml:space="preserve">its role as </w:t>
      </w:r>
      <w:r w:rsidR="00B03CA5" w:rsidRPr="002C09D9">
        <w:t>convener</w:t>
      </w:r>
      <w:r w:rsidR="00B03CA5">
        <w:t xml:space="preserve"> and consensus builder</w:t>
      </w:r>
      <w:r w:rsidR="00B03CA5" w:rsidRPr="002C09D9">
        <w:t xml:space="preserve"> based on technical expertise, integrity and neutrality; and </w:t>
      </w:r>
      <w:r w:rsidR="00B03CA5">
        <w:t>project implementation. Outcome and project evaluations</w:t>
      </w:r>
      <w:r w:rsidR="00B03CA5">
        <w:rPr>
          <w:rStyle w:val="FootnoteReference"/>
        </w:rPr>
        <w:footnoteReference w:id="14"/>
      </w:r>
      <w:r w:rsidR="00B03CA5">
        <w:t xml:space="preserve"> found that UNDP has comparative advantages on addressing multidimensional issues like sustainable development, democratic governance, poverty and inequality; building consensus </w:t>
      </w:r>
      <w:r>
        <w:t xml:space="preserve">among </w:t>
      </w:r>
      <w:r w:rsidR="00B03CA5">
        <w:t xml:space="preserve">multiple stakeholders; </w:t>
      </w:r>
      <w:r>
        <w:t xml:space="preserve">addressing </w:t>
      </w:r>
      <w:r w:rsidR="00B03CA5">
        <w:t xml:space="preserve">sensitive issues as a neutral and legitimate actor; implementing complex projects; and carrying out efficient and transparent procurement processes.  </w:t>
      </w:r>
    </w:p>
    <w:p w14:paraId="18700D60" w14:textId="38906160" w:rsidR="000C3E32" w:rsidRDefault="00E01667" w:rsidP="001C4D9F">
      <w:pPr>
        <w:pStyle w:val="ListParagraph"/>
        <w:numPr>
          <w:ilvl w:val="0"/>
          <w:numId w:val="37"/>
        </w:numPr>
        <w:ind w:left="1080" w:right="-25" w:firstLine="0"/>
        <w:jc w:val="both"/>
      </w:pPr>
      <w:r>
        <w:t xml:space="preserve">The main </w:t>
      </w:r>
      <w:r w:rsidR="00BE4E8E">
        <w:t xml:space="preserve">lessons learned </w:t>
      </w:r>
      <w:r w:rsidR="00617022">
        <w:t>are: (</w:t>
      </w:r>
      <w:r>
        <w:t>a</w:t>
      </w:r>
      <w:r w:rsidR="00617022">
        <w:t>)</w:t>
      </w:r>
      <w:r w:rsidR="00BE4E8E">
        <w:t xml:space="preserve"> </w:t>
      </w:r>
      <w:r>
        <w:t xml:space="preserve">the </w:t>
      </w:r>
      <w:r w:rsidR="00B03CA5">
        <w:t xml:space="preserve">balance between </w:t>
      </w:r>
      <w:r>
        <w:t xml:space="preserve">the </w:t>
      </w:r>
      <w:r w:rsidR="00B03CA5">
        <w:t xml:space="preserve">contribution to transformational changes and </w:t>
      </w:r>
      <w:r>
        <w:t xml:space="preserve">the </w:t>
      </w:r>
      <w:r w:rsidR="00B03CA5">
        <w:t>provision of support services need</w:t>
      </w:r>
      <w:r>
        <w:t>s</w:t>
      </w:r>
      <w:r w:rsidR="00B03CA5">
        <w:t xml:space="preserve"> to be improved; </w:t>
      </w:r>
      <w:r w:rsidR="00617022">
        <w:t>(</w:t>
      </w:r>
      <w:r>
        <w:t>b</w:t>
      </w:r>
      <w:r w:rsidR="00617022">
        <w:t xml:space="preserve">) </w:t>
      </w:r>
      <w:r w:rsidR="00B6079C">
        <w:t>m</w:t>
      </w:r>
      <w:r w:rsidR="00617022">
        <w:t>ultilevel interventions</w:t>
      </w:r>
      <w:r w:rsidR="00B6079C">
        <w:t xml:space="preserve"> </w:t>
      </w:r>
      <w:r>
        <w:t xml:space="preserve">are more successful </w:t>
      </w:r>
      <w:r w:rsidR="00B03CA5">
        <w:t xml:space="preserve">when they include </w:t>
      </w:r>
      <w:r>
        <w:t xml:space="preserve">the </w:t>
      </w:r>
      <w:r w:rsidR="00B6079C">
        <w:t xml:space="preserve">active participation of subnational actors </w:t>
      </w:r>
      <w:r>
        <w:t>from the beginning</w:t>
      </w:r>
      <w:r w:rsidR="00B6079C">
        <w:t xml:space="preserve">; </w:t>
      </w:r>
      <w:r w:rsidR="00617022">
        <w:t>(</w:t>
      </w:r>
      <w:r>
        <w:t>c</w:t>
      </w:r>
      <w:r w:rsidR="00617022">
        <w:t>)</w:t>
      </w:r>
      <w:r w:rsidR="00B03CA5">
        <w:t xml:space="preserve"> </w:t>
      </w:r>
      <w:r>
        <w:t xml:space="preserve">continued </w:t>
      </w:r>
      <w:r w:rsidR="004167B0">
        <w:t xml:space="preserve">monitoring of project </w:t>
      </w:r>
      <w:r w:rsidR="00E60DB1">
        <w:t>results</w:t>
      </w:r>
      <w:r w:rsidR="004167B0">
        <w:t xml:space="preserve"> by UNDP is key to their </w:t>
      </w:r>
      <w:r w:rsidR="00B03CA5">
        <w:t>sustainability</w:t>
      </w:r>
      <w:r w:rsidR="00BE4E8E">
        <w:t>; and (</w:t>
      </w:r>
      <w:r>
        <w:t>d</w:t>
      </w:r>
      <w:r w:rsidR="00BE4E8E">
        <w:t xml:space="preserve">) communication of results </w:t>
      </w:r>
      <w:r w:rsidR="008D43E4">
        <w:t xml:space="preserve">needs to be strengthened and articulated </w:t>
      </w:r>
      <w:r w:rsidR="00F54022">
        <w:t xml:space="preserve">as part of </w:t>
      </w:r>
      <w:r w:rsidR="008D43E4">
        <w:t xml:space="preserve">the </w:t>
      </w:r>
      <w:r w:rsidR="00BE4E8E">
        <w:t>resource mobilization</w:t>
      </w:r>
      <w:r w:rsidR="008D43E4">
        <w:t xml:space="preserve"> strategy</w:t>
      </w:r>
      <w:r w:rsidR="00BE4E8E">
        <w:t xml:space="preserve">. </w:t>
      </w:r>
      <w:r w:rsidR="004167B0">
        <w:t xml:space="preserve">The proposed programme has been formulated taking into account </w:t>
      </w:r>
      <w:r w:rsidR="00F54022">
        <w:t xml:space="preserve">the </w:t>
      </w:r>
      <w:r w:rsidR="004167B0">
        <w:t>value added and comparative advantages</w:t>
      </w:r>
      <w:r w:rsidR="00F54022">
        <w:t xml:space="preserve"> of UNDP</w:t>
      </w:r>
      <w:r w:rsidR="004167B0">
        <w:t xml:space="preserve">, and lessons learned </w:t>
      </w:r>
      <w:r w:rsidR="00E60DB1">
        <w:t xml:space="preserve">from </w:t>
      </w:r>
      <w:r w:rsidR="00C163A9">
        <w:t xml:space="preserve">programme </w:t>
      </w:r>
      <w:r w:rsidR="00E60DB1">
        <w:t>evaluations</w:t>
      </w:r>
      <w:r w:rsidR="004167B0">
        <w:t xml:space="preserve">. </w:t>
      </w:r>
    </w:p>
    <w:p w14:paraId="7D11C060" w14:textId="77777777" w:rsidR="004167B0" w:rsidRDefault="004167B0" w:rsidP="001C4D9F">
      <w:pPr>
        <w:pStyle w:val="ListParagraph"/>
        <w:ind w:left="1080" w:right="-25"/>
      </w:pPr>
    </w:p>
    <w:p w14:paraId="424ADEDC" w14:textId="4D03A987" w:rsidR="000C3E32" w:rsidRPr="00437220" w:rsidRDefault="000C3E32" w:rsidP="00437220">
      <w:pPr>
        <w:pStyle w:val="ListParagraph"/>
        <w:numPr>
          <w:ilvl w:val="0"/>
          <w:numId w:val="43"/>
        </w:numPr>
        <w:ind w:left="1080" w:right="-25" w:hanging="450"/>
        <w:jc w:val="both"/>
        <w:rPr>
          <w:b/>
          <w:sz w:val="24"/>
          <w:szCs w:val="24"/>
        </w:rPr>
      </w:pPr>
      <w:r w:rsidRPr="00437220">
        <w:rPr>
          <w:b/>
          <w:sz w:val="24"/>
          <w:szCs w:val="24"/>
        </w:rPr>
        <w:t xml:space="preserve">Programme </w:t>
      </w:r>
      <w:r w:rsidR="00267933">
        <w:rPr>
          <w:b/>
          <w:sz w:val="24"/>
          <w:szCs w:val="24"/>
        </w:rPr>
        <w:t>p</w:t>
      </w:r>
      <w:r w:rsidRPr="00437220">
        <w:rPr>
          <w:b/>
          <w:sz w:val="24"/>
          <w:szCs w:val="24"/>
        </w:rPr>
        <w:t xml:space="preserve">riorities and </w:t>
      </w:r>
      <w:r w:rsidR="00267933">
        <w:rPr>
          <w:b/>
          <w:sz w:val="24"/>
          <w:szCs w:val="24"/>
        </w:rPr>
        <w:t>p</w:t>
      </w:r>
      <w:r w:rsidRPr="00437220">
        <w:rPr>
          <w:b/>
          <w:sz w:val="24"/>
          <w:szCs w:val="24"/>
        </w:rPr>
        <w:t>artnerships</w:t>
      </w:r>
    </w:p>
    <w:p w14:paraId="4D547F2B" w14:textId="77777777" w:rsidR="000C3E32" w:rsidRPr="002C09D9" w:rsidRDefault="000C3E32" w:rsidP="001C4D9F">
      <w:pPr>
        <w:ind w:left="1080" w:right="-25"/>
        <w:jc w:val="both"/>
        <w:rPr>
          <w:b/>
        </w:rPr>
      </w:pPr>
    </w:p>
    <w:p w14:paraId="2A7F9DF8" w14:textId="15F4651D" w:rsidR="000C3E32" w:rsidRDefault="000C3E32" w:rsidP="00DC69AF">
      <w:pPr>
        <w:pStyle w:val="ListParagraph"/>
        <w:numPr>
          <w:ilvl w:val="0"/>
          <w:numId w:val="37"/>
        </w:numPr>
        <w:spacing w:after="120"/>
        <w:ind w:left="1080" w:right="-25" w:firstLine="0"/>
        <w:jc w:val="both"/>
      </w:pPr>
      <w:r w:rsidRPr="002C09D9">
        <w:t xml:space="preserve">Through this proposed programme, UNDP </w:t>
      </w:r>
      <w:r w:rsidR="004A7663">
        <w:t xml:space="preserve">seeks to </w:t>
      </w:r>
      <w:r w:rsidR="009C445F">
        <w:t xml:space="preserve">contribute to </w:t>
      </w:r>
      <w:r w:rsidR="00C163A9">
        <w:t xml:space="preserve">the </w:t>
      </w:r>
      <w:r w:rsidR="009C445F">
        <w:t xml:space="preserve">sustained eradication of extreme poverty and significant reduction of inequality by addressing overarching development challenges that are linked to national priorities of </w:t>
      </w:r>
      <w:r w:rsidR="00000133">
        <w:t xml:space="preserve">OECD </w:t>
      </w:r>
      <w:r w:rsidR="009C445F">
        <w:t xml:space="preserve">accession and </w:t>
      </w:r>
      <w:r w:rsidRPr="002C09D9">
        <w:t xml:space="preserve">implementation of </w:t>
      </w:r>
      <w:r w:rsidR="00C163A9">
        <w:t>the</w:t>
      </w:r>
      <w:r w:rsidRPr="002C09D9">
        <w:t xml:space="preserve"> 2030 Agenda </w:t>
      </w:r>
      <w:r w:rsidR="00C97EAE">
        <w:t xml:space="preserve">for </w:t>
      </w:r>
      <w:r w:rsidR="009C445F">
        <w:t xml:space="preserve">Sustainable Development. </w:t>
      </w:r>
      <w:r w:rsidR="00000133">
        <w:t>A</w:t>
      </w:r>
      <w:r w:rsidR="00A73C66">
        <w:t xml:space="preserve">ll outcomes in the proposed programme are </w:t>
      </w:r>
      <w:r w:rsidR="00063E9D">
        <w:t xml:space="preserve">aligned with </w:t>
      </w:r>
      <w:r w:rsidR="00C163A9">
        <w:t>the United Nations Development Assistance Framework (</w:t>
      </w:r>
      <w:r w:rsidR="00A73C66">
        <w:t>UNDAF</w:t>
      </w:r>
      <w:r w:rsidR="00C163A9">
        <w:t>)</w:t>
      </w:r>
      <w:r w:rsidR="00A73C66">
        <w:t xml:space="preserve"> </w:t>
      </w:r>
      <w:r w:rsidR="00424F7F">
        <w:t xml:space="preserve">the </w:t>
      </w:r>
      <w:r w:rsidR="00421703">
        <w:t xml:space="preserve">National Strategic Development Plan and </w:t>
      </w:r>
      <w:r w:rsidR="00C163A9">
        <w:t xml:space="preserve">sectoral </w:t>
      </w:r>
      <w:r w:rsidR="00421703">
        <w:t>plans</w:t>
      </w:r>
      <w:r w:rsidR="00A73C66">
        <w:t>.</w:t>
      </w:r>
    </w:p>
    <w:p w14:paraId="7CDBFCBF" w14:textId="031DD694" w:rsidR="000C3E32" w:rsidRPr="002C09D9" w:rsidRDefault="000C3E32" w:rsidP="00DC69AF">
      <w:pPr>
        <w:spacing w:after="120"/>
        <w:ind w:left="1080" w:right="-25"/>
        <w:jc w:val="both"/>
        <w:rPr>
          <w:b/>
        </w:rPr>
      </w:pPr>
      <w:r w:rsidRPr="002C09D9">
        <w:rPr>
          <w:b/>
        </w:rPr>
        <w:t>Inclusive and sustainable growth and development</w:t>
      </w:r>
      <w:r w:rsidR="00840D7D">
        <w:rPr>
          <w:b/>
        </w:rPr>
        <w:t xml:space="preserve"> </w:t>
      </w:r>
      <w:r w:rsidR="00840D7D" w:rsidRPr="002C09D9">
        <w:t>(S</w:t>
      </w:r>
      <w:r w:rsidR="00840D7D">
        <w:t xml:space="preserve">ustainable </w:t>
      </w:r>
      <w:r w:rsidR="00840D7D" w:rsidRPr="002C09D9">
        <w:t>D</w:t>
      </w:r>
      <w:r w:rsidR="00840D7D">
        <w:t xml:space="preserve">evelopment </w:t>
      </w:r>
      <w:r w:rsidR="00840D7D" w:rsidRPr="002C09D9">
        <w:t>G</w:t>
      </w:r>
      <w:r w:rsidR="00840D7D">
        <w:t>oals</w:t>
      </w:r>
      <w:r w:rsidR="00840D7D" w:rsidRPr="002C09D9">
        <w:t xml:space="preserve"> 1, </w:t>
      </w:r>
      <w:r w:rsidR="00840D7D">
        <w:t xml:space="preserve">5, 8, 9, </w:t>
      </w:r>
      <w:r w:rsidR="00840D7D" w:rsidRPr="002C09D9">
        <w:t xml:space="preserve">11, </w:t>
      </w:r>
      <w:r w:rsidR="00840D7D">
        <w:t>13-16</w:t>
      </w:r>
      <w:r w:rsidR="00840D7D" w:rsidRPr="002C09D9">
        <w:t>)</w:t>
      </w:r>
    </w:p>
    <w:p w14:paraId="071CCE10" w14:textId="3AA69A88" w:rsidR="004167B0" w:rsidRDefault="004167B0" w:rsidP="00DC69AF">
      <w:pPr>
        <w:pStyle w:val="ListParagraph"/>
        <w:numPr>
          <w:ilvl w:val="0"/>
          <w:numId w:val="37"/>
        </w:numPr>
        <w:spacing w:after="120"/>
        <w:ind w:left="1080" w:right="-25" w:firstLine="0"/>
        <w:jc w:val="both"/>
      </w:pPr>
      <w:r>
        <w:t>UNDP w</w:t>
      </w:r>
      <w:r w:rsidRPr="002C09D9">
        <w:t xml:space="preserve">ill </w:t>
      </w:r>
      <w:r>
        <w:t xml:space="preserve">provide policy advice to </w:t>
      </w:r>
      <w:r w:rsidR="005242FC">
        <w:t>MEF</w:t>
      </w:r>
      <w:r w:rsidR="00C163A9">
        <w:t>,</w:t>
      </w:r>
      <w:r w:rsidRPr="002C09D9">
        <w:t xml:space="preserve"> </w:t>
      </w:r>
      <w:r w:rsidR="00C163A9">
        <w:t xml:space="preserve">Ministry of the </w:t>
      </w:r>
      <w:r>
        <w:t>Environment (</w:t>
      </w:r>
      <w:r w:rsidR="00C163A9" w:rsidRPr="00C163A9">
        <w:rPr>
          <w:i/>
        </w:rPr>
        <w:t>Ministerio del Ambiente</w:t>
      </w:r>
      <w:r w:rsidR="00C163A9">
        <w:t xml:space="preserve"> (</w:t>
      </w:r>
      <w:r>
        <w:t>MINAM)</w:t>
      </w:r>
      <w:r w:rsidR="00C163A9">
        <w:t>)</w:t>
      </w:r>
      <w:r w:rsidRPr="002C09D9">
        <w:t>, CEPLAN and National System for Disaster Risk Management</w:t>
      </w:r>
      <w:r w:rsidR="00C163A9">
        <w:t xml:space="preserve"> (</w:t>
      </w:r>
      <w:hyperlink r:id="rId16" w:history="1">
        <w:r w:rsidR="00C163A9" w:rsidRPr="00C163A9">
          <w:rPr>
            <w:i/>
          </w:rPr>
          <w:t>Sistema Nacional de Gestión del Riesgo de Desastres</w:t>
        </w:r>
      </w:hyperlink>
      <w:r w:rsidRPr="002C09D9">
        <w:t xml:space="preserve"> (SINAGERD)</w:t>
      </w:r>
      <w:r w:rsidR="00C163A9">
        <w:t>)</w:t>
      </w:r>
      <w:r w:rsidRPr="002C09D9">
        <w:t xml:space="preserve"> to integrate sustainability, disaster risk management and </w:t>
      </w:r>
      <w:r>
        <w:t xml:space="preserve">territorial </w:t>
      </w:r>
      <w:r w:rsidRPr="002C09D9">
        <w:t xml:space="preserve">approaches in development planning </w:t>
      </w:r>
      <w:r>
        <w:t xml:space="preserve">and reduce vulnerability to </w:t>
      </w:r>
      <w:r w:rsidRPr="002C09D9">
        <w:t xml:space="preserve">natural disasters </w:t>
      </w:r>
      <w:r>
        <w:t xml:space="preserve">and adverse effects of climate change </w:t>
      </w:r>
      <w:r w:rsidRPr="002C09D9">
        <w:t>on people</w:t>
      </w:r>
      <w:r>
        <w:t>, with emphasis on people living in poverty and their livelihoods.</w:t>
      </w:r>
      <w:r w:rsidRPr="002C09D9">
        <w:t xml:space="preserve"> </w:t>
      </w:r>
      <w:r>
        <w:t>Based on an inter-agency evaluation of national capacities, i</w:t>
      </w:r>
      <w:r w:rsidRPr="002C09D9">
        <w:t xml:space="preserve">t will </w:t>
      </w:r>
      <w:r>
        <w:t>continue to advocate with other U</w:t>
      </w:r>
      <w:r w:rsidR="00C163A9">
        <w:t xml:space="preserve">nited </w:t>
      </w:r>
      <w:r>
        <w:t>N</w:t>
      </w:r>
      <w:r w:rsidR="00C163A9">
        <w:t>ations</w:t>
      </w:r>
      <w:r>
        <w:t xml:space="preserve"> Agencies for the </w:t>
      </w:r>
      <w:r w:rsidRPr="002C09D9">
        <w:t xml:space="preserve">implementation of recommendations </w:t>
      </w:r>
      <w:r>
        <w:t>o</w:t>
      </w:r>
      <w:r w:rsidRPr="002C09D9">
        <w:t>n disaster risk management.</w:t>
      </w:r>
      <w:r>
        <w:t xml:space="preserve"> UNDP w</w:t>
      </w:r>
      <w:r w:rsidRPr="002C09D9">
        <w:t xml:space="preserve">ill support </w:t>
      </w:r>
      <w:r>
        <w:t xml:space="preserve">the </w:t>
      </w:r>
      <w:r w:rsidRPr="002C09D9">
        <w:t xml:space="preserve">strengthening of mechanisms for sustainable </w:t>
      </w:r>
      <w:r>
        <w:t>development</w:t>
      </w:r>
      <w:r w:rsidRPr="002C09D9">
        <w:t>, conservation and rehabilitation of natural ecosystems</w:t>
      </w:r>
      <w:r w:rsidR="00C163A9">
        <w:t>,</w:t>
      </w:r>
      <w:r w:rsidRPr="002C09D9">
        <w:t xml:space="preserve"> </w:t>
      </w:r>
      <w:r>
        <w:t xml:space="preserve">including </w:t>
      </w:r>
      <w:r w:rsidRPr="00AE4431">
        <w:t xml:space="preserve">fragile ecosystems </w:t>
      </w:r>
      <w:r w:rsidR="00C163A9">
        <w:t xml:space="preserve">such </w:t>
      </w:r>
      <w:r w:rsidRPr="00AE4431">
        <w:t>as forests, coastal</w:t>
      </w:r>
      <w:r w:rsidR="00C163A9">
        <w:t xml:space="preserve"> and </w:t>
      </w:r>
      <w:r w:rsidRPr="00AE4431">
        <w:t>marine</w:t>
      </w:r>
      <w:r w:rsidR="00C163A9">
        <w:t xml:space="preserve"> areas</w:t>
      </w:r>
      <w:r w:rsidRPr="00AE4431">
        <w:t xml:space="preserve">, </w:t>
      </w:r>
      <w:r w:rsidRPr="00C163A9">
        <w:t>lomas</w:t>
      </w:r>
      <w:r w:rsidRPr="00AE4431">
        <w:t xml:space="preserve"> and mountains</w:t>
      </w:r>
      <w:r w:rsidR="00C163A9">
        <w:t xml:space="preserve"> </w:t>
      </w:r>
      <w:r w:rsidRPr="002C09D9">
        <w:t xml:space="preserve">that improve provision of social, environmental and economic benefits. </w:t>
      </w:r>
      <w:r>
        <w:t xml:space="preserve">It will advocate and provide policy advice to ministries to coordinate instruments for inclusive economic diversification; it will foster exchange of experiences with Andean countries and members of the Pacific Alliance to improve articulation of local governance and </w:t>
      </w:r>
      <w:r w:rsidRPr="002C09D9">
        <w:t>sustainable development strategies</w:t>
      </w:r>
      <w:r>
        <w:t xml:space="preserve">. It will seek to strengthen subnational government capacities for green </w:t>
      </w:r>
      <w:r w:rsidRPr="002C09D9">
        <w:t>local economic development</w:t>
      </w:r>
      <w:r>
        <w:t xml:space="preserve"> in line with </w:t>
      </w:r>
      <w:r w:rsidR="00C163A9">
        <w:t>the Food and Agricultural Organization of the United Nations (</w:t>
      </w:r>
      <w:r>
        <w:t>FAO</w:t>
      </w:r>
      <w:r w:rsidR="00C163A9">
        <w:t>), International Labour Organization</w:t>
      </w:r>
      <w:r w:rsidR="005242FC">
        <w:t xml:space="preserve"> </w:t>
      </w:r>
      <w:r w:rsidR="00C163A9">
        <w:t>(</w:t>
      </w:r>
      <w:r>
        <w:t>ILO</w:t>
      </w:r>
      <w:r w:rsidR="00C163A9">
        <w:t>)</w:t>
      </w:r>
      <w:r>
        <w:t>, U</w:t>
      </w:r>
      <w:r w:rsidR="00C163A9">
        <w:t xml:space="preserve">nited </w:t>
      </w:r>
      <w:r>
        <w:t>N</w:t>
      </w:r>
      <w:r w:rsidR="00C163A9">
        <w:t xml:space="preserve">ations </w:t>
      </w:r>
      <w:r>
        <w:t>E</w:t>
      </w:r>
      <w:r w:rsidR="00C163A9">
        <w:t xml:space="preserve">nvironment </w:t>
      </w:r>
      <w:r>
        <w:t>P</w:t>
      </w:r>
      <w:r w:rsidR="00C163A9">
        <w:t xml:space="preserve">rogramme (UNEP) </w:t>
      </w:r>
      <w:r>
        <w:t xml:space="preserve">and </w:t>
      </w:r>
      <w:r w:rsidR="00C163A9">
        <w:t>United Nations Industrial Development Organization (</w:t>
      </w:r>
      <w:r>
        <w:t>UNIDO</w:t>
      </w:r>
      <w:r w:rsidR="00C163A9">
        <w:t>)</w:t>
      </w:r>
      <w:r w:rsidR="00874936">
        <w:t xml:space="preserve">. </w:t>
      </w:r>
      <w:r>
        <w:t xml:space="preserve"> </w:t>
      </w:r>
    </w:p>
    <w:p w14:paraId="20FC0FBB" w14:textId="62060F5C" w:rsidR="00DA5392" w:rsidRDefault="00C163A9" w:rsidP="00DC69AF">
      <w:pPr>
        <w:pStyle w:val="ListParagraph"/>
        <w:numPr>
          <w:ilvl w:val="0"/>
          <w:numId w:val="37"/>
        </w:numPr>
        <w:spacing w:after="120"/>
        <w:ind w:left="1080" w:right="-25" w:firstLine="0"/>
        <w:jc w:val="both"/>
      </w:pPr>
      <w:r>
        <w:t xml:space="preserve">UNDP </w:t>
      </w:r>
      <w:r w:rsidR="00DA5392" w:rsidRPr="002C09D9">
        <w:t xml:space="preserve">will </w:t>
      </w:r>
      <w:r w:rsidR="00DA5392">
        <w:t xml:space="preserve">provide policy advice and technical assistance to </w:t>
      </w:r>
      <w:r w:rsidR="00DA5392" w:rsidRPr="002C09D9">
        <w:t>implement multilateral agreements on climate change, biodiversity, desertification, disaster risk reduction, mercury management and elimination of substances that deplete the ozone layer</w:t>
      </w:r>
      <w:r w:rsidR="00DA5392">
        <w:t xml:space="preserve">, including </w:t>
      </w:r>
      <w:r>
        <w:t xml:space="preserve">the </w:t>
      </w:r>
      <w:r>
        <w:lastRenderedPageBreak/>
        <w:t>i</w:t>
      </w:r>
      <w:r w:rsidRPr="002C09D9">
        <w:t xml:space="preserve">ntended </w:t>
      </w:r>
      <w:r>
        <w:t>n</w:t>
      </w:r>
      <w:r w:rsidRPr="002C09D9">
        <w:t xml:space="preserve">ationally </w:t>
      </w:r>
      <w:r>
        <w:t>d</w:t>
      </w:r>
      <w:r w:rsidRPr="002C09D9">
        <w:t xml:space="preserve">etermined </w:t>
      </w:r>
      <w:r>
        <w:t>c</w:t>
      </w:r>
      <w:r w:rsidRPr="002C09D9">
        <w:t xml:space="preserve">ontribution </w:t>
      </w:r>
      <w:r>
        <w:t>under</w:t>
      </w:r>
      <w:r w:rsidRPr="002C09D9">
        <w:t xml:space="preserve"> </w:t>
      </w:r>
      <w:r>
        <w:t>the</w:t>
      </w:r>
      <w:r w:rsidR="00DA5392" w:rsidRPr="002C09D9">
        <w:t xml:space="preserve"> U</w:t>
      </w:r>
      <w:r>
        <w:t xml:space="preserve">nited </w:t>
      </w:r>
      <w:r w:rsidR="00DA5392" w:rsidRPr="002C09D9">
        <w:t>N</w:t>
      </w:r>
      <w:r>
        <w:t xml:space="preserve">ations </w:t>
      </w:r>
      <w:r w:rsidR="00DA5392" w:rsidRPr="002C09D9">
        <w:t>F</w:t>
      </w:r>
      <w:r>
        <w:t xml:space="preserve">ramework </w:t>
      </w:r>
      <w:r w:rsidR="00DA5392" w:rsidRPr="002C09D9">
        <w:t>C</w:t>
      </w:r>
      <w:r>
        <w:t xml:space="preserve">onvention on Climate Change </w:t>
      </w:r>
      <w:r w:rsidR="00DA5392" w:rsidRPr="002C09D9">
        <w:t xml:space="preserve">and Paris </w:t>
      </w:r>
      <w:r>
        <w:t>A</w:t>
      </w:r>
      <w:r w:rsidRPr="002C09D9">
        <w:t>greement</w:t>
      </w:r>
      <w:r w:rsidR="00DA5392" w:rsidRPr="008B0299">
        <w:t>.</w:t>
      </w:r>
      <w:r w:rsidR="00DA5392" w:rsidRPr="002C09D9">
        <w:t xml:space="preserve"> It will promot</w:t>
      </w:r>
      <w:r w:rsidR="00DA5392">
        <w:t>e</w:t>
      </w:r>
      <w:r w:rsidR="00DA5392" w:rsidRPr="002C09D9">
        <w:t xml:space="preserve"> integrated approaches to climate change mitigation and adaptation, </w:t>
      </w:r>
      <w:r w:rsidR="00DA5392">
        <w:t xml:space="preserve">such </w:t>
      </w:r>
      <w:r w:rsidR="00DA5392" w:rsidRPr="002C09D9">
        <w:t xml:space="preserve">as </w:t>
      </w:r>
      <w:r w:rsidR="00531362">
        <w:t xml:space="preserve">actions for </w:t>
      </w:r>
      <w:r w:rsidR="00531362" w:rsidRPr="00081E99">
        <w:t>reducing emissions from deforestation and forest degradation</w:t>
      </w:r>
      <w:r w:rsidR="00DA5392" w:rsidRPr="002C09D9">
        <w:t xml:space="preserve">, with emphasis on </w:t>
      </w:r>
      <w:r w:rsidR="00531362">
        <w:t xml:space="preserve">the </w:t>
      </w:r>
      <w:r w:rsidR="00DA5392" w:rsidRPr="002C09D9">
        <w:t xml:space="preserve">rights of forest-dependent communities. It will </w:t>
      </w:r>
      <w:r w:rsidR="00531362">
        <w:t xml:space="preserve">provide </w:t>
      </w:r>
      <w:r w:rsidR="00DA5392">
        <w:t>technical assist</w:t>
      </w:r>
      <w:r w:rsidR="00531362">
        <w:t>ance for the</w:t>
      </w:r>
      <w:r w:rsidR="00DA5392">
        <w:t xml:space="preserve"> </w:t>
      </w:r>
      <w:r w:rsidR="00DA5392" w:rsidRPr="002C09D9">
        <w:t xml:space="preserve">design and implementation of </w:t>
      </w:r>
      <w:r w:rsidR="00531362">
        <w:t>n</w:t>
      </w:r>
      <w:r w:rsidR="00531362" w:rsidRPr="002C09D9">
        <w:t xml:space="preserve">ational </w:t>
      </w:r>
      <w:r w:rsidR="00531362">
        <w:t>a</w:t>
      </w:r>
      <w:r w:rsidR="00531362" w:rsidRPr="002C09D9">
        <w:t xml:space="preserve">ppropriate </w:t>
      </w:r>
      <w:r w:rsidR="00531362">
        <w:t>m</w:t>
      </w:r>
      <w:r w:rsidR="00531362" w:rsidRPr="002C09D9">
        <w:t xml:space="preserve">itigation </w:t>
      </w:r>
      <w:r w:rsidR="00531362">
        <w:t>a</w:t>
      </w:r>
      <w:r w:rsidR="00531362" w:rsidRPr="002C09D9">
        <w:t xml:space="preserve">ctions </w:t>
      </w:r>
      <w:r w:rsidR="00DA5392" w:rsidRPr="002C09D9">
        <w:t xml:space="preserve">for sectors like energy, construction and </w:t>
      </w:r>
      <w:r w:rsidR="00531362">
        <w:t xml:space="preserve">the </w:t>
      </w:r>
      <w:r w:rsidR="00DA5392" w:rsidRPr="002C09D9">
        <w:t xml:space="preserve">palm oil industry, as steps </w:t>
      </w:r>
      <w:r w:rsidR="00DA5392">
        <w:t>in</w:t>
      </w:r>
      <w:r w:rsidR="00DA5392" w:rsidRPr="002C09D9">
        <w:t xml:space="preserve"> </w:t>
      </w:r>
      <w:r w:rsidR="00531362">
        <w:t xml:space="preserve">the </w:t>
      </w:r>
      <w:r w:rsidR="00DA5392" w:rsidRPr="002C09D9">
        <w:t xml:space="preserve">transition to </w:t>
      </w:r>
      <w:r w:rsidR="004167B0">
        <w:t xml:space="preserve">a </w:t>
      </w:r>
      <w:r w:rsidR="00DA5392" w:rsidRPr="002C09D9">
        <w:t>low-carbon economy.</w:t>
      </w:r>
    </w:p>
    <w:p w14:paraId="74A0D07A" w14:textId="1D88227A" w:rsidR="004167B0" w:rsidRDefault="004167B0" w:rsidP="00DC69AF">
      <w:pPr>
        <w:pStyle w:val="ListParagraph"/>
        <w:numPr>
          <w:ilvl w:val="0"/>
          <w:numId w:val="37"/>
        </w:numPr>
        <w:tabs>
          <w:tab w:val="left" w:pos="360"/>
        </w:tabs>
        <w:spacing w:after="120"/>
        <w:ind w:left="1080" w:right="-25" w:firstLine="0"/>
        <w:jc w:val="both"/>
      </w:pPr>
      <w:r>
        <w:t xml:space="preserve">UNDP </w:t>
      </w:r>
      <w:r w:rsidRPr="002C09D9">
        <w:t xml:space="preserve">will advocate </w:t>
      </w:r>
      <w:r w:rsidR="00531362">
        <w:t xml:space="preserve">placing </w:t>
      </w:r>
      <w:r>
        <w:t>sustainable work creation at the cent</w:t>
      </w:r>
      <w:r w:rsidR="00F307EF">
        <w:t>r</w:t>
      </w:r>
      <w:r w:rsidR="00870900">
        <w:t>e</w:t>
      </w:r>
      <w:r>
        <w:t xml:space="preserve"> of </w:t>
      </w:r>
      <w:r w:rsidRPr="002C09D9">
        <w:t xml:space="preserve">development strategies and </w:t>
      </w:r>
      <w:r w:rsidR="00531362">
        <w:t xml:space="preserve">to </w:t>
      </w:r>
      <w:r w:rsidRPr="002C09D9">
        <w:t xml:space="preserve">reduce </w:t>
      </w:r>
      <w:r w:rsidR="00F307EF">
        <w:t xml:space="preserve">informal work, cooperating </w:t>
      </w:r>
      <w:r>
        <w:t>with vocational</w:t>
      </w:r>
      <w:r w:rsidRPr="002C09D9">
        <w:t xml:space="preserve"> training institutions to improve </w:t>
      </w:r>
      <w:r w:rsidR="00531362">
        <w:t xml:space="preserve">the </w:t>
      </w:r>
      <w:r w:rsidRPr="002C09D9">
        <w:t xml:space="preserve">skills of </w:t>
      </w:r>
      <w:r>
        <w:t xml:space="preserve">young people and women </w:t>
      </w:r>
      <w:r w:rsidRPr="002C09D9">
        <w:t xml:space="preserve">in </w:t>
      </w:r>
      <w:r w:rsidR="00531362">
        <w:t xml:space="preserve">the </w:t>
      </w:r>
      <w:r w:rsidRPr="002C09D9">
        <w:t>formal and informal sectors</w:t>
      </w:r>
      <w:r>
        <w:t xml:space="preserve">, in coordination with ILO. It will assist </w:t>
      </w:r>
      <w:r w:rsidRPr="002C09D9">
        <w:t xml:space="preserve">public </w:t>
      </w:r>
      <w:r>
        <w:t xml:space="preserve">entities </w:t>
      </w:r>
      <w:r w:rsidR="0034503C">
        <w:t>such as</w:t>
      </w:r>
      <w:r>
        <w:t xml:space="preserve"> Ministry of Production </w:t>
      </w:r>
      <w:r w:rsidR="00F307EF">
        <w:t>(</w:t>
      </w:r>
      <w:r w:rsidR="005242FC">
        <w:rPr>
          <w:i/>
        </w:rPr>
        <w:t xml:space="preserve">Ministerio de la Producción, </w:t>
      </w:r>
      <w:r w:rsidR="00F307EF">
        <w:t xml:space="preserve">PRODUCE) </w:t>
      </w:r>
      <w:r w:rsidRPr="002C09D9">
        <w:t xml:space="preserve">and private </w:t>
      </w:r>
      <w:r>
        <w:t>sector associations</w:t>
      </w:r>
      <w:r w:rsidRPr="002C09D9">
        <w:t xml:space="preserve"> to strengthen links between small</w:t>
      </w:r>
      <w:r w:rsidR="0034503C">
        <w:t>,</w:t>
      </w:r>
      <w:r w:rsidRPr="002C09D9">
        <w:t xml:space="preserve"> medium and large </w:t>
      </w:r>
      <w:r>
        <w:t xml:space="preserve">enterprises </w:t>
      </w:r>
      <w:r w:rsidRPr="002C09D9">
        <w:t xml:space="preserve">in </w:t>
      </w:r>
      <w:r>
        <w:t xml:space="preserve">international </w:t>
      </w:r>
      <w:r w:rsidRPr="002C09D9">
        <w:t>value chains</w:t>
      </w:r>
      <w:r>
        <w:t xml:space="preserve">, </w:t>
      </w:r>
      <w:r w:rsidR="00582603">
        <w:t xml:space="preserve">with </w:t>
      </w:r>
      <w:r w:rsidR="0034503C">
        <w:t xml:space="preserve">a </w:t>
      </w:r>
      <w:r w:rsidR="00582603">
        <w:t>focus on</w:t>
      </w:r>
      <w:r w:rsidR="003C48F0">
        <w:t xml:space="preserve"> </w:t>
      </w:r>
      <w:r w:rsidR="00EE3914">
        <w:t>regional integration efforts</w:t>
      </w:r>
      <w:r w:rsidR="003C48F0">
        <w:t>.</w:t>
      </w:r>
      <w:r>
        <w:t xml:space="preserve"> I</w:t>
      </w:r>
      <w:r w:rsidRPr="002C09D9">
        <w:t xml:space="preserve">t will provide technical assistance to improve financial inclusion of people living in poverty </w:t>
      </w:r>
      <w:r>
        <w:t xml:space="preserve">in rural areas </w:t>
      </w:r>
      <w:r w:rsidRPr="002C09D9">
        <w:t xml:space="preserve">based on experience with </w:t>
      </w:r>
      <w:r>
        <w:t xml:space="preserve">the </w:t>
      </w:r>
      <w:r w:rsidRPr="002C09D9">
        <w:t xml:space="preserve">Development Bank of Peru </w:t>
      </w:r>
      <w:r>
        <w:t>and will work at policy level to scale</w:t>
      </w:r>
      <w:r w:rsidR="0034503C">
        <w:t xml:space="preserve"> </w:t>
      </w:r>
      <w:r>
        <w:t>up the initiative</w:t>
      </w:r>
      <w:r w:rsidRPr="002C09D9">
        <w:t>.</w:t>
      </w:r>
      <w:r>
        <w:t xml:space="preserve"> B</w:t>
      </w:r>
      <w:r w:rsidRPr="002C09D9">
        <w:t>y promoting secure land tenure and effective management of natural resources and biodiversity</w:t>
      </w:r>
      <w:r>
        <w:t xml:space="preserve">, UNDP </w:t>
      </w:r>
      <w:r w:rsidRPr="002C09D9">
        <w:t>will stimulate resilient livelihoods for people living in poverty</w:t>
      </w:r>
      <w:r>
        <w:t xml:space="preserve"> in rural areas in the jungle and mountains.</w:t>
      </w:r>
    </w:p>
    <w:p w14:paraId="7A5EB3D8" w14:textId="0A9F64EF" w:rsidR="00E552A9" w:rsidRDefault="0034503C" w:rsidP="00DC69AF">
      <w:pPr>
        <w:pStyle w:val="ListParagraph"/>
        <w:numPr>
          <w:ilvl w:val="0"/>
          <w:numId w:val="37"/>
        </w:numPr>
        <w:spacing w:after="120"/>
        <w:ind w:left="1080" w:right="-25" w:firstLine="0"/>
        <w:jc w:val="both"/>
      </w:pPr>
      <w:r>
        <w:t xml:space="preserve">The programme </w:t>
      </w:r>
      <w:r w:rsidR="00E552A9" w:rsidRPr="002C09D9">
        <w:t xml:space="preserve">will contribute to </w:t>
      </w:r>
      <w:r w:rsidR="00870900" w:rsidRPr="002C09D9">
        <w:t>reduc</w:t>
      </w:r>
      <w:r w:rsidR="00870900">
        <w:t>ing</w:t>
      </w:r>
      <w:r w:rsidR="00870900" w:rsidRPr="002C09D9">
        <w:t xml:space="preserve"> </w:t>
      </w:r>
      <w:r w:rsidR="00E552A9" w:rsidRPr="002C09D9">
        <w:t xml:space="preserve">the gender divide at work by supporting entities like </w:t>
      </w:r>
      <w:r w:rsidR="004167B0">
        <w:t xml:space="preserve">the </w:t>
      </w:r>
      <w:r w:rsidR="00E552A9" w:rsidRPr="002C09D9">
        <w:t>Ministry of Women and Vulnerable Population</w:t>
      </w:r>
      <w:r>
        <w:t>s</w:t>
      </w:r>
      <w:r w:rsidR="00F307EF">
        <w:t xml:space="preserve"> (</w:t>
      </w:r>
      <w:r w:rsidR="005242FC" w:rsidRPr="005242FC">
        <w:rPr>
          <w:i/>
        </w:rPr>
        <w:t>Ministerio de la Mujer y Poblaciones Vulnerables</w:t>
      </w:r>
      <w:r w:rsidR="00D42CD2">
        <w:rPr>
          <w:i/>
        </w:rPr>
        <w:t xml:space="preserve"> (</w:t>
      </w:r>
      <w:r w:rsidR="00F307EF">
        <w:t>MIMP</w:t>
      </w:r>
      <w:r w:rsidR="00D42CD2">
        <w:t>)</w:t>
      </w:r>
      <w:r w:rsidR="00F307EF">
        <w:t>)</w:t>
      </w:r>
      <w:r w:rsidR="00E552A9" w:rsidRPr="002C09D9">
        <w:t xml:space="preserve">, in coordination with </w:t>
      </w:r>
      <w:r w:rsidR="00516AB4">
        <w:t>the United Nations Entity for Gender Equality and Empowerment of Women (</w:t>
      </w:r>
      <w:r w:rsidR="00E552A9" w:rsidRPr="002C09D9">
        <w:t>UN</w:t>
      </w:r>
      <w:r>
        <w:t>-</w:t>
      </w:r>
      <w:r w:rsidR="00E552A9" w:rsidRPr="002C09D9">
        <w:t>W</w:t>
      </w:r>
      <w:r>
        <w:t>omen</w:t>
      </w:r>
      <w:r w:rsidR="00516AB4">
        <w:t>)</w:t>
      </w:r>
      <w:r w:rsidR="00E552A9" w:rsidRPr="002C09D9">
        <w:t xml:space="preserve">, to promote policies focusing on the care sector and economic autonomy of women. It will </w:t>
      </w:r>
      <w:r w:rsidR="00E552A9">
        <w:t xml:space="preserve">work at policy level with </w:t>
      </w:r>
      <w:r w:rsidR="00E552A9" w:rsidRPr="002C09D9">
        <w:t xml:space="preserve">institutions like </w:t>
      </w:r>
      <w:r w:rsidR="002A60F1">
        <w:t xml:space="preserve">the </w:t>
      </w:r>
      <w:r w:rsidR="00E552A9" w:rsidRPr="002C09D9">
        <w:t>National Institute of Statistics and Information (</w:t>
      </w:r>
      <w:r w:rsidRPr="002A60F1">
        <w:rPr>
          <w:i/>
        </w:rPr>
        <w:t xml:space="preserve">Instituto Nacional de Estadística e Informática </w:t>
      </w:r>
      <w:r w:rsidR="002A60F1">
        <w:t>(</w:t>
      </w:r>
      <w:r w:rsidR="00E552A9" w:rsidRPr="002C09D9">
        <w:t>INEI</w:t>
      </w:r>
      <w:r w:rsidR="002A60F1">
        <w:t>)</w:t>
      </w:r>
      <w:r w:rsidR="00E552A9" w:rsidRPr="002C09D9">
        <w:t xml:space="preserve">) to improve data on </w:t>
      </w:r>
      <w:r w:rsidR="002A60F1">
        <w:t xml:space="preserve">the </w:t>
      </w:r>
      <w:r w:rsidR="00E552A9">
        <w:t xml:space="preserve">situation of women, and will advocate for gender mainstreaming in businesses with </w:t>
      </w:r>
      <w:r w:rsidR="00E552A9" w:rsidRPr="002C09D9">
        <w:t>private sector</w:t>
      </w:r>
      <w:r w:rsidR="00E552A9">
        <w:t xml:space="preserve"> associations. </w:t>
      </w:r>
    </w:p>
    <w:p w14:paraId="2FB4CDB3" w14:textId="0CB07BAF" w:rsidR="00BA4D21" w:rsidRPr="002C09D9" w:rsidRDefault="00FE1B5C" w:rsidP="00BA4D21">
      <w:pPr>
        <w:spacing w:after="120"/>
        <w:ind w:left="1080" w:right="-25"/>
        <w:jc w:val="both"/>
        <w:rPr>
          <w:b/>
        </w:rPr>
      </w:pPr>
      <w:r>
        <w:rPr>
          <w:b/>
        </w:rPr>
        <w:t>Social protection and q</w:t>
      </w:r>
      <w:r w:rsidR="000C3E32" w:rsidRPr="002C09D9">
        <w:rPr>
          <w:b/>
        </w:rPr>
        <w:t>uality basic services</w:t>
      </w:r>
      <w:r w:rsidR="00BA4D21">
        <w:rPr>
          <w:b/>
        </w:rPr>
        <w:t xml:space="preserve"> </w:t>
      </w:r>
      <w:r w:rsidR="00BA4D21" w:rsidRPr="002C09D9">
        <w:t>(S</w:t>
      </w:r>
      <w:r w:rsidR="00BA4D21">
        <w:t xml:space="preserve">ustainable </w:t>
      </w:r>
      <w:r w:rsidR="00BA4D21" w:rsidRPr="002C09D9">
        <w:t>D</w:t>
      </w:r>
      <w:r w:rsidR="00BA4D21">
        <w:t xml:space="preserve">evelopment </w:t>
      </w:r>
      <w:r w:rsidR="00BA4D21" w:rsidRPr="002C09D9">
        <w:t>G</w:t>
      </w:r>
      <w:r w:rsidR="00BA4D21">
        <w:t>oals</w:t>
      </w:r>
      <w:r w:rsidR="00BA4D21" w:rsidRPr="002C09D9">
        <w:t xml:space="preserve"> 1, </w:t>
      </w:r>
      <w:r w:rsidR="00BA4D21">
        <w:t xml:space="preserve">5, 10, </w:t>
      </w:r>
      <w:r w:rsidR="00BA4D21" w:rsidRPr="002C09D9">
        <w:t>11,</w:t>
      </w:r>
      <w:r w:rsidR="00BA4D21">
        <w:t xml:space="preserve"> 16</w:t>
      </w:r>
      <w:r w:rsidR="00BA4D21" w:rsidRPr="002C09D9">
        <w:t>)</w:t>
      </w:r>
    </w:p>
    <w:p w14:paraId="7368FF63" w14:textId="2DE580AD" w:rsidR="00E552A9" w:rsidRDefault="00E552A9" w:rsidP="00DC69AF">
      <w:pPr>
        <w:pStyle w:val="ListParagraph"/>
        <w:numPr>
          <w:ilvl w:val="0"/>
          <w:numId w:val="37"/>
        </w:numPr>
        <w:spacing w:after="120"/>
        <w:ind w:left="1080" w:right="-25" w:firstLine="0"/>
        <w:jc w:val="both"/>
      </w:pPr>
      <w:r w:rsidRPr="002C09D9">
        <w:t xml:space="preserve">UNDP will </w:t>
      </w:r>
      <w:r>
        <w:t xml:space="preserve">aim </w:t>
      </w:r>
      <w:r w:rsidR="002A60F1">
        <w:t xml:space="preserve">to reduce </w:t>
      </w:r>
      <w:r>
        <w:t>extreme poverty and inequalities by contributing to improve</w:t>
      </w:r>
      <w:r w:rsidR="002A60F1">
        <w:t>d</w:t>
      </w:r>
      <w:r>
        <w:t xml:space="preserve"> social protection and </w:t>
      </w:r>
      <w:r w:rsidRPr="002C09D9">
        <w:t xml:space="preserve">accessibility, availability and quality of basic services </w:t>
      </w:r>
      <w:r>
        <w:t xml:space="preserve">in line with </w:t>
      </w:r>
      <w:r w:rsidRPr="002C09D9">
        <w:t xml:space="preserve">human rights international standards. It will provide </w:t>
      </w:r>
      <w:r>
        <w:t xml:space="preserve">policy advice to INEI and promote exchange of experience with Latin American statistics institutions so that by 2021 there is an official and periodic measurement of </w:t>
      </w:r>
      <w:r w:rsidRPr="002C09D9">
        <w:t>multidimensional poverty</w:t>
      </w:r>
      <w:r>
        <w:t xml:space="preserve">. UNDP will contribute to </w:t>
      </w:r>
      <w:r w:rsidR="002A60F1">
        <w:t xml:space="preserve">the </w:t>
      </w:r>
      <w:r>
        <w:t xml:space="preserve">availability and use of evidence in policymaking by </w:t>
      </w:r>
      <w:r w:rsidRPr="002C09D9">
        <w:t>regularly estimat</w:t>
      </w:r>
      <w:r>
        <w:t>ing and disseminating</w:t>
      </w:r>
      <w:r w:rsidRPr="002C09D9">
        <w:t xml:space="preserve"> the Human Development</w:t>
      </w:r>
      <w:r w:rsidR="002A60F1">
        <w:t xml:space="preserve"> Index</w:t>
      </w:r>
      <w:r>
        <w:t xml:space="preserve">, </w:t>
      </w:r>
      <w:r w:rsidR="002A60F1">
        <w:t>state density</w:t>
      </w:r>
      <w:r w:rsidR="002A60F1" w:rsidRPr="002C09D9">
        <w:t xml:space="preserve"> </w:t>
      </w:r>
      <w:r w:rsidRPr="002C09D9">
        <w:t xml:space="preserve">and </w:t>
      </w:r>
      <w:r>
        <w:t>other</w:t>
      </w:r>
      <w:r w:rsidRPr="002C09D9">
        <w:t xml:space="preserve"> indexes</w:t>
      </w:r>
      <w:r>
        <w:t xml:space="preserve"> in partnership with INEI and academic institutions. It will advocate for coordination between the Social Development System </w:t>
      </w:r>
      <w:r w:rsidR="002A60F1">
        <w:t>(</w:t>
      </w:r>
      <w:r w:rsidR="002A60F1" w:rsidRPr="002A60F1">
        <w:rPr>
          <w:i/>
        </w:rPr>
        <w:t>Sistema Nacional de Desarrollo e Inclusión Social</w:t>
      </w:r>
      <w:r w:rsidR="002A60F1">
        <w:t xml:space="preserve"> </w:t>
      </w:r>
      <w:r>
        <w:t>(SINADIS)</w:t>
      </w:r>
      <w:r w:rsidR="002A60F1">
        <w:t>)</w:t>
      </w:r>
      <w:r>
        <w:t xml:space="preserve"> and SINAGERD to integrate </w:t>
      </w:r>
      <w:r w:rsidRPr="002C09D9">
        <w:t xml:space="preserve">risk management in </w:t>
      </w:r>
      <w:r>
        <w:t xml:space="preserve">the </w:t>
      </w:r>
      <w:r w:rsidRPr="002C09D9">
        <w:t>social protection system</w:t>
      </w:r>
      <w:r w:rsidR="002A60F1">
        <w:t>,</w:t>
      </w:r>
      <w:r w:rsidRPr="002C09D9">
        <w:t xml:space="preserve"> </w:t>
      </w:r>
      <w:r>
        <w:t xml:space="preserve">and will </w:t>
      </w:r>
      <w:r w:rsidR="002A60F1">
        <w:t xml:space="preserve">support </w:t>
      </w:r>
      <w:r>
        <w:t>capacity development in three levels of government on</w:t>
      </w:r>
      <w:r w:rsidRPr="002C09D9">
        <w:t xml:space="preserve"> recovery and transformation of people affected by crisis and their livelihoods.</w:t>
      </w:r>
      <w:r>
        <w:t xml:space="preserve"> UNDP will promote </w:t>
      </w:r>
      <w:r w:rsidR="00EE3914">
        <w:t xml:space="preserve">Peru as </w:t>
      </w:r>
      <w:r w:rsidR="002A60F1">
        <w:t xml:space="preserve">a </w:t>
      </w:r>
      <w:r w:rsidR="00EE3914">
        <w:t xml:space="preserve">provider of South-South cooperation </w:t>
      </w:r>
      <w:r>
        <w:t>on social development in the region. It will promote exchange</w:t>
      </w:r>
      <w:r w:rsidR="002A60F1">
        <w:t>s</w:t>
      </w:r>
      <w:r>
        <w:t xml:space="preserve"> of experiences with Latin American countries to strengthen </w:t>
      </w:r>
      <w:r w:rsidR="002A60F1">
        <w:t xml:space="preserve">the capacities of </w:t>
      </w:r>
      <w:r>
        <w:t>SINADIS to coordinate social programmes and conduct external evaluations</w:t>
      </w:r>
      <w:r w:rsidRPr="002C09D9">
        <w:t>.</w:t>
      </w:r>
      <w:r>
        <w:t xml:space="preserve"> UNDP </w:t>
      </w:r>
      <w:r w:rsidRPr="002C09D9">
        <w:t>will provide</w:t>
      </w:r>
      <w:r>
        <w:t xml:space="preserve"> </w:t>
      </w:r>
      <w:r w:rsidRPr="002C09D9">
        <w:t>technical assistance</w:t>
      </w:r>
      <w:r>
        <w:t xml:space="preserve">, with FAO, </w:t>
      </w:r>
      <w:r w:rsidR="002A60F1">
        <w:t xml:space="preserve">the United Nations Children's Fund (UNICEF) and the World Food Programme </w:t>
      </w:r>
      <w:r w:rsidR="00FA1E4D">
        <w:t xml:space="preserve">(WFP) </w:t>
      </w:r>
      <w:r w:rsidRPr="002C09D9">
        <w:t xml:space="preserve">to strengthen social protection strategies and instruments with </w:t>
      </w:r>
      <w:r w:rsidR="002A60F1">
        <w:t xml:space="preserve">an </w:t>
      </w:r>
      <w:r w:rsidRPr="002C09D9">
        <w:t xml:space="preserve">emphasis on </w:t>
      </w:r>
      <w:r>
        <w:t>poverty</w:t>
      </w:r>
      <w:r w:rsidR="002A60F1">
        <w:t xml:space="preserve"> </w:t>
      </w:r>
      <w:r>
        <w:t>alleviation and food security</w:t>
      </w:r>
      <w:r w:rsidRPr="002C09D9">
        <w:t xml:space="preserve">. </w:t>
      </w:r>
      <w:r w:rsidRPr="00AE4431">
        <w:t xml:space="preserve">It will provide </w:t>
      </w:r>
      <w:r>
        <w:t>policy advice to</w:t>
      </w:r>
      <w:r w:rsidRPr="00AE4431">
        <w:t xml:space="preserve"> </w:t>
      </w:r>
      <w:r>
        <w:t xml:space="preserve">entities </w:t>
      </w:r>
      <w:r w:rsidR="002A60F1">
        <w:t>such as</w:t>
      </w:r>
      <w:r>
        <w:t xml:space="preserve"> SINADIS, </w:t>
      </w:r>
      <w:r w:rsidR="00F307EF">
        <w:t xml:space="preserve">MEF </w:t>
      </w:r>
      <w:r>
        <w:t>and Ministry of</w:t>
      </w:r>
      <w:r w:rsidRPr="00AE4431">
        <w:t xml:space="preserve"> </w:t>
      </w:r>
      <w:r>
        <w:t>Labo</w:t>
      </w:r>
      <w:r w:rsidR="002A60F1">
        <w:t>u</w:t>
      </w:r>
      <w:r>
        <w:t>r</w:t>
      </w:r>
      <w:r w:rsidR="00B723F9">
        <w:t xml:space="preserve"> and Promotion of Employment </w:t>
      </w:r>
      <w:r w:rsidR="003F74D0">
        <w:t>(</w:t>
      </w:r>
      <w:r w:rsidR="003F74D0" w:rsidRPr="002743BE">
        <w:rPr>
          <w:i/>
        </w:rPr>
        <w:t>Ministerio de Trabajo y Promoción del Empleo</w:t>
      </w:r>
      <w:r w:rsidR="003F74D0">
        <w:t xml:space="preserve"> </w:t>
      </w:r>
      <w:r w:rsidR="00F307EF">
        <w:t>(MTPE)</w:t>
      </w:r>
      <w:r w:rsidRPr="00AE4431">
        <w:t xml:space="preserve"> to </w:t>
      </w:r>
      <w:r>
        <w:t xml:space="preserve">articulate </w:t>
      </w:r>
      <w:r w:rsidRPr="00AE4431">
        <w:t xml:space="preserve">social protection programmes with </w:t>
      </w:r>
      <w:r w:rsidR="002A60F1" w:rsidRPr="00AE4431">
        <w:t>work</w:t>
      </w:r>
      <w:r w:rsidR="002A60F1">
        <w:t>-</w:t>
      </w:r>
      <w:r w:rsidRPr="00AE4431">
        <w:t>creation strategies</w:t>
      </w:r>
      <w:r>
        <w:t xml:space="preserve">. </w:t>
      </w:r>
      <w:r w:rsidRPr="00AE4431">
        <w:t xml:space="preserve"> </w:t>
      </w:r>
    </w:p>
    <w:p w14:paraId="1E1A6A7C" w14:textId="0EB4B73E" w:rsidR="00E552A9" w:rsidRDefault="00E552A9" w:rsidP="00DC69AF">
      <w:pPr>
        <w:pStyle w:val="ListParagraph"/>
        <w:numPr>
          <w:ilvl w:val="0"/>
          <w:numId w:val="37"/>
        </w:numPr>
        <w:spacing w:after="120"/>
        <w:ind w:left="1080" w:right="-25" w:firstLine="0"/>
        <w:jc w:val="both"/>
      </w:pPr>
      <w:r w:rsidRPr="00432650">
        <w:t xml:space="preserve">UNDP will work with the judicial system to reduce </w:t>
      </w:r>
      <w:r w:rsidR="002A60F1">
        <w:t xml:space="preserve">barriers, especially economic and cultural barriers, to </w:t>
      </w:r>
      <w:r w:rsidRPr="00432650">
        <w:t xml:space="preserve">access to justice for </w:t>
      </w:r>
      <w:r w:rsidR="0009182E" w:rsidRPr="00432650">
        <w:t xml:space="preserve">people </w:t>
      </w:r>
      <w:r w:rsidRPr="00432650">
        <w:t xml:space="preserve">living in poverty in rural and marginal urban areas </w:t>
      </w:r>
      <w:r w:rsidR="004167B0" w:rsidRPr="00432650">
        <w:t xml:space="preserve">by </w:t>
      </w:r>
      <w:r w:rsidR="00FA1E4D">
        <w:t xml:space="preserve">providing </w:t>
      </w:r>
      <w:r w:rsidR="002A60F1" w:rsidRPr="00432650">
        <w:t>support</w:t>
      </w:r>
      <w:r w:rsidR="002A60F1">
        <w:t xml:space="preserve"> for enhancing the</w:t>
      </w:r>
      <w:r w:rsidR="002A60F1" w:rsidRPr="00432650">
        <w:t xml:space="preserve"> capacit</w:t>
      </w:r>
      <w:r w:rsidR="002A60F1">
        <w:t>ies</w:t>
      </w:r>
      <w:r w:rsidR="002A60F1" w:rsidRPr="00432650">
        <w:t xml:space="preserve"> </w:t>
      </w:r>
      <w:r w:rsidR="00432650" w:rsidRPr="00432650">
        <w:t xml:space="preserve">of peace judges and integrating </w:t>
      </w:r>
      <w:r w:rsidR="00E9744E">
        <w:t xml:space="preserve">an </w:t>
      </w:r>
      <w:r w:rsidR="00432650" w:rsidRPr="00432650">
        <w:lastRenderedPageBreak/>
        <w:t xml:space="preserve">intercultural approach in </w:t>
      </w:r>
      <w:r w:rsidR="00E9744E">
        <w:t xml:space="preserve">the </w:t>
      </w:r>
      <w:r w:rsidR="00432650" w:rsidRPr="00432650">
        <w:t>formal justice</w:t>
      </w:r>
      <w:r w:rsidR="00E9744E">
        <w:t xml:space="preserve"> system</w:t>
      </w:r>
      <w:r w:rsidR="00432650" w:rsidRPr="00432650">
        <w:t xml:space="preserve">. </w:t>
      </w:r>
      <w:r w:rsidRPr="00432650">
        <w:t>It</w:t>
      </w:r>
      <w:r>
        <w:t xml:space="preserve"> will advise at policy level and facilitate best practices for </w:t>
      </w:r>
      <w:r w:rsidR="00E9744E">
        <w:t xml:space="preserve">the </w:t>
      </w:r>
      <w:r>
        <w:t xml:space="preserve">formulation and implementation of comprehensive policies of citizen security, and promote </w:t>
      </w:r>
      <w:r w:rsidR="00E9744E">
        <w:t xml:space="preserve">the </w:t>
      </w:r>
      <w:r>
        <w:t xml:space="preserve">prevention and improvement of responses to all forms of violence, with </w:t>
      </w:r>
      <w:r w:rsidR="00E9744E">
        <w:t xml:space="preserve">a </w:t>
      </w:r>
      <w:r>
        <w:t>focus on youth and gender-based violence. It will work with subnational governments, civil society and U</w:t>
      </w:r>
      <w:r w:rsidR="00E9744E">
        <w:t xml:space="preserve">nited </w:t>
      </w:r>
      <w:r>
        <w:t>N</w:t>
      </w:r>
      <w:r w:rsidR="00E9744E">
        <w:t>ations</w:t>
      </w:r>
      <w:r>
        <w:t xml:space="preserve"> agencies to </w:t>
      </w:r>
      <w:r w:rsidRPr="006B6D57">
        <w:t xml:space="preserve">support </w:t>
      </w:r>
      <w:r w:rsidR="00E9744E">
        <w:t xml:space="preserve">the </w:t>
      </w:r>
      <w:r>
        <w:t xml:space="preserve">development of </w:t>
      </w:r>
      <w:r w:rsidRPr="006B6D57">
        <w:t xml:space="preserve">youth </w:t>
      </w:r>
      <w:r>
        <w:t>in safe environments</w:t>
      </w:r>
      <w:r w:rsidRPr="006B6D57">
        <w:t>,</w:t>
      </w:r>
      <w:r>
        <w:t xml:space="preserve"> including engagement in culture and sports. </w:t>
      </w:r>
    </w:p>
    <w:p w14:paraId="6A07ECBD" w14:textId="56214295" w:rsidR="00BA4D21" w:rsidRPr="002C09D9" w:rsidRDefault="000C3E32" w:rsidP="00BA4D21">
      <w:pPr>
        <w:spacing w:after="120"/>
        <w:ind w:left="1080" w:right="-25"/>
        <w:jc w:val="both"/>
        <w:rPr>
          <w:b/>
        </w:rPr>
      </w:pPr>
      <w:r w:rsidRPr="002C09D9">
        <w:rPr>
          <w:b/>
        </w:rPr>
        <w:t>Institutions and transparency</w:t>
      </w:r>
      <w:r w:rsidR="0020588C">
        <w:rPr>
          <w:b/>
        </w:rPr>
        <w:t xml:space="preserve"> </w:t>
      </w:r>
      <w:r w:rsidR="00BA4D21" w:rsidRPr="002C09D9">
        <w:t>(S</w:t>
      </w:r>
      <w:r w:rsidR="00BA4D21">
        <w:t xml:space="preserve">ustainable </w:t>
      </w:r>
      <w:r w:rsidR="00BA4D21" w:rsidRPr="002C09D9">
        <w:t>D</w:t>
      </w:r>
      <w:r w:rsidR="00BA4D21">
        <w:t xml:space="preserve">evelopment </w:t>
      </w:r>
      <w:r w:rsidR="00BA4D21" w:rsidRPr="002C09D9">
        <w:t>G</w:t>
      </w:r>
      <w:r w:rsidR="00BA4D21">
        <w:t>oals</w:t>
      </w:r>
      <w:r w:rsidR="00BA4D21" w:rsidRPr="002C09D9">
        <w:t xml:space="preserve"> 1, 1</w:t>
      </w:r>
      <w:r w:rsidR="00BA4D21">
        <w:t>0</w:t>
      </w:r>
      <w:r w:rsidR="00BA4D21" w:rsidRPr="002C09D9">
        <w:t>,</w:t>
      </w:r>
      <w:r w:rsidR="00BA4D21">
        <w:t xml:space="preserve"> 16</w:t>
      </w:r>
      <w:r w:rsidR="00CA51A2">
        <w:t>, 17</w:t>
      </w:r>
      <w:r w:rsidR="00BA4D21" w:rsidRPr="002C09D9">
        <w:t>)</w:t>
      </w:r>
    </w:p>
    <w:p w14:paraId="16E7B516" w14:textId="62585EC8" w:rsidR="00C9007B" w:rsidRDefault="000C3E32" w:rsidP="00DC69AF">
      <w:pPr>
        <w:pStyle w:val="ListParagraph"/>
        <w:numPr>
          <w:ilvl w:val="0"/>
          <w:numId w:val="37"/>
        </w:numPr>
        <w:spacing w:after="120"/>
        <w:ind w:left="1080" w:right="-25" w:firstLine="0"/>
        <w:jc w:val="both"/>
      </w:pPr>
      <w:r w:rsidRPr="002C09D9">
        <w:t xml:space="preserve">UNDP will </w:t>
      </w:r>
      <w:r w:rsidR="00EA0E82">
        <w:t xml:space="preserve">work </w:t>
      </w:r>
      <w:r w:rsidR="0085668F">
        <w:t>with the Presidency of the Council of Ministers</w:t>
      </w:r>
      <w:r w:rsidR="00FA1E4D">
        <w:t xml:space="preserve"> (</w:t>
      </w:r>
      <w:r w:rsidR="00D42CD2">
        <w:rPr>
          <w:i/>
        </w:rPr>
        <w:t>Presidencia del Consejo de Ministros (</w:t>
      </w:r>
      <w:r w:rsidR="00FA1E4D">
        <w:t>PCM</w:t>
      </w:r>
      <w:r w:rsidR="00D42CD2">
        <w:t>)</w:t>
      </w:r>
      <w:r w:rsidR="00FA1E4D">
        <w:t xml:space="preserve">), </w:t>
      </w:r>
      <w:r w:rsidR="00FA1E4D" w:rsidRPr="002743BE">
        <w:t>MEF</w:t>
      </w:r>
      <w:r w:rsidR="0085668F" w:rsidRPr="002743BE">
        <w:t>,</w:t>
      </w:r>
      <w:r w:rsidR="0085668F">
        <w:t xml:space="preserve"> </w:t>
      </w:r>
      <w:r w:rsidR="00EA0E82">
        <w:t xml:space="preserve">the Civil Service Authority </w:t>
      </w:r>
      <w:r w:rsidR="00D42CD2">
        <w:t>a</w:t>
      </w:r>
      <w:r w:rsidR="00EA0E82">
        <w:t xml:space="preserve">nd CEPLAN at policy level </w:t>
      </w:r>
      <w:r w:rsidR="0085668F">
        <w:t xml:space="preserve">to improve </w:t>
      </w:r>
      <w:r w:rsidR="00E9744E">
        <w:t xml:space="preserve">the </w:t>
      </w:r>
      <w:r w:rsidR="0085668F">
        <w:t xml:space="preserve">efficiency, effectiveness and transparency of </w:t>
      </w:r>
      <w:r w:rsidR="00654AE0">
        <w:t xml:space="preserve">public </w:t>
      </w:r>
      <w:r w:rsidR="0085668F">
        <w:t>institutions in line with OECD recommendations for public governance and public integrity</w:t>
      </w:r>
      <w:r w:rsidR="00EA0E82">
        <w:t xml:space="preserve">, so that </w:t>
      </w:r>
      <w:r w:rsidR="00654AE0">
        <w:t xml:space="preserve">they can </w:t>
      </w:r>
      <w:r w:rsidR="00EA0E82">
        <w:t xml:space="preserve">guarantee </w:t>
      </w:r>
      <w:r w:rsidR="00EA0E82" w:rsidRPr="002C09D9">
        <w:t>inclusive and sustainable development opportunities</w:t>
      </w:r>
      <w:r w:rsidR="00EA0E82">
        <w:t xml:space="preserve"> and equitable coverage of quality basic services</w:t>
      </w:r>
      <w:r w:rsidRPr="002C09D9">
        <w:t xml:space="preserve">. UNDP will </w:t>
      </w:r>
      <w:r w:rsidR="00E9744E">
        <w:t xml:space="preserve">aim </w:t>
      </w:r>
      <w:r w:rsidRPr="002C09D9">
        <w:t xml:space="preserve">to </w:t>
      </w:r>
      <w:r w:rsidR="00EA0E82">
        <w:t>provide policy advice and technical assistance to improve results-oriented and multi-year planning and budgeting capacities</w:t>
      </w:r>
      <w:r w:rsidR="00654AE0">
        <w:t xml:space="preserve">, and </w:t>
      </w:r>
      <w:r w:rsidR="00B7482F">
        <w:t xml:space="preserve">integrate the territorial approach in development planning in </w:t>
      </w:r>
      <w:r w:rsidR="00E9744E">
        <w:t xml:space="preserve">the </w:t>
      </w:r>
      <w:r w:rsidR="00B7482F">
        <w:t>three levels of government.</w:t>
      </w:r>
      <w:r w:rsidRPr="002C09D9">
        <w:t xml:space="preserve"> </w:t>
      </w:r>
      <w:r w:rsidR="00E9744E">
        <w:t>I</w:t>
      </w:r>
      <w:r w:rsidRPr="002C09D9">
        <w:t xml:space="preserve">t will work with </w:t>
      </w:r>
      <w:r w:rsidR="00E9744E">
        <w:t xml:space="preserve">the </w:t>
      </w:r>
      <w:r w:rsidR="00FA1E4D">
        <w:t>entity in charge of d</w:t>
      </w:r>
      <w:r w:rsidRPr="002C09D9">
        <w:t>ecentralization</w:t>
      </w:r>
      <w:r w:rsidR="00B7482F">
        <w:t xml:space="preserve">, subnational governments and their </w:t>
      </w:r>
      <w:r w:rsidRPr="002C09D9">
        <w:t>coordination bodies to strengthen multi-</w:t>
      </w:r>
      <w:r w:rsidR="00B7482F">
        <w:t>level governance.</w:t>
      </w:r>
      <w:r w:rsidRPr="002C09D9">
        <w:t xml:space="preserve"> </w:t>
      </w:r>
    </w:p>
    <w:p w14:paraId="0449545C" w14:textId="7338FDF6" w:rsidR="00C44C9C" w:rsidRDefault="002C7B61" w:rsidP="00DC69AF">
      <w:pPr>
        <w:pStyle w:val="ListParagraph"/>
        <w:numPr>
          <w:ilvl w:val="0"/>
          <w:numId w:val="37"/>
        </w:numPr>
        <w:spacing w:after="120"/>
        <w:ind w:left="1080" w:right="-25" w:firstLine="0"/>
        <w:jc w:val="both"/>
      </w:pPr>
      <w:r>
        <w:t>U</w:t>
      </w:r>
      <w:r w:rsidR="000C3E32" w:rsidRPr="002C09D9">
        <w:t xml:space="preserve">NDP will </w:t>
      </w:r>
      <w:r w:rsidR="00C44C9C">
        <w:t xml:space="preserve">advise </w:t>
      </w:r>
      <w:r w:rsidR="00E9744E">
        <w:t>the</w:t>
      </w:r>
      <w:r w:rsidR="000C3E32" w:rsidRPr="002C09D9">
        <w:t xml:space="preserve"> </w:t>
      </w:r>
      <w:r w:rsidR="00FA1E4D">
        <w:t xml:space="preserve">PCM, the </w:t>
      </w:r>
      <w:r w:rsidR="000C3E32" w:rsidRPr="002C09D9">
        <w:t>High-Level Commission on Anti-Corruption</w:t>
      </w:r>
      <w:r w:rsidR="00FA1E4D">
        <w:t xml:space="preserve"> and the </w:t>
      </w:r>
      <w:r w:rsidR="00A07005">
        <w:t xml:space="preserve">Comptroller’s Office </w:t>
      </w:r>
      <w:r w:rsidR="000C3E32" w:rsidRPr="002C09D9">
        <w:t xml:space="preserve">to secure </w:t>
      </w:r>
      <w:r w:rsidR="00E9744E">
        <w:t xml:space="preserve">the </w:t>
      </w:r>
      <w:r w:rsidR="000C3E32" w:rsidRPr="002C09D9">
        <w:t xml:space="preserve">international obligations </w:t>
      </w:r>
      <w:r w:rsidR="00E9744E">
        <w:t>required under the</w:t>
      </w:r>
      <w:r w:rsidR="000C3E32" w:rsidRPr="002C09D9">
        <w:t xml:space="preserve"> U</w:t>
      </w:r>
      <w:r w:rsidR="00E9744E">
        <w:t xml:space="preserve">nited </w:t>
      </w:r>
      <w:r w:rsidR="000C3E32">
        <w:t>N</w:t>
      </w:r>
      <w:r w:rsidR="00E9744E">
        <w:t>ations</w:t>
      </w:r>
      <w:r w:rsidR="000C3E32">
        <w:t xml:space="preserve"> </w:t>
      </w:r>
      <w:r w:rsidR="000C3E32" w:rsidRPr="002C09D9">
        <w:t xml:space="preserve">Convention against Corruption, with </w:t>
      </w:r>
      <w:r w:rsidR="00E9744E">
        <w:t xml:space="preserve">an </w:t>
      </w:r>
      <w:r w:rsidR="000C3E32" w:rsidRPr="002C09D9">
        <w:t xml:space="preserve">emphasis on prevention, in </w:t>
      </w:r>
      <w:r w:rsidR="00FA1E4D">
        <w:t xml:space="preserve">coordination </w:t>
      </w:r>
      <w:r w:rsidR="000C3E32" w:rsidRPr="002C09D9">
        <w:t xml:space="preserve">with </w:t>
      </w:r>
      <w:r w:rsidR="00E9744E">
        <w:t>the United Nations Office on Drugs and Crime</w:t>
      </w:r>
      <w:r w:rsidR="00FA1E4D">
        <w:t xml:space="preserve"> (UNODC)</w:t>
      </w:r>
      <w:r w:rsidR="000C3E32" w:rsidRPr="002C09D9">
        <w:t xml:space="preserve">. It will </w:t>
      </w:r>
      <w:r w:rsidR="00B022E5">
        <w:t xml:space="preserve">support </w:t>
      </w:r>
      <w:r w:rsidR="000C3E32" w:rsidRPr="002C09D9">
        <w:t xml:space="preserve">compliance </w:t>
      </w:r>
      <w:r w:rsidR="00566332">
        <w:t>with the</w:t>
      </w:r>
      <w:r w:rsidR="00566332" w:rsidRPr="002C09D9">
        <w:t xml:space="preserve"> </w:t>
      </w:r>
      <w:r w:rsidR="000C3E32" w:rsidRPr="002C09D9">
        <w:t xml:space="preserve">obligations of open government (Law of Transparency and Access to Information) in national and subnational institutions, including improvement of web portals and other access mechanisms. With </w:t>
      </w:r>
      <w:r w:rsidR="00432650">
        <w:t xml:space="preserve">the </w:t>
      </w:r>
      <w:r w:rsidR="000C3E32" w:rsidRPr="002C09D9">
        <w:t>Ombudsman’s Office</w:t>
      </w:r>
      <w:r w:rsidR="000C3E32">
        <w:t xml:space="preserve"> </w:t>
      </w:r>
      <w:r w:rsidR="000C3E32" w:rsidRPr="002C09D9">
        <w:t>and civil society organizations</w:t>
      </w:r>
      <w:r w:rsidR="00866686">
        <w:t xml:space="preserve"> (CSOs)</w:t>
      </w:r>
      <w:r w:rsidR="000C3E32" w:rsidRPr="002C09D9">
        <w:t xml:space="preserve">, </w:t>
      </w:r>
      <w:r w:rsidR="000C3E32">
        <w:t>i</w:t>
      </w:r>
      <w:r w:rsidR="000C3E32" w:rsidRPr="002C09D9">
        <w:t>t will promote civilian oversight and foster accountability of government entities via web portals and participatory spaces.</w:t>
      </w:r>
      <w:r w:rsidR="00C44C9C">
        <w:t xml:space="preserve"> </w:t>
      </w:r>
      <w:r w:rsidR="00C44C9C" w:rsidRPr="002C09D9">
        <w:t>It will also assist M</w:t>
      </w:r>
      <w:r w:rsidR="00B022E5">
        <w:t>INAM,</w:t>
      </w:r>
      <w:r w:rsidR="00B022E5" w:rsidRPr="002C09D9">
        <w:t xml:space="preserve"> </w:t>
      </w:r>
      <w:r w:rsidR="00FA1E4D">
        <w:t>PRODUCE, the Ministry of Justice (</w:t>
      </w:r>
      <w:r w:rsidR="00D42CD2" w:rsidRPr="00076D96">
        <w:rPr>
          <w:i/>
        </w:rPr>
        <w:t>Ministerio de Justicia</w:t>
      </w:r>
      <w:r w:rsidR="00D42CD2">
        <w:t xml:space="preserve"> (</w:t>
      </w:r>
      <w:r w:rsidR="00FA1E4D">
        <w:t>MINJUS</w:t>
      </w:r>
      <w:r w:rsidR="00D42CD2">
        <w:t>)</w:t>
      </w:r>
      <w:r w:rsidR="00FA1E4D">
        <w:t xml:space="preserve">) </w:t>
      </w:r>
      <w:r w:rsidR="005C604B">
        <w:t>and</w:t>
      </w:r>
      <w:r w:rsidR="00C44C9C" w:rsidRPr="002C09D9">
        <w:t xml:space="preserve"> </w:t>
      </w:r>
      <w:r w:rsidR="00432650">
        <w:t xml:space="preserve">the </w:t>
      </w:r>
      <w:r w:rsidR="00C44C9C" w:rsidRPr="002C09D9">
        <w:t xml:space="preserve">Peruvian Agency for International Cooperation </w:t>
      </w:r>
      <w:r w:rsidR="00E14D46">
        <w:t>(</w:t>
      </w:r>
      <w:r w:rsidR="00E14D46" w:rsidRPr="00E14D46">
        <w:rPr>
          <w:i/>
        </w:rPr>
        <w:t>Agencia Peruana de Cooperación Internacional</w:t>
      </w:r>
      <w:r w:rsidR="00E14D46" w:rsidRPr="00E14D46">
        <w:t> </w:t>
      </w:r>
      <w:r w:rsidR="00E14D46">
        <w:t xml:space="preserve">(ACPI)) </w:t>
      </w:r>
      <w:r w:rsidR="00C44C9C" w:rsidRPr="002C09D9">
        <w:t>on preparing national reports for relevant treaty bodies of United Nations system.</w:t>
      </w:r>
    </w:p>
    <w:p w14:paraId="62CF52A3" w14:textId="33526F2E" w:rsidR="00432650" w:rsidRPr="002C09D9" w:rsidRDefault="00432650" w:rsidP="00DC69AF">
      <w:pPr>
        <w:pStyle w:val="ListParagraph"/>
        <w:numPr>
          <w:ilvl w:val="0"/>
          <w:numId w:val="37"/>
        </w:numPr>
        <w:spacing w:after="120"/>
        <w:ind w:left="1080" w:right="-25" w:firstLine="0"/>
        <w:jc w:val="both"/>
      </w:pPr>
      <w:r>
        <w:t xml:space="preserve">UNDP will work with UNICEF and </w:t>
      </w:r>
      <w:r w:rsidR="00566332">
        <w:t>the United Nations Population Fund (</w:t>
      </w:r>
      <w:r>
        <w:t>UNFPA</w:t>
      </w:r>
      <w:r w:rsidR="00566332">
        <w:t>)</w:t>
      </w:r>
      <w:r>
        <w:t xml:space="preserve"> to apply the </w:t>
      </w:r>
      <w:r w:rsidR="00566332">
        <w:t>mainstreaming</w:t>
      </w:r>
      <w:r>
        <w:t xml:space="preserve">, </w:t>
      </w:r>
      <w:r w:rsidR="00566332">
        <w:t xml:space="preserve">acceleration </w:t>
      </w:r>
      <w:r>
        <w:t xml:space="preserve">and </w:t>
      </w:r>
      <w:r w:rsidR="00566332">
        <w:t xml:space="preserve">policy support </w:t>
      </w:r>
      <w:r>
        <w:t xml:space="preserve">(MAPS) </w:t>
      </w:r>
      <w:r w:rsidR="00566332">
        <w:t xml:space="preserve">strategy </w:t>
      </w:r>
      <w:r>
        <w:t xml:space="preserve">for </w:t>
      </w:r>
      <w:r w:rsidR="00566332">
        <w:t>post-</w:t>
      </w:r>
      <w:r>
        <w:t xml:space="preserve">2015 implementation. This will encompass policy advice and </w:t>
      </w:r>
      <w:r w:rsidRPr="002C09D9">
        <w:t xml:space="preserve">technical assistance to </w:t>
      </w:r>
      <w:r>
        <w:t xml:space="preserve">the </w:t>
      </w:r>
      <w:r w:rsidRPr="002C09D9">
        <w:t xml:space="preserve">three levels of government, </w:t>
      </w:r>
      <w:r>
        <w:t>the Roundtable for Poverty Reduction</w:t>
      </w:r>
      <w:r w:rsidRPr="002C09D9">
        <w:t>,</w:t>
      </w:r>
      <w:r>
        <w:t xml:space="preserve"> </w:t>
      </w:r>
      <w:r w:rsidRPr="002C09D9">
        <w:t xml:space="preserve">Congress, </w:t>
      </w:r>
      <w:r w:rsidR="00566332">
        <w:t xml:space="preserve">the </w:t>
      </w:r>
      <w:r w:rsidRPr="002C09D9">
        <w:t xml:space="preserve">private sector and </w:t>
      </w:r>
      <w:r w:rsidR="00866686">
        <w:t>CSOs</w:t>
      </w:r>
      <w:r w:rsidRPr="002C09D9">
        <w:t xml:space="preserve"> for implementation and monitoring of progress on </w:t>
      </w:r>
      <w:r w:rsidR="00566332">
        <w:t>the Sustainable Development Goals</w:t>
      </w:r>
      <w:r>
        <w:t xml:space="preserve">, including support to INEI to </w:t>
      </w:r>
      <w:r w:rsidRPr="002C09D9">
        <w:t>improve disaggregat</w:t>
      </w:r>
      <w:r>
        <w:t>ion</w:t>
      </w:r>
      <w:r w:rsidRPr="002C09D9">
        <w:t xml:space="preserve"> and differentiat</w:t>
      </w:r>
      <w:r>
        <w:t>ion</w:t>
      </w:r>
      <w:r w:rsidRPr="002C09D9">
        <w:t xml:space="preserve"> </w:t>
      </w:r>
      <w:r>
        <w:t xml:space="preserve">of </w:t>
      </w:r>
      <w:r w:rsidRPr="002C09D9">
        <w:t>statistical data so that no one is left behind.</w:t>
      </w:r>
    </w:p>
    <w:p w14:paraId="20CCA826" w14:textId="28780A0E" w:rsidR="00764DDF" w:rsidRPr="002C09D9" w:rsidRDefault="000C3E32" w:rsidP="00764DDF">
      <w:pPr>
        <w:spacing w:after="120"/>
        <w:ind w:left="1080" w:right="-25"/>
        <w:jc w:val="both"/>
        <w:rPr>
          <w:b/>
        </w:rPr>
      </w:pPr>
      <w:r w:rsidRPr="0020588C">
        <w:rPr>
          <w:b/>
        </w:rPr>
        <w:t xml:space="preserve">Citizenship and peace </w:t>
      </w:r>
      <w:r w:rsidR="00764DDF" w:rsidRPr="002C09D9">
        <w:t>(S</w:t>
      </w:r>
      <w:r w:rsidR="00764DDF">
        <w:t xml:space="preserve">ustainable </w:t>
      </w:r>
      <w:r w:rsidR="00764DDF" w:rsidRPr="002C09D9">
        <w:t>D</w:t>
      </w:r>
      <w:r w:rsidR="00764DDF">
        <w:t xml:space="preserve">evelopment </w:t>
      </w:r>
      <w:r w:rsidR="00764DDF" w:rsidRPr="002C09D9">
        <w:t>G</w:t>
      </w:r>
      <w:r w:rsidR="00764DDF">
        <w:t>oal</w:t>
      </w:r>
      <w:r w:rsidR="00764DDF" w:rsidRPr="002C09D9">
        <w:t xml:space="preserve"> </w:t>
      </w:r>
      <w:r w:rsidR="00764DDF">
        <w:t>16</w:t>
      </w:r>
      <w:r w:rsidR="00764DDF" w:rsidRPr="002C09D9">
        <w:t>)</w:t>
      </w:r>
    </w:p>
    <w:p w14:paraId="021EF14B" w14:textId="6C73C85E" w:rsidR="00C9007B" w:rsidRDefault="00C9007B" w:rsidP="00DC69AF">
      <w:pPr>
        <w:pStyle w:val="ListParagraph"/>
        <w:numPr>
          <w:ilvl w:val="0"/>
          <w:numId w:val="37"/>
        </w:numPr>
        <w:spacing w:after="120"/>
        <w:ind w:left="1080" w:right="-25" w:firstLine="0"/>
        <w:jc w:val="both"/>
      </w:pPr>
      <w:r w:rsidRPr="002C09D9">
        <w:t xml:space="preserve">UNDP will promote the exercise of citizenship, a culture of </w:t>
      </w:r>
      <w:r>
        <w:t xml:space="preserve">dialogue and </w:t>
      </w:r>
      <w:r w:rsidRPr="002C09D9">
        <w:t xml:space="preserve">peace and strengthening and deepening democracy as </w:t>
      </w:r>
      <w:r w:rsidR="00566332">
        <w:t xml:space="preserve">the </w:t>
      </w:r>
      <w:r w:rsidRPr="002C09D9">
        <w:t>basis for building sustainable development opportunities</w:t>
      </w:r>
      <w:r>
        <w:t xml:space="preserve"> and prevention of social conflict</w:t>
      </w:r>
      <w:r w:rsidRPr="002C09D9">
        <w:t xml:space="preserve">. To achieve conditions of equality, it will foster </w:t>
      </w:r>
      <w:r w:rsidR="00566332">
        <w:t xml:space="preserve">the </w:t>
      </w:r>
      <w:r w:rsidRPr="002C09D9">
        <w:t xml:space="preserve">application of human rights-based approach and implementation of recommendations of human rights mechanisms </w:t>
      </w:r>
      <w:r>
        <w:t xml:space="preserve">and application of dialogue and conflict prevention instruments. </w:t>
      </w:r>
      <w:r w:rsidRPr="002C09D9">
        <w:t xml:space="preserve">It will work with </w:t>
      </w:r>
      <w:r w:rsidR="00FA1E4D">
        <w:t>MINJUS, CS</w:t>
      </w:r>
      <w:r w:rsidR="00725F5A">
        <w:t>O</w:t>
      </w:r>
      <w:r w:rsidR="00FA1E4D">
        <w:t xml:space="preserve">s </w:t>
      </w:r>
      <w:r w:rsidRPr="002C09D9">
        <w:t xml:space="preserve">and </w:t>
      </w:r>
      <w:r w:rsidR="00566332">
        <w:t>the Office of the United Nations High Commissioner for Human Rights</w:t>
      </w:r>
      <w:r w:rsidR="00FA1E4D">
        <w:t xml:space="preserve"> (</w:t>
      </w:r>
      <w:r w:rsidR="001B00FA">
        <w:t>OHCHR</w:t>
      </w:r>
      <w:r w:rsidR="00FA1E4D">
        <w:t>)</w:t>
      </w:r>
      <w:r w:rsidRPr="002C09D9">
        <w:t xml:space="preserve"> to promote </w:t>
      </w:r>
      <w:r w:rsidR="00432650">
        <w:t xml:space="preserve">the </w:t>
      </w:r>
      <w:r w:rsidRPr="002C09D9">
        <w:t xml:space="preserve">inclusion of recommendations </w:t>
      </w:r>
      <w:r w:rsidR="00866686">
        <w:t xml:space="preserve">from </w:t>
      </w:r>
      <w:r w:rsidR="00566332">
        <w:t>the universal periodic review</w:t>
      </w:r>
      <w:r w:rsidR="00432650">
        <w:t xml:space="preserve"> </w:t>
      </w:r>
      <w:r w:rsidRPr="002C09D9">
        <w:t xml:space="preserve">in </w:t>
      </w:r>
      <w:r w:rsidR="00432650">
        <w:t xml:space="preserve">the </w:t>
      </w:r>
      <w:r w:rsidR="00866686">
        <w:t xml:space="preserve">implementation of the </w:t>
      </w:r>
      <w:r w:rsidRPr="002C09D9">
        <w:t xml:space="preserve">National Plan for Human Rights. </w:t>
      </w:r>
      <w:r w:rsidR="00866686">
        <w:t xml:space="preserve">UNDP </w:t>
      </w:r>
      <w:r w:rsidRPr="002C09D9">
        <w:t xml:space="preserve">will advocate for </w:t>
      </w:r>
      <w:r w:rsidR="00866686">
        <w:t xml:space="preserve">the </w:t>
      </w:r>
      <w:r w:rsidRPr="002C09D9">
        <w:t>adoption and implementation of instruments and standards against all forms of discrimination.</w:t>
      </w:r>
    </w:p>
    <w:p w14:paraId="52F2A517" w14:textId="30DA9DAF" w:rsidR="000C3E32" w:rsidRDefault="00866686" w:rsidP="001C4D9F">
      <w:pPr>
        <w:pStyle w:val="ListParagraph"/>
        <w:numPr>
          <w:ilvl w:val="0"/>
          <w:numId w:val="37"/>
        </w:numPr>
        <w:ind w:left="1080" w:right="-25" w:firstLine="0"/>
        <w:jc w:val="both"/>
      </w:pPr>
      <w:r>
        <w:t>UNDP</w:t>
      </w:r>
      <w:r w:rsidR="000C3E32" w:rsidRPr="008D43E4">
        <w:t xml:space="preserve"> will work with the electoral system, </w:t>
      </w:r>
      <w:r w:rsidR="00432650">
        <w:t xml:space="preserve">the </w:t>
      </w:r>
      <w:r w:rsidR="005C604B" w:rsidRPr="008D43E4">
        <w:t>Ombudsman's</w:t>
      </w:r>
      <w:r w:rsidR="000C3E32" w:rsidRPr="008D43E4">
        <w:t xml:space="preserve"> Office, political parties and </w:t>
      </w:r>
      <w:r>
        <w:t>CSOs</w:t>
      </w:r>
      <w:r w:rsidR="000C3E32" w:rsidRPr="008D43E4">
        <w:t xml:space="preserve"> to </w:t>
      </w:r>
      <w:r>
        <w:t xml:space="preserve">strengthen </w:t>
      </w:r>
      <w:r w:rsidR="00085D2D">
        <w:t xml:space="preserve">the electoral reform </w:t>
      </w:r>
      <w:r>
        <w:t>so as</w:t>
      </w:r>
      <w:r w:rsidR="00085D2D">
        <w:t xml:space="preserve"> to </w:t>
      </w:r>
      <w:r w:rsidR="00FA1E4D">
        <w:t xml:space="preserve">enhance </w:t>
      </w:r>
      <w:r w:rsidR="00085D2D">
        <w:t xml:space="preserve">democratic governance and </w:t>
      </w:r>
      <w:r>
        <w:t xml:space="preserve">the </w:t>
      </w:r>
      <w:r w:rsidR="00085D2D">
        <w:t>transparency of institutions</w:t>
      </w:r>
      <w:r w:rsidR="00FA1E4D">
        <w:t>.</w:t>
      </w:r>
      <w:r w:rsidR="00085D2D">
        <w:t xml:space="preserve"> It will </w:t>
      </w:r>
      <w:r w:rsidR="000C3E32" w:rsidRPr="008D43E4">
        <w:t>promote political participation of traditionally excluded groups</w:t>
      </w:r>
      <w:r w:rsidR="008D43E4" w:rsidRPr="008D43E4">
        <w:t xml:space="preserve">, especially women, indigenous and Afro-descendant populations </w:t>
      </w:r>
      <w:r w:rsidR="00085D2D" w:rsidRPr="00085D2D">
        <w:t xml:space="preserve">in electoral processes </w:t>
      </w:r>
      <w:r w:rsidR="00085D2D" w:rsidRPr="00085D2D">
        <w:lastRenderedPageBreak/>
        <w:t>and increase their presence in positions of authority in the public sector</w:t>
      </w:r>
      <w:r w:rsidR="000C3E32" w:rsidRPr="00085D2D">
        <w:t>. Wit</w:t>
      </w:r>
      <w:r w:rsidR="000C3E32" w:rsidRPr="008D43E4">
        <w:t xml:space="preserve">h </w:t>
      </w:r>
      <w:r w:rsidR="00FA1E4D">
        <w:t xml:space="preserve">PCM, </w:t>
      </w:r>
      <w:r w:rsidR="000C3E32" w:rsidRPr="008D43E4">
        <w:t>Congress, National Agreement and</w:t>
      </w:r>
      <w:r w:rsidR="00FA1E4D">
        <w:t xml:space="preserve"> the </w:t>
      </w:r>
      <w:r w:rsidR="000C3E32" w:rsidRPr="008D43E4">
        <w:t>Ministry of Culture, UNDP will continue to support improvement of instruments for conflict prevention and management and mechanisms for participation and dialogue, including prior consultations.</w:t>
      </w:r>
    </w:p>
    <w:p w14:paraId="69B379D2" w14:textId="77777777" w:rsidR="00C9007B" w:rsidRDefault="00C9007B" w:rsidP="001C4D9F">
      <w:pPr>
        <w:pStyle w:val="ListParagraph"/>
        <w:ind w:left="1080" w:right="-25"/>
      </w:pPr>
    </w:p>
    <w:p w14:paraId="3C2EE6BB" w14:textId="491BA62D" w:rsidR="000C3E32" w:rsidRPr="002C09D9" w:rsidRDefault="000C3E32" w:rsidP="00267933">
      <w:pPr>
        <w:pStyle w:val="Heading1"/>
        <w:numPr>
          <w:ilvl w:val="0"/>
          <w:numId w:val="43"/>
        </w:numPr>
        <w:tabs>
          <w:tab w:val="left" w:pos="1800"/>
        </w:tabs>
        <w:spacing w:after="120"/>
        <w:ind w:left="1080" w:right="-25" w:hanging="540"/>
        <w:jc w:val="both"/>
        <w:rPr>
          <w:rFonts w:ascii="Times New Roman" w:hAnsi="Times New Roman"/>
          <w:color w:val="000000"/>
          <w:sz w:val="20"/>
          <w:lang w:val="en-US"/>
        </w:rPr>
      </w:pPr>
      <w:r w:rsidRPr="002C09D9">
        <w:rPr>
          <w:rFonts w:ascii="Times New Roman" w:hAnsi="Times New Roman"/>
          <w:color w:val="000000"/>
          <w:sz w:val="24"/>
          <w:szCs w:val="24"/>
          <w:lang w:val="en-US"/>
        </w:rPr>
        <w:t xml:space="preserve">Programme and </w:t>
      </w:r>
      <w:r w:rsidR="00267933">
        <w:rPr>
          <w:rFonts w:ascii="Times New Roman" w:hAnsi="Times New Roman"/>
          <w:color w:val="000000"/>
          <w:sz w:val="24"/>
          <w:szCs w:val="24"/>
          <w:lang w:val="en-US"/>
        </w:rPr>
        <w:t>risk ma</w:t>
      </w:r>
      <w:r w:rsidRPr="002C09D9">
        <w:rPr>
          <w:rFonts w:ascii="Times New Roman" w:hAnsi="Times New Roman"/>
          <w:color w:val="000000"/>
          <w:sz w:val="24"/>
          <w:szCs w:val="24"/>
          <w:lang w:val="en-US"/>
        </w:rPr>
        <w:t>nagement</w:t>
      </w:r>
      <w:r w:rsidRPr="002C09D9">
        <w:rPr>
          <w:rFonts w:ascii="Times New Roman" w:hAnsi="Times New Roman"/>
          <w:color w:val="000000"/>
          <w:sz w:val="24"/>
          <w:szCs w:val="24"/>
        </w:rPr>
        <w:t xml:space="preserve"> </w:t>
      </w:r>
    </w:p>
    <w:p w14:paraId="47A05C54" w14:textId="3A5A385F" w:rsidR="00421703" w:rsidRPr="00085D2D" w:rsidRDefault="000C3E32" w:rsidP="00267933">
      <w:pPr>
        <w:pStyle w:val="ListParagraph"/>
        <w:numPr>
          <w:ilvl w:val="0"/>
          <w:numId w:val="37"/>
        </w:numPr>
        <w:spacing w:after="120"/>
        <w:ind w:left="1080" w:right="-25" w:firstLine="0"/>
        <w:jc w:val="both"/>
      </w:pPr>
      <w:r w:rsidRPr="00085D2D">
        <w:t>The proposed programme will be</w:t>
      </w:r>
      <w:r w:rsidR="003B1BE5" w:rsidRPr="00085D2D">
        <w:t xml:space="preserve"> executed nationally</w:t>
      </w:r>
      <w:r w:rsidRPr="00085D2D">
        <w:t xml:space="preserve">, under the responsibility of the Ministry of Foreign Affairs. National implementation </w:t>
      </w:r>
      <w:r w:rsidR="00421703" w:rsidRPr="00085D2D">
        <w:t xml:space="preserve">with UNDP support </w:t>
      </w:r>
      <w:r w:rsidRPr="00085D2D">
        <w:t xml:space="preserve">will be the modality by default. </w:t>
      </w:r>
      <w:r w:rsidR="00B022E5" w:rsidRPr="00085D2D">
        <w:t xml:space="preserve">UNDP will provide </w:t>
      </w:r>
      <w:r w:rsidRPr="00085D2D">
        <w:t>policy advice, technical assistance</w:t>
      </w:r>
      <w:r w:rsidR="00B022E5" w:rsidRPr="00085D2D">
        <w:t xml:space="preserve">, </w:t>
      </w:r>
      <w:r w:rsidRPr="00085D2D">
        <w:t xml:space="preserve">South-South and triangular cooperation </w:t>
      </w:r>
      <w:r w:rsidR="00B022E5" w:rsidRPr="00085D2D">
        <w:t xml:space="preserve">and </w:t>
      </w:r>
      <w:r w:rsidRPr="00085D2D">
        <w:t xml:space="preserve">operational and administrative support when needed. Direct implementation by UNDP may be used when required, </w:t>
      </w:r>
      <w:r w:rsidR="00085D2D" w:rsidRPr="00085D2D">
        <w:t xml:space="preserve">in </w:t>
      </w:r>
      <w:r w:rsidRPr="00085D2D">
        <w:t>cases of high sensitivity or complexity. Other implementation modalities may also be utilized, including with U</w:t>
      </w:r>
      <w:r w:rsidR="00866686">
        <w:t xml:space="preserve">nited </w:t>
      </w:r>
      <w:r w:rsidRPr="00085D2D">
        <w:t>N</w:t>
      </w:r>
      <w:r w:rsidR="00866686">
        <w:t>ations</w:t>
      </w:r>
      <w:r w:rsidRPr="00085D2D">
        <w:t xml:space="preserve"> agencies, non-governmental organizations or </w:t>
      </w:r>
      <w:r w:rsidR="001B00FA">
        <w:t xml:space="preserve">the </w:t>
      </w:r>
      <w:r w:rsidRPr="00085D2D">
        <w:t xml:space="preserve">private sector, in line with corporate procedures. UNDP will promote </w:t>
      </w:r>
      <w:r w:rsidR="00866686">
        <w:t>support by</w:t>
      </w:r>
      <w:r w:rsidRPr="00085D2D">
        <w:t xml:space="preserve"> </w:t>
      </w:r>
      <w:r w:rsidR="00866686">
        <w:t xml:space="preserve">United Nations Volunteers </w:t>
      </w:r>
      <w:r w:rsidRPr="00085D2D">
        <w:t xml:space="preserve">on </w:t>
      </w:r>
      <w:r w:rsidR="00866686">
        <w:t xml:space="preserve">project </w:t>
      </w:r>
      <w:r w:rsidRPr="00085D2D">
        <w:t xml:space="preserve">implementation. </w:t>
      </w:r>
      <w:r w:rsidR="00866686">
        <w:t xml:space="preserve">The </w:t>
      </w:r>
      <w:r w:rsidR="005B0492" w:rsidRPr="00085D2D">
        <w:t xml:space="preserve">UNDP </w:t>
      </w:r>
      <w:r w:rsidR="00866686">
        <w:t>f</w:t>
      </w:r>
      <w:r w:rsidR="00866686" w:rsidRPr="00085D2D">
        <w:t xml:space="preserve">inancial </w:t>
      </w:r>
      <w:r w:rsidR="00866686">
        <w:t>r</w:t>
      </w:r>
      <w:r w:rsidR="00866686" w:rsidRPr="00085D2D">
        <w:t xml:space="preserve">ules </w:t>
      </w:r>
      <w:r w:rsidR="005B0492" w:rsidRPr="00085D2D">
        <w:t xml:space="preserve">and </w:t>
      </w:r>
      <w:r w:rsidR="00866686">
        <w:t>r</w:t>
      </w:r>
      <w:r w:rsidR="00866686" w:rsidRPr="00085D2D">
        <w:t>egulations</w:t>
      </w:r>
      <w:r w:rsidR="005B0492" w:rsidRPr="00085D2D">
        <w:t xml:space="preserve">, including </w:t>
      </w:r>
      <w:r w:rsidR="00866686">
        <w:t>d</w:t>
      </w:r>
      <w:r w:rsidR="00866686" w:rsidRPr="00085D2D">
        <w:t xml:space="preserve">irect </w:t>
      </w:r>
      <w:r w:rsidR="00866686">
        <w:t>p</w:t>
      </w:r>
      <w:r w:rsidR="00866686" w:rsidRPr="00085D2D">
        <w:t xml:space="preserve">roject </w:t>
      </w:r>
      <w:r w:rsidR="00866686">
        <w:t>c</w:t>
      </w:r>
      <w:r w:rsidR="00866686" w:rsidRPr="00085D2D">
        <w:t xml:space="preserve">osting </w:t>
      </w:r>
      <w:r w:rsidR="005B0492" w:rsidRPr="00085D2D">
        <w:t xml:space="preserve">and </w:t>
      </w:r>
      <w:r w:rsidR="00866686">
        <w:t>g</w:t>
      </w:r>
      <w:r w:rsidR="00866686" w:rsidRPr="00085D2D">
        <w:t xml:space="preserve">eneral </w:t>
      </w:r>
      <w:r w:rsidR="00866686">
        <w:t>m</w:t>
      </w:r>
      <w:r w:rsidR="00866686" w:rsidRPr="00085D2D">
        <w:t xml:space="preserve">anagement </w:t>
      </w:r>
      <w:r w:rsidR="00866686">
        <w:t>s</w:t>
      </w:r>
      <w:r w:rsidR="00866686" w:rsidRPr="00085D2D">
        <w:t>upport</w:t>
      </w:r>
      <w:r w:rsidR="00B022E5" w:rsidRPr="00085D2D">
        <w:t>,</w:t>
      </w:r>
      <w:r w:rsidR="005B0492" w:rsidRPr="00085D2D">
        <w:t xml:space="preserve"> will be utilized in all </w:t>
      </w:r>
      <w:r w:rsidR="00B022E5" w:rsidRPr="00085D2D">
        <w:t xml:space="preserve">implementation </w:t>
      </w:r>
      <w:r w:rsidR="005B0492" w:rsidRPr="00085D2D">
        <w:t>modalities as appropriate</w:t>
      </w:r>
      <w:r w:rsidR="00866686">
        <w:t>.</w:t>
      </w:r>
    </w:p>
    <w:p w14:paraId="3F222D52" w14:textId="71A9BE98" w:rsidR="00D10089" w:rsidRDefault="000C3E32" w:rsidP="00FA4630">
      <w:pPr>
        <w:pStyle w:val="ListParagraph"/>
        <w:numPr>
          <w:ilvl w:val="0"/>
          <w:numId w:val="37"/>
        </w:numPr>
        <w:spacing w:after="120"/>
        <w:ind w:left="1080" w:right="-25" w:firstLine="0"/>
        <w:jc w:val="both"/>
      </w:pPr>
      <w:r w:rsidRPr="002C09D9">
        <w:t xml:space="preserve">An Executive Committee </w:t>
      </w:r>
      <w:r>
        <w:t>has been</w:t>
      </w:r>
      <w:r w:rsidRPr="002C09D9">
        <w:t xml:space="preserve"> established to provide strategic </w:t>
      </w:r>
      <w:r w:rsidRPr="00582603">
        <w:t>orientation to the proposed</w:t>
      </w:r>
      <w:r w:rsidRPr="002C09D9">
        <w:t xml:space="preserve"> programme, monitor implementation and results, and actively support resource mobilization efforts. It </w:t>
      </w:r>
      <w:r>
        <w:t>is</w:t>
      </w:r>
      <w:r w:rsidRPr="002C09D9">
        <w:t xml:space="preserve"> composed of </w:t>
      </w:r>
      <w:r w:rsidR="00432650">
        <w:t xml:space="preserve">the </w:t>
      </w:r>
      <w:r w:rsidRPr="002C09D9">
        <w:t xml:space="preserve">Ministry of Foreign Affairs, </w:t>
      </w:r>
      <w:r w:rsidR="00E14D46">
        <w:t>ACPI</w:t>
      </w:r>
      <w:r w:rsidR="001E11C4">
        <w:t xml:space="preserve">, </w:t>
      </w:r>
      <w:r w:rsidR="00D512ED">
        <w:t>PCM</w:t>
      </w:r>
      <w:r w:rsidR="001E11C4">
        <w:t xml:space="preserve">, </w:t>
      </w:r>
      <w:r w:rsidR="00D512ED">
        <w:t>MEF</w:t>
      </w:r>
      <w:r w:rsidRPr="002C09D9">
        <w:t xml:space="preserve"> and UNDP. </w:t>
      </w:r>
    </w:p>
    <w:p w14:paraId="245DB171" w14:textId="185AB82C" w:rsidR="00D10089" w:rsidRDefault="000C3E32" w:rsidP="00FA4630">
      <w:pPr>
        <w:pStyle w:val="ListParagraph"/>
        <w:numPr>
          <w:ilvl w:val="0"/>
          <w:numId w:val="37"/>
        </w:numPr>
        <w:spacing w:after="120"/>
        <w:ind w:left="1080" w:right="-25" w:firstLine="0"/>
        <w:jc w:val="both"/>
      </w:pPr>
      <w:r w:rsidRPr="002C09D9">
        <w:t xml:space="preserve">The programme will integrate principles of results-based management and quality assurance. </w:t>
      </w:r>
      <w:r w:rsidR="00FC3CE0">
        <w:t xml:space="preserve">The </w:t>
      </w:r>
      <w:r w:rsidRPr="002C09D9">
        <w:t xml:space="preserve">UNDP social and environmental standards will be applied to ensure that contributions comply with human rights standards and are inclusive and sustainable. UNDP will enhance its engagement and partnership strategy with subnational governments, </w:t>
      </w:r>
      <w:r w:rsidR="00866686">
        <w:t>CSOs</w:t>
      </w:r>
      <w:r w:rsidRPr="002C09D9">
        <w:t xml:space="preserve">, </w:t>
      </w:r>
      <w:r w:rsidR="00FC3CE0">
        <w:t xml:space="preserve">the </w:t>
      </w:r>
      <w:r w:rsidRPr="002C09D9">
        <w:t xml:space="preserve">private sector, multilateral banks </w:t>
      </w:r>
      <w:r w:rsidR="00B022E5">
        <w:t xml:space="preserve">and traditional </w:t>
      </w:r>
      <w:r w:rsidRPr="002C09D9">
        <w:t xml:space="preserve">donors. Under the </w:t>
      </w:r>
      <w:r w:rsidR="00FC3CE0">
        <w:t>'</w:t>
      </w:r>
      <w:r w:rsidRPr="002C09D9">
        <w:t>Delivering as One</w:t>
      </w:r>
      <w:r w:rsidR="00FC3CE0">
        <w:t>'</w:t>
      </w:r>
      <w:r w:rsidR="00FC3CE0" w:rsidRPr="002C09D9">
        <w:t xml:space="preserve"> </w:t>
      </w:r>
      <w:r w:rsidRPr="002C09D9">
        <w:t xml:space="preserve">framework, it will maintain its leading role in </w:t>
      </w:r>
      <w:r w:rsidR="00FC3CE0" w:rsidRPr="002C09D9">
        <w:t>provi</w:t>
      </w:r>
      <w:r w:rsidR="00FC3CE0">
        <w:t>ding</w:t>
      </w:r>
      <w:r w:rsidR="00FC3CE0" w:rsidRPr="002C09D9">
        <w:t xml:space="preserve"> </w:t>
      </w:r>
      <w:r w:rsidRPr="002C09D9">
        <w:t xml:space="preserve">support for </w:t>
      </w:r>
      <w:r>
        <w:t xml:space="preserve">the </w:t>
      </w:r>
      <w:r w:rsidR="00D512ED">
        <w:t>r</w:t>
      </w:r>
      <w:r w:rsidR="00D512ED" w:rsidRPr="002C09D9">
        <w:t xml:space="preserve">esident </w:t>
      </w:r>
      <w:r w:rsidR="00D512ED">
        <w:t>c</w:t>
      </w:r>
      <w:r w:rsidR="00D512ED" w:rsidRPr="002C09D9">
        <w:t>oordinat</w:t>
      </w:r>
      <w:r w:rsidR="00D512ED">
        <w:t>or</w:t>
      </w:r>
      <w:r w:rsidR="00D512ED" w:rsidRPr="002C09D9">
        <w:t xml:space="preserve"> </w:t>
      </w:r>
      <w:r w:rsidRPr="002C09D9">
        <w:t>system and implementation of standard operating procedures.</w:t>
      </w:r>
    </w:p>
    <w:p w14:paraId="7C513561" w14:textId="72B8C6B8" w:rsidR="005B0492" w:rsidRDefault="000C3E32" w:rsidP="00FA4630">
      <w:pPr>
        <w:pStyle w:val="ListParagraph"/>
        <w:numPr>
          <w:ilvl w:val="0"/>
          <w:numId w:val="37"/>
        </w:numPr>
        <w:tabs>
          <w:tab w:val="left" w:pos="1620"/>
        </w:tabs>
        <w:spacing w:after="120"/>
        <w:ind w:left="1080" w:right="-25" w:firstLine="0"/>
        <w:jc w:val="both"/>
      </w:pPr>
      <w:r w:rsidRPr="002C09D9">
        <w:t xml:space="preserve">UNDP </w:t>
      </w:r>
      <w:r>
        <w:t>faces</w:t>
      </w:r>
      <w:r w:rsidRPr="002C09D9">
        <w:t xml:space="preserve"> </w:t>
      </w:r>
      <w:r w:rsidR="00FC3CE0">
        <w:t xml:space="preserve">the following </w:t>
      </w:r>
      <w:r w:rsidRPr="002C09D9">
        <w:t xml:space="preserve">risks during the proposed programme cycle. </w:t>
      </w:r>
      <w:r w:rsidR="007A76AA">
        <w:t>T</w:t>
      </w:r>
      <w:r w:rsidR="00FC3CE0">
        <w:t xml:space="preserve">he </w:t>
      </w:r>
      <w:r w:rsidRPr="002C09D9">
        <w:t xml:space="preserve">risk of lack of ownership due to </w:t>
      </w:r>
      <w:r w:rsidR="00FC3CE0">
        <w:t xml:space="preserve">a </w:t>
      </w:r>
      <w:r w:rsidRPr="002C09D9">
        <w:t xml:space="preserve">change in </w:t>
      </w:r>
      <w:r w:rsidR="00FC3CE0">
        <w:t>G</w:t>
      </w:r>
      <w:r w:rsidR="00FC3CE0" w:rsidRPr="002C09D9">
        <w:t xml:space="preserve">overnment </w:t>
      </w:r>
      <w:r w:rsidRPr="002C09D9">
        <w:t>in July 2016. The proposed programme has been presented to all political parties and movements participating in the electoral</w:t>
      </w:r>
      <w:r w:rsidR="00D10089">
        <w:t xml:space="preserve"> </w:t>
      </w:r>
      <w:r w:rsidRPr="002C09D9">
        <w:t xml:space="preserve">process, and </w:t>
      </w:r>
      <w:r w:rsidR="00432650">
        <w:t xml:space="preserve">an </w:t>
      </w:r>
      <w:r w:rsidRPr="002C09D9">
        <w:t xml:space="preserve">engagement strategy with elected authorities will be </w:t>
      </w:r>
      <w:r w:rsidR="007A492C">
        <w:t>pursued</w:t>
      </w:r>
      <w:r w:rsidR="00FC3CE0">
        <w:t>, underlining that</w:t>
      </w:r>
      <w:r w:rsidRPr="002C09D9">
        <w:t xml:space="preserve"> there will also be other instances for participation and review during programme implementation. </w:t>
      </w:r>
      <w:r w:rsidR="007A76AA">
        <w:t>T</w:t>
      </w:r>
      <w:r w:rsidR="00FC3CE0">
        <w:t xml:space="preserve">here are </w:t>
      </w:r>
      <w:r w:rsidR="00085D2D">
        <w:t xml:space="preserve">legal </w:t>
      </w:r>
      <w:r w:rsidR="00085D2D" w:rsidRPr="002C09D9">
        <w:t>risk</w:t>
      </w:r>
      <w:r w:rsidR="00085D2D">
        <w:t xml:space="preserve">s related to national legislation that restricts government cost-sharing, </w:t>
      </w:r>
      <w:r w:rsidR="00085D2D" w:rsidRPr="002C09D9">
        <w:t>with negative implications for programme implementation and mobilization of government resources. The Executive Committee will seek to ensure a proper understanding of the legal framework</w:t>
      </w:r>
      <w:r w:rsidR="00085D2D">
        <w:t xml:space="preserve">. </w:t>
      </w:r>
      <w:r w:rsidR="007A76AA">
        <w:t>R</w:t>
      </w:r>
      <w:r w:rsidR="00D10089">
        <w:t>oughly 85</w:t>
      </w:r>
      <w:r w:rsidR="00FC3CE0">
        <w:t xml:space="preserve"> per cent </w:t>
      </w:r>
      <w:r w:rsidR="00D10089">
        <w:t xml:space="preserve">of the proposed programme is </w:t>
      </w:r>
      <w:r w:rsidR="007A492C">
        <w:t xml:space="preserve">currently </w:t>
      </w:r>
      <w:r w:rsidR="00D10089">
        <w:t>unfunded.</w:t>
      </w:r>
      <w:r w:rsidRPr="002C09D9">
        <w:t xml:space="preserve"> </w:t>
      </w:r>
      <w:r w:rsidR="007A492C">
        <w:t xml:space="preserve">The </w:t>
      </w:r>
      <w:r w:rsidR="00FC3CE0">
        <w:t>c</w:t>
      </w:r>
      <w:r w:rsidR="00FC3CE0" w:rsidRPr="002C09D9">
        <w:t xml:space="preserve">ountry </w:t>
      </w:r>
      <w:r w:rsidR="00FC3CE0">
        <w:t>o</w:t>
      </w:r>
      <w:r w:rsidR="00FC3CE0" w:rsidRPr="002C09D9">
        <w:t xml:space="preserve">ffice </w:t>
      </w:r>
      <w:r w:rsidR="007A492C" w:rsidRPr="002C09D9">
        <w:t xml:space="preserve">will formulate </w:t>
      </w:r>
      <w:r w:rsidR="007A492C">
        <w:t xml:space="preserve">a </w:t>
      </w:r>
      <w:r w:rsidR="007A492C" w:rsidRPr="002C09D9">
        <w:t xml:space="preserve">resource mobilization </w:t>
      </w:r>
      <w:r w:rsidR="007A492C">
        <w:t xml:space="preserve">strategy </w:t>
      </w:r>
      <w:r w:rsidR="007A492C" w:rsidRPr="002C09D9">
        <w:t>with diversified funding sources</w:t>
      </w:r>
      <w:r w:rsidR="00432650">
        <w:t xml:space="preserve"> and the </w:t>
      </w:r>
      <w:r w:rsidRPr="002C09D9">
        <w:t xml:space="preserve">Executive Committee will actively seek to mobilize government funds and other resources. </w:t>
      </w:r>
      <w:r w:rsidR="007A492C">
        <w:t xml:space="preserve">Programme funding will be reviewed on a yearly basis with the Executive Committee to define further focalization of the programme according to </w:t>
      </w:r>
      <w:r w:rsidR="00FC3CE0">
        <w:t xml:space="preserve">the availability of </w:t>
      </w:r>
      <w:r w:rsidR="007A492C">
        <w:t>funds</w:t>
      </w:r>
      <w:r w:rsidR="00A048FA">
        <w:t xml:space="preserve">. </w:t>
      </w:r>
      <w:r w:rsidR="007A76AA">
        <w:t>T</w:t>
      </w:r>
      <w:r w:rsidR="00FC3CE0">
        <w:t xml:space="preserve">here is a </w:t>
      </w:r>
      <w:r w:rsidRPr="002C09D9">
        <w:t>risk of natural disaster</w:t>
      </w:r>
      <w:r>
        <w:t>s</w:t>
      </w:r>
      <w:r w:rsidRPr="002C09D9">
        <w:t xml:space="preserve"> directly affect</w:t>
      </w:r>
      <w:r w:rsidR="00162ACE">
        <w:t xml:space="preserve">ing </w:t>
      </w:r>
      <w:r w:rsidRPr="002C09D9">
        <w:t xml:space="preserve">country office operations. UNDP will update the </w:t>
      </w:r>
      <w:r w:rsidR="00FC3CE0">
        <w:t>b</w:t>
      </w:r>
      <w:r w:rsidR="00FC3CE0" w:rsidRPr="002C09D9">
        <w:t xml:space="preserve">usiness </w:t>
      </w:r>
      <w:r w:rsidR="00FC3CE0">
        <w:t>c</w:t>
      </w:r>
      <w:r w:rsidR="00FC3CE0" w:rsidRPr="002C09D9">
        <w:t>ontin</w:t>
      </w:r>
      <w:r w:rsidR="00FC3CE0">
        <w:t>uity</w:t>
      </w:r>
      <w:r w:rsidR="00FC3CE0" w:rsidRPr="002C09D9">
        <w:t xml:space="preserve"> </w:t>
      </w:r>
      <w:r w:rsidR="00FC3CE0">
        <w:t>p</w:t>
      </w:r>
      <w:r w:rsidR="00FC3CE0" w:rsidRPr="002C09D9">
        <w:t xml:space="preserve">lan </w:t>
      </w:r>
      <w:r w:rsidRPr="002C09D9">
        <w:t xml:space="preserve">and ensure </w:t>
      </w:r>
      <w:r w:rsidR="00432650">
        <w:t>suitable</w:t>
      </w:r>
      <w:r w:rsidRPr="002C09D9">
        <w:t xml:space="preserve"> </w:t>
      </w:r>
      <w:r w:rsidR="00162ACE" w:rsidRPr="002C09D9">
        <w:t xml:space="preserve">office infrastructure </w:t>
      </w:r>
      <w:r w:rsidR="00162ACE">
        <w:t xml:space="preserve">and staff </w:t>
      </w:r>
      <w:r w:rsidRPr="002C09D9">
        <w:t>training.</w:t>
      </w:r>
      <w:r w:rsidR="00162ACE">
        <w:t xml:space="preserve"> </w:t>
      </w:r>
      <w:r w:rsidRPr="002C09D9">
        <w:t xml:space="preserve">Adequate flexibility will be sought to mitigate risks affecting programme implementation by crises of diverse origin. Programmatic risks will be mitigated </w:t>
      </w:r>
      <w:r>
        <w:t xml:space="preserve">via </w:t>
      </w:r>
      <w:r w:rsidRPr="002C09D9">
        <w:t xml:space="preserve">quality assurance and full compliance with </w:t>
      </w:r>
      <w:r w:rsidR="00FC3CE0">
        <w:t xml:space="preserve">the </w:t>
      </w:r>
      <w:r w:rsidRPr="002C09D9">
        <w:t>harmonized approach to cash transfers.</w:t>
      </w:r>
    </w:p>
    <w:p w14:paraId="702EADAB" w14:textId="368AE0E7" w:rsidR="000C3E32" w:rsidRPr="002C09D9" w:rsidRDefault="000C3E32" w:rsidP="001C4D9F">
      <w:pPr>
        <w:pStyle w:val="ListParagraph"/>
        <w:numPr>
          <w:ilvl w:val="0"/>
          <w:numId w:val="37"/>
        </w:numPr>
        <w:ind w:left="1080" w:right="-25" w:firstLine="0"/>
        <w:jc w:val="both"/>
      </w:pPr>
      <w:r w:rsidRPr="002C09D9">
        <w:t xml:space="preserve">This country programme document outlines </w:t>
      </w:r>
      <w:r w:rsidR="00FC3CE0">
        <w:t xml:space="preserve">the </w:t>
      </w:r>
      <w:r w:rsidRPr="002C09D9">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w:t>
      </w:r>
      <w:r w:rsidRPr="002C09D9">
        <w:lastRenderedPageBreak/>
        <w:t xml:space="preserve">the organization’s </w:t>
      </w:r>
      <w:hyperlink r:id="rId17" w:history="1">
        <w:r w:rsidRPr="005B0492">
          <w:rPr>
            <w:rStyle w:val="Hyperlink"/>
            <w:color w:val="auto"/>
          </w:rPr>
          <w:t>programme and operations policies and procedures</w:t>
        </w:r>
      </w:hyperlink>
      <w:r w:rsidRPr="002C09D9">
        <w:t xml:space="preserve"> and the </w:t>
      </w:r>
      <w:hyperlink r:id="rId18" w:history="1">
        <w:r w:rsidRPr="005B0492">
          <w:rPr>
            <w:rStyle w:val="Hyperlink"/>
            <w:color w:val="auto"/>
          </w:rPr>
          <w:t>internal control framework</w:t>
        </w:r>
      </w:hyperlink>
      <w:r w:rsidRPr="005B0492">
        <w:rPr>
          <w:rStyle w:val="Hyperlink"/>
          <w:color w:val="auto"/>
        </w:rPr>
        <w:t>.</w:t>
      </w:r>
    </w:p>
    <w:p w14:paraId="49C96B50" w14:textId="77777777" w:rsidR="000C3E32" w:rsidRPr="002C09D9" w:rsidRDefault="000C3E32" w:rsidP="001C4D9F">
      <w:pPr>
        <w:ind w:left="1080" w:right="-25"/>
        <w:jc w:val="both"/>
      </w:pPr>
    </w:p>
    <w:p w14:paraId="4F26AF02" w14:textId="21D76C61" w:rsidR="000C3E32" w:rsidRPr="00FA4630" w:rsidRDefault="00FA4630" w:rsidP="00FA4630">
      <w:pPr>
        <w:pStyle w:val="ListParagraph"/>
        <w:numPr>
          <w:ilvl w:val="0"/>
          <w:numId w:val="43"/>
        </w:numPr>
        <w:ind w:left="1080" w:right="-25" w:hanging="450"/>
        <w:jc w:val="both"/>
        <w:rPr>
          <w:b/>
          <w:sz w:val="24"/>
          <w:szCs w:val="24"/>
        </w:rPr>
      </w:pPr>
      <w:r>
        <w:rPr>
          <w:b/>
          <w:sz w:val="24"/>
          <w:szCs w:val="24"/>
        </w:rPr>
        <w:t>Monitoring and e</w:t>
      </w:r>
      <w:r w:rsidR="000C3E32" w:rsidRPr="00FA4630">
        <w:rPr>
          <w:b/>
          <w:sz w:val="24"/>
          <w:szCs w:val="24"/>
        </w:rPr>
        <w:t>valuation</w:t>
      </w:r>
    </w:p>
    <w:p w14:paraId="1A14BC7E" w14:textId="77777777" w:rsidR="000C3E32" w:rsidRPr="00FA4630" w:rsidRDefault="000C3E32" w:rsidP="001C4D9F">
      <w:pPr>
        <w:ind w:left="1080" w:right="-25"/>
        <w:jc w:val="both"/>
      </w:pPr>
    </w:p>
    <w:p w14:paraId="29C6CD80" w14:textId="0260576C" w:rsidR="005B0492" w:rsidRPr="00085D2D" w:rsidRDefault="000C3E32" w:rsidP="00FA4630">
      <w:pPr>
        <w:pStyle w:val="ListParagraph"/>
        <w:numPr>
          <w:ilvl w:val="0"/>
          <w:numId w:val="37"/>
        </w:numPr>
        <w:spacing w:after="120"/>
        <w:ind w:left="1080" w:right="-25" w:firstLine="0"/>
        <w:jc w:val="both"/>
      </w:pPr>
      <w:r w:rsidRPr="00085D2D">
        <w:t xml:space="preserve">UNDP will strengthen its planning, monitoring and evaluation and knowledge management capacities drawing from lessons learned </w:t>
      </w:r>
      <w:r w:rsidR="00FC3CE0">
        <w:t>during</w:t>
      </w:r>
      <w:r w:rsidR="00FC3CE0" w:rsidRPr="00085D2D">
        <w:t xml:space="preserve"> </w:t>
      </w:r>
      <w:r w:rsidRPr="00085D2D">
        <w:t xml:space="preserve">the </w:t>
      </w:r>
      <w:r w:rsidR="00FC3CE0">
        <w:t>previous</w:t>
      </w:r>
      <w:r w:rsidR="00FC3CE0" w:rsidRPr="00085D2D">
        <w:t xml:space="preserve"> </w:t>
      </w:r>
      <w:r w:rsidRPr="00085D2D">
        <w:t>programming cycle</w:t>
      </w:r>
      <w:r w:rsidR="00A273F1">
        <w:t>.</w:t>
      </w:r>
      <w:r w:rsidRPr="00085D2D">
        <w:t xml:space="preserve"> It will improve results-based management, </w:t>
      </w:r>
      <w:r w:rsidR="005B0492" w:rsidRPr="00085D2D">
        <w:t>multiyear budget planning capabilities</w:t>
      </w:r>
      <w:r w:rsidR="00FC3CE0">
        <w:t>,</w:t>
      </w:r>
      <w:r w:rsidR="005B0492" w:rsidRPr="00085D2D">
        <w:t xml:space="preserve"> pipeline management</w:t>
      </w:r>
      <w:r w:rsidR="00FC3CE0">
        <w:t xml:space="preserve"> and</w:t>
      </w:r>
      <w:r w:rsidR="00FC3CE0" w:rsidRPr="00085D2D">
        <w:t xml:space="preserve"> </w:t>
      </w:r>
      <w:r w:rsidRPr="00085D2D">
        <w:t>use of evidence and reporting capacities through an ongoing learning process at the country office and with implementing partners.</w:t>
      </w:r>
      <w:r w:rsidR="005B0492" w:rsidRPr="00085D2D">
        <w:t xml:space="preserve"> </w:t>
      </w:r>
      <w:r w:rsidR="00085D2D" w:rsidRPr="00085D2D">
        <w:t xml:space="preserve">Special attention will be given to dissemination of knowledge, lessons learned and replicable best practices. It will contribute to monitoring </w:t>
      </w:r>
      <w:r w:rsidR="00FC3CE0">
        <w:t xml:space="preserve">of the UNDAF </w:t>
      </w:r>
      <w:r w:rsidR="00085D2D" w:rsidRPr="00085D2D">
        <w:t xml:space="preserve">and co-lead the </w:t>
      </w:r>
      <w:r w:rsidR="00FC3CE0">
        <w:t>p</w:t>
      </w:r>
      <w:r w:rsidR="00FC3CE0" w:rsidRPr="00085D2D">
        <w:t xml:space="preserve">rogramme </w:t>
      </w:r>
      <w:r w:rsidR="00FC3CE0">
        <w:t>m</w:t>
      </w:r>
      <w:r w:rsidR="00FC3CE0" w:rsidRPr="00085D2D">
        <w:t xml:space="preserve">anagement </w:t>
      </w:r>
      <w:r w:rsidR="00FC3CE0">
        <w:t>t</w:t>
      </w:r>
      <w:r w:rsidR="00FC3CE0" w:rsidRPr="00085D2D">
        <w:t>eam</w:t>
      </w:r>
      <w:r w:rsidR="00085D2D" w:rsidRPr="00085D2D">
        <w:t xml:space="preserve">. </w:t>
      </w:r>
    </w:p>
    <w:p w14:paraId="0F8F49EA" w14:textId="33296B71" w:rsidR="005B0492" w:rsidRDefault="0060789A" w:rsidP="00FA4630">
      <w:pPr>
        <w:pStyle w:val="ListParagraph"/>
        <w:numPr>
          <w:ilvl w:val="0"/>
          <w:numId w:val="37"/>
        </w:numPr>
        <w:spacing w:after="120"/>
        <w:ind w:left="1080" w:right="-25" w:firstLine="0"/>
        <w:jc w:val="both"/>
      </w:pPr>
      <w:r>
        <w:t xml:space="preserve">Official </w:t>
      </w:r>
      <w:r w:rsidR="000C3E32" w:rsidRPr="002C09D9">
        <w:t xml:space="preserve">data will be </w:t>
      </w:r>
      <w:r w:rsidR="00FC3CE0">
        <w:t>used</w:t>
      </w:r>
      <w:r w:rsidR="00FC3CE0" w:rsidRPr="002C09D9">
        <w:t xml:space="preserve"> </w:t>
      </w:r>
      <w:r w:rsidR="000C3E32" w:rsidRPr="002C09D9">
        <w:t>for monitoring functions</w:t>
      </w:r>
      <w:r w:rsidR="005B0492">
        <w:t xml:space="preserve">, although </w:t>
      </w:r>
      <w:r w:rsidR="000C3E32" w:rsidRPr="002C09D9">
        <w:t xml:space="preserve">data produced by </w:t>
      </w:r>
      <w:r w:rsidR="000C3E32">
        <w:t>U</w:t>
      </w:r>
      <w:r w:rsidR="00FC3CE0">
        <w:t xml:space="preserve">nited </w:t>
      </w:r>
      <w:r w:rsidR="000C3E32">
        <w:t>N</w:t>
      </w:r>
      <w:r w:rsidR="00FC3CE0">
        <w:t>atio</w:t>
      </w:r>
      <w:r w:rsidR="005242FC">
        <w:t>n</w:t>
      </w:r>
      <w:r w:rsidR="00FC3CE0">
        <w:t>s</w:t>
      </w:r>
      <w:r w:rsidR="000C3E32">
        <w:t xml:space="preserve"> </w:t>
      </w:r>
      <w:r w:rsidR="00FC3CE0">
        <w:t>a</w:t>
      </w:r>
      <w:r w:rsidR="00FC3CE0" w:rsidRPr="002C09D9">
        <w:t xml:space="preserve">gencies </w:t>
      </w:r>
      <w:r w:rsidR="000C3E32" w:rsidRPr="002C09D9">
        <w:t xml:space="preserve">and other </w:t>
      </w:r>
      <w:r w:rsidR="009D235D">
        <w:t xml:space="preserve">internationally recognized </w:t>
      </w:r>
      <w:r w:rsidR="000C3E32">
        <w:t>entities</w:t>
      </w:r>
      <w:r w:rsidR="000C3E32" w:rsidRPr="002C09D9">
        <w:t xml:space="preserve"> </w:t>
      </w:r>
      <w:r w:rsidR="005B0492">
        <w:t>may be utilized if necessary</w:t>
      </w:r>
      <w:r w:rsidR="000C3E32" w:rsidRPr="002C09D9">
        <w:t>.</w:t>
      </w:r>
      <w:r w:rsidR="005B0492">
        <w:t xml:space="preserve"> UNDP will work with U</w:t>
      </w:r>
      <w:r w:rsidR="00FC3CE0">
        <w:t xml:space="preserve">nited </w:t>
      </w:r>
      <w:r w:rsidR="005B0492">
        <w:t>N</w:t>
      </w:r>
      <w:r w:rsidR="00FC3CE0">
        <w:t>ations</w:t>
      </w:r>
      <w:r w:rsidR="005B0492">
        <w:t xml:space="preserve"> </w:t>
      </w:r>
      <w:r w:rsidR="00FC3CE0">
        <w:t xml:space="preserve">agencies </w:t>
      </w:r>
      <w:r w:rsidR="00085D2D">
        <w:t xml:space="preserve">and </w:t>
      </w:r>
      <w:r w:rsidR="00FC3CE0">
        <w:t xml:space="preserve">the </w:t>
      </w:r>
      <w:r w:rsidR="00085D2D">
        <w:t xml:space="preserve">Government </w:t>
      </w:r>
      <w:r w:rsidR="005B0492">
        <w:t xml:space="preserve">to strengthen national statistical capacities to produce timely, differentiated and disaggregated data for </w:t>
      </w:r>
      <w:r w:rsidR="00162ACE">
        <w:t xml:space="preserve">monitoring </w:t>
      </w:r>
      <w:r w:rsidR="00FC3CE0">
        <w:t>Sustainable Development Goal</w:t>
      </w:r>
      <w:r w:rsidR="005B0492">
        <w:t xml:space="preserve"> indicators</w:t>
      </w:r>
      <w:r w:rsidR="003F0627">
        <w:t>.</w:t>
      </w:r>
      <w:r w:rsidR="00085D2D">
        <w:t xml:space="preserve"> </w:t>
      </w:r>
      <w:r w:rsidR="00454FBD">
        <w:t xml:space="preserve">The </w:t>
      </w:r>
      <w:r w:rsidR="00085D2D">
        <w:t>U</w:t>
      </w:r>
      <w:r w:rsidR="00FC3CE0">
        <w:t xml:space="preserve">nited </w:t>
      </w:r>
      <w:r w:rsidR="00085D2D">
        <w:t>N</w:t>
      </w:r>
      <w:r w:rsidR="00FC3CE0">
        <w:t>ations</w:t>
      </w:r>
      <w:r w:rsidR="00085D2D">
        <w:t xml:space="preserve"> </w:t>
      </w:r>
      <w:r w:rsidR="00FC3CE0">
        <w:t xml:space="preserve">country team </w:t>
      </w:r>
      <w:r w:rsidR="00085D2D">
        <w:t xml:space="preserve">has decided to establish targets with the new </w:t>
      </w:r>
      <w:r w:rsidR="00FC3CE0">
        <w:t xml:space="preserve">Government </w:t>
      </w:r>
      <w:r w:rsidR="00454FBD">
        <w:t xml:space="preserve">starting in the third quarter </w:t>
      </w:r>
      <w:r w:rsidR="00085D2D">
        <w:t>of 2016.</w:t>
      </w:r>
    </w:p>
    <w:p w14:paraId="184B4A91" w14:textId="1CF04FA8" w:rsidR="005B0492" w:rsidRPr="00085D2D" w:rsidRDefault="000C3E32" w:rsidP="00FA4630">
      <w:pPr>
        <w:pStyle w:val="ListParagraph"/>
        <w:numPr>
          <w:ilvl w:val="0"/>
          <w:numId w:val="37"/>
        </w:numPr>
        <w:spacing w:after="120"/>
        <w:ind w:left="1080" w:right="-25" w:firstLine="0"/>
        <w:jc w:val="both"/>
      </w:pPr>
      <w:r w:rsidRPr="00085D2D">
        <w:t>Programme implementation and results will</w:t>
      </w:r>
      <w:r w:rsidR="003F0627">
        <w:t xml:space="preserve"> </w:t>
      </w:r>
      <w:r w:rsidRPr="00085D2D">
        <w:t xml:space="preserve">be subject to annual reviews based on results reported by implementing partners, monitoring of indicators and feedback meetings with strategic partners. Annual reports will be disseminated widely. </w:t>
      </w:r>
      <w:r w:rsidR="00FC3CE0">
        <w:t>The c</w:t>
      </w:r>
      <w:r w:rsidR="00FC3CE0" w:rsidRPr="00085D2D">
        <w:t xml:space="preserve">osts </w:t>
      </w:r>
      <w:r w:rsidRPr="00085D2D">
        <w:t>of project monitoring, evaluation</w:t>
      </w:r>
      <w:r w:rsidR="0060789A">
        <w:t xml:space="preserve">, </w:t>
      </w:r>
      <w:r w:rsidRPr="00085D2D">
        <w:t>communications</w:t>
      </w:r>
      <w:r w:rsidR="0060789A">
        <w:t xml:space="preserve"> and audits</w:t>
      </w:r>
      <w:r w:rsidRPr="00085D2D">
        <w:t xml:space="preserve"> will be charged to project budgets and included in project documents and </w:t>
      </w:r>
      <w:r w:rsidR="00DB3675" w:rsidRPr="00085D2D">
        <w:t>work</w:t>
      </w:r>
      <w:r w:rsidR="00DB3675">
        <w:t xml:space="preserve"> </w:t>
      </w:r>
      <w:r w:rsidR="00DB3675" w:rsidRPr="00085D2D">
        <w:t>plans</w:t>
      </w:r>
      <w:r w:rsidRPr="00085D2D">
        <w:t>.</w:t>
      </w:r>
      <w:r w:rsidR="00DB4FDB">
        <w:t xml:space="preserve"> </w:t>
      </w:r>
      <w:r w:rsidRPr="00085D2D">
        <w:t xml:space="preserve">The </w:t>
      </w:r>
      <w:r w:rsidR="00FC3CE0">
        <w:t>e</w:t>
      </w:r>
      <w:r w:rsidR="00FC3CE0" w:rsidRPr="00085D2D">
        <w:t xml:space="preserve">valuation </w:t>
      </w:r>
      <w:r w:rsidR="00FC3CE0">
        <w:t>p</w:t>
      </w:r>
      <w:r w:rsidR="00FC3CE0" w:rsidRPr="00085D2D">
        <w:t xml:space="preserve">lan </w:t>
      </w:r>
      <w:r w:rsidRPr="00085D2D">
        <w:t xml:space="preserve">will be updated annually. </w:t>
      </w:r>
      <w:r w:rsidR="00FC3CE0">
        <w:t>An</w:t>
      </w:r>
      <w:r w:rsidR="00FC3CE0" w:rsidRPr="00085D2D">
        <w:t xml:space="preserve"> </w:t>
      </w:r>
      <w:r w:rsidRPr="00085D2D">
        <w:t xml:space="preserve">evaluation of the entire programme is planned for the fourth quarter of 2019 so that findings </w:t>
      </w:r>
      <w:r w:rsidR="00FC3CE0">
        <w:t xml:space="preserve">may </w:t>
      </w:r>
      <w:r w:rsidRPr="00085D2D">
        <w:t xml:space="preserve">contribute to the adjustment of </w:t>
      </w:r>
      <w:r w:rsidR="00FC3CE0">
        <w:t xml:space="preserve">the country </w:t>
      </w:r>
      <w:r w:rsidRPr="00085D2D">
        <w:t xml:space="preserve">programme, if necessary, and to the formulation of </w:t>
      </w:r>
      <w:r w:rsidR="00FC3CE0">
        <w:t xml:space="preserve">the next </w:t>
      </w:r>
      <w:r w:rsidRPr="00085D2D">
        <w:t xml:space="preserve">country programme. </w:t>
      </w:r>
    </w:p>
    <w:p w14:paraId="1DE22F05" w14:textId="431C5E31" w:rsidR="000C3E32" w:rsidRPr="00085D2D" w:rsidRDefault="000C3E32" w:rsidP="001C4D9F">
      <w:pPr>
        <w:pStyle w:val="ListParagraph"/>
        <w:numPr>
          <w:ilvl w:val="0"/>
          <w:numId w:val="37"/>
        </w:numPr>
        <w:ind w:left="1080" w:right="-25" w:firstLine="0"/>
        <w:jc w:val="both"/>
      </w:pPr>
      <w:r w:rsidRPr="00085D2D">
        <w:t>The gender marker will contribute to ensure that at least 15</w:t>
      </w:r>
      <w:r w:rsidR="007378E9">
        <w:t xml:space="preserve"> per cent</w:t>
      </w:r>
      <w:r w:rsidR="007378E9" w:rsidRPr="00085D2D">
        <w:t xml:space="preserve"> </w:t>
      </w:r>
      <w:r w:rsidRPr="00085D2D">
        <w:t>of the country office budget is oriented to specific interventions that promote gender equality and women</w:t>
      </w:r>
      <w:r w:rsidR="007378E9">
        <w:t>'s</w:t>
      </w:r>
      <w:r w:rsidRPr="00085D2D">
        <w:t xml:space="preserve"> empowerment. It will be established that 80</w:t>
      </w:r>
      <w:r w:rsidR="007378E9">
        <w:t xml:space="preserve"> per cent</w:t>
      </w:r>
      <w:r w:rsidR="007378E9" w:rsidRPr="00085D2D">
        <w:t xml:space="preserve"> </w:t>
      </w:r>
      <w:r w:rsidRPr="00085D2D">
        <w:t>of projects need to have a gender marker that is equal to or greater than 2.</w:t>
      </w:r>
    </w:p>
    <w:p w14:paraId="75397BAE" w14:textId="77777777" w:rsidR="000C3E32" w:rsidRPr="002C09D9" w:rsidRDefault="000C3E32" w:rsidP="00FA4630">
      <w:pPr>
        <w:ind w:right="1267"/>
        <w:jc w:val="both"/>
        <w:rPr>
          <w:color w:val="000000"/>
        </w:rPr>
      </w:pPr>
    </w:p>
    <w:p w14:paraId="394AAAA9" w14:textId="77777777" w:rsidR="000C3E32" w:rsidRPr="002C09D9" w:rsidRDefault="000C3E32" w:rsidP="000C3E32">
      <w:pPr>
        <w:pStyle w:val="Heading4"/>
        <w:spacing w:after="120"/>
        <w:rPr>
          <w:rFonts w:ascii="Times New Roman" w:hAnsi="Times New Roman"/>
          <w:bCs/>
          <w:color w:val="000000"/>
          <w:sz w:val="20"/>
        </w:rPr>
      </w:pPr>
    </w:p>
    <w:p w14:paraId="28398EA6" w14:textId="77777777" w:rsidR="001505FE" w:rsidRDefault="001505FE">
      <w:pPr>
        <w:sectPr w:rsidR="001505FE" w:rsidSect="00437220">
          <w:headerReference w:type="even" r:id="rId19"/>
          <w:footerReference w:type="even" r:id="rId20"/>
          <w:footerReference w:type="default" r:id="rId21"/>
          <w:type w:val="continuous"/>
          <w:pgSz w:w="12240" w:h="15840"/>
          <w:pgMar w:top="1166" w:right="2430" w:bottom="1440" w:left="1195" w:header="720" w:footer="720" w:gutter="0"/>
          <w:cols w:space="720"/>
          <w:titlePg/>
          <w:docGrid w:linePitch="272"/>
        </w:sectPr>
      </w:pPr>
    </w:p>
    <w:p w14:paraId="1DD73C20" w14:textId="579971DE" w:rsidR="00FA3894" w:rsidRPr="00FA3894" w:rsidRDefault="00FA3894" w:rsidP="00FA3894">
      <w:pPr>
        <w:tabs>
          <w:tab w:val="left" w:pos="5610"/>
        </w:tabs>
        <w:spacing w:after="240"/>
        <w:contextualSpacing/>
        <w:rPr>
          <w:b/>
          <w:bCs/>
          <w:sz w:val="24"/>
          <w:szCs w:val="24"/>
          <w:lang w:val="en-GB"/>
        </w:rPr>
      </w:pPr>
      <w:r w:rsidRPr="00FA3894">
        <w:rPr>
          <w:b/>
          <w:bCs/>
          <w:sz w:val="24"/>
          <w:szCs w:val="24"/>
          <w:lang w:val="en-GB"/>
        </w:rPr>
        <w:lastRenderedPageBreak/>
        <w:t>Annex. Results and resources framework for</w:t>
      </w:r>
      <w:r w:rsidR="001D13C7">
        <w:rPr>
          <w:b/>
          <w:bCs/>
          <w:sz w:val="24"/>
          <w:szCs w:val="24"/>
          <w:lang w:val="en-GB"/>
        </w:rPr>
        <w:t xml:space="preserve"> Peru</w:t>
      </w:r>
      <w:r w:rsidRPr="00FA3894">
        <w:rPr>
          <w:b/>
          <w:iCs/>
          <w:color w:val="000000"/>
          <w:sz w:val="24"/>
          <w:lang w:val="en-GB"/>
        </w:rPr>
        <w:t xml:space="preserve"> (2017-2021)</w:t>
      </w:r>
    </w:p>
    <w:tbl>
      <w:tblPr>
        <w:tblW w:w="5200" w:type="pct"/>
        <w:tblLayout w:type="fixed"/>
        <w:tblCellMar>
          <w:left w:w="29" w:type="dxa"/>
          <w:right w:w="29" w:type="dxa"/>
        </w:tblCellMar>
        <w:tblLook w:val="00A0" w:firstRow="1" w:lastRow="0" w:firstColumn="1" w:lastColumn="0" w:noHBand="0" w:noVBand="0"/>
      </w:tblPr>
      <w:tblGrid>
        <w:gridCol w:w="4225"/>
        <w:gridCol w:w="2852"/>
        <w:gridCol w:w="3591"/>
        <w:gridCol w:w="2208"/>
        <w:gridCol w:w="1501"/>
      </w:tblGrid>
      <w:tr w:rsidR="001505FE" w:rsidRPr="001D13C7" w14:paraId="293D677D"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0B9418" w14:textId="7042932D" w:rsidR="001505FE" w:rsidRPr="001D13C7" w:rsidRDefault="001505FE" w:rsidP="0092368D">
            <w:pPr>
              <w:rPr>
                <w:sz w:val="17"/>
                <w:szCs w:val="17"/>
              </w:rPr>
            </w:pPr>
            <w:r w:rsidRPr="001D13C7">
              <w:rPr>
                <w:sz w:val="17"/>
                <w:szCs w:val="17"/>
              </w:rPr>
              <w:t>NATIONAL PRIORITY: 2021 Peru Bicentennial Plan. Competitive economy with high employment and productivity; Sustainable use of natural resources; Balanced regional development and adequate infrastructure</w:t>
            </w:r>
            <w:r w:rsidR="007378E9">
              <w:rPr>
                <w:sz w:val="17"/>
                <w:szCs w:val="17"/>
              </w:rPr>
              <w:t>.</w:t>
            </w:r>
          </w:p>
        </w:tc>
      </w:tr>
      <w:tr w:rsidR="001505FE" w:rsidRPr="001D13C7" w14:paraId="317910C1"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B7E92C" w14:textId="77777777" w:rsidR="001505FE" w:rsidRPr="001D13C7" w:rsidRDefault="001505FE" w:rsidP="0092368D">
            <w:pPr>
              <w:rPr>
                <w:sz w:val="17"/>
                <w:szCs w:val="17"/>
              </w:rPr>
            </w:pPr>
            <w:r w:rsidRPr="001D13C7">
              <w:rPr>
                <w:sz w:val="17"/>
                <w:szCs w:val="17"/>
              </w:rPr>
              <w:t>UNDAF OUTCOME 1: By 2021, people living in poverty and vulnerability improve access to decent livelihoods and productive employment by means of sustainable development that strengthens social and natural capital, integrating an adequate management of risk.</w:t>
            </w:r>
          </w:p>
        </w:tc>
      </w:tr>
      <w:tr w:rsidR="001505FE" w:rsidRPr="001D13C7" w14:paraId="55E6BE66" w14:textId="77777777" w:rsidTr="001D13C7">
        <w:trPr>
          <w:trHeight w:val="124"/>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498CE" w14:textId="1BF5E93D" w:rsidR="001505FE" w:rsidRPr="001D13C7" w:rsidRDefault="001505FE" w:rsidP="007378E9">
            <w:pPr>
              <w:rPr>
                <w:sz w:val="17"/>
                <w:szCs w:val="17"/>
              </w:rPr>
            </w:pPr>
            <w:r w:rsidRPr="001D13C7">
              <w:rPr>
                <w:sz w:val="17"/>
                <w:szCs w:val="17"/>
              </w:rPr>
              <w:t>RELATED STRATEGIC PLAN OUTCOME: 1</w:t>
            </w:r>
            <w:r w:rsidR="007378E9">
              <w:rPr>
                <w:sz w:val="17"/>
                <w:szCs w:val="17"/>
              </w:rPr>
              <w:t>.</w:t>
            </w:r>
            <w:r w:rsidR="007378E9" w:rsidRPr="001D13C7">
              <w:rPr>
                <w:sz w:val="17"/>
                <w:szCs w:val="17"/>
              </w:rPr>
              <w:t xml:space="preserve"> </w:t>
            </w:r>
            <w:r w:rsidRPr="001D13C7">
              <w:rPr>
                <w:sz w:val="17"/>
                <w:szCs w:val="17"/>
              </w:rPr>
              <w:t>Growth and development are inclusive and sustainable, incorporating productive capacities that create employment and livelihoods for the poor and excluded</w:t>
            </w:r>
            <w:r w:rsidR="007378E9">
              <w:rPr>
                <w:sz w:val="17"/>
                <w:szCs w:val="17"/>
              </w:rPr>
              <w:t>.</w:t>
            </w:r>
          </w:p>
        </w:tc>
      </w:tr>
      <w:tr w:rsidR="001505FE" w:rsidRPr="001D13C7" w14:paraId="014730ED" w14:textId="77777777" w:rsidTr="001D13C7">
        <w:tc>
          <w:tcPr>
            <w:tcW w:w="1469" w:type="pct"/>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center"/>
          </w:tcPr>
          <w:p w14:paraId="1023254D" w14:textId="6F112370" w:rsidR="001505FE" w:rsidRPr="001D13C7" w:rsidRDefault="001505FE" w:rsidP="00454FBD">
            <w:pPr>
              <w:jc w:val="center"/>
              <w:rPr>
                <w:rFonts w:eastAsia="Calibri"/>
                <w:color w:val="000000"/>
                <w:sz w:val="17"/>
                <w:szCs w:val="17"/>
              </w:rPr>
            </w:pPr>
            <w:r w:rsidRPr="001D13C7">
              <w:rPr>
                <w:sz w:val="17"/>
                <w:szCs w:val="17"/>
              </w:rPr>
              <w:t>UNDAF OUTCOME INDICATOR(S), BASELINES, TARGET(S)</w:t>
            </w:r>
            <w:r w:rsidR="003F0627">
              <w:rPr>
                <w:rStyle w:val="FootnoteReference"/>
                <w:sz w:val="17"/>
                <w:szCs w:val="17"/>
              </w:rPr>
              <w:footnoteReference w:id="15"/>
            </w:r>
            <w:r w:rsidRPr="001D13C7">
              <w:rPr>
                <w:sz w:val="17"/>
                <w:szCs w:val="17"/>
              </w:rPr>
              <w:t xml:space="preserve"> </w:t>
            </w:r>
          </w:p>
        </w:tc>
        <w:tc>
          <w:tcPr>
            <w:tcW w:w="992" w:type="pct"/>
            <w:tcBorders>
              <w:top w:val="single" w:sz="8" w:space="0" w:color="000000"/>
              <w:left w:val="single" w:sz="4" w:space="0" w:color="auto"/>
              <w:bottom w:val="single" w:sz="4" w:space="0" w:color="auto"/>
              <w:right w:val="single" w:sz="8" w:space="0" w:color="000000"/>
            </w:tcBorders>
            <w:shd w:val="clear" w:color="auto" w:fill="auto"/>
            <w:vAlign w:val="center"/>
            <w:hideMark/>
          </w:tcPr>
          <w:p w14:paraId="2F5AB112" w14:textId="77777777" w:rsidR="001505FE" w:rsidRPr="001D13C7" w:rsidRDefault="001505FE" w:rsidP="0092368D">
            <w:pPr>
              <w:jc w:val="center"/>
              <w:rPr>
                <w:rFonts w:eastAsia="Calibri"/>
                <w:b/>
                <w:color w:val="000000"/>
                <w:sz w:val="17"/>
                <w:szCs w:val="17"/>
              </w:rPr>
            </w:pPr>
            <w:r w:rsidRPr="001D13C7">
              <w:rPr>
                <w:sz w:val="17"/>
                <w:szCs w:val="17"/>
              </w:rPr>
              <w:t>SOURCE AND FREQUENCY OF DATA COLLECTION, AND RESPONSIBILITIES</w:t>
            </w:r>
          </w:p>
        </w:tc>
        <w:tc>
          <w:tcPr>
            <w:tcW w:w="1249"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4547DEEC" w14:textId="77777777" w:rsidR="001505FE" w:rsidRPr="001D13C7" w:rsidRDefault="001505FE" w:rsidP="0092368D">
            <w:pPr>
              <w:jc w:val="center"/>
              <w:rPr>
                <w:rFonts w:eastAsia="Calibri"/>
                <w:color w:val="000000"/>
                <w:sz w:val="17"/>
                <w:szCs w:val="17"/>
              </w:rPr>
            </w:pPr>
            <w:r w:rsidRPr="001D13C7">
              <w:rPr>
                <w:sz w:val="17"/>
                <w:szCs w:val="17"/>
              </w:rPr>
              <w:t>INDICATIVE  COUNTRY PROGRAMME OUTPUTS</w:t>
            </w:r>
            <w:r w:rsidRPr="001D13C7" w:rsidDel="005C7F3F">
              <w:rPr>
                <w:sz w:val="17"/>
                <w:szCs w:val="17"/>
              </w:rPr>
              <w:t xml:space="preserve"> </w:t>
            </w:r>
          </w:p>
        </w:tc>
        <w:tc>
          <w:tcPr>
            <w:tcW w:w="768" w:type="pct"/>
            <w:tcBorders>
              <w:top w:val="single" w:sz="8" w:space="0" w:color="000000"/>
              <w:left w:val="single" w:sz="8" w:space="0" w:color="000000"/>
              <w:bottom w:val="single" w:sz="4" w:space="0" w:color="auto"/>
              <w:right w:val="single" w:sz="8" w:space="0" w:color="000000"/>
            </w:tcBorders>
            <w:shd w:val="clear" w:color="auto" w:fill="auto"/>
          </w:tcPr>
          <w:p w14:paraId="713FE656" w14:textId="77777777" w:rsidR="001505FE" w:rsidRPr="001D13C7" w:rsidRDefault="001505FE" w:rsidP="0092368D">
            <w:pPr>
              <w:jc w:val="center"/>
              <w:rPr>
                <w:sz w:val="17"/>
                <w:szCs w:val="17"/>
              </w:rPr>
            </w:pPr>
            <w:r w:rsidRPr="001D13C7">
              <w:rPr>
                <w:sz w:val="17"/>
                <w:szCs w:val="17"/>
              </w:rPr>
              <w:t>MAJOR PARTNERS / PARTNERSHIPS</w:t>
            </w:r>
          </w:p>
          <w:p w14:paraId="3B7472F2" w14:textId="77777777" w:rsidR="001505FE" w:rsidRPr="001D13C7" w:rsidRDefault="001505FE" w:rsidP="0092368D">
            <w:pPr>
              <w:jc w:val="center"/>
              <w:rPr>
                <w:rFonts w:eastAsia="Calibri"/>
                <w:b/>
                <w:bCs/>
                <w:color w:val="000000"/>
                <w:sz w:val="17"/>
                <w:szCs w:val="17"/>
              </w:rPr>
            </w:pPr>
            <w:r w:rsidRPr="001D13C7">
              <w:rPr>
                <w:sz w:val="17"/>
                <w:szCs w:val="17"/>
              </w:rPr>
              <w:t>FRAMEWORKS</w:t>
            </w:r>
            <w:r w:rsidRPr="001D13C7" w:rsidDel="005A0367">
              <w:rPr>
                <w:sz w:val="17"/>
                <w:szCs w:val="17"/>
              </w:rPr>
              <w:t xml:space="preserve"> </w:t>
            </w:r>
          </w:p>
        </w:tc>
        <w:tc>
          <w:tcPr>
            <w:tcW w:w="522"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7793EF10" w14:textId="711D3A2F" w:rsidR="001505FE" w:rsidRPr="001D13C7" w:rsidRDefault="001D13C7" w:rsidP="001D13C7">
            <w:pPr>
              <w:jc w:val="center"/>
              <w:rPr>
                <w:sz w:val="17"/>
                <w:szCs w:val="17"/>
              </w:rPr>
            </w:pPr>
            <w:r>
              <w:rPr>
                <w:sz w:val="17"/>
                <w:szCs w:val="17"/>
              </w:rPr>
              <w:t>INDICATIVE RESOURCES (</w:t>
            </w:r>
            <w:r w:rsidR="001505FE" w:rsidRPr="001D13C7">
              <w:rPr>
                <w:sz w:val="17"/>
                <w:szCs w:val="17"/>
              </w:rPr>
              <w:t>$)</w:t>
            </w:r>
          </w:p>
        </w:tc>
      </w:tr>
      <w:tr w:rsidR="001505FE" w:rsidRPr="001D13C7" w14:paraId="79B719F0" w14:textId="77777777" w:rsidTr="00FA3894">
        <w:tc>
          <w:tcPr>
            <w:tcW w:w="1469"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32CAE2B" w14:textId="3D7F7388" w:rsidR="001505FE" w:rsidRPr="001D13C7" w:rsidRDefault="001505FE" w:rsidP="0092368D">
            <w:pPr>
              <w:rPr>
                <w:sz w:val="17"/>
                <w:szCs w:val="17"/>
              </w:rPr>
            </w:pPr>
            <w:r w:rsidRPr="001D13C7">
              <w:rPr>
                <w:sz w:val="17"/>
                <w:szCs w:val="17"/>
              </w:rPr>
              <w:t xml:space="preserve">CO2 emissions per unit of added value (per capita and GDP) </w:t>
            </w:r>
          </w:p>
          <w:p w14:paraId="042278B3" w14:textId="06F97A43" w:rsidR="001505FE" w:rsidRPr="001D13C7" w:rsidRDefault="001505FE" w:rsidP="0092368D">
            <w:pPr>
              <w:rPr>
                <w:sz w:val="17"/>
                <w:szCs w:val="17"/>
              </w:rPr>
            </w:pPr>
            <w:r w:rsidRPr="001D13C7">
              <w:rPr>
                <w:sz w:val="17"/>
                <w:szCs w:val="17"/>
              </w:rPr>
              <w:t>B</w:t>
            </w:r>
            <w:r w:rsidR="00A646DC">
              <w:rPr>
                <w:sz w:val="17"/>
                <w:szCs w:val="17"/>
              </w:rPr>
              <w:t>aseline</w:t>
            </w:r>
            <w:r w:rsidRPr="001D13C7">
              <w:rPr>
                <w:sz w:val="17"/>
                <w:szCs w:val="17"/>
              </w:rPr>
              <w:t xml:space="preserve">: 5.7 </w:t>
            </w:r>
            <w:r w:rsidR="00555A63">
              <w:rPr>
                <w:sz w:val="17"/>
                <w:szCs w:val="17"/>
              </w:rPr>
              <w:t>tons e</w:t>
            </w:r>
            <w:r w:rsidR="00555A63" w:rsidRPr="001D13C7">
              <w:rPr>
                <w:sz w:val="17"/>
                <w:szCs w:val="17"/>
              </w:rPr>
              <w:t xml:space="preserve">missions </w:t>
            </w:r>
            <w:r w:rsidRPr="001D13C7">
              <w:rPr>
                <w:sz w:val="17"/>
                <w:szCs w:val="17"/>
              </w:rPr>
              <w:t xml:space="preserve">CO2 </w:t>
            </w:r>
            <w:r w:rsidR="00A86318" w:rsidRPr="001D13C7">
              <w:rPr>
                <w:sz w:val="17"/>
                <w:szCs w:val="17"/>
              </w:rPr>
              <w:t>eq</w:t>
            </w:r>
            <w:r w:rsidR="00A86318">
              <w:rPr>
                <w:sz w:val="17"/>
                <w:szCs w:val="17"/>
              </w:rPr>
              <w:t xml:space="preserve">uivalent </w:t>
            </w:r>
            <w:r w:rsidR="00A86318" w:rsidRPr="001D13C7">
              <w:rPr>
                <w:sz w:val="17"/>
                <w:szCs w:val="17"/>
              </w:rPr>
              <w:t>(</w:t>
            </w:r>
            <w:r w:rsidRPr="001D13C7">
              <w:rPr>
                <w:sz w:val="17"/>
                <w:szCs w:val="17"/>
              </w:rPr>
              <w:t xml:space="preserve">2012)/per capita; 337.14 </w:t>
            </w:r>
            <w:r w:rsidR="00555A63">
              <w:rPr>
                <w:sz w:val="17"/>
                <w:szCs w:val="17"/>
              </w:rPr>
              <w:t>tons e</w:t>
            </w:r>
            <w:r w:rsidR="00555A63" w:rsidRPr="001D13C7">
              <w:rPr>
                <w:sz w:val="17"/>
                <w:szCs w:val="17"/>
              </w:rPr>
              <w:t xml:space="preserve">missions </w:t>
            </w:r>
            <w:r w:rsidRPr="001D13C7">
              <w:rPr>
                <w:sz w:val="17"/>
                <w:szCs w:val="17"/>
              </w:rPr>
              <w:t>CO2 eq</w:t>
            </w:r>
            <w:r w:rsidR="00555A63">
              <w:rPr>
                <w:sz w:val="17"/>
                <w:szCs w:val="17"/>
              </w:rPr>
              <w:t>uivalent</w:t>
            </w:r>
            <w:r w:rsidRPr="001D13C7">
              <w:rPr>
                <w:sz w:val="17"/>
                <w:szCs w:val="17"/>
              </w:rPr>
              <w:t xml:space="preserve"> (2012)/million </w:t>
            </w:r>
            <w:r w:rsidR="003F0627">
              <w:rPr>
                <w:sz w:val="17"/>
                <w:szCs w:val="17"/>
              </w:rPr>
              <w:t>soles</w:t>
            </w:r>
            <w:r w:rsidRPr="001D13C7">
              <w:rPr>
                <w:sz w:val="17"/>
                <w:szCs w:val="17"/>
              </w:rPr>
              <w:t>.</w:t>
            </w:r>
          </w:p>
          <w:p w14:paraId="397D182C" w14:textId="77777777" w:rsidR="001505FE" w:rsidRPr="001D13C7" w:rsidRDefault="001505FE" w:rsidP="0092368D">
            <w:pPr>
              <w:rPr>
                <w:sz w:val="17"/>
                <w:szCs w:val="17"/>
              </w:rPr>
            </w:pPr>
            <w:r w:rsidRPr="001D13C7">
              <w:rPr>
                <w:sz w:val="17"/>
                <w:szCs w:val="17"/>
              </w:rPr>
              <w:t>* Values at current prices</w:t>
            </w:r>
          </w:p>
          <w:p w14:paraId="0F152777" w14:textId="6ED2565F" w:rsidR="001505FE" w:rsidRPr="001D13C7" w:rsidRDefault="001505FE" w:rsidP="0092368D">
            <w:pPr>
              <w:rPr>
                <w:sz w:val="17"/>
                <w:szCs w:val="17"/>
              </w:rPr>
            </w:pPr>
            <w:r w:rsidRPr="001D13C7">
              <w:rPr>
                <w:sz w:val="17"/>
                <w:szCs w:val="17"/>
              </w:rPr>
              <w:t>T</w:t>
            </w:r>
            <w:r w:rsidR="00A646DC">
              <w:rPr>
                <w:sz w:val="17"/>
                <w:szCs w:val="17"/>
              </w:rPr>
              <w:t>arget</w:t>
            </w:r>
            <w:r w:rsidRPr="001D13C7">
              <w:rPr>
                <w:sz w:val="17"/>
                <w:szCs w:val="17"/>
              </w:rPr>
              <w:t>: TBD</w:t>
            </w:r>
          </w:p>
          <w:p w14:paraId="3997C95C" w14:textId="77777777" w:rsidR="001505FE" w:rsidRPr="001D13C7" w:rsidRDefault="001505FE" w:rsidP="0092368D">
            <w:pPr>
              <w:rPr>
                <w:rFonts w:eastAsia="Calibri"/>
                <w:bCs/>
                <w:color w:val="000000"/>
                <w:sz w:val="17"/>
                <w:szCs w:val="17"/>
              </w:rPr>
            </w:pPr>
          </w:p>
          <w:p w14:paraId="0F14B30E" w14:textId="5F117E72" w:rsidR="001505FE" w:rsidRPr="001D13C7" w:rsidRDefault="001505FE" w:rsidP="0092368D">
            <w:pPr>
              <w:rPr>
                <w:sz w:val="17"/>
                <w:szCs w:val="17"/>
              </w:rPr>
            </w:pPr>
            <w:r w:rsidRPr="001D13C7">
              <w:rPr>
                <w:sz w:val="17"/>
                <w:szCs w:val="17"/>
              </w:rPr>
              <w:t xml:space="preserve">Growth rates of household expenses or income per capita amongst poorest 40% of population and  total population </w:t>
            </w:r>
          </w:p>
          <w:p w14:paraId="2825D164" w14:textId="16487027" w:rsidR="001505FE" w:rsidRPr="001D13C7" w:rsidRDefault="001505FE" w:rsidP="0092368D">
            <w:pPr>
              <w:rPr>
                <w:sz w:val="17"/>
                <w:szCs w:val="17"/>
              </w:rPr>
            </w:pPr>
            <w:r w:rsidRPr="001D13C7">
              <w:rPr>
                <w:sz w:val="17"/>
                <w:szCs w:val="17"/>
              </w:rPr>
              <w:t>B</w:t>
            </w:r>
            <w:r w:rsidR="00A646DC">
              <w:rPr>
                <w:sz w:val="17"/>
                <w:szCs w:val="17"/>
              </w:rPr>
              <w:t>aseline</w:t>
            </w:r>
            <w:r w:rsidRPr="001D13C7">
              <w:rPr>
                <w:sz w:val="17"/>
                <w:szCs w:val="17"/>
              </w:rPr>
              <w:t>: Growth of spending per capita average of 40% poorest (deciles 1 to 4): 1.9% (2014/2013)</w:t>
            </w:r>
          </w:p>
          <w:p w14:paraId="4DDEB0BC" w14:textId="77777777" w:rsidR="001505FE" w:rsidRPr="001D13C7" w:rsidRDefault="001505FE" w:rsidP="0092368D">
            <w:pPr>
              <w:rPr>
                <w:sz w:val="17"/>
                <w:szCs w:val="17"/>
              </w:rPr>
            </w:pPr>
            <w:r w:rsidRPr="001D13C7">
              <w:rPr>
                <w:sz w:val="17"/>
                <w:szCs w:val="17"/>
              </w:rPr>
              <w:t>Growth of spending per capita total population: 0.4% (2014/2013)</w:t>
            </w:r>
          </w:p>
          <w:p w14:paraId="732EFA1B" w14:textId="74034289" w:rsidR="001505FE" w:rsidRPr="001D13C7" w:rsidRDefault="001505FE" w:rsidP="0092368D">
            <w:pPr>
              <w:rPr>
                <w:sz w:val="17"/>
                <w:szCs w:val="17"/>
              </w:rPr>
            </w:pPr>
            <w:r w:rsidRPr="001D13C7">
              <w:rPr>
                <w:sz w:val="17"/>
                <w:szCs w:val="17"/>
              </w:rPr>
              <w:t>T</w:t>
            </w:r>
            <w:r w:rsidR="00A646DC">
              <w:rPr>
                <w:sz w:val="17"/>
                <w:szCs w:val="17"/>
              </w:rPr>
              <w:t>arget</w:t>
            </w:r>
            <w:r w:rsidRPr="001D13C7">
              <w:rPr>
                <w:sz w:val="17"/>
                <w:szCs w:val="17"/>
              </w:rPr>
              <w:t>: TBD</w:t>
            </w:r>
          </w:p>
          <w:p w14:paraId="6C3DC788" w14:textId="77777777" w:rsidR="001505FE" w:rsidRPr="001D13C7" w:rsidRDefault="001505FE" w:rsidP="0092368D">
            <w:pPr>
              <w:rPr>
                <w:rFonts w:eastAsia="Calibri"/>
                <w:bCs/>
                <w:color w:val="000000"/>
                <w:sz w:val="17"/>
                <w:szCs w:val="17"/>
              </w:rPr>
            </w:pPr>
          </w:p>
          <w:p w14:paraId="191C91A3" w14:textId="6D1BA64B" w:rsidR="001505FE" w:rsidRPr="001D13C7" w:rsidRDefault="001505FE" w:rsidP="0092368D">
            <w:pPr>
              <w:rPr>
                <w:sz w:val="17"/>
                <w:szCs w:val="17"/>
              </w:rPr>
            </w:pPr>
            <w:r w:rsidRPr="001D13C7">
              <w:rPr>
                <w:sz w:val="17"/>
                <w:szCs w:val="17"/>
              </w:rPr>
              <w:t xml:space="preserve">Coordination mechanisms and management tools for disaster risk reduction developed and implemented at </w:t>
            </w:r>
            <w:r w:rsidR="00555A63">
              <w:rPr>
                <w:sz w:val="17"/>
                <w:szCs w:val="17"/>
              </w:rPr>
              <w:t>three</w:t>
            </w:r>
            <w:r w:rsidR="00555A63" w:rsidRPr="001D13C7">
              <w:rPr>
                <w:sz w:val="17"/>
                <w:szCs w:val="17"/>
              </w:rPr>
              <w:t xml:space="preserve"> </w:t>
            </w:r>
            <w:r w:rsidRPr="001D13C7">
              <w:rPr>
                <w:sz w:val="17"/>
                <w:szCs w:val="17"/>
              </w:rPr>
              <w:t xml:space="preserve">levels of government in accordance with priorities of Sendai Framework </w:t>
            </w:r>
          </w:p>
          <w:p w14:paraId="780BDCF9" w14:textId="775ACDD5" w:rsidR="001505FE" w:rsidRPr="001D13C7" w:rsidRDefault="001505FE" w:rsidP="0092368D">
            <w:pPr>
              <w:rPr>
                <w:sz w:val="17"/>
                <w:szCs w:val="17"/>
              </w:rPr>
            </w:pPr>
            <w:r w:rsidRPr="001D13C7">
              <w:rPr>
                <w:sz w:val="17"/>
                <w:szCs w:val="17"/>
              </w:rPr>
              <w:t>B</w:t>
            </w:r>
            <w:r w:rsidR="00A646DC">
              <w:rPr>
                <w:sz w:val="17"/>
                <w:szCs w:val="17"/>
              </w:rPr>
              <w:t>aseline</w:t>
            </w:r>
            <w:r w:rsidRPr="001D13C7">
              <w:rPr>
                <w:sz w:val="17"/>
                <w:szCs w:val="17"/>
              </w:rPr>
              <w:t xml:space="preserve">:   Ministry: 77.8%; Regions: 92%; Provinces: 37.8%; Lima districts: 67.3%; Districts not Lima: 6.8% </w:t>
            </w:r>
          </w:p>
          <w:p w14:paraId="7A293696" w14:textId="77777777" w:rsidR="001505FE" w:rsidRPr="001D13C7" w:rsidRDefault="001505FE" w:rsidP="0092368D">
            <w:pPr>
              <w:rPr>
                <w:sz w:val="17"/>
                <w:szCs w:val="17"/>
              </w:rPr>
            </w:pPr>
            <w:r w:rsidRPr="001D13C7">
              <w:rPr>
                <w:sz w:val="17"/>
                <w:szCs w:val="17"/>
              </w:rPr>
              <w:t>Management tools: Ministries: 61.1%; Regions: 52%; Provinces: 17.3%; Districts Lima: 44.9%; Districts non Lima: 1.2% (September 2015)</w:t>
            </w:r>
          </w:p>
          <w:p w14:paraId="5CD3313D" w14:textId="5C88DF5B" w:rsidR="001505FE" w:rsidRPr="001D13C7" w:rsidRDefault="001505FE" w:rsidP="0092368D">
            <w:pPr>
              <w:rPr>
                <w:sz w:val="17"/>
                <w:szCs w:val="17"/>
              </w:rPr>
            </w:pPr>
            <w:r w:rsidRPr="001D13C7">
              <w:rPr>
                <w:sz w:val="17"/>
                <w:szCs w:val="17"/>
              </w:rPr>
              <w:t>T</w:t>
            </w:r>
            <w:r w:rsidR="00A646DC">
              <w:rPr>
                <w:sz w:val="17"/>
                <w:szCs w:val="17"/>
              </w:rPr>
              <w:t>arget</w:t>
            </w:r>
            <w:r w:rsidRPr="001D13C7">
              <w:rPr>
                <w:sz w:val="17"/>
                <w:szCs w:val="17"/>
              </w:rPr>
              <w:t>: TBD</w:t>
            </w:r>
          </w:p>
          <w:p w14:paraId="2D14C621" w14:textId="77777777" w:rsidR="001505FE" w:rsidRPr="001D13C7" w:rsidRDefault="001505FE" w:rsidP="0092368D">
            <w:pPr>
              <w:rPr>
                <w:rFonts w:eastAsia="Calibri"/>
                <w:bCs/>
                <w:color w:val="000000"/>
                <w:sz w:val="17"/>
                <w:szCs w:val="17"/>
              </w:rPr>
            </w:pPr>
          </w:p>
          <w:p w14:paraId="1101B915" w14:textId="4464A7EA" w:rsidR="001505FE" w:rsidRPr="001D13C7" w:rsidRDefault="001505FE" w:rsidP="0092368D">
            <w:pPr>
              <w:rPr>
                <w:rFonts w:eastAsia="Calibri"/>
                <w:bCs/>
                <w:color w:val="000000"/>
                <w:sz w:val="17"/>
                <w:szCs w:val="17"/>
              </w:rPr>
            </w:pPr>
            <w:r w:rsidRPr="001D13C7">
              <w:rPr>
                <w:rFonts w:eastAsia="Calibri"/>
                <w:bCs/>
                <w:color w:val="000000"/>
                <w:sz w:val="17"/>
                <w:szCs w:val="17"/>
              </w:rPr>
              <w:t xml:space="preserve">Proportion of informal employment in non-agricultural employment, by sex </w:t>
            </w:r>
          </w:p>
          <w:p w14:paraId="0A260CFC" w14:textId="7BDF77B8" w:rsidR="001505FE" w:rsidRPr="001D13C7" w:rsidRDefault="001505FE" w:rsidP="0092368D">
            <w:pPr>
              <w:rPr>
                <w:rFonts w:eastAsia="Calibri"/>
                <w:bCs/>
                <w:color w:val="000000"/>
                <w:sz w:val="17"/>
                <w:szCs w:val="17"/>
              </w:rPr>
            </w:pPr>
            <w:r w:rsidRPr="001D13C7">
              <w:rPr>
                <w:rFonts w:eastAsia="Calibri"/>
                <w:bCs/>
                <w:color w:val="000000"/>
                <w:sz w:val="17"/>
                <w:szCs w:val="17"/>
              </w:rPr>
              <w:lastRenderedPageBreak/>
              <w:t>B</w:t>
            </w:r>
            <w:r w:rsidR="00A646DC">
              <w:rPr>
                <w:rFonts w:eastAsia="Calibri"/>
                <w:bCs/>
                <w:color w:val="000000"/>
                <w:sz w:val="17"/>
                <w:szCs w:val="17"/>
              </w:rPr>
              <w:t>aseline</w:t>
            </w:r>
            <w:r w:rsidRPr="001D13C7">
              <w:rPr>
                <w:rFonts w:eastAsia="Calibri"/>
                <w:bCs/>
                <w:color w:val="000000"/>
                <w:sz w:val="17"/>
                <w:szCs w:val="17"/>
              </w:rPr>
              <w:t>: Total: 64.1 %; M</w:t>
            </w:r>
            <w:r w:rsidR="00A646DC">
              <w:rPr>
                <w:rFonts w:eastAsia="Calibri"/>
                <w:bCs/>
                <w:color w:val="000000"/>
                <w:sz w:val="17"/>
                <w:szCs w:val="17"/>
              </w:rPr>
              <w:t>en</w:t>
            </w:r>
            <w:r w:rsidRPr="001D13C7">
              <w:rPr>
                <w:rFonts w:eastAsia="Calibri"/>
                <w:bCs/>
                <w:color w:val="000000"/>
                <w:sz w:val="17"/>
                <w:szCs w:val="17"/>
              </w:rPr>
              <w:t>: 58.7%; W</w:t>
            </w:r>
            <w:r w:rsidR="00A646DC">
              <w:rPr>
                <w:rFonts w:eastAsia="Calibri"/>
                <w:bCs/>
                <w:color w:val="000000"/>
                <w:sz w:val="17"/>
                <w:szCs w:val="17"/>
              </w:rPr>
              <w:t>omen</w:t>
            </w:r>
            <w:r w:rsidRPr="001D13C7">
              <w:rPr>
                <w:rFonts w:eastAsia="Calibri"/>
                <w:bCs/>
                <w:color w:val="000000"/>
                <w:sz w:val="17"/>
                <w:szCs w:val="17"/>
              </w:rPr>
              <w:t>: 70.3%</w:t>
            </w:r>
          </w:p>
          <w:p w14:paraId="70CCD56B" w14:textId="77777777" w:rsidR="001505FE" w:rsidRPr="001D13C7" w:rsidRDefault="001505FE" w:rsidP="0092368D">
            <w:pPr>
              <w:rPr>
                <w:rFonts w:eastAsia="Calibri"/>
                <w:bCs/>
                <w:color w:val="000000"/>
                <w:sz w:val="17"/>
                <w:szCs w:val="17"/>
              </w:rPr>
            </w:pPr>
            <w:r w:rsidRPr="001D13C7">
              <w:rPr>
                <w:rFonts w:eastAsia="Calibri"/>
                <w:bCs/>
                <w:color w:val="000000"/>
                <w:sz w:val="17"/>
                <w:szCs w:val="17"/>
              </w:rPr>
              <w:t>(2013)</w:t>
            </w:r>
          </w:p>
          <w:p w14:paraId="7D245AB6" w14:textId="4700B612" w:rsidR="001505FE" w:rsidRPr="001D13C7" w:rsidRDefault="001505FE" w:rsidP="0092368D">
            <w:pPr>
              <w:rPr>
                <w:rFonts w:eastAsia="Calibri"/>
                <w:bCs/>
                <w:color w:val="000000"/>
                <w:sz w:val="17"/>
                <w:szCs w:val="17"/>
              </w:rPr>
            </w:pPr>
            <w:r w:rsidRPr="001D13C7">
              <w:rPr>
                <w:rFonts w:eastAsia="Calibri"/>
                <w:bCs/>
                <w:color w:val="000000"/>
                <w:sz w:val="17"/>
                <w:szCs w:val="17"/>
              </w:rPr>
              <w:t>T</w:t>
            </w:r>
            <w:r w:rsidR="00A646DC">
              <w:rPr>
                <w:rFonts w:eastAsia="Calibri"/>
                <w:bCs/>
                <w:color w:val="000000"/>
                <w:sz w:val="17"/>
                <w:szCs w:val="17"/>
              </w:rPr>
              <w:t>arget</w:t>
            </w:r>
            <w:r w:rsidRPr="001D13C7">
              <w:rPr>
                <w:rFonts w:eastAsia="Calibri"/>
                <w:bCs/>
                <w:color w:val="000000"/>
                <w:sz w:val="17"/>
                <w:szCs w:val="17"/>
              </w:rPr>
              <w:t>: TBD</w:t>
            </w:r>
          </w:p>
          <w:p w14:paraId="76B8E73C" w14:textId="77777777" w:rsidR="001505FE" w:rsidRPr="001D13C7" w:rsidRDefault="001505FE" w:rsidP="0092368D">
            <w:pPr>
              <w:rPr>
                <w:rFonts w:eastAsia="Calibri"/>
                <w:bCs/>
                <w:color w:val="000000"/>
                <w:sz w:val="17"/>
                <w:szCs w:val="17"/>
              </w:rPr>
            </w:pPr>
          </w:p>
          <w:p w14:paraId="2E8BD106" w14:textId="34195234" w:rsidR="001505FE" w:rsidRPr="001D13C7" w:rsidRDefault="001505FE" w:rsidP="0092368D">
            <w:pPr>
              <w:rPr>
                <w:rFonts w:eastAsia="Calibri"/>
                <w:bCs/>
                <w:color w:val="000000"/>
                <w:sz w:val="17"/>
                <w:szCs w:val="17"/>
              </w:rPr>
            </w:pPr>
            <w:r w:rsidRPr="001D13C7">
              <w:rPr>
                <w:rFonts w:eastAsia="Calibri"/>
                <w:bCs/>
                <w:color w:val="000000"/>
                <w:sz w:val="17"/>
                <w:szCs w:val="17"/>
              </w:rPr>
              <w:t xml:space="preserve">Percentage of young people (15 to 24 years old) who neither study nor work </w:t>
            </w:r>
          </w:p>
          <w:p w14:paraId="44DEA022" w14:textId="511887A2" w:rsidR="001505FE" w:rsidRPr="001D13C7" w:rsidRDefault="001505FE" w:rsidP="0092368D">
            <w:pPr>
              <w:rPr>
                <w:rFonts w:eastAsia="Calibri"/>
                <w:bCs/>
                <w:color w:val="000000"/>
                <w:sz w:val="17"/>
                <w:szCs w:val="17"/>
              </w:rPr>
            </w:pPr>
            <w:r w:rsidRPr="001D13C7">
              <w:rPr>
                <w:rFonts w:eastAsia="Calibri"/>
                <w:bCs/>
                <w:color w:val="000000"/>
                <w:sz w:val="17"/>
                <w:szCs w:val="17"/>
              </w:rPr>
              <w:t>B</w:t>
            </w:r>
            <w:r w:rsidR="00870CF0">
              <w:rPr>
                <w:rFonts w:eastAsia="Calibri"/>
                <w:bCs/>
                <w:color w:val="000000"/>
                <w:sz w:val="17"/>
                <w:szCs w:val="17"/>
              </w:rPr>
              <w:t>aseline</w:t>
            </w:r>
            <w:r w:rsidRPr="001D13C7">
              <w:rPr>
                <w:rFonts w:eastAsia="Calibri"/>
                <w:bCs/>
                <w:color w:val="000000"/>
                <w:sz w:val="17"/>
                <w:szCs w:val="17"/>
              </w:rPr>
              <w:t>: Total: 20.1 %; M</w:t>
            </w:r>
            <w:r w:rsidR="00A646DC">
              <w:rPr>
                <w:rFonts w:eastAsia="Calibri"/>
                <w:bCs/>
                <w:color w:val="000000"/>
                <w:sz w:val="17"/>
                <w:szCs w:val="17"/>
              </w:rPr>
              <w:t>en</w:t>
            </w:r>
            <w:r w:rsidRPr="001D13C7">
              <w:rPr>
                <w:rFonts w:eastAsia="Calibri"/>
                <w:bCs/>
                <w:color w:val="000000"/>
                <w:sz w:val="17"/>
                <w:szCs w:val="17"/>
              </w:rPr>
              <w:t>: 36.4 %; W</w:t>
            </w:r>
            <w:r w:rsidR="00A646DC">
              <w:rPr>
                <w:rFonts w:eastAsia="Calibri"/>
                <w:bCs/>
                <w:color w:val="000000"/>
                <w:sz w:val="17"/>
                <w:szCs w:val="17"/>
              </w:rPr>
              <w:t>omen</w:t>
            </w:r>
            <w:r w:rsidRPr="001D13C7">
              <w:rPr>
                <w:rFonts w:eastAsia="Calibri"/>
                <w:bCs/>
                <w:color w:val="000000"/>
                <w:sz w:val="17"/>
                <w:szCs w:val="17"/>
              </w:rPr>
              <w:t>: 63.6 %</w:t>
            </w:r>
          </w:p>
          <w:p w14:paraId="2BB200BC" w14:textId="3518422C" w:rsidR="001505FE" w:rsidRPr="001D13C7" w:rsidRDefault="001505FE" w:rsidP="0092368D">
            <w:pPr>
              <w:rPr>
                <w:rFonts w:eastAsia="Calibri"/>
                <w:bCs/>
                <w:color w:val="000000"/>
                <w:sz w:val="17"/>
                <w:szCs w:val="17"/>
              </w:rPr>
            </w:pPr>
            <w:r w:rsidRPr="001D13C7">
              <w:rPr>
                <w:rFonts w:eastAsia="Calibri"/>
                <w:bCs/>
                <w:color w:val="000000"/>
                <w:sz w:val="17"/>
                <w:szCs w:val="17"/>
              </w:rPr>
              <w:t>T</w:t>
            </w:r>
            <w:r w:rsidR="00870CF0">
              <w:rPr>
                <w:rFonts w:eastAsia="Calibri"/>
                <w:bCs/>
                <w:color w:val="000000"/>
                <w:sz w:val="17"/>
                <w:szCs w:val="17"/>
              </w:rPr>
              <w:t>arget</w:t>
            </w:r>
            <w:r w:rsidRPr="001D13C7">
              <w:rPr>
                <w:rFonts w:eastAsia="Calibri"/>
                <w:bCs/>
                <w:color w:val="000000"/>
                <w:sz w:val="17"/>
                <w:szCs w:val="17"/>
              </w:rPr>
              <w:t>: TBD</w:t>
            </w:r>
          </w:p>
        </w:tc>
        <w:tc>
          <w:tcPr>
            <w:tcW w:w="992" w:type="pct"/>
            <w:vMerge w:val="restart"/>
            <w:tcBorders>
              <w:top w:val="single" w:sz="4" w:space="0" w:color="auto"/>
              <w:left w:val="single" w:sz="4" w:space="0" w:color="auto"/>
              <w:bottom w:val="single" w:sz="4" w:space="0" w:color="auto"/>
              <w:right w:val="single" w:sz="4" w:space="0" w:color="auto"/>
            </w:tcBorders>
          </w:tcPr>
          <w:p w14:paraId="66D2F19A" w14:textId="570B8F50" w:rsidR="001505FE" w:rsidRPr="001D13C7" w:rsidRDefault="00CE03C1" w:rsidP="0092368D">
            <w:pPr>
              <w:rPr>
                <w:sz w:val="17"/>
                <w:szCs w:val="17"/>
              </w:rPr>
            </w:pPr>
            <w:r>
              <w:rPr>
                <w:sz w:val="17"/>
                <w:szCs w:val="17"/>
              </w:rPr>
              <w:lastRenderedPageBreak/>
              <w:t>MINAM</w:t>
            </w:r>
            <w:r w:rsidR="001505FE" w:rsidRPr="001D13C7">
              <w:rPr>
                <w:sz w:val="17"/>
                <w:szCs w:val="17"/>
              </w:rPr>
              <w:t>; biannually (UNDP)</w:t>
            </w:r>
          </w:p>
          <w:p w14:paraId="458BA1D2" w14:textId="77777777" w:rsidR="001505FE" w:rsidRPr="001D13C7" w:rsidRDefault="001505FE" w:rsidP="0092368D">
            <w:pPr>
              <w:rPr>
                <w:sz w:val="17"/>
                <w:szCs w:val="17"/>
              </w:rPr>
            </w:pPr>
          </w:p>
          <w:p w14:paraId="18CBDF51" w14:textId="677F46BC" w:rsidR="001505FE" w:rsidRPr="001D13C7" w:rsidRDefault="001505FE" w:rsidP="0092368D">
            <w:pPr>
              <w:rPr>
                <w:sz w:val="17"/>
                <w:szCs w:val="17"/>
              </w:rPr>
            </w:pPr>
            <w:r w:rsidRPr="001D13C7">
              <w:rPr>
                <w:sz w:val="17"/>
                <w:szCs w:val="17"/>
              </w:rPr>
              <w:t>INEI; yearly (UNDP)</w:t>
            </w:r>
          </w:p>
          <w:p w14:paraId="6042DAB9" w14:textId="77777777" w:rsidR="001505FE" w:rsidRPr="001D13C7" w:rsidRDefault="001505FE" w:rsidP="0092368D">
            <w:pPr>
              <w:rPr>
                <w:sz w:val="17"/>
                <w:szCs w:val="17"/>
              </w:rPr>
            </w:pPr>
          </w:p>
          <w:p w14:paraId="7FCDE32A" w14:textId="18C98B24" w:rsidR="001505FE" w:rsidRPr="001D13C7" w:rsidRDefault="001505FE" w:rsidP="0092368D">
            <w:pPr>
              <w:rPr>
                <w:sz w:val="17"/>
                <w:szCs w:val="17"/>
              </w:rPr>
            </w:pPr>
            <w:r w:rsidRPr="001D13C7">
              <w:rPr>
                <w:sz w:val="17"/>
                <w:szCs w:val="17"/>
              </w:rPr>
              <w:t>SINAGERD; yearly (UNDP)</w:t>
            </w:r>
          </w:p>
          <w:p w14:paraId="1890BB0C" w14:textId="77777777" w:rsidR="001505FE" w:rsidRPr="001D13C7" w:rsidRDefault="001505FE" w:rsidP="0092368D">
            <w:pPr>
              <w:rPr>
                <w:sz w:val="17"/>
                <w:szCs w:val="17"/>
              </w:rPr>
            </w:pPr>
          </w:p>
          <w:p w14:paraId="03646759" w14:textId="77777777" w:rsidR="001505FE" w:rsidRPr="001D13C7" w:rsidRDefault="001505FE" w:rsidP="0092368D">
            <w:pPr>
              <w:rPr>
                <w:sz w:val="17"/>
                <w:szCs w:val="17"/>
              </w:rPr>
            </w:pPr>
          </w:p>
          <w:p w14:paraId="3DDD6659" w14:textId="77777777" w:rsidR="001505FE" w:rsidRPr="001D13C7" w:rsidRDefault="001505FE" w:rsidP="0092368D">
            <w:pPr>
              <w:rPr>
                <w:sz w:val="17"/>
                <w:szCs w:val="17"/>
              </w:rPr>
            </w:pPr>
          </w:p>
          <w:p w14:paraId="71AC33D4" w14:textId="77777777" w:rsidR="001505FE" w:rsidRPr="001D13C7" w:rsidRDefault="001505FE" w:rsidP="0092368D">
            <w:pPr>
              <w:rPr>
                <w:sz w:val="17"/>
                <w:szCs w:val="17"/>
              </w:rPr>
            </w:pPr>
          </w:p>
          <w:p w14:paraId="764D4180" w14:textId="77777777" w:rsidR="001505FE" w:rsidRPr="001D13C7" w:rsidRDefault="001505FE" w:rsidP="0092368D">
            <w:pPr>
              <w:rPr>
                <w:sz w:val="17"/>
                <w:szCs w:val="17"/>
              </w:rPr>
            </w:pPr>
          </w:p>
          <w:p w14:paraId="0CD6C483" w14:textId="77777777" w:rsidR="001505FE" w:rsidRPr="001D13C7" w:rsidRDefault="001505FE" w:rsidP="0092368D">
            <w:pPr>
              <w:rPr>
                <w:sz w:val="17"/>
                <w:szCs w:val="17"/>
              </w:rPr>
            </w:pPr>
          </w:p>
          <w:p w14:paraId="263D968E" w14:textId="77777777" w:rsidR="001505FE" w:rsidRPr="001D13C7" w:rsidRDefault="001505FE" w:rsidP="0092368D">
            <w:pPr>
              <w:rPr>
                <w:sz w:val="17"/>
                <w:szCs w:val="17"/>
              </w:rPr>
            </w:pPr>
          </w:p>
          <w:p w14:paraId="23C58B92" w14:textId="77777777" w:rsidR="001505FE" w:rsidRPr="001D13C7" w:rsidRDefault="001505FE" w:rsidP="0092368D">
            <w:pPr>
              <w:rPr>
                <w:sz w:val="17"/>
                <w:szCs w:val="17"/>
              </w:rPr>
            </w:pPr>
          </w:p>
          <w:p w14:paraId="6C882C8A" w14:textId="77777777" w:rsidR="001505FE" w:rsidRPr="001D13C7" w:rsidRDefault="001505FE" w:rsidP="0092368D">
            <w:pPr>
              <w:rPr>
                <w:sz w:val="17"/>
                <w:szCs w:val="17"/>
              </w:rPr>
            </w:pPr>
          </w:p>
          <w:p w14:paraId="3F21956E" w14:textId="77777777" w:rsidR="001505FE" w:rsidRPr="001D13C7" w:rsidRDefault="001505FE" w:rsidP="0092368D">
            <w:pPr>
              <w:rPr>
                <w:sz w:val="17"/>
                <w:szCs w:val="17"/>
              </w:rPr>
            </w:pPr>
          </w:p>
          <w:p w14:paraId="066E7B00" w14:textId="77777777" w:rsidR="001505FE" w:rsidRPr="001D13C7" w:rsidRDefault="001505FE" w:rsidP="0092368D">
            <w:pPr>
              <w:rPr>
                <w:sz w:val="17"/>
                <w:szCs w:val="17"/>
              </w:rPr>
            </w:pPr>
          </w:p>
          <w:p w14:paraId="577160E7" w14:textId="77777777" w:rsidR="001505FE" w:rsidRPr="001D13C7" w:rsidRDefault="001505FE" w:rsidP="0092368D">
            <w:pPr>
              <w:rPr>
                <w:sz w:val="17"/>
                <w:szCs w:val="17"/>
              </w:rPr>
            </w:pPr>
          </w:p>
          <w:p w14:paraId="339F56B6" w14:textId="77777777" w:rsidR="001505FE" w:rsidRPr="001D13C7" w:rsidRDefault="001505FE" w:rsidP="0092368D">
            <w:pPr>
              <w:rPr>
                <w:sz w:val="17"/>
                <w:szCs w:val="17"/>
              </w:rPr>
            </w:pPr>
          </w:p>
          <w:p w14:paraId="02CE40F7" w14:textId="77777777" w:rsidR="001505FE" w:rsidRPr="001D13C7" w:rsidRDefault="001505FE" w:rsidP="0092368D">
            <w:pPr>
              <w:rPr>
                <w:sz w:val="17"/>
                <w:szCs w:val="17"/>
              </w:rPr>
            </w:pPr>
          </w:p>
          <w:p w14:paraId="3D9EE3BA" w14:textId="77777777" w:rsidR="001505FE" w:rsidRPr="001D13C7" w:rsidRDefault="001505FE" w:rsidP="0092368D">
            <w:pPr>
              <w:rPr>
                <w:sz w:val="17"/>
                <w:szCs w:val="17"/>
              </w:rPr>
            </w:pPr>
          </w:p>
          <w:p w14:paraId="13931F8E" w14:textId="77777777" w:rsidR="001505FE" w:rsidRPr="001D13C7" w:rsidRDefault="001505FE" w:rsidP="0092368D">
            <w:pPr>
              <w:rPr>
                <w:sz w:val="17"/>
                <w:szCs w:val="17"/>
              </w:rPr>
            </w:pPr>
          </w:p>
          <w:p w14:paraId="0E2E51EC" w14:textId="77777777" w:rsidR="001505FE" w:rsidRPr="001D13C7" w:rsidRDefault="001505FE" w:rsidP="0092368D">
            <w:pPr>
              <w:rPr>
                <w:sz w:val="17"/>
                <w:szCs w:val="17"/>
              </w:rPr>
            </w:pPr>
          </w:p>
          <w:p w14:paraId="22097B37" w14:textId="77777777" w:rsidR="001505FE" w:rsidRPr="001D13C7" w:rsidRDefault="001505FE" w:rsidP="0092368D">
            <w:pPr>
              <w:rPr>
                <w:sz w:val="17"/>
                <w:szCs w:val="17"/>
              </w:rPr>
            </w:pPr>
          </w:p>
          <w:p w14:paraId="60C8B476" w14:textId="77777777" w:rsidR="001505FE" w:rsidRPr="001D13C7" w:rsidRDefault="001505FE" w:rsidP="0092368D">
            <w:pPr>
              <w:rPr>
                <w:sz w:val="17"/>
                <w:szCs w:val="17"/>
              </w:rPr>
            </w:pPr>
          </w:p>
          <w:p w14:paraId="0EBFF7A6" w14:textId="77777777" w:rsidR="001505FE" w:rsidRPr="001D13C7" w:rsidRDefault="001505FE" w:rsidP="0092368D">
            <w:pPr>
              <w:rPr>
                <w:sz w:val="17"/>
                <w:szCs w:val="17"/>
              </w:rPr>
            </w:pPr>
          </w:p>
          <w:p w14:paraId="758C5A8B" w14:textId="77777777" w:rsidR="001505FE" w:rsidRPr="001D13C7" w:rsidRDefault="001505FE" w:rsidP="0092368D">
            <w:pPr>
              <w:rPr>
                <w:sz w:val="17"/>
                <w:szCs w:val="17"/>
              </w:rPr>
            </w:pPr>
          </w:p>
          <w:p w14:paraId="247A6C07" w14:textId="77777777" w:rsidR="001505FE" w:rsidRPr="001D13C7" w:rsidRDefault="001505FE" w:rsidP="0092368D">
            <w:pPr>
              <w:rPr>
                <w:sz w:val="17"/>
                <w:szCs w:val="17"/>
              </w:rPr>
            </w:pPr>
          </w:p>
          <w:p w14:paraId="078F00D1" w14:textId="77777777" w:rsidR="001505FE" w:rsidRPr="001D13C7" w:rsidRDefault="001505FE" w:rsidP="0092368D">
            <w:pPr>
              <w:rPr>
                <w:sz w:val="17"/>
                <w:szCs w:val="17"/>
              </w:rPr>
            </w:pPr>
          </w:p>
          <w:p w14:paraId="141F1537" w14:textId="77777777" w:rsidR="001505FE" w:rsidRPr="001D13C7" w:rsidRDefault="001505FE" w:rsidP="0092368D">
            <w:pPr>
              <w:rPr>
                <w:sz w:val="17"/>
                <w:szCs w:val="17"/>
              </w:rPr>
            </w:pPr>
          </w:p>
          <w:p w14:paraId="077D96CE" w14:textId="4A735EC5" w:rsidR="001505FE" w:rsidRPr="001D13C7" w:rsidRDefault="001505FE" w:rsidP="0092368D">
            <w:pPr>
              <w:rPr>
                <w:sz w:val="17"/>
                <w:szCs w:val="17"/>
              </w:rPr>
            </w:pPr>
            <w:r w:rsidRPr="001D13C7">
              <w:rPr>
                <w:sz w:val="17"/>
                <w:szCs w:val="17"/>
              </w:rPr>
              <w:lastRenderedPageBreak/>
              <w:t>INEI; yearly (ILO)</w:t>
            </w:r>
          </w:p>
          <w:p w14:paraId="780F1CAC" w14:textId="77777777" w:rsidR="001505FE" w:rsidRPr="001D13C7" w:rsidRDefault="001505FE" w:rsidP="0092368D">
            <w:pPr>
              <w:rPr>
                <w:sz w:val="17"/>
                <w:szCs w:val="17"/>
              </w:rPr>
            </w:pPr>
          </w:p>
        </w:tc>
        <w:tc>
          <w:tcPr>
            <w:tcW w:w="1249"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6CBE964" w14:textId="73343208" w:rsidR="001505FE" w:rsidRPr="001D13C7" w:rsidRDefault="001505FE" w:rsidP="0092368D">
            <w:pPr>
              <w:rPr>
                <w:sz w:val="17"/>
                <w:szCs w:val="17"/>
              </w:rPr>
            </w:pPr>
            <w:r w:rsidRPr="001D13C7">
              <w:rPr>
                <w:sz w:val="17"/>
                <w:szCs w:val="17"/>
              </w:rPr>
              <w:lastRenderedPageBreak/>
              <w:t xml:space="preserve">Output 1.1 National and subnational capacities strengthened to implement policies, plans or other instruments of sustainable and inclusive development </w:t>
            </w:r>
          </w:p>
          <w:p w14:paraId="07C5ABB9" w14:textId="77777777" w:rsidR="001505FE" w:rsidRPr="001D13C7" w:rsidRDefault="001505FE" w:rsidP="0092368D">
            <w:pPr>
              <w:rPr>
                <w:sz w:val="17"/>
                <w:szCs w:val="17"/>
              </w:rPr>
            </w:pPr>
          </w:p>
          <w:p w14:paraId="2AE7C5FE" w14:textId="3B487A8E" w:rsidR="00A210E8" w:rsidRPr="001D13C7" w:rsidRDefault="00A210E8" w:rsidP="00A210E8">
            <w:pPr>
              <w:rPr>
                <w:sz w:val="17"/>
                <w:szCs w:val="17"/>
              </w:rPr>
            </w:pPr>
            <w:r w:rsidRPr="001D13C7">
              <w:rPr>
                <w:sz w:val="17"/>
                <w:szCs w:val="17"/>
              </w:rPr>
              <w:t xml:space="preserve">Number of institutions implementing policies, plans and/or other instruments aligned with </w:t>
            </w:r>
            <w:r w:rsidR="00B723F9">
              <w:rPr>
                <w:sz w:val="17"/>
                <w:szCs w:val="17"/>
              </w:rPr>
              <w:t>Sustainable Development Goals</w:t>
            </w:r>
            <w:r w:rsidRPr="001D13C7">
              <w:rPr>
                <w:sz w:val="17"/>
                <w:szCs w:val="17"/>
              </w:rPr>
              <w:t xml:space="preserve"> </w:t>
            </w:r>
          </w:p>
          <w:p w14:paraId="18A36888" w14:textId="3C1C6EB7" w:rsidR="00A210E8" w:rsidRPr="001D13C7" w:rsidRDefault="00A210E8" w:rsidP="00A210E8">
            <w:pPr>
              <w:rPr>
                <w:sz w:val="17"/>
                <w:szCs w:val="17"/>
              </w:rPr>
            </w:pPr>
            <w:r w:rsidRPr="001D13C7">
              <w:rPr>
                <w:sz w:val="17"/>
                <w:szCs w:val="17"/>
              </w:rPr>
              <w:t>B</w:t>
            </w:r>
            <w:r w:rsidR="00A646DC">
              <w:rPr>
                <w:sz w:val="17"/>
                <w:szCs w:val="17"/>
              </w:rPr>
              <w:t>aseline</w:t>
            </w:r>
            <w:r w:rsidRPr="001D13C7">
              <w:rPr>
                <w:sz w:val="17"/>
                <w:szCs w:val="17"/>
              </w:rPr>
              <w:t>: 0</w:t>
            </w:r>
          </w:p>
          <w:p w14:paraId="4FEDF947" w14:textId="29D04084" w:rsidR="00A210E8" w:rsidRPr="001D13C7" w:rsidRDefault="00A210E8" w:rsidP="00A210E8">
            <w:pPr>
              <w:rPr>
                <w:sz w:val="17"/>
                <w:szCs w:val="17"/>
              </w:rPr>
            </w:pPr>
            <w:r w:rsidRPr="001D13C7">
              <w:rPr>
                <w:sz w:val="17"/>
                <w:szCs w:val="17"/>
              </w:rPr>
              <w:t>T</w:t>
            </w:r>
            <w:r w:rsidR="00A646DC">
              <w:rPr>
                <w:sz w:val="17"/>
                <w:szCs w:val="17"/>
              </w:rPr>
              <w:t>arget</w:t>
            </w:r>
            <w:r w:rsidRPr="001D13C7">
              <w:rPr>
                <w:sz w:val="17"/>
                <w:szCs w:val="17"/>
              </w:rPr>
              <w:t>: 7</w:t>
            </w:r>
          </w:p>
          <w:p w14:paraId="77810AC1" w14:textId="669269AF" w:rsidR="00A210E8" w:rsidRPr="001D13C7" w:rsidRDefault="00A210E8" w:rsidP="00A210E8">
            <w:pPr>
              <w:rPr>
                <w:sz w:val="17"/>
                <w:szCs w:val="17"/>
              </w:rPr>
            </w:pPr>
            <w:r w:rsidRPr="001D13C7">
              <w:rPr>
                <w:sz w:val="17"/>
                <w:szCs w:val="17"/>
              </w:rPr>
              <w:t>Annual</w:t>
            </w:r>
          </w:p>
          <w:p w14:paraId="2C8698E2" w14:textId="7BB6E09E" w:rsidR="00A210E8" w:rsidRPr="001D13C7" w:rsidRDefault="00A210E8" w:rsidP="00A210E8">
            <w:pPr>
              <w:rPr>
                <w:sz w:val="17"/>
                <w:szCs w:val="17"/>
              </w:rPr>
            </w:pPr>
            <w:r w:rsidRPr="001D13C7">
              <w:rPr>
                <w:sz w:val="17"/>
                <w:szCs w:val="17"/>
              </w:rPr>
              <w:t xml:space="preserve">CEPLAN; </w:t>
            </w:r>
            <w:r w:rsidR="004C5D3F">
              <w:rPr>
                <w:sz w:val="17"/>
                <w:szCs w:val="17"/>
              </w:rPr>
              <w:t>Ministry of Foreign Affairs</w:t>
            </w:r>
          </w:p>
          <w:p w14:paraId="319F433A" w14:textId="45E2DA91" w:rsidR="00A210E8" w:rsidRPr="001D13C7" w:rsidRDefault="00A210E8" w:rsidP="0092368D">
            <w:pPr>
              <w:rPr>
                <w:sz w:val="17"/>
                <w:szCs w:val="17"/>
              </w:rPr>
            </w:pPr>
          </w:p>
          <w:p w14:paraId="362B7816" w14:textId="010049D1" w:rsidR="006671DE" w:rsidRPr="001D13C7" w:rsidRDefault="001B6750" w:rsidP="006671DE">
            <w:pPr>
              <w:rPr>
                <w:sz w:val="17"/>
                <w:szCs w:val="17"/>
              </w:rPr>
            </w:pPr>
            <w:r w:rsidRPr="001D13C7">
              <w:rPr>
                <w:sz w:val="17"/>
                <w:szCs w:val="17"/>
              </w:rPr>
              <w:t>Number of institutions with legislative/or regulatory provisions at national and subnational levels for managing disaster and climate risks</w:t>
            </w:r>
          </w:p>
          <w:p w14:paraId="0FAD5615" w14:textId="0D4F94E8" w:rsidR="006671DE" w:rsidRPr="001D13C7" w:rsidRDefault="006671DE" w:rsidP="006671DE">
            <w:pPr>
              <w:rPr>
                <w:sz w:val="17"/>
                <w:szCs w:val="17"/>
              </w:rPr>
            </w:pPr>
            <w:r w:rsidRPr="001D13C7">
              <w:rPr>
                <w:sz w:val="17"/>
                <w:szCs w:val="17"/>
              </w:rPr>
              <w:t>B</w:t>
            </w:r>
            <w:r w:rsidR="00A646DC">
              <w:rPr>
                <w:sz w:val="17"/>
                <w:szCs w:val="17"/>
              </w:rPr>
              <w:t>aseline</w:t>
            </w:r>
            <w:r w:rsidRPr="001D13C7">
              <w:rPr>
                <w:sz w:val="17"/>
                <w:szCs w:val="17"/>
              </w:rPr>
              <w:t xml:space="preserve">: </w:t>
            </w:r>
            <w:r w:rsidR="00804D33" w:rsidRPr="001D13C7">
              <w:rPr>
                <w:sz w:val="17"/>
                <w:szCs w:val="17"/>
              </w:rPr>
              <w:t>N</w:t>
            </w:r>
            <w:r w:rsidR="00A646DC">
              <w:rPr>
                <w:sz w:val="17"/>
                <w:szCs w:val="17"/>
              </w:rPr>
              <w:t>ational</w:t>
            </w:r>
            <w:r w:rsidR="008D1F0F" w:rsidRPr="001D13C7">
              <w:rPr>
                <w:sz w:val="17"/>
                <w:szCs w:val="17"/>
              </w:rPr>
              <w:t>:</w:t>
            </w:r>
            <w:r w:rsidR="00C9223D" w:rsidRPr="001D13C7">
              <w:rPr>
                <w:sz w:val="17"/>
                <w:szCs w:val="17"/>
              </w:rPr>
              <w:t>3</w:t>
            </w:r>
            <w:r w:rsidR="00804D33" w:rsidRPr="001D13C7">
              <w:rPr>
                <w:sz w:val="17"/>
                <w:szCs w:val="17"/>
              </w:rPr>
              <w:t xml:space="preserve"> ; </w:t>
            </w:r>
            <w:r w:rsidR="008D1F0F" w:rsidRPr="001D13C7">
              <w:rPr>
                <w:sz w:val="17"/>
                <w:szCs w:val="17"/>
              </w:rPr>
              <w:t>S</w:t>
            </w:r>
            <w:r w:rsidR="00A646DC">
              <w:rPr>
                <w:sz w:val="17"/>
                <w:szCs w:val="17"/>
              </w:rPr>
              <w:t>ubnational</w:t>
            </w:r>
            <w:r w:rsidR="008D1F0F" w:rsidRPr="001D13C7">
              <w:rPr>
                <w:sz w:val="17"/>
                <w:szCs w:val="17"/>
              </w:rPr>
              <w:t>:</w:t>
            </w:r>
            <w:r w:rsidR="00C9223D" w:rsidRPr="001D13C7">
              <w:rPr>
                <w:sz w:val="17"/>
                <w:szCs w:val="17"/>
              </w:rPr>
              <w:t>6</w:t>
            </w:r>
            <w:r w:rsidR="00804D33" w:rsidRPr="001D13C7">
              <w:rPr>
                <w:sz w:val="17"/>
                <w:szCs w:val="17"/>
              </w:rPr>
              <w:t xml:space="preserve">:  </w:t>
            </w:r>
          </w:p>
          <w:p w14:paraId="07CC220C" w14:textId="2BB73357" w:rsidR="006671DE" w:rsidRPr="001D13C7" w:rsidRDefault="006671DE" w:rsidP="006671DE">
            <w:pPr>
              <w:rPr>
                <w:sz w:val="17"/>
                <w:szCs w:val="17"/>
              </w:rPr>
            </w:pPr>
            <w:r w:rsidRPr="001D13C7">
              <w:rPr>
                <w:sz w:val="17"/>
                <w:szCs w:val="17"/>
              </w:rPr>
              <w:t>T</w:t>
            </w:r>
            <w:r w:rsidR="00A646DC">
              <w:rPr>
                <w:sz w:val="17"/>
                <w:szCs w:val="17"/>
              </w:rPr>
              <w:t>arget</w:t>
            </w:r>
            <w:r w:rsidRPr="001D13C7">
              <w:rPr>
                <w:sz w:val="17"/>
                <w:szCs w:val="17"/>
              </w:rPr>
              <w:t xml:space="preserve">: </w:t>
            </w:r>
            <w:r w:rsidR="00804D33" w:rsidRPr="001D13C7">
              <w:rPr>
                <w:sz w:val="17"/>
                <w:szCs w:val="17"/>
              </w:rPr>
              <w:t>N</w:t>
            </w:r>
            <w:r w:rsidR="00A646DC">
              <w:rPr>
                <w:sz w:val="17"/>
                <w:szCs w:val="17"/>
              </w:rPr>
              <w:t>ational</w:t>
            </w:r>
            <w:r w:rsidR="008D1F0F" w:rsidRPr="001D13C7">
              <w:rPr>
                <w:sz w:val="17"/>
                <w:szCs w:val="17"/>
              </w:rPr>
              <w:t>:</w:t>
            </w:r>
            <w:r w:rsidR="00C9223D" w:rsidRPr="001D13C7">
              <w:rPr>
                <w:sz w:val="17"/>
                <w:szCs w:val="17"/>
              </w:rPr>
              <w:t>8; S</w:t>
            </w:r>
            <w:r w:rsidR="00A646DC">
              <w:rPr>
                <w:sz w:val="17"/>
                <w:szCs w:val="17"/>
              </w:rPr>
              <w:t>ubnational</w:t>
            </w:r>
            <w:r w:rsidR="00C9223D" w:rsidRPr="001D13C7">
              <w:rPr>
                <w:sz w:val="17"/>
                <w:szCs w:val="17"/>
              </w:rPr>
              <w:t>:20</w:t>
            </w:r>
            <w:r w:rsidR="008D1F0F" w:rsidRPr="001D13C7">
              <w:rPr>
                <w:sz w:val="17"/>
                <w:szCs w:val="17"/>
              </w:rPr>
              <w:t xml:space="preserve"> </w:t>
            </w:r>
          </w:p>
          <w:p w14:paraId="3D42E599" w14:textId="031C7859" w:rsidR="006671DE" w:rsidRPr="001D13C7" w:rsidRDefault="006671DE" w:rsidP="006671DE">
            <w:pPr>
              <w:rPr>
                <w:sz w:val="17"/>
                <w:szCs w:val="17"/>
              </w:rPr>
            </w:pPr>
            <w:r w:rsidRPr="001D13C7">
              <w:rPr>
                <w:sz w:val="17"/>
                <w:szCs w:val="17"/>
              </w:rPr>
              <w:t>Annual</w:t>
            </w:r>
          </w:p>
          <w:p w14:paraId="4A6F041C" w14:textId="7641A241" w:rsidR="006671DE" w:rsidRPr="001D13C7" w:rsidRDefault="006671DE" w:rsidP="006671DE">
            <w:pPr>
              <w:rPr>
                <w:sz w:val="17"/>
                <w:szCs w:val="17"/>
              </w:rPr>
            </w:pPr>
            <w:r w:rsidRPr="001D13C7">
              <w:rPr>
                <w:sz w:val="17"/>
                <w:szCs w:val="17"/>
              </w:rPr>
              <w:t>SINAGERD</w:t>
            </w:r>
          </w:p>
          <w:p w14:paraId="02CE43BF" w14:textId="77777777" w:rsidR="008E4B1D" w:rsidRPr="001D13C7" w:rsidRDefault="008E4B1D" w:rsidP="0092368D">
            <w:pPr>
              <w:rPr>
                <w:sz w:val="17"/>
                <w:szCs w:val="17"/>
              </w:rPr>
            </w:pPr>
          </w:p>
          <w:p w14:paraId="61680342" w14:textId="2D105396" w:rsidR="001505FE" w:rsidRPr="001D13C7" w:rsidRDefault="001505FE" w:rsidP="0092368D">
            <w:pPr>
              <w:rPr>
                <w:sz w:val="17"/>
                <w:szCs w:val="17"/>
              </w:rPr>
            </w:pPr>
            <w:r w:rsidRPr="001D13C7">
              <w:rPr>
                <w:sz w:val="17"/>
                <w:szCs w:val="17"/>
              </w:rPr>
              <w:t xml:space="preserve">Number of subnational governments that implement policy instruments </w:t>
            </w:r>
            <w:r w:rsidR="00A322C3" w:rsidRPr="001D13C7">
              <w:rPr>
                <w:sz w:val="17"/>
                <w:szCs w:val="17"/>
              </w:rPr>
              <w:t>for green local</w:t>
            </w:r>
            <w:r w:rsidRPr="001D13C7">
              <w:rPr>
                <w:sz w:val="17"/>
                <w:szCs w:val="17"/>
              </w:rPr>
              <w:t xml:space="preserve"> economic development </w:t>
            </w:r>
          </w:p>
          <w:p w14:paraId="6E51E7FF" w14:textId="0582BF0F" w:rsidR="001505FE" w:rsidRPr="001D13C7" w:rsidRDefault="001505FE" w:rsidP="0092368D">
            <w:pPr>
              <w:rPr>
                <w:sz w:val="17"/>
                <w:szCs w:val="17"/>
              </w:rPr>
            </w:pPr>
            <w:r w:rsidRPr="001D13C7">
              <w:rPr>
                <w:sz w:val="17"/>
                <w:szCs w:val="17"/>
              </w:rPr>
              <w:t>B</w:t>
            </w:r>
            <w:r w:rsidR="00A646DC">
              <w:rPr>
                <w:sz w:val="17"/>
                <w:szCs w:val="17"/>
              </w:rPr>
              <w:t>aseline</w:t>
            </w:r>
            <w:r w:rsidRPr="001D13C7">
              <w:rPr>
                <w:sz w:val="17"/>
                <w:szCs w:val="17"/>
              </w:rPr>
              <w:t xml:space="preserve">: 0  </w:t>
            </w:r>
          </w:p>
          <w:p w14:paraId="573E067D" w14:textId="03E864EA" w:rsidR="001505FE" w:rsidRPr="001D13C7" w:rsidRDefault="001505FE" w:rsidP="0092368D">
            <w:pPr>
              <w:rPr>
                <w:sz w:val="17"/>
                <w:szCs w:val="17"/>
              </w:rPr>
            </w:pPr>
            <w:r w:rsidRPr="001D13C7">
              <w:rPr>
                <w:sz w:val="17"/>
                <w:szCs w:val="17"/>
              </w:rPr>
              <w:t>T</w:t>
            </w:r>
            <w:r w:rsidR="00A646DC">
              <w:rPr>
                <w:sz w:val="17"/>
                <w:szCs w:val="17"/>
              </w:rPr>
              <w:t>arget</w:t>
            </w:r>
            <w:r w:rsidRPr="001D13C7">
              <w:rPr>
                <w:sz w:val="17"/>
                <w:szCs w:val="17"/>
              </w:rPr>
              <w:t xml:space="preserve">: </w:t>
            </w:r>
            <w:r w:rsidR="00804D33" w:rsidRPr="001D13C7">
              <w:rPr>
                <w:sz w:val="17"/>
                <w:szCs w:val="17"/>
              </w:rPr>
              <w:t>5</w:t>
            </w:r>
            <w:r w:rsidRPr="001D13C7">
              <w:rPr>
                <w:sz w:val="17"/>
                <w:szCs w:val="17"/>
              </w:rPr>
              <w:t xml:space="preserve"> </w:t>
            </w:r>
          </w:p>
          <w:p w14:paraId="018BD623" w14:textId="6663776F" w:rsidR="001505FE" w:rsidRPr="001D13C7" w:rsidRDefault="001505FE" w:rsidP="0092368D">
            <w:pPr>
              <w:rPr>
                <w:sz w:val="17"/>
                <w:szCs w:val="17"/>
              </w:rPr>
            </w:pPr>
            <w:r w:rsidRPr="001D13C7">
              <w:rPr>
                <w:sz w:val="17"/>
                <w:szCs w:val="17"/>
              </w:rPr>
              <w:t>Annual</w:t>
            </w:r>
          </w:p>
          <w:p w14:paraId="6CA29F54" w14:textId="10E9C447" w:rsidR="001505FE" w:rsidRPr="001D13C7" w:rsidRDefault="00A322C3" w:rsidP="0092368D">
            <w:pPr>
              <w:rPr>
                <w:sz w:val="17"/>
                <w:szCs w:val="17"/>
              </w:rPr>
            </w:pPr>
            <w:r w:rsidRPr="001D13C7">
              <w:rPr>
                <w:sz w:val="17"/>
                <w:szCs w:val="17"/>
              </w:rPr>
              <w:t xml:space="preserve">Regional and local </w:t>
            </w:r>
            <w:r w:rsidR="001505FE" w:rsidRPr="001D13C7">
              <w:rPr>
                <w:sz w:val="17"/>
                <w:szCs w:val="17"/>
              </w:rPr>
              <w:t>governments</w:t>
            </w:r>
          </w:p>
          <w:p w14:paraId="35C75693" w14:textId="77777777" w:rsidR="001505FE" w:rsidRPr="001D13C7" w:rsidRDefault="001505FE" w:rsidP="0092368D">
            <w:pPr>
              <w:rPr>
                <w:sz w:val="17"/>
                <w:szCs w:val="17"/>
              </w:rPr>
            </w:pPr>
          </w:p>
          <w:p w14:paraId="58A4693C" w14:textId="47078927" w:rsidR="00F51C5A" w:rsidRPr="001D13C7" w:rsidRDefault="001505FE" w:rsidP="00F51C5A">
            <w:pPr>
              <w:rPr>
                <w:sz w:val="17"/>
                <w:szCs w:val="17"/>
              </w:rPr>
            </w:pPr>
            <w:r w:rsidRPr="001D13C7">
              <w:rPr>
                <w:sz w:val="17"/>
                <w:szCs w:val="17"/>
              </w:rPr>
              <w:t>Output 1.2</w:t>
            </w:r>
            <w:r w:rsidR="00922251" w:rsidRPr="001D13C7">
              <w:rPr>
                <w:sz w:val="17"/>
                <w:szCs w:val="17"/>
              </w:rPr>
              <w:t xml:space="preserve">. </w:t>
            </w:r>
            <w:r w:rsidR="00F51C5A" w:rsidRPr="001D13C7">
              <w:rPr>
                <w:sz w:val="17"/>
                <w:szCs w:val="17"/>
              </w:rPr>
              <w:t>National and subnational capacities strengthened for sustainable management of natural resources, ecosystem  services, mitigation and adaptation to climate change</w:t>
            </w:r>
          </w:p>
          <w:p w14:paraId="2F0F02E4" w14:textId="5E114C2E" w:rsidR="001505FE" w:rsidRPr="001D13C7" w:rsidRDefault="001505FE" w:rsidP="0092368D">
            <w:pPr>
              <w:rPr>
                <w:sz w:val="17"/>
                <w:szCs w:val="17"/>
              </w:rPr>
            </w:pPr>
          </w:p>
          <w:p w14:paraId="78FECFD8" w14:textId="729F72E7" w:rsidR="001505FE" w:rsidRPr="001D13C7" w:rsidRDefault="001505FE" w:rsidP="0092368D">
            <w:pPr>
              <w:rPr>
                <w:sz w:val="17"/>
                <w:szCs w:val="17"/>
              </w:rPr>
            </w:pPr>
            <w:r w:rsidRPr="001D13C7">
              <w:rPr>
                <w:sz w:val="17"/>
                <w:szCs w:val="17"/>
              </w:rPr>
              <w:t>Progress (%) in compliance with INDC</w:t>
            </w:r>
          </w:p>
          <w:p w14:paraId="62789078" w14:textId="5DC373C5" w:rsidR="001505FE" w:rsidRPr="001D13C7" w:rsidRDefault="001505FE" w:rsidP="0092368D">
            <w:pPr>
              <w:rPr>
                <w:sz w:val="17"/>
                <w:szCs w:val="17"/>
              </w:rPr>
            </w:pPr>
            <w:r w:rsidRPr="001D13C7">
              <w:rPr>
                <w:sz w:val="17"/>
                <w:szCs w:val="17"/>
              </w:rPr>
              <w:t>B</w:t>
            </w:r>
            <w:r w:rsidR="00870CF0">
              <w:rPr>
                <w:sz w:val="17"/>
                <w:szCs w:val="17"/>
              </w:rPr>
              <w:t>aseline</w:t>
            </w:r>
            <w:r w:rsidRPr="001D13C7">
              <w:rPr>
                <w:sz w:val="17"/>
                <w:szCs w:val="17"/>
              </w:rPr>
              <w:t>: 0</w:t>
            </w:r>
          </w:p>
          <w:p w14:paraId="464B474D" w14:textId="2E3D35B1" w:rsidR="001505FE" w:rsidRPr="001D13C7" w:rsidRDefault="001505FE" w:rsidP="0092368D">
            <w:pPr>
              <w:rPr>
                <w:sz w:val="17"/>
                <w:szCs w:val="17"/>
              </w:rPr>
            </w:pPr>
            <w:r w:rsidRPr="001D13C7">
              <w:rPr>
                <w:sz w:val="17"/>
                <w:szCs w:val="17"/>
              </w:rPr>
              <w:t>T</w:t>
            </w:r>
            <w:r w:rsidR="00870CF0">
              <w:rPr>
                <w:sz w:val="17"/>
                <w:szCs w:val="17"/>
              </w:rPr>
              <w:t>arget</w:t>
            </w:r>
            <w:r w:rsidRPr="001D13C7">
              <w:rPr>
                <w:sz w:val="17"/>
                <w:szCs w:val="17"/>
              </w:rPr>
              <w:t>: 20</w:t>
            </w:r>
          </w:p>
          <w:p w14:paraId="50FB2A8A" w14:textId="6A07F78F" w:rsidR="001505FE" w:rsidRPr="001D13C7" w:rsidRDefault="001505FE" w:rsidP="0092368D">
            <w:pPr>
              <w:rPr>
                <w:sz w:val="17"/>
                <w:szCs w:val="17"/>
              </w:rPr>
            </w:pPr>
            <w:r w:rsidRPr="001D13C7">
              <w:rPr>
                <w:sz w:val="17"/>
                <w:szCs w:val="17"/>
              </w:rPr>
              <w:t>Annual</w:t>
            </w:r>
          </w:p>
          <w:p w14:paraId="4E9BDA9B" w14:textId="4EB11BAA" w:rsidR="001505FE" w:rsidRPr="001D13C7" w:rsidRDefault="001505FE" w:rsidP="0092368D">
            <w:pPr>
              <w:rPr>
                <w:sz w:val="17"/>
                <w:szCs w:val="17"/>
              </w:rPr>
            </w:pPr>
            <w:r w:rsidRPr="001D13C7">
              <w:rPr>
                <w:sz w:val="17"/>
                <w:szCs w:val="17"/>
              </w:rPr>
              <w:t>MINAM</w:t>
            </w:r>
          </w:p>
          <w:p w14:paraId="4C1E4A6B" w14:textId="77777777" w:rsidR="001505FE" w:rsidRPr="001D13C7" w:rsidRDefault="001505FE" w:rsidP="0092368D">
            <w:pPr>
              <w:rPr>
                <w:sz w:val="17"/>
                <w:szCs w:val="17"/>
              </w:rPr>
            </w:pPr>
          </w:p>
          <w:p w14:paraId="4119CA1B" w14:textId="5DD109FD" w:rsidR="001505FE" w:rsidRPr="001D13C7" w:rsidRDefault="001505FE" w:rsidP="0092368D">
            <w:pPr>
              <w:rPr>
                <w:sz w:val="17"/>
                <w:szCs w:val="17"/>
              </w:rPr>
            </w:pPr>
            <w:r w:rsidRPr="001D13C7">
              <w:rPr>
                <w:sz w:val="17"/>
                <w:szCs w:val="17"/>
              </w:rPr>
              <w:t xml:space="preserve">Number of appropriately funded policy instruments aligned to </w:t>
            </w:r>
            <w:r w:rsidR="00A646DC">
              <w:rPr>
                <w:sz w:val="17"/>
                <w:szCs w:val="17"/>
              </w:rPr>
              <w:t>Sustainable Development Goals</w:t>
            </w:r>
            <w:r w:rsidRPr="001D13C7">
              <w:rPr>
                <w:sz w:val="17"/>
                <w:szCs w:val="17"/>
              </w:rPr>
              <w:t xml:space="preserve"> 11, 12, 13, 14, 15 and disaster risk management at national and subnational levels</w:t>
            </w:r>
          </w:p>
          <w:p w14:paraId="156B427B" w14:textId="4ADDB81D" w:rsidR="001505FE" w:rsidRPr="001D13C7" w:rsidRDefault="001505FE" w:rsidP="0092368D">
            <w:pPr>
              <w:rPr>
                <w:sz w:val="17"/>
                <w:szCs w:val="17"/>
              </w:rPr>
            </w:pPr>
            <w:r w:rsidRPr="001D13C7">
              <w:rPr>
                <w:sz w:val="17"/>
                <w:szCs w:val="17"/>
              </w:rPr>
              <w:t>B</w:t>
            </w:r>
            <w:r w:rsidR="00870CF0">
              <w:rPr>
                <w:sz w:val="17"/>
                <w:szCs w:val="17"/>
              </w:rPr>
              <w:t>aseline</w:t>
            </w:r>
            <w:r w:rsidRPr="001D13C7">
              <w:rPr>
                <w:sz w:val="17"/>
                <w:szCs w:val="17"/>
              </w:rPr>
              <w:t>: 5</w:t>
            </w:r>
          </w:p>
          <w:p w14:paraId="4EE225E6" w14:textId="36ED0F9F" w:rsidR="001505FE" w:rsidRPr="001D13C7" w:rsidRDefault="001505FE" w:rsidP="0092368D">
            <w:pPr>
              <w:rPr>
                <w:sz w:val="17"/>
                <w:szCs w:val="17"/>
              </w:rPr>
            </w:pPr>
            <w:r w:rsidRPr="001D13C7">
              <w:rPr>
                <w:sz w:val="17"/>
                <w:szCs w:val="17"/>
              </w:rPr>
              <w:t>T</w:t>
            </w:r>
            <w:r w:rsidR="00870CF0">
              <w:rPr>
                <w:sz w:val="17"/>
                <w:szCs w:val="17"/>
              </w:rPr>
              <w:t>arget</w:t>
            </w:r>
            <w:r w:rsidRPr="001D13C7">
              <w:rPr>
                <w:sz w:val="17"/>
                <w:szCs w:val="17"/>
              </w:rPr>
              <w:t>: 15</w:t>
            </w:r>
          </w:p>
          <w:p w14:paraId="54D4D1C1" w14:textId="377910D8" w:rsidR="001505FE" w:rsidRPr="001D13C7" w:rsidRDefault="001505FE" w:rsidP="0092368D">
            <w:pPr>
              <w:rPr>
                <w:sz w:val="17"/>
                <w:szCs w:val="17"/>
              </w:rPr>
            </w:pPr>
            <w:r w:rsidRPr="001D13C7">
              <w:rPr>
                <w:sz w:val="17"/>
                <w:szCs w:val="17"/>
              </w:rPr>
              <w:t>Annual</w:t>
            </w:r>
          </w:p>
          <w:p w14:paraId="037FB3DB" w14:textId="3A87F175" w:rsidR="001505FE" w:rsidRPr="001D13C7" w:rsidRDefault="001505FE" w:rsidP="0092368D">
            <w:pPr>
              <w:rPr>
                <w:sz w:val="17"/>
                <w:szCs w:val="17"/>
              </w:rPr>
            </w:pPr>
            <w:r w:rsidRPr="001D13C7">
              <w:rPr>
                <w:sz w:val="17"/>
                <w:szCs w:val="17"/>
              </w:rPr>
              <w:t xml:space="preserve">SINAGERD; MINAM </w:t>
            </w:r>
          </w:p>
          <w:p w14:paraId="55238AC2" w14:textId="60848F4C" w:rsidR="001505FE" w:rsidRPr="001D13C7" w:rsidRDefault="001505FE" w:rsidP="0092368D">
            <w:pPr>
              <w:rPr>
                <w:sz w:val="17"/>
                <w:szCs w:val="17"/>
              </w:rPr>
            </w:pPr>
            <w:r w:rsidRPr="001D13C7">
              <w:rPr>
                <w:sz w:val="17"/>
                <w:szCs w:val="17"/>
              </w:rPr>
              <w:br/>
              <w:t xml:space="preserve">Number of improved livelihoods </w:t>
            </w:r>
            <w:r w:rsidR="00922251" w:rsidRPr="001D13C7">
              <w:rPr>
                <w:sz w:val="17"/>
                <w:szCs w:val="17"/>
              </w:rPr>
              <w:t xml:space="preserve">and jobs created for people living in poverty </w:t>
            </w:r>
            <w:r w:rsidRPr="001D13C7">
              <w:rPr>
                <w:sz w:val="17"/>
                <w:szCs w:val="17"/>
              </w:rPr>
              <w:t>through conservation,  sustainable use of biodiversity, ecosystem restoration, climate change adaptation and prepara</w:t>
            </w:r>
            <w:r w:rsidR="00922251" w:rsidRPr="001D13C7">
              <w:rPr>
                <w:sz w:val="17"/>
                <w:szCs w:val="17"/>
              </w:rPr>
              <w:t>tion for post-disaster recovery, disaggregated by sex</w:t>
            </w:r>
          </w:p>
          <w:p w14:paraId="4F8F2924" w14:textId="5EA620A5" w:rsidR="001505FE" w:rsidRPr="001D13C7" w:rsidRDefault="001505FE" w:rsidP="0092368D">
            <w:pPr>
              <w:rPr>
                <w:sz w:val="17"/>
                <w:szCs w:val="17"/>
              </w:rPr>
            </w:pPr>
            <w:r w:rsidRPr="001D13C7">
              <w:rPr>
                <w:sz w:val="17"/>
                <w:szCs w:val="17"/>
              </w:rPr>
              <w:t>B</w:t>
            </w:r>
            <w:r w:rsidR="00870CF0">
              <w:rPr>
                <w:sz w:val="17"/>
                <w:szCs w:val="17"/>
              </w:rPr>
              <w:t>aseline</w:t>
            </w:r>
            <w:r w:rsidRPr="001D13C7">
              <w:rPr>
                <w:sz w:val="17"/>
                <w:szCs w:val="17"/>
              </w:rPr>
              <w:t>: W</w:t>
            </w:r>
            <w:r w:rsidR="00870CF0">
              <w:rPr>
                <w:sz w:val="17"/>
                <w:szCs w:val="17"/>
              </w:rPr>
              <w:t>omen</w:t>
            </w:r>
            <w:r w:rsidRPr="001D13C7">
              <w:rPr>
                <w:sz w:val="17"/>
                <w:szCs w:val="17"/>
              </w:rPr>
              <w:t>:350 M</w:t>
            </w:r>
            <w:r w:rsidR="00870CF0">
              <w:rPr>
                <w:sz w:val="17"/>
                <w:szCs w:val="17"/>
              </w:rPr>
              <w:t>en</w:t>
            </w:r>
            <w:r w:rsidRPr="001D13C7">
              <w:rPr>
                <w:sz w:val="17"/>
                <w:szCs w:val="17"/>
              </w:rPr>
              <w:t xml:space="preserve">:511 </w:t>
            </w:r>
          </w:p>
          <w:p w14:paraId="422A1CCD" w14:textId="12322F70" w:rsidR="001505FE" w:rsidRPr="001D13C7" w:rsidRDefault="001505FE" w:rsidP="0092368D">
            <w:pPr>
              <w:rPr>
                <w:sz w:val="17"/>
                <w:szCs w:val="17"/>
              </w:rPr>
            </w:pPr>
            <w:r w:rsidRPr="001D13C7">
              <w:rPr>
                <w:sz w:val="17"/>
                <w:szCs w:val="17"/>
              </w:rPr>
              <w:t>T</w:t>
            </w:r>
            <w:r w:rsidR="00870CF0">
              <w:rPr>
                <w:sz w:val="17"/>
                <w:szCs w:val="17"/>
              </w:rPr>
              <w:t>arget</w:t>
            </w:r>
            <w:r w:rsidRPr="001D13C7">
              <w:rPr>
                <w:sz w:val="17"/>
                <w:szCs w:val="17"/>
              </w:rPr>
              <w:t>: W</w:t>
            </w:r>
            <w:r w:rsidR="00870CF0">
              <w:rPr>
                <w:sz w:val="17"/>
                <w:szCs w:val="17"/>
              </w:rPr>
              <w:t>omen</w:t>
            </w:r>
            <w:r w:rsidRPr="001D13C7">
              <w:rPr>
                <w:sz w:val="17"/>
                <w:szCs w:val="17"/>
              </w:rPr>
              <w:t>:</w:t>
            </w:r>
            <w:r w:rsidR="008D1F0F" w:rsidRPr="001D13C7">
              <w:rPr>
                <w:sz w:val="17"/>
                <w:szCs w:val="17"/>
              </w:rPr>
              <w:t>20</w:t>
            </w:r>
            <w:r w:rsidR="00804D33" w:rsidRPr="001D13C7">
              <w:rPr>
                <w:sz w:val="17"/>
                <w:szCs w:val="17"/>
              </w:rPr>
              <w:t>,000</w:t>
            </w:r>
            <w:r w:rsidRPr="001D13C7">
              <w:rPr>
                <w:sz w:val="17"/>
                <w:szCs w:val="17"/>
              </w:rPr>
              <w:t xml:space="preserve"> M</w:t>
            </w:r>
            <w:r w:rsidR="00870CF0">
              <w:rPr>
                <w:sz w:val="17"/>
                <w:szCs w:val="17"/>
              </w:rPr>
              <w:t>en</w:t>
            </w:r>
            <w:r w:rsidRPr="001D13C7">
              <w:rPr>
                <w:sz w:val="17"/>
                <w:szCs w:val="17"/>
              </w:rPr>
              <w:t>:</w:t>
            </w:r>
            <w:r w:rsidR="008D1F0F" w:rsidRPr="001D13C7">
              <w:rPr>
                <w:sz w:val="17"/>
                <w:szCs w:val="17"/>
              </w:rPr>
              <w:t>20</w:t>
            </w:r>
            <w:r w:rsidR="00804D33" w:rsidRPr="001D13C7">
              <w:rPr>
                <w:sz w:val="17"/>
                <w:szCs w:val="17"/>
              </w:rPr>
              <w:t>,000</w:t>
            </w:r>
          </w:p>
          <w:p w14:paraId="649FAC54" w14:textId="587A48A6" w:rsidR="001505FE" w:rsidRPr="001D13C7" w:rsidRDefault="001505FE" w:rsidP="0092368D">
            <w:pPr>
              <w:rPr>
                <w:sz w:val="17"/>
                <w:szCs w:val="17"/>
              </w:rPr>
            </w:pPr>
            <w:r w:rsidRPr="001D13C7">
              <w:rPr>
                <w:sz w:val="17"/>
                <w:szCs w:val="17"/>
              </w:rPr>
              <w:t xml:space="preserve">Annual </w:t>
            </w:r>
          </w:p>
          <w:p w14:paraId="5CA2F3C5" w14:textId="6641F3AD" w:rsidR="001505FE" w:rsidRPr="001D13C7" w:rsidRDefault="001505FE" w:rsidP="0092368D">
            <w:pPr>
              <w:rPr>
                <w:sz w:val="17"/>
                <w:szCs w:val="17"/>
              </w:rPr>
            </w:pPr>
            <w:r w:rsidRPr="001D13C7">
              <w:rPr>
                <w:sz w:val="17"/>
                <w:szCs w:val="17"/>
              </w:rPr>
              <w:t>UNDP</w:t>
            </w:r>
            <w:r w:rsidR="00A322C3" w:rsidRPr="001D13C7">
              <w:rPr>
                <w:sz w:val="17"/>
                <w:szCs w:val="17"/>
              </w:rPr>
              <w:t xml:space="preserve"> project data collection</w:t>
            </w:r>
          </w:p>
          <w:p w14:paraId="726EC3ED" w14:textId="77777777" w:rsidR="001505FE" w:rsidRPr="001D13C7" w:rsidRDefault="001505FE" w:rsidP="0092368D">
            <w:pPr>
              <w:rPr>
                <w:color w:val="212121"/>
                <w:sz w:val="17"/>
                <w:szCs w:val="17"/>
                <w:shd w:val="clear" w:color="auto" w:fill="FFFFFF"/>
              </w:rPr>
            </w:pPr>
          </w:p>
          <w:p w14:paraId="644D6238" w14:textId="132BC0C6" w:rsidR="007F233F" w:rsidRPr="001D13C7" w:rsidRDefault="001505FE" w:rsidP="0092368D">
            <w:pPr>
              <w:rPr>
                <w:color w:val="000000"/>
                <w:sz w:val="17"/>
                <w:szCs w:val="17"/>
              </w:rPr>
            </w:pPr>
            <w:r w:rsidRPr="001D13C7">
              <w:rPr>
                <w:sz w:val="17"/>
                <w:szCs w:val="17"/>
              </w:rPr>
              <w:t>Output 1.</w:t>
            </w:r>
            <w:r w:rsidR="007F233F" w:rsidRPr="001D13C7">
              <w:rPr>
                <w:sz w:val="17"/>
                <w:szCs w:val="17"/>
              </w:rPr>
              <w:t>3</w:t>
            </w:r>
            <w:r w:rsidRPr="001D13C7">
              <w:rPr>
                <w:sz w:val="17"/>
                <w:szCs w:val="17"/>
              </w:rPr>
              <w:t xml:space="preserve"> </w:t>
            </w:r>
            <w:r w:rsidR="007F233F" w:rsidRPr="001D13C7">
              <w:rPr>
                <w:color w:val="000000"/>
                <w:sz w:val="17"/>
                <w:szCs w:val="17"/>
              </w:rPr>
              <w:t xml:space="preserve">National / subnational systems and institutions enabled to achieve structural transformation of </w:t>
            </w:r>
            <w:r w:rsidR="007F233F" w:rsidRPr="001D13C7">
              <w:rPr>
                <w:sz w:val="17"/>
                <w:szCs w:val="17"/>
              </w:rPr>
              <w:t xml:space="preserve">productive capacities that are </w:t>
            </w:r>
            <w:r w:rsidR="007F233F" w:rsidRPr="001D13C7">
              <w:rPr>
                <w:color w:val="000000"/>
                <w:sz w:val="17"/>
                <w:szCs w:val="17"/>
              </w:rPr>
              <w:t>sustainable and employment- and livelihood-  intensive</w:t>
            </w:r>
          </w:p>
          <w:p w14:paraId="284163DE" w14:textId="77777777" w:rsidR="00A210E8" w:rsidRPr="001D13C7" w:rsidRDefault="00A210E8" w:rsidP="0092368D">
            <w:pPr>
              <w:rPr>
                <w:b/>
                <w:color w:val="000000"/>
                <w:sz w:val="17"/>
                <w:szCs w:val="17"/>
              </w:rPr>
            </w:pPr>
          </w:p>
          <w:p w14:paraId="36AEAAAB" w14:textId="7C3FAE40" w:rsidR="001505FE" w:rsidRPr="001D13C7" w:rsidRDefault="001505FE" w:rsidP="0092368D">
            <w:pPr>
              <w:rPr>
                <w:sz w:val="17"/>
                <w:szCs w:val="17"/>
              </w:rPr>
            </w:pPr>
            <w:r w:rsidRPr="001D13C7">
              <w:rPr>
                <w:sz w:val="17"/>
                <w:szCs w:val="17"/>
              </w:rPr>
              <w:t xml:space="preserve">New mechanisms developed to improve employability of young people in formal sector through vocational training </w:t>
            </w:r>
          </w:p>
          <w:p w14:paraId="65D633A4" w14:textId="77777777" w:rsidR="001505FE" w:rsidRPr="001D13C7" w:rsidRDefault="001505FE" w:rsidP="0092368D">
            <w:pPr>
              <w:rPr>
                <w:sz w:val="17"/>
                <w:szCs w:val="17"/>
              </w:rPr>
            </w:pPr>
            <w:r w:rsidRPr="001D13C7">
              <w:rPr>
                <w:sz w:val="17"/>
                <w:szCs w:val="17"/>
              </w:rPr>
              <w:t>1 = Not implemented</w:t>
            </w:r>
          </w:p>
          <w:p w14:paraId="65880C64" w14:textId="77777777" w:rsidR="001505FE" w:rsidRPr="001D13C7" w:rsidRDefault="001505FE" w:rsidP="0092368D">
            <w:pPr>
              <w:rPr>
                <w:sz w:val="17"/>
                <w:szCs w:val="17"/>
              </w:rPr>
            </w:pPr>
            <w:r w:rsidRPr="001D13C7">
              <w:rPr>
                <w:sz w:val="17"/>
                <w:szCs w:val="17"/>
              </w:rPr>
              <w:t>2 = Very partially</w:t>
            </w:r>
          </w:p>
          <w:p w14:paraId="2F505529" w14:textId="77777777" w:rsidR="001505FE" w:rsidRPr="001D13C7" w:rsidRDefault="001505FE" w:rsidP="0092368D">
            <w:pPr>
              <w:rPr>
                <w:sz w:val="17"/>
                <w:szCs w:val="17"/>
              </w:rPr>
            </w:pPr>
            <w:r w:rsidRPr="001D13C7">
              <w:rPr>
                <w:sz w:val="17"/>
                <w:szCs w:val="17"/>
              </w:rPr>
              <w:t>3 = Partially</w:t>
            </w:r>
          </w:p>
          <w:p w14:paraId="37DFD0E6" w14:textId="77777777" w:rsidR="001505FE" w:rsidRPr="001D13C7" w:rsidRDefault="001505FE" w:rsidP="0092368D">
            <w:pPr>
              <w:rPr>
                <w:sz w:val="17"/>
                <w:szCs w:val="17"/>
              </w:rPr>
            </w:pPr>
            <w:r w:rsidRPr="001D13C7">
              <w:rPr>
                <w:sz w:val="17"/>
                <w:szCs w:val="17"/>
              </w:rPr>
              <w:t>4 = Mostly</w:t>
            </w:r>
          </w:p>
          <w:p w14:paraId="205DDA94" w14:textId="69BA92CA" w:rsidR="001505FE" w:rsidRPr="001D13C7" w:rsidRDefault="001505FE" w:rsidP="0092368D">
            <w:pPr>
              <w:rPr>
                <w:sz w:val="17"/>
                <w:szCs w:val="17"/>
              </w:rPr>
            </w:pPr>
            <w:r w:rsidRPr="001D13C7">
              <w:rPr>
                <w:sz w:val="17"/>
                <w:szCs w:val="17"/>
              </w:rPr>
              <w:t>B</w:t>
            </w:r>
            <w:r w:rsidR="00870CF0">
              <w:rPr>
                <w:sz w:val="17"/>
                <w:szCs w:val="17"/>
              </w:rPr>
              <w:t>aseline</w:t>
            </w:r>
            <w:r w:rsidRPr="001D13C7">
              <w:rPr>
                <w:sz w:val="17"/>
                <w:szCs w:val="17"/>
              </w:rPr>
              <w:t>: 1</w:t>
            </w:r>
          </w:p>
          <w:p w14:paraId="4B971D22" w14:textId="359E3A62" w:rsidR="001505FE" w:rsidRPr="001D13C7" w:rsidRDefault="001505FE" w:rsidP="0092368D">
            <w:pPr>
              <w:rPr>
                <w:sz w:val="17"/>
                <w:szCs w:val="17"/>
              </w:rPr>
            </w:pPr>
            <w:r w:rsidRPr="001D13C7">
              <w:rPr>
                <w:sz w:val="17"/>
                <w:szCs w:val="17"/>
              </w:rPr>
              <w:t>T</w:t>
            </w:r>
            <w:r w:rsidR="00870CF0">
              <w:rPr>
                <w:sz w:val="17"/>
                <w:szCs w:val="17"/>
              </w:rPr>
              <w:t>arget</w:t>
            </w:r>
            <w:r w:rsidRPr="001D13C7">
              <w:rPr>
                <w:sz w:val="17"/>
                <w:szCs w:val="17"/>
              </w:rPr>
              <w:t>: 3</w:t>
            </w:r>
          </w:p>
          <w:p w14:paraId="7F45721F" w14:textId="320CBC5F" w:rsidR="001505FE" w:rsidRPr="001D13C7" w:rsidRDefault="001505FE" w:rsidP="0092368D">
            <w:pPr>
              <w:rPr>
                <w:sz w:val="17"/>
                <w:szCs w:val="17"/>
              </w:rPr>
            </w:pPr>
            <w:r w:rsidRPr="001D13C7">
              <w:rPr>
                <w:sz w:val="17"/>
                <w:szCs w:val="17"/>
              </w:rPr>
              <w:lastRenderedPageBreak/>
              <w:t>Annual</w:t>
            </w:r>
          </w:p>
          <w:p w14:paraId="2638081F" w14:textId="4C464E40" w:rsidR="001505FE" w:rsidRPr="001D13C7" w:rsidRDefault="005242FC" w:rsidP="0092368D">
            <w:pPr>
              <w:rPr>
                <w:sz w:val="17"/>
                <w:szCs w:val="17"/>
              </w:rPr>
            </w:pPr>
            <w:r w:rsidRPr="005242FC">
              <w:rPr>
                <w:color w:val="212121"/>
                <w:sz w:val="17"/>
                <w:szCs w:val="17"/>
                <w:shd w:val="clear" w:color="auto" w:fill="FFFFFF"/>
              </w:rPr>
              <w:t>National Service for Industrial Training</w:t>
            </w:r>
            <w:r>
              <w:rPr>
                <w:color w:val="212121"/>
                <w:sz w:val="17"/>
                <w:szCs w:val="17"/>
                <w:shd w:val="clear" w:color="auto" w:fill="FFFFFF"/>
              </w:rPr>
              <w:t xml:space="preserve">; </w:t>
            </w:r>
            <w:r w:rsidR="001505FE" w:rsidRPr="001D13C7">
              <w:rPr>
                <w:sz w:val="17"/>
                <w:szCs w:val="17"/>
              </w:rPr>
              <w:t>UNDP</w:t>
            </w:r>
          </w:p>
          <w:p w14:paraId="4E9C66A7" w14:textId="77777777" w:rsidR="001505FE" w:rsidRPr="001D13C7" w:rsidRDefault="001505FE" w:rsidP="0092368D">
            <w:pPr>
              <w:rPr>
                <w:sz w:val="17"/>
                <w:szCs w:val="17"/>
              </w:rPr>
            </w:pPr>
          </w:p>
          <w:p w14:paraId="611AE2E4" w14:textId="07FE368D" w:rsidR="001505FE" w:rsidRPr="001D13C7" w:rsidRDefault="001505FE" w:rsidP="0092368D">
            <w:pPr>
              <w:rPr>
                <w:sz w:val="17"/>
                <w:szCs w:val="17"/>
              </w:rPr>
            </w:pPr>
            <w:r w:rsidRPr="001D13C7">
              <w:rPr>
                <w:sz w:val="17"/>
                <w:szCs w:val="17"/>
              </w:rPr>
              <w:t xml:space="preserve">Number of men and women </w:t>
            </w:r>
            <w:r w:rsidR="007F233F" w:rsidRPr="001D13C7">
              <w:rPr>
                <w:sz w:val="17"/>
                <w:szCs w:val="17"/>
              </w:rPr>
              <w:t xml:space="preserve">living in poverty </w:t>
            </w:r>
            <w:r w:rsidR="00645EFA" w:rsidRPr="001D13C7">
              <w:rPr>
                <w:sz w:val="17"/>
                <w:szCs w:val="17"/>
              </w:rPr>
              <w:t xml:space="preserve">in rural sector </w:t>
            </w:r>
            <w:r w:rsidRPr="001D13C7">
              <w:rPr>
                <w:sz w:val="17"/>
                <w:szCs w:val="17"/>
              </w:rPr>
              <w:t xml:space="preserve">with </w:t>
            </w:r>
            <w:r w:rsidR="00645EFA" w:rsidRPr="001D13C7">
              <w:rPr>
                <w:sz w:val="17"/>
                <w:szCs w:val="17"/>
              </w:rPr>
              <w:t>access to credit a</w:t>
            </w:r>
            <w:r w:rsidR="00870CF0">
              <w:rPr>
                <w:sz w:val="17"/>
                <w:szCs w:val="17"/>
              </w:rPr>
              <w:t>nd</w:t>
            </w:r>
            <w:r w:rsidR="00645EFA" w:rsidRPr="001D13C7">
              <w:rPr>
                <w:sz w:val="17"/>
                <w:szCs w:val="17"/>
              </w:rPr>
              <w:t>/o</w:t>
            </w:r>
            <w:r w:rsidR="00870CF0">
              <w:rPr>
                <w:sz w:val="17"/>
                <w:szCs w:val="17"/>
              </w:rPr>
              <w:t>r</w:t>
            </w:r>
            <w:r w:rsidR="00645EFA" w:rsidRPr="001D13C7">
              <w:rPr>
                <w:sz w:val="17"/>
                <w:szCs w:val="17"/>
              </w:rPr>
              <w:t xml:space="preserve"> land titles </w:t>
            </w:r>
          </w:p>
          <w:p w14:paraId="5F7F36F1" w14:textId="4569EC9F" w:rsidR="001505FE" w:rsidRPr="001D13C7" w:rsidRDefault="001505FE" w:rsidP="0092368D">
            <w:pPr>
              <w:rPr>
                <w:sz w:val="17"/>
                <w:szCs w:val="17"/>
              </w:rPr>
            </w:pPr>
            <w:r w:rsidRPr="001D13C7">
              <w:rPr>
                <w:sz w:val="17"/>
                <w:szCs w:val="17"/>
              </w:rPr>
              <w:t>B</w:t>
            </w:r>
            <w:r w:rsidR="00870CF0">
              <w:rPr>
                <w:sz w:val="17"/>
                <w:szCs w:val="17"/>
              </w:rPr>
              <w:t>aseline</w:t>
            </w:r>
            <w:r w:rsidRPr="001D13C7">
              <w:rPr>
                <w:sz w:val="17"/>
                <w:szCs w:val="17"/>
              </w:rPr>
              <w:t>: W</w:t>
            </w:r>
            <w:r w:rsidR="00870CF0">
              <w:rPr>
                <w:sz w:val="17"/>
                <w:szCs w:val="17"/>
              </w:rPr>
              <w:t>omen</w:t>
            </w:r>
            <w:r w:rsidRPr="001D13C7">
              <w:rPr>
                <w:sz w:val="17"/>
                <w:szCs w:val="17"/>
              </w:rPr>
              <w:t>: 2,500; M</w:t>
            </w:r>
            <w:r w:rsidR="00870CF0">
              <w:rPr>
                <w:sz w:val="17"/>
                <w:szCs w:val="17"/>
              </w:rPr>
              <w:t>en</w:t>
            </w:r>
            <w:r w:rsidRPr="001D13C7">
              <w:rPr>
                <w:sz w:val="17"/>
                <w:szCs w:val="17"/>
              </w:rPr>
              <w:t xml:space="preserve">: 2,500 </w:t>
            </w:r>
          </w:p>
          <w:p w14:paraId="2E6BADE5" w14:textId="513159A3" w:rsidR="001505FE" w:rsidRPr="001D13C7" w:rsidRDefault="001505FE" w:rsidP="0092368D">
            <w:pPr>
              <w:rPr>
                <w:sz w:val="17"/>
                <w:szCs w:val="17"/>
              </w:rPr>
            </w:pPr>
            <w:r w:rsidRPr="001D13C7">
              <w:rPr>
                <w:sz w:val="17"/>
                <w:szCs w:val="17"/>
              </w:rPr>
              <w:t>T</w:t>
            </w:r>
            <w:r w:rsidR="00870CF0">
              <w:rPr>
                <w:sz w:val="17"/>
                <w:szCs w:val="17"/>
              </w:rPr>
              <w:t>arget</w:t>
            </w:r>
            <w:r w:rsidRPr="001D13C7">
              <w:rPr>
                <w:sz w:val="17"/>
                <w:szCs w:val="17"/>
              </w:rPr>
              <w:t>: W</w:t>
            </w:r>
            <w:r w:rsidR="00870CF0">
              <w:rPr>
                <w:sz w:val="17"/>
                <w:szCs w:val="17"/>
              </w:rPr>
              <w:t>omen</w:t>
            </w:r>
            <w:r w:rsidRPr="001D13C7">
              <w:rPr>
                <w:sz w:val="17"/>
                <w:szCs w:val="17"/>
              </w:rPr>
              <w:t xml:space="preserve">: </w:t>
            </w:r>
            <w:r w:rsidR="008D1F0F" w:rsidRPr="001D13C7">
              <w:rPr>
                <w:sz w:val="17"/>
                <w:szCs w:val="17"/>
              </w:rPr>
              <w:t>10</w:t>
            </w:r>
            <w:r w:rsidRPr="001D13C7">
              <w:rPr>
                <w:sz w:val="17"/>
                <w:szCs w:val="17"/>
              </w:rPr>
              <w:t>,000; M</w:t>
            </w:r>
            <w:r w:rsidR="00870CF0">
              <w:rPr>
                <w:sz w:val="17"/>
                <w:szCs w:val="17"/>
              </w:rPr>
              <w:t>en</w:t>
            </w:r>
            <w:r w:rsidRPr="001D13C7">
              <w:rPr>
                <w:sz w:val="17"/>
                <w:szCs w:val="17"/>
              </w:rPr>
              <w:t xml:space="preserve">: </w:t>
            </w:r>
            <w:r w:rsidR="008D1F0F" w:rsidRPr="001D13C7">
              <w:rPr>
                <w:sz w:val="17"/>
                <w:szCs w:val="17"/>
              </w:rPr>
              <w:t>10</w:t>
            </w:r>
            <w:r w:rsidRPr="001D13C7">
              <w:rPr>
                <w:sz w:val="17"/>
                <w:szCs w:val="17"/>
              </w:rPr>
              <w:t>,000</w:t>
            </w:r>
          </w:p>
          <w:p w14:paraId="73FAE4B5" w14:textId="3E7F79F8" w:rsidR="001505FE" w:rsidRPr="001D13C7" w:rsidRDefault="001505FE" w:rsidP="0092368D">
            <w:pPr>
              <w:rPr>
                <w:sz w:val="17"/>
                <w:szCs w:val="17"/>
              </w:rPr>
            </w:pPr>
            <w:r w:rsidRPr="001D13C7">
              <w:rPr>
                <w:sz w:val="17"/>
                <w:szCs w:val="17"/>
              </w:rPr>
              <w:t>Annual</w:t>
            </w:r>
          </w:p>
          <w:p w14:paraId="7B24EEA2" w14:textId="5980B1EC" w:rsidR="001505FE" w:rsidRPr="001D13C7" w:rsidRDefault="00D42CD2" w:rsidP="0092368D">
            <w:pPr>
              <w:rPr>
                <w:sz w:val="17"/>
                <w:szCs w:val="17"/>
              </w:rPr>
            </w:pPr>
            <w:r>
              <w:rPr>
                <w:sz w:val="17"/>
                <w:szCs w:val="17"/>
              </w:rPr>
              <w:t>Development Bank of Peru</w:t>
            </w:r>
            <w:r w:rsidR="001505FE" w:rsidRPr="001D13C7">
              <w:rPr>
                <w:sz w:val="17"/>
                <w:szCs w:val="17"/>
              </w:rPr>
              <w:t>; UNDP</w:t>
            </w:r>
            <w:r w:rsidR="00A322C3" w:rsidRPr="001D13C7">
              <w:rPr>
                <w:sz w:val="17"/>
                <w:szCs w:val="17"/>
              </w:rPr>
              <w:t xml:space="preserve"> project data</w:t>
            </w:r>
          </w:p>
          <w:p w14:paraId="52E3B8DB" w14:textId="77777777" w:rsidR="001505FE" w:rsidRPr="001D13C7" w:rsidRDefault="001505FE" w:rsidP="0092368D">
            <w:pPr>
              <w:rPr>
                <w:sz w:val="17"/>
                <w:szCs w:val="17"/>
              </w:rPr>
            </w:pPr>
          </w:p>
          <w:p w14:paraId="05379B14" w14:textId="685892A0" w:rsidR="001505FE" w:rsidRPr="001D13C7" w:rsidRDefault="00A322C3" w:rsidP="0092368D">
            <w:pPr>
              <w:rPr>
                <w:sz w:val="17"/>
                <w:szCs w:val="17"/>
              </w:rPr>
            </w:pPr>
            <w:r w:rsidRPr="001D13C7">
              <w:rPr>
                <w:sz w:val="17"/>
                <w:szCs w:val="17"/>
              </w:rPr>
              <w:t>Number of polic</w:t>
            </w:r>
            <w:r w:rsidR="0098730E" w:rsidRPr="001D13C7">
              <w:rPr>
                <w:sz w:val="17"/>
                <w:szCs w:val="17"/>
              </w:rPr>
              <w:t>ies</w:t>
            </w:r>
            <w:r w:rsidRPr="001D13C7">
              <w:rPr>
                <w:sz w:val="17"/>
                <w:szCs w:val="17"/>
              </w:rPr>
              <w:t xml:space="preserve"> and/or policy instruments to promote gender equality and women’s economic empowerment</w:t>
            </w:r>
            <w:r w:rsidR="001505FE" w:rsidRPr="001D13C7">
              <w:rPr>
                <w:sz w:val="17"/>
                <w:szCs w:val="17"/>
              </w:rPr>
              <w:t xml:space="preserve">  </w:t>
            </w:r>
          </w:p>
          <w:p w14:paraId="09CE18F3" w14:textId="1847FDEF" w:rsidR="001505FE" w:rsidRPr="001D13C7" w:rsidRDefault="001505FE" w:rsidP="0092368D">
            <w:pPr>
              <w:rPr>
                <w:sz w:val="17"/>
                <w:szCs w:val="17"/>
              </w:rPr>
            </w:pPr>
            <w:r w:rsidRPr="001D13C7">
              <w:rPr>
                <w:sz w:val="17"/>
                <w:szCs w:val="17"/>
              </w:rPr>
              <w:t>B</w:t>
            </w:r>
            <w:r w:rsidR="00870CF0">
              <w:rPr>
                <w:sz w:val="17"/>
                <w:szCs w:val="17"/>
              </w:rPr>
              <w:t>aseline</w:t>
            </w:r>
            <w:r w:rsidRPr="001D13C7">
              <w:rPr>
                <w:sz w:val="17"/>
                <w:szCs w:val="17"/>
              </w:rPr>
              <w:t xml:space="preserve">: </w:t>
            </w:r>
            <w:r w:rsidR="00C9223D" w:rsidRPr="001D13C7">
              <w:rPr>
                <w:sz w:val="17"/>
                <w:szCs w:val="17"/>
              </w:rPr>
              <w:t>3</w:t>
            </w:r>
          </w:p>
          <w:p w14:paraId="429FCDE3" w14:textId="1CE5849B" w:rsidR="001505FE" w:rsidRPr="001D13C7" w:rsidRDefault="001505FE" w:rsidP="0092368D">
            <w:pPr>
              <w:rPr>
                <w:sz w:val="17"/>
                <w:szCs w:val="17"/>
              </w:rPr>
            </w:pPr>
            <w:r w:rsidRPr="001D13C7">
              <w:rPr>
                <w:sz w:val="17"/>
                <w:szCs w:val="17"/>
              </w:rPr>
              <w:t>T</w:t>
            </w:r>
            <w:r w:rsidR="00870CF0">
              <w:rPr>
                <w:sz w:val="17"/>
                <w:szCs w:val="17"/>
              </w:rPr>
              <w:t>arget</w:t>
            </w:r>
            <w:r w:rsidRPr="001D13C7">
              <w:rPr>
                <w:sz w:val="17"/>
                <w:szCs w:val="17"/>
              </w:rPr>
              <w:t xml:space="preserve">: </w:t>
            </w:r>
            <w:r w:rsidR="00C9223D" w:rsidRPr="001D13C7">
              <w:rPr>
                <w:sz w:val="17"/>
                <w:szCs w:val="17"/>
              </w:rPr>
              <w:t>6</w:t>
            </w:r>
          </w:p>
          <w:p w14:paraId="07AA4C5E" w14:textId="31D40AAE" w:rsidR="001505FE" w:rsidRPr="001D13C7" w:rsidRDefault="001505FE" w:rsidP="0092368D">
            <w:pPr>
              <w:rPr>
                <w:sz w:val="17"/>
                <w:szCs w:val="17"/>
              </w:rPr>
            </w:pPr>
            <w:r w:rsidRPr="001D13C7">
              <w:rPr>
                <w:sz w:val="17"/>
                <w:szCs w:val="17"/>
              </w:rPr>
              <w:t>Annual</w:t>
            </w:r>
          </w:p>
          <w:p w14:paraId="2B406FE4" w14:textId="18B3D17F" w:rsidR="001505FE" w:rsidRPr="001D13C7" w:rsidRDefault="003F0627" w:rsidP="0092368D">
            <w:pPr>
              <w:rPr>
                <w:sz w:val="17"/>
                <w:szCs w:val="17"/>
              </w:rPr>
            </w:pPr>
            <w:r>
              <w:rPr>
                <w:sz w:val="17"/>
                <w:szCs w:val="17"/>
              </w:rPr>
              <w:t>MIMP</w:t>
            </w:r>
          </w:p>
          <w:p w14:paraId="62114B14" w14:textId="77777777" w:rsidR="001505FE" w:rsidRPr="001D13C7" w:rsidRDefault="001505FE" w:rsidP="0092368D">
            <w:pPr>
              <w:rPr>
                <w:sz w:val="17"/>
                <w:szCs w:val="17"/>
              </w:rPr>
            </w:pPr>
          </w:p>
          <w:p w14:paraId="35A0A85A" w14:textId="77777777" w:rsidR="001505FE" w:rsidRPr="001D13C7" w:rsidRDefault="001505FE" w:rsidP="0092368D">
            <w:pPr>
              <w:rPr>
                <w:rFonts w:eastAsia="Calibri"/>
                <w:iCs/>
                <w:color w:val="000000"/>
                <w:sz w:val="17"/>
                <w:szCs w:val="17"/>
              </w:rPr>
            </w:pPr>
          </w:p>
        </w:tc>
        <w:tc>
          <w:tcPr>
            <w:tcW w:w="768" w:type="pct"/>
            <w:vMerge w:val="restart"/>
            <w:tcBorders>
              <w:top w:val="single" w:sz="4" w:space="0" w:color="auto"/>
              <w:left w:val="single" w:sz="4" w:space="0" w:color="auto"/>
              <w:bottom w:val="single" w:sz="4" w:space="0" w:color="auto"/>
              <w:right w:val="single" w:sz="4" w:space="0" w:color="auto"/>
            </w:tcBorders>
          </w:tcPr>
          <w:p w14:paraId="6F6760EE" w14:textId="5D950CF4" w:rsidR="001505FE" w:rsidRPr="001D13C7" w:rsidRDefault="00D42CD2" w:rsidP="0092368D">
            <w:pPr>
              <w:rPr>
                <w:color w:val="212121"/>
                <w:sz w:val="17"/>
                <w:szCs w:val="17"/>
                <w:shd w:val="clear" w:color="auto" w:fill="FFFFFF"/>
              </w:rPr>
            </w:pPr>
            <w:r>
              <w:rPr>
                <w:color w:val="212121"/>
                <w:sz w:val="17"/>
                <w:szCs w:val="17"/>
                <w:shd w:val="clear" w:color="auto" w:fill="FFFFFF"/>
              </w:rPr>
              <w:lastRenderedPageBreak/>
              <w:t>PCM</w:t>
            </w:r>
          </w:p>
          <w:p w14:paraId="3B2093F8" w14:textId="2EAA83AA" w:rsidR="00D42CD2" w:rsidRDefault="00241A48" w:rsidP="005F1373">
            <w:pPr>
              <w:rPr>
                <w:color w:val="212121"/>
                <w:sz w:val="17"/>
                <w:szCs w:val="17"/>
                <w:shd w:val="clear" w:color="auto" w:fill="FFFFFF"/>
              </w:rPr>
            </w:pPr>
            <w:r>
              <w:rPr>
                <w:color w:val="212121"/>
                <w:sz w:val="17"/>
                <w:szCs w:val="17"/>
                <w:shd w:val="clear" w:color="auto" w:fill="FFFFFF"/>
              </w:rPr>
              <w:t>Ministry of Foreign Affairs</w:t>
            </w:r>
          </w:p>
          <w:p w14:paraId="0C58C1FC" w14:textId="77777777" w:rsidR="00D42CD2" w:rsidRDefault="00D42CD2" w:rsidP="005F1373">
            <w:pPr>
              <w:rPr>
                <w:color w:val="212121"/>
                <w:sz w:val="17"/>
                <w:szCs w:val="17"/>
                <w:shd w:val="clear" w:color="auto" w:fill="FFFFFF"/>
              </w:rPr>
            </w:pPr>
            <w:r>
              <w:rPr>
                <w:color w:val="212121"/>
                <w:sz w:val="17"/>
                <w:szCs w:val="17"/>
                <w:shd w:val="clear" w:color="auto" w:fill="FFFFFF"/>
              </w:rPr>
              <w:t>MEF</w:t>
            </w:r>
          </w:p>
          <w:p w14:paraId="34025BC8" w14:textId="77777777" w:rsidR="00D42CD2" w:rsidRDefault="00D42CD2" w:rsidP="005F1373">
            <w:pPr>
              <w:rPr>
                <w:color w:val="212121"/>
                <w:sz w:val="17"/>
                <w:szCs w:val="17"/>
                <w:shd w:val="clear" w:color="auto" w:fill="FFFFFF"/>
              </w:rPr>
            </w:pPr>
            <w:r>
              <w:rPr>
                <w:color w:val="212121"/>
                <w:sz w:val="17"/>
                <w:szCs w:val="17"/>
                <w:shd w:val="clear" w:color="auto" w:fill="FFFFFF"/>
              </w:rPr>
              <w:t>MINAM</w:t>
            </w:r>
          </w:p>
          <w:p w14:paraId="49228201" w14:textId="77777777" w:rsidR="00D42CD2" w:rsidRDefault="00D42CD2" w:rsidP="005F1373">
            <w:pPr>
              <w:rPr>
                <w:color w:val="212121"/>
                <w:sz w:val="17"/>
                <w:szCs w:val="17"/>
                <w:shd w:val="clear" w:color="auto" w:fill="FFFFFF"/>
              </w:rPr>
            </w:pPr>
            <w:r>
              <w:rPr>
                <w:color w:val="212121"/>
                <w:sz w:val="17"/>
                <w:szCs w:val="17"/>
                <w:shd w:val="clear" w:color="auto" w:fill="FFFFFF"/>
              </w:rPr>
              <w:t>MIMP</w:t>
            </w:r>
          </w:p>
          <w:p w14:paraId="401C375B" w14:textId="77777777" w:rsidR="00D42CD2" w:rsidRDefault="00D42CD2" w:rsidP="005F1373">
            <w:pPr>
              <w:rPr>
                <w:color w:val="212121"/>
                <w:sz w:val="17"/>
                <w:szCs w:val="17"/>
                <w:shd w:val="clear" w:color="auto" w:fill="FFFFFF"/>
              </w:rPr>
            </w:pPr>
            <w:r>
              <w:rPr>
                <w:color w:val="212121"/>
                <w:sz w:val="17"/>
                <w:szCs w:val="17"/>
                <w:shd w:val="clear" w:color="auto" w:fill="FFFFFF"/>
              </w:rPr>
              <w:t>PRODUCE</w:t>
            </w:r>
          </w:p>
          <w:p w14:paraId="047A7B86" w14:textId="77777777" w:rsidR="004C5D3F" w:rsidRDefault="004C5D3F" w:rsidP="005F1373">
            <w:pPr>
              <w:rPr>
                <w:color w:val="212121"/>
                <w:sz w:val="17"/>
                <w:szCs w:val="17"/>
                <w:shd w:val="clear" w:color="auto" w:fill="FFFFFF"/>
              </w:rPr>
            </w:pPr>
            <w:r>
              <w:rPr>
                <w:color w:val="212121"/>
                <w:sz w:val="17"/>
                <w:szCs w:val="17"/>
                <w:shd w:val="clear" w:color="auto" w:fill="FFFFFF"/>
              </w:rPr>
              <w:t>MTPE</w:t>
            </w:r>
          </w:p>
          <w:p w14:paraId="32C80642" w14:textId="02741DEE" w:rsidR="00A273F1" w:rsidRPr="001D13C7" w:rsidRDefault="00D42CD2" w:rsidP="005F1373">
            <w:pPr>
              <w:rPr>
                <w:color w:val="212121"/>
                <w:sz w:val="17"/>
                <w:szCs w:val="17"/>
                <w:shd w:val="clear" w:color="auto" w:fill="FFFFFF"/>
              </w:rPr>
            </w:pPr>
            <w:r>
              <w:rPr>
                <w:color w:val="212121"/>
                <w:sz w:val="17"/>
                <w:szCs w:val="17"/>
                <w:shd w:val="clear" w:color="auto" w:fill="FFFFFF"/>
              </w:rPr>
              <w:t>Ministries of</w:t>
            </w:r>
            <w:r w:rsidR="004C5D3F">
              <w:rPr>
                <w:color w:val="212121"/>
                <w:sz w:val="17"/>
                <w:szCs w:val="17"/>
                <w:shd w:val="clear" w:color="auto" w:fill="FFFFFF"/>
              </w:rPr>
              <w:t>:</w:t>
            </w:r>
            <w:r>
              <w:rPr>
                <w:color w:val="212121"/>
                <w:sz w:val="17"/>
                <w:szCs w:val="17"/>
                <w:shd w:val="clear" w:color="auto" w:fill="FFFFFF"/>
              </w:rPr>
              <w:t xml:space="preserve"> </w:t>
            </w:r>
          </w:p>
          <w:p w14:paraId="3BACDE78" w14:textId="77777777" w:rsidR="004C5D3F" w:rsidRDefault="001505FE" w:rsidP="0092368D">
            <w:pPr>
              <w:rPr>
                <w:color w:val="212121"/>
                <w:sz w:val="17"/>
                <w:szCs w:val="17"/>
                <w:shd w:val="clear" w:color="auto" w:fill="FFFFFF"/>
              </w:rPr>
            </w:pPr>
            <w:r w:rsidRPr="001D13C7">
              <w:rPr>
                <w:color w:val="212121"/>
                <w:sz w:val="17"/>
                <w:szCs w:val="17"/>
                <w:shd w:val="clear" w:color="auto" w:fill="FFFFFF"/>
              </w:rPr>
              <w:t>Agriculture</w:t>
            </w:r>
            <w:r w:rsidR="00555A63">
              <w:rPr>
                <w:color w:val="212121"/>
                <w:sz w:val="17"/>
                <w:szCs w:val="17"/>
                <w:shd w:val="clear" w:color="auto" w:fill="FFFFFF"/>
              </w:rPr>
              <w:t>;</w:t>
            </w:r>
            <w:r w:rsidRPr="001D13C7">
              <w:rPr>
                <w:color w:val="212121"/>
                <w:sz w:val="17"/>
                <w:szCs w:val="17"/>
                <w:shd w:val="clear" w:color="auto" w:fill="FFFFFF"/>
              </w:rPr>
              <w:t xml:space="preserve"> </w:t>
            </w:r>
          </w:p>
          <w:p w14:paraId="20417A68" w14:textId="673F97B3" w:rsidR="00555A63" w:rsidRDefault="00A273F1" w:rsidP="0092368D">
            <w:pPr>
              <w:rPr>
                <w:color w:val="212121"/>
                <w:sz w:val="17"/>
                <w:szCs w:val="17"/>
                <w:shd w:val="clear" w:color="auto" w:fill="FFFFFF"/>
              </w:rPr>
            </w:pPr>
            <w:r w:rsidRPr="001D13C7">
              <w:rPr>
                <w:color w:val="212121"/>
                <w:sz w:val="17"/>
                <w:szCs w:val="17"/>
                <w:shd w:val="clear" w:color="auto" w:fill="FFFFFF"/>
              </w:rPr>
              <w:t>Energy and Mining</w:t>
            </w:r>
            <w:r w:rsidR="005F1373">
              <w:rPr>
                <w:color w:val="212121"/>
                <w:sz w:val="17"/>
                <w:szCs w:val="17"/>
                <w:shd w:val="clear" w:color="auto" w:fill="FFFFFF"/>
              </w:rPr>
              <w:t xml:space="preserve">; </w:t>
            </w:r>
          </w:p>
          <w:p w14:paraId="3A6D630D" w14:textId="4F31EC51" w:rsidR="00A273F1" w:rsidRPr="001D13C7" w:rsidRDefault="001505FE" w:rsidP="0092368D">
            <w:pPr>
              <w:rPr>
                <w:color w:val="212121"/>
                <w:sz w:val="17"/>
                <w:szCs w:val="17"/>
                <w:shd w:val="clear" w:color="auto" w:fill="FFFFFF"/>
              </w:rPr>
            </w:pPr>
            <w:r w:rsidRPr="001D13C7">
              <w:rPr>
                <w:color w:val="212121"/>
                <w:sz w:val="17"/>
                <w:szCs w:val="17"/>
                <w:shd w:val="clear" w:color="auto" w:fill="FFFFFF"/>
              </w:rPr>
              <w:t>SINAGERD</w:t>
            </w:r>
          </w:p>
          <w:p w14:paraId="0587E296" w14:textId="4683333D"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National Civil Defense Institute</w:t>
            </w:r>
          </w:p>
          <w:p w14:paraId="490C3B01" w14:textId="79D3006A"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National Center of Risk </w:t>
            </w:r>
            <w:r w:rsidR="00A273F1" w:rsidRPr="001D13C7">
              <w:rPr>
                <w:color w:val="212121"/>
                <w:sz w:val="17"/>
                <w:szCs w:val="17"/>
                <w:shd w:val="clear" w:color="auto" w:fill="FFFFFF"/>
              </w:rPr>
              <w:t>P</w:t>
            </w:r>
            <w:r w:rsidRPr="001D13C7">
              <w:rPr>
                <w:color w:val="212121"/>
                <w:sz w:val="17"/>
                <w:szCs w:val="17"/>
                <w:shd w:val="clear" w:color="auto" w:fill="FFFFFF"/>
              </w:rPr>
              <w:t xml:space="preserve">revention, Estimation and Reduction </w:t>
            </w:r>
          </w:p>
          <w:p w14:paraId="75407D23" w14:textId="09026086" w:rsidR="001505FE" w:rsidRPr="00AE4B42" w:rsidRDefault="001505FE" w:rsidP="0092368D">
            <w:pPr>
              <w:rPr>
                <w:color w:val="212121"/>
                <w:sz w:val="17"/>
                <w:szCs w:val="17"/>
                <w:shd w:val="clear" w:color="auto" w:fill="FFFFFF"/>
              </w:rPr>
            </w:pPr>
            <w:r w:rsidRPr="00AE4B42">
              <w:rPr>
                <w:color w:val="212121"/>
                <w:sz w:val="17"/>
                <w:szCs w:val="17"/>
                <w:shd w:val="clear" w:color="auto" w:fill="FFFFFF"/>
              </w:rPr>
              <w:t>CEPLAN</w:t>
            </w:r>
            <w:r w:rsidR="00A646DC" w:rsidRPr="00AE4B42">
              <w:rPr>
                <w:color w:val="212121"/>
                <w:sz w:val="17"/>
                <w:szCs w:val="17"/>
                <w:shd w:val="clear" w:color="auto" w:fill="FFFFFF"/>
              </w:rPr>
              <w:t>;</w:t>
            </w:r>
          </w:p>
          <w:p w14:paraId="460D9782" w14:textId="3B3DAFE0" w:rsidR="001505FE" w:rsidRPr="00AE4B42" w:rsidRDefault="001505FE" w:rsidP="0092368D">
            <w:pPr>
              <w:rPr>
                <w:color w:val="212121"/>
                <w:sz w:val="17"/>
                <w:szCs w:val="17"/>
                <w:shd w:val="clear" w:color="auto" w:fill="FFFFFF"/>
              </w:rPr>
            </w:pPr>
            <w:r w:rsidRPr="00AE4B42">
              <w:rPr>
                <w:color w:val="212121"/>
                <w:sz w:val="17"/>
                <w:szCs w:val="17"/>
                <w:shd w:val="clear" w:color="auto" w:fill="FFFFFF"/>
              </w:rPr>
              <w:t>INEI</w:t>
            </w:r>
            <w:r w:rsidR="00A646DC" w:rsidRPr="00AE4B42">
              <w:rPr>
                <w:color w:val="212121"/>
                <w:sz w:val="17"/>
                <w:szCs w:val="17"/>
                <w:shd w:val="clear" w:color="auto" w:fill="FFFFFF"/>
              </w:rPr>
              <w:t>;</w:t>
            </w:r>
          </w:p>
          <w:p w14:paraId="127A305E" w14:textId="5751CE97" w:rsidR="001505FE" w:rsidRPr="005242FC" w:rsidRDefault="00A646DC" w:rsidP="0092368D">
            <w:pPr>
              <w:rPr>
                <w:color w:val="212121"/>
                <w:sz w:val="17"/>
                <w:szCs w:val="17"/>
                <w:shd w:val="clear" w:color="auto" w:fill="FFFFFF"/>
              </w:rPr>
            </w:pPr>
            <w:r w:rsidRPr="005242FC">
              <w:rPr>
                <w:color w:val="212121"/>
                <w:sz w:val="17"/>
                <w:szCs w:val="17"/>
                <w:shd w:val="clear" w:color="auto" w:fill="FFFFFF"/>
              </w:rPr>
              <w:t>National Service for Industrial</w:t>
            </w:r>
            <w:r w:rsidR="005242FC" w:rsidRPr="005242FC">
              <w:rPr>
                <w:color w:val="212121"/>
                <w:sz w:val="17"/>
                <w:szCs w:val="17"/>
                <w:shd w:val="clear" w:color="auto" w:fill="FFFFFF"/>
              </w:rPr>
              <w:t xml:space="preserve"> Training</w:t>
            </w:r>
            <w:r w:rsidRPr="005242FC">
              <w:rPr>
                <w:color w:val="212121"/>
                <w:sz w:val="17"/>
                <w:szCs w:val="17"/>
                <w:shd w:val="clear" w:color="auto" w:fill="FFFFFF"/>
              </w:rPr>
              <w:t xml:space="preserve"> </w:t>
            </w:r>
          </w:p>
          <w:p w14:paraId="749E4D54" w14:textId="18E6636B" w:rsidR="001505FE" w:rsidRPr="001D13C7" w:rsidRDefault="00A646DC" w:rsidP="0092368D">
            <w:pPr>
              <w:rPr>
                <w:color w:val="212121"/>
                <w:sz w:val="17"/>
                <w:szCs w:val="17"/>
                <w:shd w:val="clear" w:color="auto" w:fill="FFFFFF"/>
              </w:rPr>
            </w:pPr>
            <w:r>
              <w:rPr>
                <w:color w:val="212121"/>
                <w:sz w:val="17"/>
                <w:szCs w:val="17"/>
                <w:shd w:val="clear" w:color="auto" w:fill="FFFFFF"/>
              </w:rPr>
              <w:t xml:space="preserve">Development Bank of Peru </w:t>
            </w:r>
          </w:p>
          <w:p w14:paraId="78097EC8" w14:textId="13C3A09F"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Regional and Local </w:t>
            </w:r>
            <w:r w:rsidR="00A646DC">
              <w:rPr>
                <w:color w:val="212121"/>
                <w:sz w:val="17"/>
                <w:szCs w:val="17"/>
                <w:shd w:val="clear" w:color="auto" w:fill="FFFFFF"/>
              </w:rPr>
              <w:t>g</w:t>
            </w:r>
            <w:r w:rsidR="00A646DC" w:rsidRPr="001D13C7">
              <w:rPr>
                <w:color w:val="212121"/>
                <w:sz w:val="17"/>
                <w:szCs w:val="17"/>
                <w:shd w:val="clear" w:color="auto" w:fill="FFFFFF"/>
              </w:rPr>
              <w:t>overnments</w:t>
            </w:r>
          </w:p>
          <w:p w14:paraId="1F51B4D2" w14:textId="09C1733A" w:rsidR="001505FE" w:rsidRPr="00AE4B42" w:rsidRDefault="001505FE" w:rsidP="0092368D">
            <w:pPr>
              <w:rPr>
                <w:color w:val="212121"/>
                <w:sz w:val="17"/>
                <w:szCs w:val="17"/>
                <w:shd w:val="clear" w:color="auto" w:fill="FFFFFF"/>
                <w:lang w:val="es-PA"/>
              </w:rPr>
            </w:pPr>
            <w:r w:rsidRPr="00AE4B42">
              <w:rPr>
                <w:color w:val="212121"/>
                <w:sz w:val="17"/>
                <w:szCs w:val="17"/>
                <w:shd w:val="clear" w:color="auto" w:fill="FFFFFF"/>
                <w:lang w:val="es-PA"/>
              </w:rPr>
              <w:t xml:space="preserve">Private </w:t>
            </w:r>
            <w:r w:rsidR="00635F66">
              <w:rPr>
                <w:color w:val="212121"/>
                <w:sz w:val="17"/>
                <w:szCs w:val="17"/>
                <w:shd w:val="clear" w:color="auto" w:fill="FFFFFF"/>
                <w:lang w:val="es-PA"/>
              </w:rPr>
              <w:t>s</w:t>
            </w:r>
            <w:r w:rsidR="00635F66" w:rsidRPr="00AE4B42">
              <w:rPr>
                <w:color w:val="212121"/>
                <w:sz w:val="17"/>
                <w:szCs w:val="17"/>
                <w:shd w:val="clear" w:color="auto" w:fill="FFFFFF"/>
                <w:lang w:val="es-PA"/>
              </w:rPr>
              <w:t>ector</w:t>
            </w:r>
          </w:p>
          <w:p w14:paraId="1C92A100" w14:textId="77777777" w:rsidR="001505FE" w:rsidRPr="00AE4B42" w:rsidRDefault="001505FE" w:rsidP="0092368D">
            <w:pPr>
              <w:rPr>
                <w:color w:val="212121"/>
                <w:sz w:val="17"/>
                <w:szCs w:val="17"/>
                <w:shd w:val="clear" w:color="auto" w:fill="FFFFFF"/>
                <w:lang w:val="es-PA"/>
              </w:rPr>
            </w:pPr>
          </w:p>
          <w:p w14:paraId="22417454" w14:textId="77777777" w:rsidR="00635F66" w:rsidRDefault="001505FE" w:rsidP="0092368D">
            <w:pPr>
              <w:rPr>
                <w:color w:val="212121"/>
                <w:sz w:val="17"/>
                <w:szCs w:val="17"/>
                <w:shd w:val="clear" w:color="auto" w:fill="FFFFFF"/>
                <w:lang w:val="es-PE"/>
              </w:rPr>
            </w:pPr>
            <w:r w:rsidRPr="001D13C7">
              <w:rPr>
                <w:color w:val="212121"/>
                <w:sz w:val="17"/>
                <w:szCs w:val="17"/>
                <w:shd w:val="clear" w:color="auto" w:fill="FFFFFF"/>
                <w:lang w:val="es-PE"/>
              </w:rPr>
              <w:t xml:space="preserve">FAO, ILO, UNIDO, </w:t>
            </w:r>
          </w:p>
          <w:p w14:paraId="40374621" w14:textId="44188957" w:rsidR="001505FE" w:rsidRPr="001D13C7" w:rsidRDefault="001505FE" w:rsidP="0092368D">
            <w:pPr>
              <w:rPr>
                <w:sz w:val="17"/>
                <w:szCs w:val="17"/>
                <w:lang w:val="es-PE"/>
              </w:rPr>
            </w:pPr>
            <w:r w:rsidRPr="001D13C7">
              <w:rPr>
                <w:color w:val="212121"/>
                <w:sz w:val="17"/>
                <w:szCs w:val="17"/>
                <w:shd w:val="clear" w:color="auto" w:fill="FFFFFF"/>
                <w:lang w:val="es-PE"/>
              </w:rPr>
              <w:t>UN</w:t>
            </w:r>
            <w:r w:rsidR="00A646DC">
              <w:rPr>
                <w:color w:val="212121"/>
                <w:sz w:val="17"/>
                <w:szCs w:val="17"/>
                <w:shd w:val="clear" w:color="auto" w:fill="FFFFFF"/>
                <w:lang w:val="es-PE"/>
              </w:rPr>
              <w:t>-</w:t>
            </w:r>
            <w:r w:rsidRPr="001D13C7">
              <w:rPr>
                <w:color w:val="212121"/>
                <w:sz w:val="17"/>
                <w:szCs w:val="17"/>
                <w:shd w:val="clear" w:color="auto" w:fill="FFFFFF"/>
                <w:lang w:val="es-PE"/>
              </w:rPr>
              <w:t>Women, UNEP</w:t>
            </w:r>
          </w:p>
          <w:p w14:paraId="238A449E" w14:textId="77777777" w:rsidR="001505FE" w:rsidRPr="001D13C7" w:rsidRDefault="001505FE" w:rsidP="0092368D">
            <w:pPr>
              <w:rPr>
                <w:rFonts w:eastAsia="Calibri"/>
                <w:iCs/>
                <w:color w:val="000000"/>
                <w:sz w:val="17"/>
                <w:szCs w:val="17"/>
                <w:lang w:val="es-PE"/>
              </w:rPr>
            </w:pPr>
          </w:p>
        </w:tc>
        <w:tc>
          <w:tcPr>
            <w:tcW w:w="5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A773911" w14:textId="186535AB" w:rsidR="001505FE" w:rsidRPr="001D13C7" w:rsidRDefault="001505FE" w:rsidP="0092368D">
            <w:pPr>
              <w:rPr>
                <w:rFonts w:eastAsia="Calibri"/>
                <w:color w:val="000000"/>
                <w:sz w:val="17"/>
                <w:szCs w:val="17"/>
              </w:rPr>
            </w:pPr>
            <w:r w:rsidRPr="001D13C7">
              <w:rPr>
                <w:rFonts w:eastAsia="Calibri"/>
                <w:color w:val="000000"/>
                <w:sz w:val="17"/>
                <w:szCs w:val="17"/>
              </w:rPr>
              <w:t>Regular</w:t>
            </w:r>
            <w:r w:rsidR="007378E9">
              <w:rPr>
                <w:rFonts w:eastAsia="Calibri"/>
                <w:color w:val="000000"/>
                <w:sz w:val="17"/>
                <w:szCs w:val="17"/>
              </w:rPr>
              <w:t xml:space="preserve"> resources:</w:t>
            </w:r>
          </w:p>
          <w:p w14:paraId="1AD50896" w14:textId="108F210F" w:rsidR="001505FE" w:rsidRPr="001D13C7" w:rsidRDefault="007378E9"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458,500</w:t>
            </w:r>
          </w:p>
        </w:tc>
      </w:tr>
      <w:tr w:rsidR="001505FE" w:rsidRPr="001D13C7" w14:paraId="6C15AC12" w14:textId="77777777" w:rsidTr="001D13C7">
        <w:tc>
          <w:tcPr>
            <w:tcW w:w="1469" w:type="pct"/>
            <w:vMerge/>
            <w:tcBorders>
              <w:top w:val="single" w:sz="4" w:space="0" w:color="auto"/>
              <w:left w:val="single" w:sz="4" w:space="0" w:color="auto"/>
              <w:bottom w:val="single" w:sz="8" w:space="0" w:color="000000"/>
              <w:right w:val="single" w:sz="4" w:space="0" w:color="auto"/>
            </w:tcBorders>
            <w:vAlign w:val="center"/>
            <w:hideMark/>
          </w:tcPr>
          <w:p w14:paraId="006AF5EA" w14:textId="69E16ACA" w:rsidR="001505FE" w:rsidRPr="001D13C7" w:rsidRDefault="001505FE" w:rsidP="0092368D">
            <w:pPr>
              <w:rPr>
                <w:rFonts w:eastAsia="Calibri"/>
                <w:bCs/>
                <w:color w:val="000000"/>
                <w:sz w:val="17"/>
                <w:szCs w:val="17"/>
              </w:rPr>
            </w:pPr>
          </w:p>
        </w:tc>
        <w:tc>
          <w:tcPr>
            <w:tcW w:w="992" w:type="pct"/>
            <w:vMerge/>
            <w:tcBorders>
              <w:top w:val="single" w:sz="4" w:space="0" w:color="auto"/>
              <w:left w:val="single" w:sz="4" w:space="0" w:color="auto"/>
              <w:bottom w:val="single" w:sz="8" w:space="0" w:color="000000"/>
              <w:right w:val="single" w:sz="4" w:space="0" w:color="auto"/>
            </w:tcBorders>
            <w:vAlign w:val="center"/>
            <w:hideMark/>
          </w:tcPr>
          <w:p w14:paraId="2268D0E0" w14:textId="77777777" w:rsidR="001505FE" w:rsidRPr="001D13C7" w:rsidRDefault="001505FE" w:rsidP="0092368D">
            <w:pPr>
              <w:rPr>
                <w:sz w:val="17"/>
                <w:szCs w:val="17"/>
              </w:rPr>
            </w:pPr>
          </w:p>
        </w:tc>
        <w:tc>
          <w:tcPr>
            <w:tcW w:w="1249" w:type="pct"/>
            <w:vMerge/>
            <w:tcBorders>
              <w:top w:val="single" w:sz="4" w:space="0" w:color="auto"/>
              <w:left w:val="single" w:sz="4" w:space="0" w:color="auto"/>
              <w:bottom w:val="single" w:sz="8" w:space="0" w:color="000000"/>
              <w:right w:val="single" w:sz="4" w:space="0" w:color="auto"/>
            </w:tcBorders>
            <w:vAlign w:val="center"/>
            <w:hideMark/>
          </w:tcPr>
          <w:p w14:paraId="2A21E410" w14:textId="77777777" w:rsidR="001505FE" w:rsidRPr="001D13C7" w:rsidRDefault="001505FE" w:rsidP="0092368D">
            <w:pPr>
              <w:rPr>
                <w:rFonts w:eastAsia="Calibri"/>
                <w:iCs/>
                <w:color w:val="000000"/>
                <w:sz w:val="17"/>
                <w:szCs w:val="17"/>
              </w:rPr>
            </w:pPr>
          </w:p>
        </w:tc>
        <w:tc>
          <w:tcPr>
            <w:tcW w:w="768" w:type="pct"/>
            <w:vMerge/>
            <w:tcBorders>
              <w:top w:val="single" w:sz="4" w:space="0" w:color="auto"/>
              <w:left w:val="single" w:sz="4" w:space="0" w:color="auto"/>
              <w:bottom w:val="single" w:sz="8" w:space="0" w:color="000000"/>
              <w:right w:val="single" w:sz="4" w:space="0" w:color="auto"/>
            </w:tcBorders>
            <w:vAlign w:val="center"/>
            <w:hideMark/>
          </w:tcPr>
          <w:p w14:paraId="7137121D" w14:textId="77777777" w:rsidR="001505FE" w:rsidRPr="001D13C7" w:rsidRDefault="001505FE" w:rsidP="0092368D">
            <w:pPr>
              <w:rPr>
                <w:rFonts w:eastAsia="Calibri"/>
                <w:iCs/>
                <w:color w:val="000000"/>
                <w:sz w:val="17"/>
                <w:szCs w:val="17"/>
                <w:lang w:val="es-PE"/>
              </w:rPr>
            </w:pPr>
          </w:p>
        </w:tc>
        <w:tc>
          <w:tcPr>
            <w:tcW w:w="522" w:type="pct"/>
            <w:tcBorders>
              <w:top w:val="single" w:sz="4" w:space="0" w:color="auto"/>
              <w:left w:val="single" w:sz="4" w:space="0" w:color="auto"/>
              <w:bottom w:val="single" w:sz="8" w:space="0" w:color="000000"/>
              <w:right w:val="single" w:sz="4" w:space="0" w:color="auto"/>
            </w:tcBorders>
            <w:tcMar>
              <w:top w:w="15" w:type="dxa"/>
              <w:left w:w="108" w:type="dxa"/>
              <w:bottom w:w="0" w:type="dxa"/>
              <w:right w:w="108" w:type="dxa"/>
            </w:tcMar>
          </w:tcPr>
          <w:p w14:paraId="68BED1FD" w14:textId="14EACCE2" w:rsidR="001505FE" w:rsidRPr="001D13C7" w:rsidRDefault="001505FE" w:rsidP="0092368D">
            <w:pPr>
              <w:rPr>
                <w:rFonts w:eastAsia="Calibri"/>
                <w:color w:val="000000"/>
                <w:sz w:val="17"/>
                <w:szCs w:val="17"/>
              </w:rPr>
            </w:pPr>
            <w:r w:rsidRPr="001D13C7">
              <w:rPr>
                <w:rFonts w:eastAsia="Calibri"/>
                <w:color w:val="000000"/>
                <w:sz w:val="17"/>
                <w:szCs w:val="17"/>
              </w:rPr>
              <w:t>Other</w:t>
            </w:r>
            <w:r w:rsidR="007378E9">
              <w:rPr>
                <w:rFonts w:eastAsia="Calibri"/>
                <w:color w:val="000000"/>
                <w:sz w:val="17"/>
                <w:szCs w:val="17"/>
              </w:rPr>
              <w:t xml:space="preserve"> resource</w:t>
            </w:r>
            <w:r w:rsidRPr="001D13C7">
              <w:rPr>
                <w:rFonts w:eastAsia="Calibri"/>
                <w:color w:val="000000"/>
                <w:sz w:val="17"/>
                <w:szCs w:val="17"/>
              </w:rPr>
              <w:t>s</w:t>
            </w:r>
            <w:r w:rsidR="007378E9">
              <w:rPr>
                <w:rFonts w:eastAsia="Calibri"/>
                <w:color w:val="000000"/>
                <w:sz w:val="17"/>
                <w:szCs w:val="17"/>
              </w:rPr>
              <w:t>:</w:t>
            </w:r>
          </w:p>
          <w:p w14:paraId="7B8ACB45" w14:textId="5DF3E79B" w:rsidR="001505FE" w:rsidRPr="001D13C7" w:rsidRDefault="007378E9"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99,541,500</w:t>
            </w:r>
          </w:p>
          <w:p w14:paraId="16A519A5" w14:textId="77777777" w:rsidR="001505FE" w:rsidRPr="001D13C7" w:rsidRDefault="001505FE" w:rsidP="0092368D">
            <w:pPr>
              <w:rPr>
                <w:rFonts w:eastAsia="Calibri"/>
                <w:color w:val="000000"/>
                <w:sz w:val="17"/>
                <w:szCs w:val="17"/>
              </w:rPr>
            </w:pPr>
          </w:p>
          <w:p w14:paraId="56D580EB" w14:textId="77777777" w:rsidR="001505FE" w:rsidRPr="001D13C7" w:rsidRDefault="001505FE" w:rsidP="0092368D">
            <w:pPr>
              <w:rPr>
                <w:rFonts w:eastAsia="Calibri"/>
                <w:color w:val="000000"/>
                <w:sz w:val="17"/>
                <w:szCs w:val="17"/>
              </w:rPr>
            </w:pPr>
            <w:r w:rsidRPr="001D13C7">
              <w:rPr>
                <w:rFonts w:eastAsia="Calibri"/>
                <w:color w:val="000000"/>
                <w:sz w:val="17"/>
                <w:szCs w:val="17"/>
              </w:rPr>
              <w:t>TOTAL</w:t>
            </w:r>
          </w:p>
          <w:p w14:paraId="57BF9721" w14:textId="5A221B19" w:rsidR="001505FE" w:rsidRPr="001D13C7" w:rsidRDefault="005F1373"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100,000,000</w:t>
            </w:r>
          </w:p>
        </w:tc>
      </w:tr>
      <w:tr w:rsidR="001505FE" w:rsidRPr="001D13C7" w14:paraId="726C01AC"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771BA3" w14:textId="77777777" w:rsidR="001505FE" w:rsidRPr="001D13C7" w:rsidRDefault="001505FE" w:rsidP="0092368D">
            <w:pPr>
              <w:rPr>
                <w:sz w:val="17"/>
                <w:szCs w:val="17"/>
              </w:rPr>
            </w:pPr>
            <w:r w:rsidRPr="001D13C7">
              <w:rPr>
                <w:sz w:val="17"/>
                <w:szCs w:val="17"/>
              </w:rPr>
              <w:lastRenderedPageBreak/>
              <w:br w:type="page"/>
              <w:t xml:space="preserve">NATIONAL PRIORITY: 2021 Peru Bicentennial Plan. Equal opportunities and access to services </w:t>
            </w:r>
          </w:p>
        </w:tc>
      </w:tr>
      <w:tr w:rsidR="001505FE" w:rsidRPr="001D13C7" w14:paraId="089BB1C2"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890BEF" w14:textId="77777777" w:rsidR="001505FE" w:rsidRPr="001D13C7" w:rsidRDefault="001505FE" w:rsidP="0092368D">
            <w:pPr>
              <w:rPr>
                <w:sz w:val="17"/>
                <w:szCs w:val="17"/>
              </w:rPr>
            </w:pPr>
            <w:r w:rsidRPr="001D13C7">
              <w:rPr>
                <w:sz w:val="17"/>
                <w:szCs w:val="17"/>
              </w:rPr>
              <w:t xml:space="preserve">UNDAF OUTCOME 2: By 2021, people living in poverty and vulnerability improve their access to quality, universal basic services and to an inclusive system of social protection that allows them to exercise their rights and to have fair access to development opportunities. </w:t>
            </w:r>
          </w:p>
        </w:tc>
      </w:tr>
      <w:tr w:rsidR="001505FE" w:rsidRPr="001D13C7" w14:paraId="71D9F18A"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FF2276" w14:textId="68247909" w:rsidR="001505FE" w:rsidRPr="001D13C7" w:rsidRDefault="001505FE" w:rsidP="001D6DF3">
            <w:pPr>
              <w:rPr>
                <w:sz w:val="17"/>
                <w:szCs w:val="17"/>
              </w:rPr>
            </w:pPr>
            <w:r w:rsidRPr="001D13C7">
              <w:rPr>
                <w:sz w:val="17"/>
                <w:szCs w:val="17"/>
              </w:rPr>
              <w:t>RELATED STRATEGIC PLAN OUTCOME: 1</w:t>
            </w:r>
            <w:r w:rsidR="001D6DF3">
              <w:rPr>
                <w:sz w:val="17"/>
                <w:szCs w:val="17"/>
              </w:rPr>
              <w:t>.</w:t>
            </w:r>
            <w:r w:rsidR="001D6DF3" w:rsidRPr="001D13C7">
              <w:rPr>
                <w:sz w:val="17"/>
                <w:szCs w:val="17"/>
              </w:rPr>
              <w:t xml:space="preserve"> </w:t>
            </w:r>
            <w:r w:rsidRPr="001D13C7">
              <w:rPr>
                <w:sz w:val="17"/>
                <w:szCs w:val="17"/>
              </w:rPr>
              <w:t>Growth and development are inclusive and sustainable, incorporating productive capacities that create employment and livelihoods for the poor and excluded</w:t>
            </w:r>
          </w:p>
        </w:tc>
      </w:tr>
      <w:tr w:rsidR="001505FE" w:rsidRPr="001D13C7" w14:paraId="21CF9530" w14:textId="77777777" w:rsidTr="00FA3894">
        <w:tc>
          <w:tcPr>
            <w:tcW w:w="1469"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11431D2" w14:textId="04EE7EE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Percentage of population covered by minimum levels of social protection systems </w:t>
            </w:r>
          </w:p>
          <w:p w14:paraId="2CC11949" w14:textId="3201C413" w:rsidR="001505FE" w:rsidRPr="001D13C7" w:rsidRDefault="001505FE" w:rsidP="003F0627">
            <w:pPr>
              <w:rPr>
                <w:color w:val="212121"/>
                <w:sz w:val="17"/>
                <w:szCs w:val="17"/>
                <w:shd w:val="clear" w:color="auto" w:fill="FFFFFF"/>
              </w:rPr>
            </w:pPr>
            <w:r w:rsidRPr="001D13C7">
              <w:rPr>
                <w:color w:val="212121"/>
                <w:sz w:val="17"/>
                <w:szCs w:val="17"/>
                <w:shd w:val="clear" w:color="auto" w:fill="FFFFFF"/>
              </w:rPr>
              <w:t>B</w:t>
            </w:r>
            <w:r w:rsidR="00870CF0">
              <w:rPr>
                <w:color w:val="212121"/>
                <w:sz w:val="17"/>
                <w:szCs w:val="17"/>
                <w:shd w:val="clear" w:color="auto" w:fill="FFFFFF"/>
              </w:rPr>
              <w:t>aseline</w:t>
            </w:r>
            <w:r w:rsidRPr="001D13C7">
              <w:rPr>
                <w:color w:val="212121"/>
                <w:sz w:val="17"/>
                <w:szCs w:val="17"/>
                <w:shd w:val="clear" w:color="auto" w:fill="FFFFFF"/>
              </w:rPr>
              <w:t xml:space="preserve">: </w:t>
            </w:r>
            <w:r w:rsidRPr="001D13C7">
              <w:rPr>
                <w:sz w:val="17"/>
                <w:szCs w:val="17"/>
              </w:rPr>
              <w:t xml:space="preserve">% </w:t>
            </w:r>
            <w:r w:rsidR="00695FFE" w:rsidRPr="001D13C7">
              <w:rPr>
                <w:sz w:val="17"/>
                <w:szCs w:val="17"/>
              </w:rPr>
              <w:t>population in</w:t>
            </w:r>
            <w:r w:rsidRPr="001D13C7">
              <w:rPr>
                <w:sz w:val="17"/>
                <w:szCs w:val="17"/>
              </w:rPr>
              <w:t xml:space="preserve"> </w:t>
            </w:r>
            <w:r w:rsidR="003F0627">
              <w:rPr>
                <w:sz w:val="17"/>
                <w:szCs w:val="17"/>
              </w:rPr>
              <w:t xml:space="preserve">social programmes:  </w:t>
            </w:r>
            <w:r w:rsidRPr="001D13C7">
              <w:rPr>
                <w:sz w:val="17"/>
                <w:szCs w:val="17"/>
              </w:rPr>
              <w:t>Qali Warma: 30%</w:t>
            </w:r>
            <w:r w:rsidR="003F0627">
              <w:rPr>
                <w:sz w:val="17"/>
                <w:szCs w:val="17"/>
              </w:rPr>
              <w:t xml:space="preserve">; </w:t>
            </w:r>
            <w:r w:rsidRPr="001D13C7">
              <w:rPr>
                <w:sz w:val="17"/>
                <w:szCs w:val="17"/>
              </w:rPr>
              <w:t>Pensión 65:  16.3%</w:t>
            </w:r>
            <w:r w:rsidR="003F0627">
              <w:rPr>
                <w:sz w:val="17"/>
                <w:szCs w:val="17"/>
              </w:rPr>
              <w:t xml:space="preserve">. </w:t>
            </w:r>
            <w:r w:rsidRPr="001D13C7">
              <w:rPr>
                <w:sz w:val="17"/>
                <w:szCs w:val="17"/>
              </w:rPr>
              <w:t xml:space="preserve">  </w:t>
            </w:r>
            <w:r w:rsidRPr="001D13C7">
              <w:rPr>
                <w:sz w:val="17"/>
                <w:szCs w:val="17"/>
              </w:rPr>
              <w:br/>
            </w:r>
            <w:r w:rsidR="005F1373">
              <w:rPr>
                <w:sz w:val="17"/>
                <w:szCs w:val="17"/>
              </w:rPr>
              <w:t>Number</w:t>
            </w:r>
            <w:r w:rsidRPr="001D13C7">
              <w:rPr>
                <w:sz w:val="17"/>
                <w:szCs w:val="17"/>
              </w:rPr>
              <w:t xml:space="preserve"> families in </w:t>
            </w:r>
            <w:r w:rsidR="003F0627">
              <w:rPr>
                <w:sz w:val="17"/>
                <w:szCs w:val="17"/>
              </w:rPr>
              <w:t xml:space="preserve">cash transfer programme </w:t>
            </w:r>
            <w:r w:rsidRPr="001D13C7">
              <w:rPr>
                <w:sz w:val="17"/>
                <w:szCs w:val="17"/>
              </w:rPr>
              <w:t xml:space="preserve">Juntos: 755,556. </w:t>
            </w:r>
          </w:p>
          <w:p w14:paraId="06F3CA88" w14:textId="47C31FEA"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T</w:t>
            </w:r>
            <w:r w:rsidR="005F1373">
              <w:rPr>
                <w:color w:val="212121"/>
                <w:sz w:val="17"/>
                <w:szCs w:val="17"/>
                <w:shd w:val="clear" w:color="auto" w:fill="FFFFFF"/>
              </w:rPr>
              <w:t>arget</w:t>
            </w:r>
            <w:r w:rsidRPr="001D13C7">
              <w:rPr>
                <w:color w:val="212121"/>
                <w:sz w:val="17"/>
                <w:szCs w:val="17"/>
                <w:shd w:val="clear" w:color="auto" w:fill="FFFFFF"/>
              </w:rPr>
              <w:t>: TBD</w:t>
            </w:r>
          </w:p>
          <w:p w14:paraId="51AD820C" w14:textId="77777777" w:rsidR="001505FE" w:rsidRPr="001D13C7" w:rsidRDefault="001505FE" w:rsidP="0092368D">
            <w:pPr>
              <w:rPr>
                <w:color w:val="212121"/>
                <w:sz w:val="17"/>
                <w:szCs w:val="17"/>
                <w:shd w:val="clear" w:color="auto" w:fill="FFFFFF"/>
              </w:rPr>
            </w:pPr>
          </w:p>
          <w:p w14:paraId="0862DA82" w14:textId="089C4543"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Proportion of population living in households with access to basic services </w:t>
            </w:r>
          </w:p>
          <w:p w14:paraId="53656007" w14:textId="3D7C65BA"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B</w:t>
            </w:r>
            <w:r w:rsidR="005F1373">
              <w:rPr>
                <w:color w:val="212121"/>
                <w:sz w:val="17"/>
                <w:szCs w:val="17"/>
                <w:shd w:val="clear" w:color="auto" w:fill="FFFFFF"/>
              </w:rPr>
              <w:t>aseline</w:t>
            </w:r>
            <w:r w:rsidRPr="001D13C7">
              <w:rPr>
                <w:color w:val="212121"/>
                <w:sz w:val="17"/>
                <w:szCs w:val="17"/>
                <w:shd w:val="clear" w:color="auto" w:fill="FFFFFF"/>
              </w:rPr>
              <w:t>: Access to water: 79.3; sanitation: 63.5%</w:t>
            </w:r>
          </w:p>
          <w:p w14:paraId="7321CC39" w14:textId="685771FA"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T</w:t>
            </w:r>
            <w:r w:rsidR="005F1373">
              <w:rPr>
                <w:color w:val="212121"/>
                <w:sz w:val="17"/>
                <w:szCs w:val="17"/>
                <w:shd w:val="clear" w:color="auto" w:fill="FFFFFF"/>
              </w:rPr>
              <w:t>arget</w:t>
            </w:r>
            <w:r w:rsidRPr="001D13C7">
              <w:rPr>
                <w:color w:val="212121"/>
                <w:sz w:val="17"/>
                <w:szCs w:val="17"/>
                <w:shd w:val="clear" w:color="auto" w:fill="FFFFFF"/>
              </w:rPr>
              <w:t>: TBD</w:t>
            </w:r>
          </w:p>
          <w:p w14:paraId="72A4A52F" w14:textId="77777777" w:rsidR="001505FE" w:rsidRPr="001D13C7" w:rsidRDefault="001505FE" w:rsidP="0092368D">
            <w:pPr>
              <w:rPr>
                <w:color w:val="212121"/>
                <w:sz w:val="17"/>
                <w:szCs w:val="17"/>
                <w:shd w:val="clear" w:color="auto" w:fill="FFFFFF"/>
              </w:rPr>
            </w:pPr>
          </w:p>
          <w:p w14:paraId="3161ED4B" w14:textId="6D9ECAED"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Proportion of women and girls ages 15 years or older who have suffered physical, sexual or psychological violence inflicted by a current or former intimate partner in the last 12 months </w:t>
            </w:r>
          </w:p>
          <w:p w14:paraId="14D91B68" w14:textId="18AAFC48"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lastRenderedPageBreak/>
              <w:t>B</w:t>
            </w:r>
            <w:r w:rsidR="005F1373">
              <w:rPr>
                <w:color w:val="212121"/>
                <w:sz w:val="17"/>
                <w:szCs w:val="17"/>
                <w:shd w:val="clear" w:color="auto" w:fill="FFFFFF"/>
              </w:rPr>
              <w:t>aseline</w:t>
            </w:r>
            <w:r w:rsidRPr="001D13C7">
              <w:rPr>
                <w:color w:val="212121"/>
                <w:sz w:val="17"/>
                <w:szCs w:val="17"/>
                <w:shd w:val="clear" w:color="auto" w:fill="FFFFFF"/>
              </w:rPr>
              <w:t>: TBD</w:t>
            </w:r>
          </w:p>
          <w:p w14:paraId="67FD315B" w14:textId="729D256D" w:rsidR="001505FE" w:rsidRPr="001D13C7" w:rsidRDefault="001505FE" w:rsidP="0092368D">
            <w:pPr>
              <w:rPr>
                <w:sz w:val="17"/>
                <w:szCs w:val="17"/>
              </w:rPr>
            </w:pPr>
            <w:r w:rsidRPr="001D13C7">
              <w:rPr>
                <w:color w:val="212121"/>
                <w:sz w:val="17"/>
                <w:szCs w:val="17"/>
                <w:shd w:val="clear" w:color="auto" w:fill="FFFFFF"/>
              </w:rPr>
              <w:t>T</w:t>
            </w:r>
            <w:r w:rsidR="005F1373">
              <w:rPr>
                <w:color w:val="212121"/>
                <w:sz w:val="17"/>
                <w:szCs w:val="17"/>
                <w:shd w:val="clear" w:color="auto" w:fill="FFFFFF"/>
              </w:rPr>
              <w:t>arget</w:t>
            </w:r>
            <w:r w:rsidRPr="001D13C7">
              <w:rPr>
                <w:color w:val="212121"/>
                <w:sz w:val="17"/>
                <w:szCs w:val="17"/>
                <w:shd w:val="clear" w:color="auto" w:fill="FFFFFF"/>
              </w:rPr>
              <w:t>: TBD</w:t>
            </w:r>
          </w:p>
          <w:p w14:paraId="775B6252" w14:textId="77777777" w:rsidR="001505FE" w:rsidRPr="001D13C7" w:rsidRDefault="001505FE" w:rsidP="0092368D">
            <w:pPr>
              <w:rPr>
                <w:rFonts w:eastAsia="Calibri"/>
                <w:bCs/>
                <w:color w:val="000000"/>
                <w:sz w:val="17"/>
                <w:szCs w:val="17"/>
              </w:rPr>
            </w:pPr>
          </w:p>
        </w:tc>
        <w:tc>
          <w:tcPr>
            <w:tcW w:w="992" w:type="pct"/>
            <w:vMerge w:val="restart"/>
            <w:tcBorders>
              <w:top w:val="single" w:sz="4" w:space="0" w:color="auto"/>
              <w:left w:val="single" w:sz="4" w:space="0" w:color="auto"/>
              <w:bottom w:val="single" w:sz="4" w:space="0" w:color="auto"/>
              <w:right w:val="single" w:sz="4" w:space="0" w:color="auto"/>
            </w:tcBorders>
          </w:tcPr>
          <w:p w14:paraId="07D7E412" w14:textId="77777777" w:rsidR="001505FE" w:rsidRPr="001D13C7" w:rsidRDefault="001505FE" w:rsidP="0092368D">
            <w:pPr>
              <w:rPr>
                <w:rFonts w:eastAsia="Calibri"/>
                <w:bCs/>
                <w:color w:val="000000"/>
                <w:sz w:val="17"/>
                <w:szCs w:val="17"/>
              </w:rPr>
            </w:pPr>
            <w:r w:rsidRPr="001D13C7">
              <w:rPr>
                <w:rFonts w:eastAsia="Calibri"/>
                <w:bCs/>
                <w:color w:val="000000"/>
                <w:sz w:val="17"/>
                <w:szCs w:val="17"/>
              </w:rPr>
              <w:lastRenderedPageBreak/>
              <w:t xml:space="preserve">All: INEI; yearly </w:t>
            </w:r>
          </w:p>
          <w:p w14:paraId="479B79B1" w14:textId="2E929296" w:rsidR="005F1373" w:rsidRDefault="001505FE" w:rsidP="0092368D">
            <w:pPr>
              <w:rPr>
                <w:rFonts w:eastAsia="Calibri"/>
                <w:bCs/>
                <w:color w:val="000000"/>
                <w:sz w:val="17"/>
                <w:szCs w:val="17"/>
              </w:rPr>
            </w:pPr>
            <w:r w:rsidRPr="001D13C7">
              <w:rPr>
                <w:rFonts w:eastAsia="Calibri"/>
                <w:bCs/>
                <w:color w:val="000000"/>
                <w:sz w:val="17"/>
                <w:szCs w:val="17"/>
              </w:rPr>
              <w:t xml:space="preserve">ILO; </w:t>
            </w:r>
          </w:p>
          <w:p w14:paraId="19EFED47" w14:textId="480E62D4" w:rsidR="005F1373" w:rsidRDefault="001505FE" w:rsidP="0092368D">
            <w:pPr>
              <w:rPr>
                <w:rFonts w:eastAsia="Calibri"/>
                <w:bCs/>
                <w:color w:val="000000"/>
                <w:sz w:val="17"/>
                <w:szCs w:val="17"/>
              </w:rPr>
            </w:pPr>
            <w:r w:rsidRPr="001D13C7">
              <w:rPr>
                <w:rFonts w:eastAsia="Calibri"/>
                <w:bCs/>
                <w:color w:val="000000"/>
                <w:sz w:val="17"/>
                <w:szCs w:val="17"/>
              </w:rPr>
              <w:t xml:space="preserve">UNICEF; </w:t>
            </w:r>
          </w:p>
          <w:p w14:paraId="005538D2" w14:textId="6AF22CCA" w:rsidR="001505FE" w:rsidRPr="001D13C7" w:rsidRDefault="001505FE" w:rsidP="0092368D">
            <w:pPr>
              <w:rPr>
                <w:rFonts w:eastAsia="Calibri"/>
                <w:bCs/>
                <w:color w:val="000000"/>
                <w:sz w:val="17"/>
                <w:szCs w:val="17"/>
              </w:rPr>
            </w:pPr>
            <w:r w:rsidRPr="001D13C7">
              <w:rPr>
                <w:rFonts w:eastAsia="Calibri"/>
                <w:bCs/>
                <w:color w:val="000000"/>
                <w:sz w:val="17"/>
                <w:szCs w:val="17"/>
              </w:rPr>
              <w:t>UNFPA</w:t>
            </w:r>
          </w:p>
          <w:p w14:paraId="60717F31" w14:textId="77777777" w:rsidR="001505FE" w:rsidRPr="001D13C7" w:rsidRDefault="001505FE" w:rsidP="0092368D">
            <w:pPr>
              <w:rPr>
                <w:rFonts w:eastAsia="Calibri"/>
                <w:bCs/>
                <w:color w:val="000000"/>
                <w:sz w:val="17"/>
                <w:szCs w:val="17"/>
              </w:rPr>
            </w:pPr>
          </w:p>
          <w:p w14:paraId="7D296FC3" w14:textId="77777777" w:rsidR="001505FE" w:rsidRPr="001D13C7" w:rsidRDefault="001505FE" w:rsidP="0092368D">
            <w:pPr>
              <w:rPr>
                <w:rFonts w:eastAsia="Calibri"/>
                <w:bCs/>
                <w:color w:val="000000"/>
                <w:sz w:val="17"/>
                <w:szCs w:val="17"/>
              </w:rPr>
            </w:pPr>
          </w:p>
          <w:p w14:paraId="39B188D2" w14:textId="77777777" w:rsidR="001505FE" w:rsidRPr="001D13C7" w:rsidRDefault="001505FE" w:rsidP="0092368D">
            <w:pPr>
              <w:rPr>
                <w:rFonts w:eastAsia="Calibri"/>
                <w:bCs/>
                <w:color w:val="000000"/>
                <w:sz w:val="17"/>
                <w:szCs w:val="17"/>
              </w:rPr>
            </w:pPr>
          </w:p>
          <w:p w14:paraId="6ADAB93A" w14:textId="77777777" w:rsidR="001505FE" w:rsidRPr="001D13C7" w:rsidRDefault="001505FE" w:rsidP="0092368D">
            <w:pPr>
              <w:rPr>
                <w:rFonts w:eastAsia="Calibri"/>
                <w:bCs/>
                <w:color w:val="000000"/>
                <w:sz w:val="17"/>
                <w:szCs w:val="17"/>
              </w:rPr>
            </w:pPr>
          </w:p>
          <w:p w14:paraId="6400D736" w14:textId="77777777" w:rsidR="001505FE" w:rsidRPr="001D13C7" w:rsidRDefault="001505FE" w:rsidP="0092368D">
            <w:pPr>
              <w:rPr>
                <w:rFonts w:eastAsia="Calibri"/>
                <w:bCs/>
                <w:color w:val="000000"/>
                <w:sz w:val="17"/>
                <w:szCs w:val="17"/>
              </w:rPr>
            </w:pPr>
          </w:p>
          <w:p w14:paraId="0F4D1740" w14:textId="77777777" w:rsidR="001505FE" w:rsidRPr="001D13C7" w:rsidRDefault="001505FE" w:rsidP="0092368D">
            <w:pPr>
              <w:rPr>
                <w:rFonts w:eastAsia="Calibri"/>
                <w:bCs/>
                <w:color w:val="000000"/>
                <w:sz w:val="17"/>
                <w:szCs w:val="17"/>
              </w:rPr>
            </w:pPr>
          </w:p>
          <w:p w14:paraId="1B81A38E" w14:textId="77777777" w:rsidR="001505FE" w:rsidRPr="001D13C7" w:rsidRDefault="001505FE" w:rsidP="003F0627">
            <w:pPr>
              <w:jc w:val="center"/>
              <w:rPr>
                <w:rFonts w:eastAsia="Calibri"/>
                <w:bCs/>
                <w:color w:val="000000"/>
                <w:sz w:val="17"/>
                <w:szCs w:val="17"/>
              </w:rPr>
            </w:pPr>
          </w:p>
          <w:p w14:paraId="576C45FE" w14:textId="77777777" w:rsidR="001505FE" w:rsidRPr="001D13C7" w:rsidRDefault="001505FE" w:rsidP="0092368D">
            <w:pPr>
              <w:rPr>
                <w:rFonts w:eastAsia="Calibri"/>
                <w:bCs/>
                <w:color w:val="000000"/>
                <w:sz w:val="17"/>
                <w:szCs w:val="17"/>
              </w:rPr>
            </w:pPr>
          </w:p>
        </w:tc>
        <w:tc>
          <w:tcPr>
            <w:tcW w:w="1249"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D7B25B" w14:textId="732BEC98"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sz w:val="17"/>
                <w:szCs w:val="17"/>
              </w:rPr>
              <w:t>Output</w:t>
            </w:r>
            <w:r w:rsidRPr="001D13C7">
              <w:rPr>
                <w:color w:val="212121"/>
                <w:sz w:val="17"/>
                <w:szCs w:val="17"/>
              </w:rPr>
              <w:t xml:space="preserve"> 2.1 National and subnational capacities enhanced for social protection and access to basic services for people living in poverty</w:t>
            </w:r>
          </w:p>
          <w:p w14:paraId="77208956" w14:textId="77777777" w:rsidR="00455E38" w:rsidRPr="001D13C7" w:rsidRDefault="00455E38"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7C01F9AA" w14:textId="36D8DF1B"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Implementation of official measurement of multidimensional poverty </w:t>
            </w:r>
          </w:p>
          <w:p w14:paraId="72D3DB1A" w14:textId="77777777"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1 = Not implemented </w:t>
            </w:r>
          </w:p>
          <w:p w14:paraId="44896776" w14:textId="77777777"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2 = Very partially </w:t>
            </w:r>
          </w:p>
          <w:p w14:paraId="6652ECD0" w14:textId="77777777"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3 = Partially </w:t>
            </w:r>
          </w:p>
          <w:p w14:paraId="1653C454" w14:textId="77777777"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4 = Mostly </w:t>
            </w:r>
          </w:p>
          <w:p w14:paraId="269F790C" w14:textId="295703C9"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5F1373">
              <w:rPr>
                <w:color w:val="212121"/>
                <w:sz w:val="17"/>
                <w:szCs w:val="17"/>
              </w:rPr>
              <w:t>aseline</w:t>
            </w:r>
            <w:r w:rsidRPr="001D13C7">
              <w:rPr>
                <w:color w:val="212121"/>
                <w:sz w:val="17"/>
                <w:szCs w:val="17"/>
              </w:rPr>
              <w:t xml:space="preserve">: 1 </w:t>
            </w:r>
          </w:p>
          <w:p w14:paraId="4EF3937B" w14:textId="0A38FF01"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5F1373">
              <w:rPr>
                <w:color w:val="212121"/>
                <w:sz w:val="17"/>
                <w:szCs w:val="17"/>
              </w:rPr>
              <w:t>arget</w:t>
            </w:r>
            <w:r w:rsidRPr="001D13C7">
              <w:rPr>
                <w:color w:val="212121"/>
                <w:sz w:val="17"/>
                <w:szCs w:val="17"/>
              </w:rPr>
              <w:t xml:space="preserve">: 3 </w:t>
            </w:r>
          </w:p>
          <w:p w14:paraId="716DB284" w14:textId="38F3CDF9"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1866742E" w14:textId="7C31A803" w:rsidR="00455E38" w:rsidRPr="001D13C7" w:rsidRDefault="00455E38" w:rsidP="00455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INEI  </w:t>
            </w:r>
          </w:p>
          <w:p w14:paraId="2ED6A844" w14:textId="77777777" w:rsidR="00455E38" w:rsidRPr="001D13C7" w:rsidRDefault="00455E38"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166097E8" w14:textId="3CE99DE2" w:rsidR="001F6143" w:rsidRPr="001D13C7" w:rsidRDefault="001F6143"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Number of national / subnational social protection and basic services planning </w:t>
            </w:r>
            <w:r w:rsidRPr="001D13C7">
              <w:rPr>
                <w:color w:val="212121"/>
                <w:sz w:val="17"/>
                <w:szCs w:val="17"/>
              </w:rPr>
              <w:lastRenderedPageBreak/>
              <w:t xml:space="preserve">instruments that integrate </w:t>
            </w:r>
            <w:r w:rsidR="004D4B9A" w:rsidRPr="001D13C7">
              <w:rPr>
                <w:color w:val="212121"/>
                <w:sz w:val="17"/>
                <w:szCs w:val="17"/>
              </w:rPr>
              <w:t>H</w:t>
            </w:r>
            <w:r w:rsidR="004D4B9A">
              <w:rPr>
                <w:color w:val="212121"/>
                <w:sz w:val="17"/>
                <w:szCs w:val="17"/>
              </w:rPr>
              <w:t>uman Development</w:t>
            </w:r>
            <w:r w:rsidR="004D4B9A" w:rsidRPr="001D13C7">
              <w:rPr>
                <w:color w:val="212121"/>
                <w:sz w:val="17"/>
                <w:szCs w:val="17"/>
              </w:rPr>
              <w:t xml:space="preserve"> </w:t>
            </w:r>
            <w:r w:rsidRPr="001D13C7">
              <w:rPr>
                <w:color w:val="212121"/>
                <w:sz w:val="17"/>
                <w:szCs w:val="17"/>
              </w:rPr>
              <w:t>and State Density Indexes</w:t>
            </w:r>
          </w:p>
          <w:p w14:paraId="12B04B0B" w14:textId="7DFBA2B1" w:rsidR="001F6143" w:rsidRPr="001D13C7" w:rsidRDefault="001F6143"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0</w:t>
            </w:r>
          </w:p>
          <w:p w14:paraId="17A2CAAC" w14:textId="63BE0AFE" w:rsidR="00804D33" w:rsidRPr="001D13C7" w:rsidRDefault="001F6143"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N</w:t>
            </w:r>
            <w:r w:rsidR="004D4B9A">
              <w:rPr>
                <w:color w:val="212121"/>
                <w:sz w:val="17"/>
                <w:szCs w:val="17"/>
              </w:rPr>
              <w:t>ational</w:t>
            </w:r>
            <w:r w:rsidRPr="001D13C7">
              <w:rPr>
                <w:color w:val="212121"/>
                <w:sz w:val="17"/>
                <w:szCs w:val="17"/>
              </w:rPr>
              <w:t>: 4; S</w:t>
            </w:r>
            <w:r w:rsidR="004D4B9A">
              <w:rPr>
                <w:color w:val="212121"/>
                <w:sz w:val="17"/>
                <w:szCs w:val="17"/>
              </w:rPr>
              <w:t>ubnational</w:t>
            </w:r>
            <w:r w:rsidRPr="001D13C7">
              <w:rPr>
                <w:color w:val="212121"/>
                <w:sz w:val="17"/>
                <w:szCs w:val="17"/>
              </w:rPr>
              <w:t>: 5</w:t>
            </w:r>
          </w:p>
          <w:p w14:paraId="237D17E8" w14:textId="695AB9AC" w:rsidR="00804D33" w:rsidRPr="001D13C7" w:rsidRDefault="00804D33"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Annual</w:t>
            </w:r>
          </w:p>
          <w:p w14:paraId="53B96D48" w14:textId="5891F2C5" w:rsidR="001F6143" w:rsidRPr="001D13C7" w:rsidRDefault="00804D33"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UNDP data</w:t>
            </w:r>
            <w:r w:rsidR="001F6143" w:rsidRPr="001D13C7">
              <w:rPr>
                <w:color w:val="212121"/>
                <w:sz w:val="17"/>
                <w:szCs w:val="17"/>
              </w:rPr>
              <w:t xml:space="preserve"> </w:t>
            </w:r>
          </w:p>
          <w:p w14:paraId="121D4614" w14:textId="77777777" w:rsidR="001F6143" w:rsidRPr="001D13C7" w:rsidRDefault="001F6143"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120F7791" w14:textId="473F5E0F" w:rsidR="001505FE" w:rsidRPr="001D13C7" w:rsidRDefault="00C87C13" w:rsidP="00C8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Number of policy and institutional reforms that increase access to social protection schemes, targeting the poor and other at risk groups, disaggregated by sex, rural and urban</w:t>
            </w:r>
          </w:p>
          <w:p w14:paraId="445E36C6" w14:textId="055EEBFF" w:rsidR="00C87C13" w:rsidRPr="001D13C7" w:rsidRDefault="00C87C13" w:rsidP="00C8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0</w:t>
            </w:r>
          </w:p>
          <w:p w14:paraId="51813399" w14:textId="2590540E" w:rsidR="00C87C13" w:rsidRPr="001D13C7" w:rsidRDefault="00C87C13" w:rsidP="00C8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4</w:t>
            </w:r>
            <w:r w:rsidR="00455E38" w:rsidRPr="001D13C7">
              <w:rPr>
                <w:color w:val="212121"/>
                <w:sz w:val="17"/>
                <w:szCs w:val="17"/>
              </w:rPr>
              <w:t xml:space="preserve"> (</w:t>
            </w:r>
            <w:r w:rsidRPr="001D13C7">
              <w:rPr>
                <w:color w:val="212121"/>
                <w:sz w:val="17"/>
                <w:szCs w:val="17"/>
              </w:rPr>
              <w:t>R</w:t>
            </w:r>
            <w:r w:rsidR="00804D33" w:rsidRPr="001D13C7">
              <w:rPr>
                <w:color w:val="212121"/>
                <w:sz w:val="17"/>
                <w:szCs w:val="17"/>
              </w:rPr>
              <w:t>ural</w:t>
            </w:r>
            <w:r w:rsidRPr="001D13C7">
              <w:rPr>
                <w:color w:val="212121"/>
                <w:sz w:val="17"/>
                <w:szCs w:val="17"/>
              </w:rPr>
              <w:t>:1; W</w:t>
            </w:r>
            <w:r w:rsidR="00804D33" w:rsidRPr="001D13C7">
              <w:rPr>
                <w:color w:val="212121"/>
                <w:sz w:val="17"/>
                <w:szCs w:val="17"/>
              </w:rPr>
              <w:t>omen</w:t>
            </w:r>
            <w:r w:rsidRPr="001D13C7">
              <w:rPr>
                <w:color w:val="212121"/>
                <w:sz w:val="17"/>
                <w:szCs w:val="17"/>
              </w:rPr>
              <w:t>: 1</w:t>
            </w:r>
            <w:r w:rsidR="00455E38" w:rsidRPr="001D13C7">
              <w:rPr>
                <w:color w:val="212121"/>
                <w:sz w:val="17"/>
                <w:szCs w:val="17"/>
              </w:rPr>
              <w:t>)</w:t>
            </w:r>
          </w:p>
          <w:p w14:paraId="766ABB82" w14:textId="65083C3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77A84F27" w14:textId="7C429294" w:rsidR="001505FE" w:rsidRPr="001D13C7" w:rsidRDefault="00D42CD2"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Pr>
                <w:color w:val="212121"/>
                <w:sz w:val="17"/>
                <w:szCs w:val="17"/>
              </w:rPr>
              <w:t>Roundtable for Poverty Reduction</w:t>
            </w:r>
            <w:r w:rsidR="002C52E2">
              <w:rPr>
                <w:color w:val="212121"/>
                <w:sz w:val="17"/>
                <w:szCs w:val="17"/>
              </w:rPr>
              <w:t>; MIMP</w:t>
            </w:r>
          </w:p>
          <w:p w14:paraId="0EF17EC9"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6199A2FC" w14:textId="7D7A3440" w:rsidR="001505FE" w:rsidRPr="001D13C7" w:rsidRDefault="00455E38"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Number of South-South or </w:t>
            </w:r>
            <w:r w:rsidR="004D4B9A">
              <w:rPr>
                <w:color w:val="212121"/>
                <w:sz w:val="17"/>
                <w:szCs w:val="17"/>
              </w:rPr>
              <w:t>t</w:t>
            </w:r>
            <w:r w:rsidR="004D4B9A" w:rsidRPr="001D13C7">
              <w:rPr>
                <w:color w:val="212121"/>
                <w:sz w:val="17"/>
                <w:szCs w:val="17"/>
              </w:rPr>
              <w:t xml:space="preserve">riangular </w:t>
            </w:r>
            <w:r w:rsidR="004D4B9A">
              <w:rPr>
                <w:color w:val="212121"/>
                <w:sz w:val="17"/>
                <w:szCs w:val="17"/>
              </w:rPr>
              <w:t>c</w:t>
            </w:r>
            <w:r w:rsidR="004D4B9A" w:rsidRPr="001D13C7">
              <w:rPr>
                <w:color w:val="212121"/>
                <w:sz w:val="17"/>
                <w:szCs w:val="17"/>
              </w:rPr>
              <w:t xml:space="preserve">ooperation </w:t>
            </w:r>
            <w:r w:rsidRPr="001D13C7">
              <w:rPr>
                <w:color w:val="212121"/>
                <w:sz w:val="17"/>
                <w:szCs w:val="17"/>
              </w:rPr>
              <w:t>partnerships that deliver sustainable benefits for participants</w:t>
            </w:r>
          </w:p>
          <w:p w14:paraId="59266AC0" w14:textId="53FEFB96" w:rsidR="00C87C13" w:rsidRPr="001D13C7" w:rsidRDefault="00C87C13" w:rsidP="00C8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0</w:t>
            </w:r>
          </w:p>
          <w:p w14:paraId="31DA22A4" w14:textId="78067B63" w:rsidR="00C87C13" w:rsidRPr="001D13C7" w:rsidRDefault="00C87C13" w:rsidP="00C87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xml:space="preserve">: </w:t>
            </w:r>
            <w:r w:rsidR="00455E38" w:rsidRPr="001D13C7">
              <w:rPr>
                <w:color w:val="212121"/>
                <w:sz w:val="17"/>
                <w:szCs w:val="17"/>
              </w:rPr>
              <w:t>3</w:t>
            </w:r>
          </w:p>
          <w:p w14:paraId="64B131CD" w14:textId="54336C51"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0F630E94" w14:textId="5A444029" w:rsidR="00E85CE0" w:rsidRDefault="002C52E2"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Pr>
                <w:color w:val="212121"/>
                <w:sz w:val="17"/>
                <w:szCs w:val="17"/>
              </w:rPr>
              <w:t xml:space="preserve">APCI </w:t>
            </w:r>
          </w:p>
          <w:p w14:paraId="7CD06AC6" w14:textId="075E4255" w:rsidR="001505FE" w:rsidRPr="001D13C7" w:rsidRDefault="00FE756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Pr>
                <w:color w:val="212121"/>
                <w:sz w:val="17"/>
                <w:szCs w:val="17"/>
              </w:rPr>
              <w:t>Ministry of Development and Social Inclusion</w:t>
            </w:r>
          </w:p>
          <w:p w14:paraId="629D1DF2"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4A4C1C4F" w14:textId="309701F5"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sz w:val="17"/>
                <w:szCs w:val="17"/>
              </w:rPr>
              <w:t>Output</w:t>
            </w:r>
            <w:r w:rsidRPr="001D13C7">
              <w:rPr>
                <w:color w:val="212121"/>
                <w:sz w:val="17"/>
                <w:szCs w:val="17"/>
              </w:rPr>
              <w:t xml:space="preserve"> 2.2 Access to justice and citizen security improved for people living in conditions of poverty, vulnerability and discrimination </w:t>
            </w:r>
          </w:p>
          <w:p w14:paraId="64E6EAFF"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09D232D9" w14:textId="33F8679C"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Increased access to justice services by people living in poverty and indigenous population </w:t>
            </w:r>
          </w:p>
          <w:p w14:paraId="5FF56C1F" w14:textId="3B3F75D4"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1 = No</w:t>
            </w:r>
            <w:r w:rsidR="00582603" w:rsidRPr="001D13C7">
              <w:rPr>
                <w:color w:val="212121"/>
                <w:sz w:val="17"/>
                <w:szCs w:val="17"/>
              </w:rPr>
              <w:t xml:space="preserve"> increase</w:t>
            </w:r>
            <w:r w:rsidRPr="001D13C7">
              <w:rPr>
                <w:color w:val="212121"/>
                <w:sz w:val="17"/>
                <w:szCs w:val="17"/>
              </w:rPr>
              <w:t xml:space="preserve"> </w:t>
            </w:r>
          </w:p>
          <w:p w14:paraId="6541D16D"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2 = Very partially </w:t>
            </w:r>
          </w:p>
          <w:p w14:paraId="290C3F94"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3 = Partially </w:t>
            </w:r>
          </w:p>
          <w:p w14:paraId="55EFE9B4"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4 = Mostly </w:t>
            </w:r>
          </w:p>
          <w:p w14:paraId="6FE58F88" w14:textId="7980827D"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xml:space="preserve">: 2 </w:t>
            </w:r>
          </w:p>
          <w:p w14:paraId="54C038E2" w14:textId="521AFCF4"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3</w:t>
            </w:r>
          </w:p>
          <w:p w14:paraId="6D532644" w14:textId="5BABA236"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29EFFBAF" w14:textId="2E4C7D64" w:rsidR="001505FE" w:rsidRPr="001D13C7" w:rsidRDefault="002C52E2"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Pr>
                <w:color w:val="212121"/>
                <w:sz w:val="17"/>
                <w:szCs w:val="17"/>
              </w:rPr>
              <w:t>MINJUS</w:t>
            </w:r>
          </w:p>
          <w:p w14:paraId="76974183"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23B92FBC" w14:textId="1D491F6A"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Implementation of National and Regional Citizen Security Plan and Plan to Reduce Violence Against Women</w:t>
            </w:r>
          </w:p>
          <w:p w14:paraId="1268FD91"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1 = Not implemented </w:t>
            </w:r>
          </w:p>
          <w:p w14:paraId="60D454FA"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2 = Very partially </w:t>
            </w:r>
          </w:p>
          <w:p w14:paraId="4CCCE897"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3 = Partially </w:t>
            </w:r>
          </w:p>
          <w:p w14:paraId="6C03C6AA"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4 = Mostly </w:t>
            </w:r>
          </w:p>
          <w:p w14:paraId="67E9517B" w14:textId="0071418B"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lastRenderedPageBreak/>
              <w:t>B</w:t>
            </w:r>
            <w:r w:rsidR="004D4B9A">
              <w:rPr>
                <w:color w:val="212121"/>
                <w:sz w:val="17"/>
                <w:szCs w:val="17"/>
              </w:rPr>
              <w:t>aseline</w:t>
            </w:r>
            <w:r w:rsidRPr="001D13C7">
              <w:rPr>
                <w:color w:val="212121"/>
                <w:sz w:val="17"/>
                <w:szCs w:val="17"/>
              </w:rPr>
              <w:t xml:space="preserve">: 2 </w:t>
            </w:r>
          </w:p>
          <w:p w14:paraId="7CE7C0E9" w14:textId="13EC22CD"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xml:space="preserve">: 3 </w:t>
            </w:r>
          </w:p>
          <w:p w14:paraId="61E093B1" w14:textId="1946E36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496D4578" w14:textId="77777777" w:rsidR="00360B19" w:rsidRDefault="002C52E2"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Pr>
                <w:color w:val="212121"/>
                <w:sz w:val="17"/>
                <w:szCs w:val="17"/>
              </w:rPr>
              <w:t>Citizen Security Council</w:t>
            </w:r>
            <w:r w:rsidR="001505FE" w:rsidRPr="001D13C7">
              <w:rPr>
                <w:color w:val="212121"/>
                <w:sz w:val="17"/>
                <w:szCs w:val="17"/>
              </w:rPr>
              <w:t xml:space="preserve">; </w:t>
            </w:r>
          </w:p>
          <w:p w14:paraId="7F8EE09D" w14:textId="46237DC3" w:rsidR="001505FE" w:rsidRPr="001D13C7" w:rsidRDefault="00360B19"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Pr>
                <w:color w:val="212121"/>
                <w:sz w:val="17"/>
                <w:szCs w:val="17"/>
              </w:rPr>
              <w:t>Ministry of Development and Social Inclusion</w:t>
            </w:r>
          </w:p>
          <w:p w14:paraId="274BD5C8"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23551F1E" w14:textId="121A3A4D"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Increased access of young people living in poverty to public spaces promoting sports and culture </w:t>
            </w:r>
          </w:p>
          <w:p w14:paraId="139783FD"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1 = No increase </w:t>
            </w:r>
          </w:p>
          <w:p w14:paraId="36AF3C54"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2 = Very partially </w:t>
            </w:r>
          </w:p>
          <w:p w14:paraId="7BAA3DED"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3 = Partially </w:t>
            </w:r>
          </w:p>
          <w:p w14:paraId="4D169E04"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4 = Mostly </w:t>
            </w:r>
          </w:p>
          <w:p w14:paraId="77B8CF19" w14:textId="19B32B58"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xml:space="preserve">: 1 </w:t>
            </w:r>
          </w:p>
          <w:p w14:paraId="07EDF583" w14:textId="09928585"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xml:space="preserve">: 3 </w:t>
            </w:r>
          </w:p>
          <w:p w14:paraId="4EF046C8" w14:textId="133B4E54"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72D8363A" w14:textId="6538A263"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Cs/>
                <w:color w:val="000000"/>
                <w:sz w:val="17"/>
                <w:szCs w:val="17"/>
              </w:rPr>
            </w:pPr>
            <w:r w:rsidRPr="001D13C7">
              <w:rPr>
                <w:color w:val="212121"/>
                <w:sz w:val="17"/>
                <w:szCs w:val="17"/>
              </w:rPr>
              <w:t>UNDP</w:t>
            </w:r>
            <w:r w:rsidR="001F6143" w:rsidRPr="001D13C7">
              <w:rPr>
                <w:color w:val="212121"/>
                <w:sz w:val="17"/>
                <w:szCs w:val="17"/>
              </w:rPr>
              <w:t xml:space="preserve"> project data</w:t>
            </w:r>
          </w:p>
        </w:tc>
        <w:tc>
          <w:tcPr>
            <w:tcW w:w="768" w:type="pct"/>
            <w:vMerge w:val="restart"/>
            <w:tcBorders>
              <w:top w:val="single" w:sz="4" w:space="0" w:color="auto"/>
              <w:left w:val="single" w:sz="4" w:space="0" w:color="auto"/>
              <w:bottom w:val="single" w:sz="4" w:space="0" w:color="auto"/>
              <w:right w:val="single" w:sz="4" w:space="0" w:color="auto"/>
            </w:tcBorders>
          </w:tcPr>
          <w:p w14:paraId="78F1AABE" w14:textId="77777777" w:rsidR="002C52E2" w:rsidRDefault="002C52E2" w:rsidP="0092368D">
            <w:pPr>
              <w:rPr>
                <w:color w:val="212121"/>
                <w:sz w:val="17"/>
                <w:szCs w:val="17"/>
                <w:shd w:val="clear" w:color="auto" w:fill="FFFFFF"/>
              </w:rPr>
            </w:pPr>
            <w:r>
              <w:rPr>
                <w:color w:val="212121"/>
                <w:sz w:val="17"/>
                <w:szCs w:val="17"/>
                <w:shd w:val="clear" w:color="auto" w:fill="FFFFFF"/>
              </w:rPr>
              <w:lastRenderedPageBreak/>
              <w:t>MEF</w:t>
            </w:r>
          </w:p>
          <w:p w14:paraId="01D620E8" w14:textId="765B0380" w:rsidR="008D653C" w:rsidRDefault="008D653C" w:rsidP="0092368D">
            <w:pPr>
              <w:rPr>
                <w:color w:val="212121"/>
                <w:sz w:val="17"/>
                <w:szCs w:val="17"/>
                <w:shd w:val="clear" w:color="auto" w:fill="FFFFFF"/>
              </w:rPr>
            </w:pPr>
            <w:r>
              <w:rPr>
                <w:color w:val="212121"/>
                <w:sz w:val="17"/>
                <w:szCs w:val="17"/>
              </w:rPr>
              <w:t>Ministr</w:t>
            </w:r>
            <w:r w:rsidR="000A7D27">
              <w:rPr>
                <w:color w:val="212121"/>
                <w:sz w:val="17"/>
                <w:szCs w:val="17"/>
              </w:rPr>
              <w:t>ies</w:t>
            </w:r>
            <w:r>
              <w:rPr>
                <w:color w:val="212121"/>
                <w:sz w:val="17"/>
                <w:szCs w:val="17"/>
              </w:rPr>
              <w:t xml:space="preserve"> of</w:t>
            </w:r>
            <w:r w:rsidR="000A7D27">
              <w:rPr>
                <w:color w:val="212121"/>
                <w:sz w:val="17"/>
                <w:szCs w:val="17"/>
              </w:rPr>
              <w:t>:</w:t>
            </w:r>
            <w:r>
              <w:rPr>
                <w:color w:val="212121"/>
                <w:sz w:val="17"/>
                <w:szCs w:val="17"/>
              </w:rPr>
              <w:t xml:space="preserve"> Development and Social Inclusion</w:t>
            </w:r>
            <w:r w:rsidR="000A7D27">
              <w:rPr>
                <w:color w:val="212121"/>
                <w:sz w:val="17"/>
                <w:szCs w:val="17"/>
              </w:rPr>
              <w:t>; Interior</w:t>
            </w:r>
            <w:r>
              <w:rPr>
                <w:color w:val="212121"/>
                <w:sz w:val="17"/>
                <w:szCs w:val="17"/>
                <w:shd w:val="clear" w:color="auto" w:fill="FFFFFF"/>
              </w:rPr>
              <w:t xml:space="preserve"> </w:t>
            </w:r>
          </w:p>
          <w:p w14:paraId="37778889" w14:textId="0EB9143D" w:rsidR="002C52E2" w:rsidRDefault="002C52E2" w:rsidP="0092368D">
            <w:pPr>
              <w:rPr>
                <w:color w:val="212121"/>
                <w:sz w:val="17"/>
                <w:szCs w:val="17"/>
                <w:shd w:val="clear" w:color="auto" w:fill="FFFFFF"/>
              </w:rPr>
            </w:pPr>
            <w:r>
              <w:rPr>
                <w:color w:val="212121"/>
                <w:sz w:val="17"/>
                <w:szCs w:val="17"/>
                <w:shd w:val="clear" w:color="auto" w:fill="FFFFFF"/>
              </w:rPr>
              <w:t>MINJUS</w:t>
            </w:r>
          </w:p>
          <w:p w14:paraId="7E6A1796"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INEI</w:t>
            </w:r>
          </w:p>
          <w:p w14:paraId="4717DA7D" w14:textId="7D7736D4" w:rsidR="001505FE" w:rsidRPr="001D13C7" w:rsidRDefault="005F1373" w:rsidP="0092368D">
            <w:pPr>
              <w:rPr>
                <w:color w:val="212121"/>
                <w:sz w:val="17"/>
                <w:szCs w:val="17"/>
                <w:shd w:val="clear" w:color="auto" w:fill="FFFFFF"/>
              </w:rPr>
            </w:pPr>
            <w:r>
              <w:rPr>
                <w:color w:val="212121"/>
                <w:sz w:val="17"/>
                <w:szCs w:val="17"/>
                <w:shd w:val="clear" w:color="auto" w:fill="FFFFFF"/>
              </w:rPr>
              <w:t>Round Table for Poverty Reduction</w:t>
            </w:r>
            <w:r w:rsidR="002C52E2">
              <w:rPr>
                <w:color w:val="212121"/>
                <w:sz w:val="17"/>
                <w:szCs w:val="17"/>
                <w:shd w:val="clear" w:color="auto" w:fill="FFFFFF"/>
              </w:rPr>
              <w:t xml:space="preserve"> </w:t>
            </w:r>
          </w:p>
          <w:p w14:paraId="7925D721" w14:textId="0988DE4F"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Justice system </w:t>
            </w:r>
          </w:p>
          <w:p w14:paraId="3BBB1881" w14:textId="62C53EC9"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National Citizen Security Council </w:t>
            </w:r>
          </w:p>
          <w:p w14:paraId="13A7EF19" w14:textId="77777777" w:rsidR="001505FE" w:rsidRPr="001D13C7" w:rsidRDefault="001505FE" w:rsidP="0092368D">
            <w:pPr>
              <w:rPr>
                <w:color w:val="212121"/>
                <w:sz w:val="17"/>
                <w:szCs w:val="17"/>
                <w:shd w:val="clear" w:color="auto" w:fill="FFFFFF"/>
              </w:rPr>
            </w:pPr>
          </w:p>
          <w:p w14:paraId="2C8C4A94" w14:textId="496E41E3"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Regional and </w:t>
            </w:r>
            <w:r w:rsidR="005F1373">
              <w:rPr>
                <w:color w:val="212121"/>
                <w:sz w:val="17"/>
                <w:szCs w:val="17"/>
                <w:shd w:val="clear" w:color="auto" w:fill="FFFFFF"/>
              </w:rPr>
              <w:t>l</w:t>
            </w:r>
            <w:r w:rsidR="005F1373" w:rsidRPr="001D13C7">
              <w:rPr>
                <w:color w:val="212121"/>
                <w:sz w:val="17"/>
                <w:szCs w:val="17"/>
                <w:shd w:val="clear" w:color="auto" w:fill="FFFFFF"/>
              </w:rPr>
              <w:t xml:space="preserve">ocal </w:t>
            </w:r>
            <w:r w:rsidR="005F1373">
              <w:rPr>
                <w:color w:val="212121"/>
                <w:sz w:val="17"/>
                <w:szCs w:val="17"/>
                <w:shd w:val="clear" w:color="auto" w:fill="FFFFFF"/>
              </w:rPr>
              <w:t>g</w:t>
            </w:r>
            <w:r w:rsidR="005F1373" w:rsidRPr="001D13C7">
              <w:rPr>
                <w:color w:val="212121"/>
                <w:sz w:val="17"/>
                <w:szCs w:val="17"/>
                <w:shd w:val="clear" w:color="auto" w:fill="FFFFFF"/>
              </w:rPr>
              <w:t>overnments</w:t>
            </w:r>
          </w:p>
          <w:p w14:paraId="6C7073D3" w14:textId="7A56CB63" w:rsidR="001505FE" w:rsidRPr="001D13C7" w:rsidRDefault="005F1373" w:rsidP="0092368D">
            <w:pPr>
              <w:rPr>
                <w:color w:val="212121"/>
                <w:sz w:val="17"/>
                <w:szCs w:val="17"/>
                <w:shd w:val="clear" w:color="auto" w:fill="FFFFFF"/>
              </w:rPr>
            </w:pPr>
            <w:r>
              <w:rPr>
                <w:color w:val="212121"/>
                <w:sz w:val="17"/>
                <w:szCs w:val="17"/>
                <w:shd w:val="clear" w:color="auto" w:fill="FFFFFF"/>
              </w:rPr>
              <w:t>CSOs</w:t>
            </w:r>
          </w:p>
          <w:p w14:paraId="78049894" w14:textId="77777777" w:rsidR="00360B19" w:rsidRDefault="001505FE" w:rsidP="0092368D">
            <w:pPr>
              <w:rPr>
                <w:color w:val="212121"/>
                <w:sz w:val="17"/>
                <w:szCs w:val="17"/>
                <w:shd w:val="clear" w:color="auto" w:fill="FFFFFF"/>
              </w:rPr>
            </w:pPr>
            <w:r w:rsidRPr="001D13C7">
              <w:rPr>
                <w:color w:val="212121"/>
                <w:sz w:val="17"/>
                <w:szCs w:val="17"/>
                <w:shd w:val="clear" w:color="auto" w:fill="FFFFFF"/>
              </w:rPr>
              <w:t xml:space="preserve">UNODC, WHO/PAHO, </w:t>
            </w:r>
          </w:p>
          <w:p w14:paraId="3635DB61" w14:textId="77777777" w:rsidR="00360B19" w:rsidRDefault="00360B19" w:rsidP="0092368D">
            <w:pPr>
              <w:rPr>
                <w:color w:val="212121"/>
                <w:sz w:val="17"/>
                <w:szCs w:val="17"/>
                <w:shd w:val="clear" w:color="auto" w:fill="FFFFFF"/>
              </w:rPr>
            </w:pPr>
          </w:p>
          <w:p w14:paraId="31184CFB" w14:textId="635E5D80" w:rsidR="001505FE" w:rsidRPr="001D13C7" w:rsidRDefault="001505FE" w:rsidP="0092368D">
            <w:pPr>
              <w:rPr>
                <w:sz w:val="17"/>
                <w:szCs w:val="17"/>
              </w:rPr>
            </w:pPr>
            <w:r w:rsidRPr="001D13C7">
              <w:rPr>
                <w:color w:val="212121"/>
                <w:sz w:val="17"/>
                <w:szCs w:val="17"/>
                <w:shd w:val="clear" w:color="auto" w:fill="FFFFFF"/>
              </w:rPr>
              <w:t>UNFPA, UNLIREC</w:t>
            </w:r>
          </w:p>
          <w:p w14:paraId="0C4DFF3F" w14:textId="77777777" w:rsidR="001505FE" w:rsidRPr="001D13C7" w:rsidRDefault="001505FE" w:rsidP="0092368D">
            <w:pPr>
              <w:rPr>
                <w:rFonts w:eastAsia="Calibri"/>
                <w:iCs/>
                <w:color w:val="000000"/>
                <w:sz w:val="17"/>
                <w:szCs w:val="17"/>
              </w:rPr>
            </w:pPr>
          </w:p>
        </w:tc>
        <w:tc>
          <w:tcPr>
            <w:tcW w:w="5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745C0FF" w14:textId="68E95E5E" w:rsidR="001505FE" w:rsidRPr="001D13C7" w:rsidRDefault="001505FE" w:rsidP="0092368D">
            <w:pPr>
              <w:rPr>
                <w:rFonts w:eastAsia="Calibri"/>
                <w:color w:val="000000"/>
                <w:sz w:val="17"/>
                <w:szCs w:val="17"/>
              </w:rPr>
            </w:pPr>
            <w:r w:rsidRPr="001D13C7">
              <w:rPr>
                <w:rFonts w:eastAsia="Calibri"/>
                <w:color w:val="000000"/>
                <w:sz w:val="17"/>
                <w:szCs w:val="17"/>
              </w:rPr>
              <w:lastRenderedPageBreak/>
              <w:t>Regular</w:t>
            </w:r>
            <w:r w:rsidR="005F1373">
              <w:rPr>
                <w:rFonts w:eastAsia="Calibri"/>
                <w:color w:val="000000"/>
                <w:sz w:val="17"/>
                <w:szCs w:val="17"/>
              </w:rPr>
              <w:t xml:space="preserve"> resources:</w:t>
            </w:r>
          </w:p>
          <w:p w14:paraId="3A09B773" w14:textId="6EC5916B" w:rsidR="001505FE" w:rsidRPr="001D13C7" w:rsidRDefault="005F1373"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458,500</w:t>
            </w:r>
          </w:p>
        </w:tc>
      </w:tr>
      <w:tr w:rsidR="001505FE" w:rsidRPr="001D13C7" w14:paraId="565E34E8" w14:textId="77777777" w:rsidTr="001D13C7">
        <w:tc>
          <w:tcPr>
            <w:tcW w:w="1469" w:type="pct"/>
            <w:vMerge/>
            <w:tcBorders>
              <w:top w:val="single" w:sz="4" w:space="0" w:color="auto"/>
              <w:left w:val="single" w:sz="4" w:space="0" w:color="auto"/>
              <w:bottom w:val="single" w:sz="8" w:space="0" w:color="000000"/>
              <w:right w:val="single" w:sz="4" w:space="0" w:color="auto"/>
            </w:tcBorders>
            <w:vAlign w:val="center"/>
            <w:hideMark/>
          </w:tcPr>
          <w:p w14:paraId="339B272F" w14:textId="6BB1FEED" w:rsidR="001505FE" w:rsidRPr="001D13C7" w:rsidRDefault="001505FE" w:rsidP="0092368D">
            <w:pPr>
              <w:rPr>
                <w:rFonts w:eastAsia="Calibri"/>
                <w:bCs/>
                <w:color w:val="000000"/>
                <w:sz w:val="17"/>
                <w:szCs w:val="17"/>
              </w:rPr>
            </w:pPr>
          </w:p>
        </w:tc>
        <w:tc>
          <w:tcPr>
            <w:tcW w:w="992" w:type="pct"/>
            <w:vMerge/>
            <w:tcBorders>
              <w:top w:val="single" w:sz="4" w:space="0" w:color="auto"/>
              <w:left w:val="single" w:sz="4" w:space="0" w:color="auto"/>
              <w:bottom w:val="single" w:sz="8" w:space="0" w:color="000000"/>
              <w:right w:val="single" w:sz="4" w:space="0" w:color="auto"/>
            </w:tcBorders>
            <w:vAlign w:val="center"/>
            <w:hideMark/>
          </w:tcPr>
          <w:p w14:paraId="623AFA42" w14:textId="77777777" w:rsidR="001505FE" w:rsidRPr="001D13C7" w:rsidRDefault="001505FE" w:rsidP="0092368D">
            <w:pPr>
              <w:rPr>
                <w:rFonts w:eastAsia="Calibri"/>
                <w:bCs/>
                <w:color w:val="000000"/>
                <w:sz w:val="17"/>
                <w:szCs w:val="17"/>
              </w:rPr>
            </w:pPr>
          </w:p>
        </w:tc>
        <w:tc>
          <w:tcPr>
            <w:tcW w:w="1249" w:type="pct"/>
            <w:vMerge/>
            <w:tcBorders>
              <w:top w:val="single" w:sz="4" w:space="0" w:color="auto"/>
              <w:left w:val="single" w:sz="4" w:space="0" w:color="auto"/>
              <w:bottom w:val="single" w:sz="8" w:space="0" w:color="000000"/>
              <w:right w:val="single" w:sz="4" w:space="0" w:color="auto"/>
            </w:tcBorders>
            <w:vAlign w:val="center"/>
            <w:hideMark/>
          </w:tcPr>
          <w:p w14:paraId="0B9F9B0F" w14:textId="77777777" w:rsidR="001505FE" w:rsidRPr="001D13C7" w:rsidRDefault="001505FE" w:rsidP="0092368D">
            <w:pPr>
              <w:rPr>
                <w:rFonts w:eastAsia="Calibri"/>
                <w:iCs/>
                <w:color w:val="000000"/>
                <w:sz w:val="17"/>
                <w:szCs w:val="17"/>
              </w:rPr>
            </w:pPr>
          </w:p>
        </w:tc>
        <w:tc>
          <w:tcPr>
            <w:tcW w:w="768" w:type="pct"/>
            <w:vMerge/>
            <w:tcBorders>
              <w:top w:val="single" w:sz="4" w:space="0" w:color="auto"/>
              <w:left w:val="single" w:sz="4" w:space="0" w:color="auto"/>
              <w:bottom w:val="single" w:sz="8" w:space="0" w:color="000000"/>
              <w:right w:val="single" w:sz="4" w:space="0" w:color="auto"/>
            </w:tcBorders>
            <w:vAlign w:val="center"/>
            <w:hideMark/>
          </w:tcPr>
          <w:p w14:paraId="050C4334" w14:textId="77777777" w:rsidR="001505FE" w:rsidRPr="001D13C7" w:rsidRDefault="001505FE" w:rsidP="0092368D">
            <w:pPr>
              <w:rPr>
                <w:rFonts w:eastAsia="Calibri"/>
                <w:iCs/>
                <w:color w:val="000000"/>
                <w:sz w:val="17"/>
                <w:szCs w:val="17"/>
              </w:rPr>
            </w:pPr>
          </w:p>
        </w:tc>
        <w:tc>
          <w:tcPr>
            <w:tcW w:w="522" w:type="pct"/>
            <w:tcBorders>
              <w:top w:val="single" w:sz="4" w:space="0" w:color="auto"/>
              <w:left w:val="single" w:sz="4" w:space="0" w:color="auto"/>
              <w:bottom w:val="single" w:sz="8" w:space="0" w:color="000000"/>
              <w:right w:val="single" w:sz="4" w:space="0" w:color="auto"/>
            </w:tcBorders>
            <w:tcMar>
              <w:top w:w="15" w:type="dxa"/>
              <w:left w:w="108" w:type="dxa"/>
              <w:bottom w:w="0" w:type="dxa"/>
              <w:right w:w="108" w:type="dxa"/>
            </w:tcMar>
          </w:tcPr>
          <w:p w14:paraId="427AD092" w14:textId="72AECBA8" w:rsidR="001505FE" w:rsidRPr="001D13C7" w:rsidRDefault="001505FE" w:rsidP="0092368D">
            <w:pPr>
              <w:rPr>
                <w:rFonts w:eastAsia="Calibri"/>
                <w:color w:val="000000"/>
                <w:sz w:val="17"/>
                <w:szCs w:val="17"/>
              </w:rPr>
            </w:pPr>
            <w:r w:rsidRPr="001D13C7">
              <w:rPr>
                <w:rFonts w:eastAsia="Calibri"/>
                <w:color w:val="000000"/>
                <w:sz w:val="17"/>
                <w:szCs w:val="17"/>
              </w:rPr>
              <w:t>Other</w:t>
            </w:r>
            <w:r w:rsidR="005F1373">
              <w:rPr>
                <w:rFonts w:eastAsia="Calibri"/>
                <w:color w:val="000000"/>
                <w:sz w:val="17"/>
                <w:szCs w:val="17"/>
              </w:rPr>
              <w:t xml:space="preserve"> resource</w:t>
            </w:r>
            <w:r w:rsidRPr="001D13C7">
              <w:rPr>
                <w:rFonts w:eastAsia="Calibri"/>
                <w:color w:val="000000"/>
                <w:sz w:val="17"/>
                <w:szCs w:val="17"/>
              </w:rPr>
              <w:t>s</w:t>
            </w:r>
          </w:p>
          <w:p w14:paraId="7CA05118" w14:textId="7D1B46E0" w:rsidR="001505FE" w:rsidRPr="001D13C7" w:rsidRDefault="005F1373"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49,541,500</w:t>
            </w:r>
          </w:p>
          <w:p w14:paraId="2D5400AD" w14:textId="77777777" w:rsidR="001505FE" w:rsidRPr="001D13C7" w:rsidRDefault="001505FE" w:rsidP="0092368D">
            <w:pPr>
              <w:rPr>
                <w:rFonts w:eastAsia="Calibri"/>
                <w:color w:val="000000"/>
                <w:sz w:val="17"/>
                <w:szCs w:val="17"/>
              </w:rPr>
            </w:pPr>
          </w:p>
          <w:p w14:paraId="0AAAC98A" w14:textId="77777777" w:rsidR="001505FE" w:rsidRPr="001D13C7" w:rsidRDefault="001505FE" w:rsidP="0092368D">
            <w:pPr>
              <w:rPr>
                <w:rFonts w:eastAsia="Calibri"/>
                <w:color w:val="000000"/>
                <w:sz w:val="17"/>
                <w:szCs w:val="17"/>
              </w:rPr>
            </w:pPr>
            <w:r w:rsidRPr="001D13C7">
              <w:rPr>
                <w:rFonts w:eastAsia="Calibri"/>
                <w:color w:val="000000"/>
                <w:sz w:val="17"/>
                <w:szCs w:val="17"/>
              </w:rPr>
              <w:t>TOTAL</w:t>
            </w:r>
          </w:p>
          <w:p w14:paraId="55025AB2" w14:textId="1A7B0A5F" w:rsidR="001505FE" w:rsidRPr="001D13C7" w:rsidRDefault="005F1373"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50,000,000</w:t>
            </w:r>
          </w:p>
        </w:tc>
      </w:tr>
      <w:tr w:rsidR="001505FE" w:rsidRPr="001D13C7" w14:paraId="35914C68"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2084BD" w14:textId="77777777" w:rsidR="001505FE" w:rsidRPr="001D13C7" w:rsidRDefault="001505FE" w:rsidP="0092368D">
            <w:pPr>
              <w:rPr>
                <w:sz w:val="17"/>
                <w:szCs w:val="17"/>
              </w:rPr>
            </w:pPr>
            <w:r w:rsidRPr="001D13C7">
              <w:rPr>
                <w:sz w:val="17"/>
                <w:szCs w:val="17"/>
              </w:rPr>
              <w:lastRenderedPageBreak/>
              <w:t xml:space="preserve">NATIONAL PRIORITY: 2021 Peru Bicentennial Plan. Efficient and decentralized government at the service of citizens and development </w:t>
            </w:r>
          </w:p>
        </w:tc>
      </w:tr>
      <w:tr w:rsidR="001505FE" w:rsidRPr="001D13C7" w14:paraId="3676D52D"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2D1477" w14:textId="77777777" w:rsidR="001505FE" w:rsidRPr="001D13C7" w:rsidRDefault="001505FE" w:rsidP="0092368D">
            <w:pPr>
              <w:rPr>
                <w:sz w:val="17"/>
                <w:szCs w:val="17"/>
              </w:rPr>
            </w:pPr>
            <w:r w:rsidRPr="001D13C7">
              <w:rPr>
                <w:sz w:val="17"/>
                <w:szCs w:val="17"/>
              </w:rPr>
              <w:t xml:space="preserve">UNDAF OUTCOME 3: By 2021, public management is more efficient, effective, transparent and equitable, thus increasing the confidence of the people in institutions </w:t>
            </w:r>
          </w:p>
        </w:tc>
      </w:tr>
      <w:tr w:rsidR="001505FE" w:rsidRPr="001D13C7" w14:paraId="3F5CA5A2"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DCDED1" w14:textId="3A05EEF5" w:rsidR="001505FE" w:rsidRPr="001D13C7" w:rsidRDefault="001505FE" w:rsidP="000A7D27">
            <w:pPr>
              <w:rPr>
                <w:rFonts w:eastAsia="Calibri"/>
                <w:sz w:val="17"/>
                <w:szCs w:val="17"/>
              </w:rPr>
            </w:pPr>
            <w:r w:rsidRPr="001D13C7">
              <w:rPr>
                <w:sz w:val="17"/>
                <w:szCs w:val="17"/>
              </w:rPr>
              <w:t>RELATED STRATEGIC PLAN OUTCOME: 2</w:t>
            </w:r>
            <w:r w:rsidR="000A7D27">
              <w:rPr>
                <w:sz w:val="17"/>
                <w:szCs w:val="17"/>
              </w:rPr>
              <w:t>.</w:t>
            </w:r>
            <w:r w:rsidR="000A7D27" w:rsidRPr="001D13C7">
              <w:rPr>
                <w:rFonts w:eastAsia="Calibri"/>
                <w:sz w:val="17"/>
                <w:szCs w:val="17"/>
              </w:rPr>
              <w:t xml:space="preserve"> </w:t>
            </w:r>
            <w:r w:rsidRPr="001D13C7">
              <w:rPr>
                <w:rFonts w:eastAsia="Calibri"/>
                <w:sz w:val="17"/>
                <w:szCs w:val="17"/>
              </w:rPr>
              <w:t xml:space="preserve">Citizen expectations for voice, development, the rule of law and accountability are met by stronger systems of democratic governance </w:t>
            </w:r>
          </w:p>
        </w:tc>
      </w:tr>
      <w:tr w:rsidR="001505FE" w:rsidRPr="001D13C7" w14:paraId="3C9C39B1" w14:textId="77777777" w:rsidTr="001D13C7">
        <w:tc>
          <w:tcPr>
            <w:tcW w:w="1469" w:type="pct"/>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14:paraId="604B0A0C" w14:textId="49EB5899"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Primary government expenditures as percentage of original approved budget </w:t>
            </w:r>
          </w:p>
          <w:p w14:paraId="39CD522A" w14:textId="117D78AF"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Ratio of execution regarding (2015): 88.9%</w:t>
            </w:r>
          </w:p>
          <w:p w14:paraId="14D5ED00"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Regional governments: 91.6%</w:t>
            </w:r>
          </w:p>
          <w:p w14:paraId="6DF1E75F"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Local governments: 74.3%</w:t>
            </w:r>
          </w:p>
          <w:p w14:paraId="74462790" w14:textId="1FC1CBE8"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TBD</w:t>
            </w:r>
          </w:p>
          <w:p w14:paraId="4268A97C"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443AE2B9" w14:textId="4915640A"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Proportion of population satisfied with their latest experience with public services </w:t>
            </w:r>
          </w:p>
          <w:p w14:paraId="2218A388" w14:textId="02BCACBE"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Police performance satisfaction: 30.7%</w:t>
            </w:r>
          </w:p>
          <w:p w14:paraId="26466775"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Confidence that the judicial system to punish responsible people: 29.6%</w:t>
            </w:r>
          </w:p>
          <w:p w14:paraId="75FBBF2E"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Satisfaction with roads: 49.6%; public schools: 45.1%; medical and public health services: 43%</w:t>
            </w:r>
          </w:p>
          <w:p w14:paraId="55E23315" w14:textId="1B3B9A0A"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TBD</w:t>
            </w:r>
          </w:p>
          <w:p w14:paraId="61CE91B5"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4CB8A7DE" w14:textId="57592194"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Proportion of sustainable development indicators produced nationally, with full breakdown when relevant to the goal, in accordance with the Fundamental Principles of Official Statistics </w:t>
            </w:r>
          </w:p>
          <w:p w14:paraId="630CC4B1" w14:textId="577C9B7A"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TBD</w:t>
            </w:r>
          </w:p>
          <w:p w14:paraId="7BE29A5B" w14:textId="62658743"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TBD</w:t>
            </w:r>
          </w:p>
          <w:p w14:paraId="3F489004" w14:textId="77777777" w:rsidR="001505FE" w:rsidRPr="001D13C7" w:rsidRDefault="001505FE" w:rsidP="0092368D">
            <w:pPr>
              <w:rPr>
                <w:rFonts w:eastAsia="Calibri"/>
                <w:bCs/>
                <w:color w:val="000000"/>
                <w:sz w:val="17"/>
                <w:szCs w:val="17"/>
              </w:rPr>
            </w:pPr>
          </w:p>
        </w:tc>
        <w:tc>
          <w:tcPr>
            <w:tcW w:w="992" w:type="pct"/>
            <w:tcBorders>
              <w:top w:val="single" w:sz="4" w:space="0" w:color="auto"/>
              <w:left w:val="single" w:sz="4" w:space="0" w:color="auto"/>
              <w:bottom w:val="single" w:sz="8" w:space="0" w:color="000000"/>
              <w:right w:val="single" w:sz="4" w:space="0" w:color="auto"/>
            </w:tcBorders>
          </w:tcPr>
          <w:p w14:paraId="5DC9C623" w14:textId="116A1398" w:rsidR="001505FE" w:rsidRPr="001D13C7" w:rsidRDefault="001505FE" w:rsidP="0092368D">
            <w:pPr>
              <w:rPr>
                <w:rFonts w:eastAsia="Calibri"/>
                <w:bCs/>
                <w:color w:val="000000"/>
                <w:sz w:val="17"/>
                <w:szCs w:val="17"/>
              </w:rPr>
            </w:pPr>
            <w:r w:rsidRPr="001D13C7">
              <w:rPr>
                <w:rFonts w:eastAsia="Calibri"/>
                <w:bCs/>
                <w:color w:val="000000"/>
                <w:sz w:val="17"/>
                <w:szCs w:val="17"/>
              </w:rPr>
              <w:lastRenderedPageBreak/>
              <w:t>MEF; yearly (UNICEF)</w:t>
            </w:r>
          </w:p>
          <w:p w14:paraId="20C32101" w14:textId="652053B4" w:rsidR="001505FE" w:rsidRPr="001D13C7" w:rsidRDefault="001505FE" w:rsidP="0092368D">
            <w:pPr>
              <w:rPr>
                <w:rFonts w:eastAsia="Calibri"/>
                <w:bCs/>
                <w:color w:val="000000"/>
                <w:sz w:val="17"/>
                <w:szCs w:val="17"/>
              </w:rPr>
            </w:pPr>
            <w:r w:rsidRPr="001D13C7">
              <w:rPr>
                <w:rFonts w:eastAsia="Calibri"/>
                <w:bCs/>
                <w:color w:val="000000"/>
                <w:sz w:val="17"/>
                <w:szCs w:val="17"/>
              </w:rPr>
              <w:t xml:space="preserve">Americas Barometer by </w:t>
            </w:r>
            <w:r w:rsidR="004D4B9A">
              <w:rPr>
                <w:rFonts w:eastAsia="Calibri"/>
                <w:bCs/>
                <w:color w:val="000000"/>
                <w:sz w:val="17"/>
                <w:szCs w:val="17"/>
              </w:rPr>
              <w:t>Latin America Public Opinion Project</w:t>
            </w:r>
            <w:r w:rsidRPr="001D13C7">
              <w:rPr>
                <w:rFonts w:eastAsia="Calibri"/>
                <w:bCs/>
                <w:color w:val="000000"/>
                <w:sz w:val="17"/>
                <w:szCs w:val="17"/>
              </w:rPr>
              <w:t>; INEI; Ombudsman; yearly (UNDP)</w:t>
            </w:r>
          </w:p>
          <w:p w14:paraId="78D5F99A" w14:textId="2438132F" w:rsidR="001505FE" w:rsidRPr="001D13C7" w:rsidRDefault="001505FE" w:rsidP="0092368D">
            <w:pPr>
              <w:rPr>
                <w:rFonts w:eastAsia="Calibri"/>
                <w:b/>
                <w:bCs/>
                <w:color w:val="000000"/>
                <w:sz w:val="17"/>
                <w:szCs w:val="17"/>
              </w:rPr>
            </w:pPr>
            <w:r w:rsidRPr="001D13C7">
              <w:rPr>
                <w:rFonts w:eastAsia="Calibri"/>
                <w:bCs/>
                <w:color w:val="000000"/>
                <w:sz w:val="17"/>
                <w:szCs w:val="17"/>
              </w:rPr>
              <w:t>INEI; yearly (UNFPA)</w:t>
            </w:r>
          </w:p>
        </w:tc>
        <w:tc>
          <w:tcPr>
            <w:tcW w:w="1249" w:type="pct"/>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14:paraId="43D58BC5" w14:textId="4A270A2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0"/>
                <w:sz w:val="17"/>
                <w:szCs w:val="17"/>
              </w:rPr>
            </w:pPr>
            <w:r w:rsidRPr="001D13C7">
              <w:rPr>
                <w:sz w:val="17"/>
                <w:szCs w:val="17"/>
              </w:rPr>
              <w:t>Output</w:t>
            </w:r>
            <w:r w:rsidRPr="001D13C7">
              <w:rPr>
                <w:rFonts w:eastAsia="Calibri"/>
                <w:bCs/>
                <w:color w:val="000000"/>
                <w:sz w:val="17"/>
                <w:szCs w:val="17"/>
              </w:rPr>
              <w:t xml:space="preserve"> 3.1 National and subnational capacities in public management strengthened to increase efficiency and effectiveness and comply with international commitments </w:t>
            </w:r>
          </w:p>
          <w:p w14:paraId="725FE419"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63BE839F" w14:textId="13A88A4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Ratio of implementation (%) of public service reform </w:t>
            </w:r>
          </w:p>
          <w:p w14:paraId="1ECC645F" w14:textId="056A4E8F"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xml:space="preserve">: 10 </w:t>
            </w:r>
          </w:p>
          <w:p w14:paraId="223362C9" w14:textId="5A547ADF"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xml:space="preserve">: </w:t>
            </w:r>
            <w:r w:rsidR="001F6143" w:rsidRPr="001D13C7">
              <w:rPr>
                <w:color w:val="212121"/>
                <w:sz w:val="17"/>
                <w:szCs w:val="17"/>
              </w:rPr>
              <w:t>75</w:t>
            </w:r>
            <w:r w:rsidRPr="001D13C7">
              <w:rPr>
                <w:color w:val="212121"/>
                <w:sz w:val="17"/>
                <w:szCs w:val="17"/>
              </w:rPr>
              <w:t xml:space="preserve"> </w:t>
            </w:r>
          </w:p>
          <w:p w14:paraId="28617D6E" w14:textId="43CD7BBE"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3F15B895" w14:textId="4F3F5B71"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MEF; </w:t>
            </w:r>
            <w:r w:rsidR="004D4B9A">
              <w:rPr>
                <w:color w:val="212121"/>
                <w:sz w:val="17"/>
                <w:szCs w:val="17"/>
              </w:rPr>
              <w:t>Civil Service Authority</w:t>
            </w:r>
          </w:p>
          <w:p w14:paraId="3F56FAE1"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0655E8D1" w14:textId="4ABD8C8F" w:rsidR="001505FE" w:rsidRPr="001D13C7" w:rsidRDefault="001505FE" w:rsidP="001F6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I</w:t>
            </w:r>
            <w:r w:rsidR="009A2352" w:rsidRPr="001D13C7">
              <w:rPr>
                <w:color w:val="212121"/>
                <w:sz w:val="17"/>
                <w:szCs w:val="17"/>
              </w:rPr>
              <w:t>2</w:t>
            </w:r>
            <w:r w:rsidRPr="001D13C7">
              <w:rPr>
                <w:color w:val="212121"/>
                <w:sz w:val="17"/>
                <w:szCs w:val="17"/>
              </w:rPr>
              <w:t xml:space="preserve">: </w:t>
            </w:r>
            <w:r w:rsidR="00D21CDD" w:rsidRPr="001D13C7">
              <w:rPr>
                <w:color w:val="212121"/>
                <w:sz w:val="17"/>
                <w:szCs w:val="17"/>
              </w:rPr>
              <w:t>Percentage</w:t>
            </w:r>
            <w:r w:rsidR="001F6143" w:rsidRPr="001D13C7">
              <w:rPr>
                <w:color w:val="212121"/>
                <w:sz w:val="17"/>
                <w:szCs w:val="17"/>
              </w:rPr>
              <w:t xml:space="preserve"> of subnational governments </w:t>
            </w:r>
            <w:r w:rsidR="00294144" w:rsidRPr="001D13C7">
              <w:rPr>
                <w:color w:val="212121"/>
                <w:sz w:val="17"/>
                <w:szCs w:val="17"/>
              </w:rPr>
              <w:t>with</w:t>
            </w:r>
            <w:r w:rsidR="001F6143" w:rsidRPr="001D13C7">
              <w:rPr>
                <w:color w:val="212121"/>
                <w:sz w:val="17"/>
                <w:szCs w:val="17"/>
              </w:rPr>
              <w:t xml:space="preserve"> functioning planning, budgeting</w:t>
            </w:r>
            <w:r w:rsidR="00D21CDD" w:rsidRPr="001D13C7">
              <w:rPr>
                <w:color w:val="212121"/>
                <w:sz w:val="17"/>
                <w:szCs w:val="17"/>
              </w:rPr>
              <w:t>, management</w:t>
            </w:r>
            <w:r w:rsidR="001F6143" w:rsidRPr="001D13C7">
              <w:rPr>
                <w:color w:val="212121"/>
                <w:sz w:val="17"/>
                <w:szCs w:val="17"/>
              </w:rPr>
              <w:t xml:space="preserve"> and monitoring systems</w:t>
            </w:r>
            <w:r w:rsidR="00D21CDD" w:rsidRPr="001D13C7">
              <w:rPr>
                <w:color w:val="212121"/>
                <w:sz w:val="17"/>
                <w:szCs w:val="17"/>
              </w:rPr>
              <w:t xml:space="preserve"> (regional and local)</w:t>
            </w:r>
          </w:p>
          <w:p w14:paraId="48B6B348" w14:textId="381B0267" w:rsidR="001F6143" w:rsidRPr="001D13C7" w:rsidRDefault="001F6143" w:rsidP="001F6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4D4B9A">
              <w:rPr>
                <w:color w:val="212121"/>
                <w:sz w:val="17"/>
                <w:szCs w:val="17"/>
              </w:rPr>
              <w:t>aseline</w:t>
            </w:r>
            <w:r w:rsidRPr="001D13C7">
              <w:rPr>
                <w:color w:val="212121"/>
                <w:sz w:val="17"/>
                <w:szCs w:val="17"/>
              </w:rPr>
              <w:t xml:space="preserve">: </w:t>
            </w:r>
            <w:r w:rsidR="00D21CDD" w:rsidRPr="001D13C7">
              <w:rPr>
                <w:color w:val="212121"/>
                <w:sz w:val="17"/>
                <w:szCs w:val="17"/>
              </w:rPr>
              <w:t>R</w:t>
            </w:r>
            <w:r w:rsidR="004D4B9A">
              <w:rPr>
                <w:color w:val="212121"/>
                <w:sz w:val="17"/>
                <w:szCs w:val="17"/>
              </w:rPr>
              <w:t>egional</w:t>
            </w:r>
            <w:r w:rsidR="00D21CDD" w:rsidRPr="001D13C7">
              <w:rPr>
                <w:color w:val="212121"/>
                <w:sz w:val="17"/>
                <w:szCs w:val="17"/>
              </w:rPr>
              <w:t>: 40; L</w:t>
            </w:r>
            <w:r w:rsidR="004D4B9A">
              <w:rPr>
                <w:color w:val="212121"/>
                <w:sz w:val="17"/>
                <w:szCs w:val="17"/>
              </w:rPr>
              <w:t>ocal</w:t>
            </w:r>
            <w:r w:rsidR="00D21CDD" w:rsidRPr="001D13C7">
              <w:rPr>
                <w:color w:val="212121"/>
                <w:sz w:val="17"/>
                <w:szCs w:val="17"/>
              </w:rPr>
              <w:t>: 30</w:t>
            </w:r>
          </w:p>
          <w:p w14:paraId="4447C8D7" w14:textId="6EC20AF2" w:rsidR="00D21CDD" w:rsidRPr="001D13C7" w:rsidRDefault="00D21CDD" w:rsidP="001F6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4D4B9A">
              <w:rPr>
                <w:color w:val="212121"/>
                <w:sz w:val="17"/>
                <w:szCs w:val="17"/>
              </w:rPr>
              <w:t>arget</w:t>
            </w:r>
            <w:r w:rsidRPr="001D13C7">
              <w:rPr>
                <w:color w:val="212121"/>
                <w:sz w:val="17"/>
                <w:szCs w:val="17"/>
              </w:rPr>
              <w:t>: R</w:t>
            </w:r>
            <w:r w:rsidR="004D4B9A">
              <w:rPr>
                <w:color w:val="212121"/>
                <w:sz w:val="17"/>
                <w:szCs w:val="17"/>
              </w:rPr>
              <w:t>egional</w:t>
            </w:r>
            <w:r w:rsidRPr="001D13C7">
              <w:rPr>
                <w:color w:val="212121"/>
                <w:sz w:val="17"/>
                <w:szCs w:val="17"/>
              </w:rPr>
              <w:t>: 60; L</w:t>
            </w:r>
            <w:r w:rsidR="004D4B9A">
              <w:rPr>
                <w:color w:val="212121"/>
                <w:sz w:val="17"/>
                <w:szCs w:val="17"/>
              </w:rPr>
              <w:t>ocal</w:t>
            </w:r>
            <w:r w:rsidRPr="001D13C7">
              <w:rPr>
                <w:color w:val="212121"/>
                <w:sz w:val="17"/>
                <w:szCs w:val="17"/>
              </w:rPr>
              <w:t>: 50</w:t>
            </w:r>
          </w:p>
          <w:p w14:paraId="10F0A62B" w14:textId="4CA3D8A3" w:rsidR="00D21CDD" w:rsidRPr="001D13C7" w:rsidRDefault="00D21CDD" w:rsidP="001F6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Annual</w:t>
            </w:r>
          </w:p>
          <w:p w14:paraId="190F02C0" w14:textId="44BAD635" w:rsidR="00D21CDD" w:rsidRPr="001D13C7" w:rsidRDefault="00D21CDD" w:rsidP="001F6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PCM; MEF</w:t>
            </w:r>
          </w:p>
          <w:p w14:paraId="28D15F63"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03451B0E"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sz w:val="17"/>
                <w:szCs w:val="17"/>
              </w:rPr>
              <w:t>Output</w:t>
            </w:r>
            <w:r w:rsidRPr="001D13C7">
              <w:rPr>
                <w:color w:val="212121"/>
                <w:sz w:val="17"/>
                <w:szCs w:val="17"/>
              </w:rPr>
              <w:t xml:space="preserve"> 3.2 Strengthened transparency, access to information and accountability  </w:t>
            </w:r>
          </w:p>
          <w:p w14:paraId="0D2BA382"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5E2C6747" w14:textId="7B482FF0"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Percentage of institutions publishing data in compliance with Law of Transparency and Access to Information </w:t>
            </w:r>
          </w:p>
          <w:p w14:paraId="6882F057" w14:textId="50B3947F"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EA4872">
              <w:rPr>
                <w:color w:val="212121"/>
                <w:sz w:val="17"/>
                <w:szCs w:val="17"/>
              </w:rPr>
              <w:t>aseline</w:t>
            </w:r>
            <w:r w:rsidRPr="001D13C7">
              <w:rPr>
                <w:color w:val="212121"/>
                <w:sz w:val="17"/>
                <w:szCs w:val="17"/>
              </w:rPr>
              <w:t xml:space="preserve">: </w:t>
            </w:r>
            <w:r w:rsidR="00294144" w:rsidRPr="001D13C7">
              <w:rPr>
                <w:color w:val="212121"/>
                <w:sz w:val="17"/>
                <w:szCs w:val="17"/>
              </w:rPr>
              <w:t>40</w:t>
            </w:r>
            <w:r w:rsidRPr="001D13C7">
              <w:rPr>
                <w:color w:val="212121"/>
                <w:sz w:val="17"/>
                <w:szCs w:val="17"/>
              </w:rPr>
              <w:t xml:space="preserve"> </w:t>
            </w:r>
          </w:p>
          <w:p w14:paraId="024B1732" w14:textId="14549B5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EA4872">
              <w:rPr>
                <w:color w:val="212121"/>
                <w:sz w:val="17"/>
                <w:szCs w:val="17"/>
              </w:rPr>
              <w:t>arget</w:t>
            </w:r>
            <w:r w:rsidRPr="001D13C7">
              <w:rPr>
                <w:color w:val="212121"/>
                <w:sz w:val="17"/>
                <w:szCs w:val="17"/>
              </w:rPr>
              <w:t xml:space="preserve">: 75 </w:t>
            </w:r>
          </w:p>
          <w:p w14:paraId="15C5879F" w14:textId="1B6413D5"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55F0A9EB" w14:textId="69599FC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PCM; Peruvian Press Council  </w:t>
            </w:r>
          </w:p>
          <w:p w14:paraId="0CB36DF9"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5A8E9583" w14:textId="4D88C92A"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Number of prevention tools (sectoral and regional) approved in compliance with U</w:t>
            </w:r>
            <w:r w:rsidR="00EA4872">
              <w:rPr>
                <w:color w:val="212121"/>
                <w:sz w:val="17"/>
                <w:szCs w:val="17"/>
              </w:rPr>
              <w:t xml:space="preserve">nited </w:t>
            </w:r>
            <w:r w:rsidRPr="001D13C7">
              <w:rPr>
                <w:color w:val="212121"/>
                <w:sz w:val="17"/>
                <w:szCs w:val="17"/>
              </w:rPr>
              <w:t>N</w:t>
            </w:r>
            <w:r w:rsidR="00EA4872">
              <w:rPr>
                <w:color w:val="212121"/>
                <w:sz w:val="17"/>
                <w:szCs w:val="17"/>
              </w:rPr>
              <w:t>ations</w:t>
            </w:r>
            <w:r w:rsidRPr="001D13C7">
              <w:rPr>
                <w:color w:val="212121"/>
                <w:sz w:val="17"/>
                <w:szCs w:val="17"/>
              </w:rPr>
              <w:t xml:space="preserve"> Convention against Corruption </w:t>
            </w:r>
          </w:p>
          <w:p w14:paraId="2B0ABB4D" w14:textId="1C51C7BB"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EA4872">
              <w:rPr>
                <w:color w:val="212121"/>
                <w:sz w:val="17"/>
                <w:szCs w:val="17"/>
              </w:rPr>
              <w:t>aseline</w:t>
            </w:r>
            <w:r w:rsidRPr="001D13C7">
              <w:rPr>
                <w:color w:val="212121"/>
                <w:sz w:val="17"/>
                <w:szCs w:val="17"/>
              </w:rPr>
              <w:t xml:space="preserve">: 0 </w:t>
            </w:r>
          </w:p>
          <w:p w14:paraId="55C04459" w14:textId="086805E9"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EA4872">
              <w:rPr>
                <w:color w:val="212121"/>
                <w:sz w:val="17"/>
                <w:szCs w:val="17"/>
              </w:rPr>
              <w:t>arget</w:t>
            </w:r>
            <w:r w:rsidRPr="001D13C7">
              <w:rPr>
                <w:color w:val="212121"/>
                <w:sz w:val="17"/>
                <w:szCs w:val="17"/>
              </w:rPr>
              <w:t xml:space="preserve">: 5 </w:t>
            </w:r>
          </w:p>
          <w:p w14:paraId="4C0B0032" w14:textId="139A2262"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5D134D49" w14:textId="1B25C014" w:rsidR="001505FE" w:rsidRPr="001D13C7" w:rsidRDefault="00EA4872"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Pr>
                <w:color w:val="212121"/>
                <w:sz w:val="17"/>
                <w:szCs w:val="17"/>
              </w:rPr>
              <w:t>High-level Commission on Anti-Corruption</w:t>
            </w:r>
          </w:p>
          <w:p w14:paraId="4888E287"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46673C4B" w14:textId="068056E3"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sz w:val="17"/>
                <w:szCs w:val="17"/>
              </w:rPr>
              <w:t>Output</w:t>
            </w:r>
            <w:r w:rsidRPr="001D13C7" w:rsidDel="0040543C">
              <w:rPr>
                <w:color w:val="212121"/>
                <w:sz w:val="17"/>
                <w:szCs w:val="17"/>
              </w:rPr>
              <w:t xml:space="preserve"> </w:t>
            </w:r>
            <w:r w:rsidRPr="001D13C7">
              <w:rPr>
                <w:color w:val="212121"/>
                <w:sz w:val="17"/>
                <w:szCs w:val="17"/>
              </w:rPr>
              <w:t xml:space="preserve">3.3 National and subnational capacities strengthened for implementation of 2030 Agenda </w:t>
            </w:r>
          </w:p>
          <w:p w14:paraId="0180EEA1"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2C6C7D3E" w14:textId="250A151A" w:rsidR="001505FE" w:rsidRPr="001D13C7" w:rsidRDefault="00582603"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Dissemination of </w:t>
            </w:r>
            <w:r w:rsidR="001505FE" w:rsidRPr="001D13C7">
              <w:rPr>
                <w:color w:val="212121"/>
                <w:sz w:val="17"/>
                <w:szCs w:val="17"/>
              </w:rPr>
              <w:t xml:space="preserve"> </w:t>
            </w:r>
            <w:r w:rsidRPr="001D13C7">
              <w:rPr>
                <w:color w:val="212121"/>
                <w:sz w:val="17"/>
                <w:szCs w:val="17"/>
              </w:rPr>
              <w:t>disaggregated and differentiated (territory, sex, age group, ethnicity, vulnerable groups) data by</w:t>
            </w:r>
            <w:r w:rsidR="001505FE" w:rsidRPr="001D13C7">
              <w:rPr>
                <w:color w:val="212121"/>
                <w:sz w:val="17"/>
                <w:szCs w:val="17"/>
              </w:rPr>
              <w:t xml:space="preserve"> national statistical system </w:t>
            </w:r>
          </w:p>
          <w:p w14:paraId="590D6C2B"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1 = None </w:t>
            </w:r>
          </w:p>
          <w:p w14:paraId="72FB93BF"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2 = Very partially </w:t>
            </w:r>
          </w:p>
          <w:p w14:paraId="385FF655"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3 = Partially </w:t>
            </w:r>
          </w:p>
          <w:p w14:paraId="5479DCBD"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4 = Mostly </w:t>
            </w:r>
          </w:p>
          <w:p w14:paraId="621631E6" w14:textId="26A4D1C0"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EA4872">
              <w:rPr>
                <w:color w:val="212121"/>
                <w:sz w:val="17"/>
                <w:szCs w:val="17"/>
              </w:rPr>
              <w:t>aseline</w:t>
            </w:r>
            <w:r w:rsidRPr="001D13C7">
              <w:rPr>
                <w:color w:val="212121"/>
                <w:sz w:val="17"/>
                <w:szCs w:val="17"/>
              </w:rPr>
              <w:t xml:space="preserve">: 2 </w:t>
            </w:r>
          </w:p>
          <w:p w14:paraId="08852C56" w14:textId="1C0F8506"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EA4872">
              <w:rPr>
                <w:color w:val="212121"/>
                <w:sz w:val="17"/>
                <w:szCs w:val="17"/>
              </w:rPr>
              <w:t>arget</w:t>
            </w:r>
            <w:r w:rsidRPr="001D13C7">
              <w:rPr>
                <w:color w:val="212121"/>
                <w:sz w:val="17"/>
                <w:szCs w:val="17"/>
              </w:rPr>
              <w:t xml:space="preserve">: 4 </w:t>
            </w:r>
          </w:p>
          <w:p w14:paraId="7802824E" w14:textId="0ED85ECA"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Annual </w:t>
            </w:r>
          </w:p>
          <w:p w14:paraId="134DEAD7" w14:textId="1DB924C8"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INEI  </w:t>
            </w:r>
          </w:p>
          <w:p w14:paraId="5F3C48CA" w14:textId="77777777" w:rsidR="001505FE" w:rsidRPr="001D13C7" w:rsidRDefault="001505FE" w:rsidP="0092368D">
            <w:pPr>
              <w:rPr>
                <w:rFonts w:eastAsia="Calibri"/>
                <w:bCs/>
                <w:color w:val="000000"/>
                <w:sz w:val="17"/>
                <w:szCs w:val="17"/>
              </w:rPr>
            </w:pPr>
          </w:p>
          <w:p w14:paraId="26C15828" w14:textId="3381DEB5"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I</w:t>
            </w:r>
            <w:r w:rsidR="009A2352" w:rsidRPr="001D13C7">
              <w:rPr>
                <w:color w:val="212121"/>
                <w:sz w:val="17"/>
                <w:szCs w:val="17"/>
              </w:rPr>
              <w:t>2</w:t>
            </w:r>
            <w:r w:rsidRPr="001D13C7">
              <w:rPr>
                <w:color w:val="212121"/>
                <w:sz w:val="17"/>
                <w:szCs w:val="17"/>
              </w:rPr>
              <w:t xml:space="preserve">: </w:t>
            </w:r>
            <w:r w:rsidR="00294144" w:rsidRPr="001D13C7">
              <w:rPr>
                <w:color w:val="212121"/>
                <w:sz w:val="17"/>
                <w:szCs w:val="17"/>
              </w:rPr>
              <w:t>A</w:t>
            </w:r>
            <w:r w:rsidRPr="001D13C7">
              <w:rPr>
                <w:color w:val="212121"/>
                <w:sz w:val="17"/>
                <w:szCs w:val="17"/>
              </w:rPr>
              <w:t>pplication of MAPS by U</w:t>
            </w:r>
            <w:r w:rsidR="00EA4872">
              <w:rPr>
                <w:color w:val="212121"/>
                <w:sz w:val="17"/>
                <w:szCs w:val="17"/>
              </w:rPr>
              <w:t xml:space="preserve">nited </w:t>
            </w:r>
            <w:r w:rsidRPr="001D13C7">
              <w:rPr>
                <w:color w:val="212121"/>
                <w:sz w:val="17"/>
                <w:szCs w:val="17"/>
              </w:rPr>
              <w:t>N</w:t>
            </w:r>
            <w:r w:rsidR="00EA4872">
              <w:rPr>
                <w:color w:val="212121"/>
                <w:sz w:val="17"/>
                <w:szCs w:val="17"/>
              </w:rPr>
              <w:t>ations</w:t>
            </w:r>
            <w:r w:rsidRPr="001D13C7">
              <w:rPr>
                <w:color w:val="212121"/>
                <w:sz w:val="17"/>
                <w:szCs w:val="17"/>
              </w:rPr>
              <w:t xml:space="preserve"> country team with UNDP participation </w:t>
            </w:r>
          </w:p>
          <w:p w14:paraId="625FCA26" w14:textId="77777777"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1 = None </w:t>
            </w:r>
          </w:p>
          <w:p w14:paraId="0FDB08EC" w14:textId="77777777"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2 = Very partially </w:t>
            </w:r>
          </w:p>
          <w:p w14:paraId="60F1F589" w14:textId="77777777"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3 = Partially </w:t>
            </w:r>
          </w:p>
          <w:p w14:paraId="3D6584A0" w14:textId="77777777"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4 = Mostly </w:t>
            </w:r>
          </w:p>
          <w:p w14:paraId="7A9DD1A0" w14:textId="18499B40"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EA4872">
              <w:rPr>
                <w:color w:val="212121"/>
                <w:sz w:val="17"/>
                <w:szCs w:val="17"/>
              </w:rPr>
              <w:t>aseline</w:t>
            </w:r>
            <w:r w:rsidRPr="001D13C7">
              <w:rPr>
                <w:color w:val="212121"/>
                <w:sz w:val="17"/>
                <w:szCs w:val="17"/>
              </w:rPr>
              <w:t xml:space="preserve">: 2 </w:t>
            </w:r>
          </w:p>
          <w:p w14:paraId="137FEFB9" w14:textId="5AD5A364"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EA4872">
              <w:rPr>
                <w:color w:val="212121"/>
                <w:sz w:val="17"/>
                <w:szCs w:val="17"/>
              </w:rPr>
              <w:t>arget</w:t>
            </w:r>
            <w:r w:rsidRPr="001D13C7">
              <w:rPr>
                <w:color w:val="212121"/>
                <w:sz w:val="17"/>
                <w:szCs w:val="17"/>
              </w:rPr>
              <w:t xml:space="preserve">: 4 </w:t>
            </w:r>
          </w:p>
          <w:p w14:paraId="2E1C44C8" w14:textId="77777777"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F: Annual </w:t>
            </w:r>
          </w:p>
          <w:p w14:paraId="0D876575" w14:textId="295534C4" w:rsidR="00D21CDD" w:rsidRPr="001D13C7" w:rsidRDefault="00D21CDD" w:rsidP="00D21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S: Resident Coordinator Office </w:t>
            </w:r>
            <w:r w:rsidR="00294144" w:rsidRPr="001D13C7">
              <w:rPr>
                <w:color w:val="212121"/>
                <w:sz w:val="17"/>
                <w:szCs w:val="17"/>
              </w:rPr>
              <w:t>data</w:t>
            </w:r>
          </w:p>
          <w:p w14:paraId="0454C4C8" w14:textId="77777777" w:rsidR="00D21CDD" w:rsidRPr="001D13C7" w:rsidRDefault="00D21CDD" w:rsidP="0092368D">
            <w:pPr>
              <w:rPr>
                <w:rFonts w:eastAsia="Calibri"/>
                <w:bCs/>
                <w:color w:val="000000"/>
                <w:sz w:val="17"/>
                <w:szCs w:val="17"/>
              </w:rPr>
            </w:pPr>
          </w:p>
        </w:tc>
        <w:tc>
          <w:tcPr>
            <w:tcW w:w="768" w:type="pct"/>
            <w:tcBorders>
              <w:top w:val="single" w:sz="4" w:space="0" w:color="auto"/>
              <w:left w:val="single" w:sz="4" w:space="0" w:color="auto"/>
              <w:bottom w:val="single" w:sz="8" w:space="0" w:color="000000"/>
              <w:right w:val="single" w:sz="4" w:space="0" w:color="auto"/>
            </w:tcBorders>
            <w:hideMark/>
          </w:tcPr>
          <w:p w14:paraId="57CC1795" w14:textId="3987A0B4" w:rsidR="00EA4872" w:rsidRDefault="002C52E2" w:rsidP="0092368D">
            <w:pPr>
              <w:rPr>
                <w:rFonts w:eastAsia="Calibri"/>
                <w:iCs/>
                <w:color w:val="000000"/>
                <w:sz w:val="17"/>
                <w:szCs w:val="17"/>
              </w:rPr>
            </w:pPr>
            <w:r>
              <w:rPr>
                <w:rFonts w:eastAsia="Calibri"/>
                <w:iCs/>
                <w:color w:val="000000"/>
                <w:sz w:val="17"/>
                <w:szCs w:val="17"/>
              </w:rPr>
              <w:lastRenderedPageBreak/>
              <w:t>MEF</w:t>
            </w:r>
          </w:p>
          <w:p w14:paraId="7D22E4F1" w14:textId="77777777" w:rsidR="002C52E2" w:rsidRDefault="002C52E2" w:rsidP="0092368D">
            <w:pPr>
              <w:rPr>
                <w:rFonts w:eastAsia="Calibri"/>
                <w:iCs/>
                <w:color w:val="000000"/>
                <w:sz w:val="17"/>
                <w:szCs w:val="17"/>
              </w:rPr>
            </w:pPr>
            <w:r>
              <w:rPr>
                <w:rFonts w:eastAsia="Calibri"/>
                <w:iCs/>
                <w:color w:val="000000"/>
                <w:sz w:val="17"/>
                <w:szCs w:val="17"/>
              </w:rPr>
              <w:t>MIMP</w:t>
            </w:r>
          </w:p>
          <w:p w14:paraId="61B29158" w14:textId="77777777" w:rsidR="002C52E2" w:rsidRDefault="002C52E2" w:rsidP="0092368D">
            <w:pPr>
              <w:rPr>
                <w:rFonts w:eastAsia="Calibri"/>
                <w:iCs/>
                <w:color w:val="000000"/>
                <w:sz w:val="17"/>
                <w:szCs w:val="17"/>
              </w:rPr>
            </w:pPr>
            <w:r>
              <w:rPr>
                <w:rFonts w:eastAsia="Calibri"/>
                <w:iCs/>
                <w:color w:val="000000"/>
                <w:sz w:val="17"/>
                <w:szCs w:val="17"/>
              </w:rPr>
              <w:t>MINAM</w:t>
            </w:r>
          </w:p>
          <w:p w14:paraId="0BB083EF" w14:textId="77777777" w:rsidR="002C52E2" w:rsidRDefault="002C52E2" w:rsidP="0092368D">
            <w:pPr>
              <w:rPr>
                <w:rFonts w:eastAsia="Calibri"/>
                <w:iCs/>
                <w:color w:val="000000"/>
                <w:sz w:val="17"/>
                <w:szCs w:val="17"/>
              </w:rPr>
            </w:pPr>
            <w:r>
              <w:rPr>
                <w:rFonts w:eastAsia="Calibri"/>
                <w:iCs/>
                <w:color w:val="000000"/>
                <w:sz w:val="17"/>
                <w:szCs w:val="17"/>
              </w:rPr>
              <w:t>MINJUS</w:t>
            </w:r>
          </w:p>
          <w:p w14:paraId="6A229034" w14:textId="4EF17362" w:rsidR="002C52E2" w:rsidRDefault="002C52E2" w:rsidP="0092368D">
            <w:pPr>
              <w:rPr>
                <w:rFonts w:eastAsia="Calibri"/>
                <w:iCs/>
                <w:color w:val="000000"/>
                <w:sz w:val="17"/>
                <w:szCs w:val="17"/>
              </w:rPr>
            </w:pPr>
            <w:r>
              <w:rPr>
                <w:rFonts w:eastAsia="Calibri"/>
                <w:iCs/>
                <w:color w:val="000000"/>
                <w:sz w:val="17"/>
                <w:szCs w:val="17"/>
              </w:rPr>
              <w:t>PRODUCE</w:t>
            </w:r>
          </w:p>
          <w:p w14:paraId="430DD0B2" w14:textId="232CD94E" w:rsidR="001505FE" w:rsidRPr="001D13C7" w:rsidRDefault="001505FE" w:rsidP="0092368D">
            <w:pPr>
              <w:rPr>
                <w:rFonts w:eastAsia="Calibri"/>
                <w:iCs/>
                <w:color w:val="000000"/>
                <w:sz w:val="17"/>
                <w:szCs w:val="17"/>
              </w:rPr>
            </w:pPr>
            <w:r w:rsidRPr="001D13C7">
              <w:rPr>
                <w:rFonts w:eastAsia="Calibri"/>
                <w:iCs/>
                <w:color w:val="000000"/>
                <w:sz w:val="17"/>
                <w:szCs w:val="17"/>
              </w:rPr>
              <w:t xml:space="preserve">PCM, INEI, CEPLAN, SINAGERD, </w:t>
            </w:r>
          </w:p>
          <w:p w14:paraId="040C24AB" w14:textId="0893635D" w:rsidR="001505FE" w:rsidRPr="001D13C7" w:rsidRDefault="002C52E2" w:rsidP="0092368D">
            <w:pPr>
              <w:rPr>
                <w:rFonts w:eastAsia="Calibri"/>
                <w:iCs/>
                <w:color w:val="000000"/>
                <w:sz w:val="17"/>
                <w:szCs w:val="17"/>
              </w:rPr>
            </w:pPr>
            <w:r>
              <w:rPr>
                <w:rFonts w:eastAsia="Calibri"/>
                <w:iCs/>
                <w:color w:val="000000"/>
                <w:sz w:val="17"/>
                <w:szCs w:val="17"/>
              </w:rPr>
              <w:t>APCI</w:t>
            </w:r>
          </w:p>
          <w:p w14:paraId="60E76C17" w14:textId="05608932" w:rsidR="001505FE" w:rsidRPr="001D13C7" w:rsidRDefault="00EA4872" w:rsidP="0092368D">
            <w:pPr>
              <w:rPr>
                <w:rFonts w:eastAsia="Calibri"/>
                <w:iCs/>
                <w:color w:val="000000"/>
                <w:sz w:val="17"/>
                <w:szCs w:val="17"/>
              </w:rPr>
            </w:pPr>
            <w:r>
              <w:rPr>
                <w:rFonts w:eastAsia="Calibri"/>
                <w:iCs/>
                <w:color w:val="000000"/>
                <w:sz w:val="17"/>
                <w:szCs w:val="17"/>
              </w:rPr>
              <w:t>Comptroller's Office</w:t>
            </w:r>
          </w:p>
          <w:p w14:paraId="292AA27F" w14:textId="637C0912" w:rsidR="001505FE" w:rsidRPr="001D13C7" w:rsidRDefault="00EA4872" w:rsidP="0092368D">
            <w:pPr>
              <w:rPr>
                <w:rFonts w:eastAsia="Calibri"/>
                <w:iCs/>
                <w:color w:val="000000"/>
                <w:sz w:val="17"/>
                <w:szCs w:val="17"/>
              </w:rPr>
            </w:pPr>
            <w:r>
              <w:rPr>
                <w:rFonts w:eastAsia="Calibri"/>
                <w:iCs/>
                <w:color w:val="000000"/>
                <w:sz w:val="17"/>
                <w:szCs w:val="17"/>
              </w:rPr>
              <w:t>High-level Commission on Anti-Corruption</w:t>
            </w:r>
          </w:p>
          <w:p w14:paraId="00605BB5" w14:textId="77777777" w:rsidR="00A273F1" w:rsidRPr="001D13C7" w:rsidRDefault="00A273F1" w:rsidP="00A273F1">
            <w:pPr>
              <w:rPr>
                <w:rFonts w:eastAsia="Calibri"/>
                <w:iCs/>
                <w:color w:val="000000"/>
                <w:sz w:val="17"/>
                <w:szCs w:val="17"/>
              </w:rPr>
            </w:pPr>
            <w:r w:rsidRPr="001D13C7">
              <w:rPr>
                <w:rFonts w:eastAsia="Calibri"/>
                <w:iCs/>
                <w:color w:val="000000"/>
                <w:sz w:val="17"/>
                <w:szCs w:val="17"/>
              </w:rPr>
              <w:t>Congress</w:t>
            </w:r>
          </w:p>
          <w:p w14:paraId="0BAAE348" w14:textId="3E4BAF5E" w:rsidR="00A273F1" w:rsidRPr="001D13C7" w:rsidRDefault="00A273F1" w:rsidP="00A273F1">
            <w:pPr>
              <w:rPr>
                <w:rFonts w:eastAsia="Calibri"/>
                <w:iCs/>
                <w:color w:val="000000"/>
                <w:sz w:val="17"/>
                <w:szCs w:val="17"/>
              </w:rPr>
            </w:pPr>
            <w:r w:rsidRPr="001D13C7">
              <w:rPr>
                <w:rFonts w:eastAsia="Calibri"/>
                <w:iCs/>
                <w:color w:val="000000"/>
                <w:sz w:val="17"/>
                <w:szCs w:val="17"/>
              </w:rPr>
              <w:t>Ombudsman</w:t>
            </w:r>
            <w:r w:rsidR="00EA4872">
              <w:rPr>
                <w:rFonts w:eastAsia="Calibri"/>
                <w:iCs/>
                <w:color w:val="000000"/>
                <w:sz w:val="17"/>
                <w:szCs w:val="17"/>
              </w:rPr>
              <w:t>'s</w:t>
            </w:r>
            <w:r w:rsidRPr="001D13C7">
              <w:rPr>
                <w:rFonts w:eastAsia="Calibri"/>
                <w:iCs/>
                <w:color w:val="000000"/>
                <w:sz w:val="17"/>
                <w:szCs w:val="17"/>
              </w:rPr>
              <w:t xml:space="preserve"> Office</w:t>
            </w:r>
          </w:p>
          <w:p w14:paraId="3F6AD453" w14:textId="77777777" w:rsidR="00A273F1" w:rsidRPr="001D13C7" w:rsidRDefault="00A273F1" w:rsidP="0092368D">
            <w:pPr>
              <w:rPr>
                <w:rFonts w:eastAsia="Calibri"/>
                <w:iCs/>
                <w:color w:val="000000"/>
                <w:sz w:val="17"/>
                <w:szCs w:val="17"/>
              </w:rPr>
            </w:pPr>
          </w:p>
          <w:p w14:paraId="63A8AA71" w14:textId="77777777" w:rsidR="001505FE" w:rsidRPr="001D13C7" w:rsidRDefault="001505FE" w:rsidP="0092368D">
            <w:pPr>
              <w:rPr>
                <w:rFonts w:eastAsia="Calibri"/>
                <w:iCs/>
                <w:color w:val="000000"/>
                <w:sz w:val="17"/>
                <w:szCs w:val="17"/>
              </w:rPr>
            </w:pPr>
            <w:r w:rsidRPr="001D13C7">
              <w:rPr>
                <w:rFonts w:eastAsia="Calibri"/>
                <w:iCs/>
                <w:color w:val="000000"/>
                <w:sz w:val="17"/>
                <w:szCs w:val="17"/>
              </w:rPr>
              <w:t>Local and regional governments</w:t>
            </w:r>
          </w:p>
          <w:p w14:paraId="3EA0E809" w14:textId="2874E370" w:rsidR="001505FE" w:rsidRPr="000C28EB" w:rsidRDefault="00866686" w:rsidP="0092368D">
            <w:pPr>
              <w:rPr>
                <w:rFonts w:eastAsia="Calibri"/>
                <w:iCs/>
                <w:color w:val="000000"/>
                <w:sz w:val="17"/>
                <w:szCs w:val="17"/>
                <w:lang w:val="es-PA"/>
              </w:rPr>
            </w:pPr>
            <w:r w:rsidRPr="000C28EB">
              <w:rPr>
                <w:rFonts w:eastAsia="Calibri"/>
                <w:iCs/>
                <w:color w:val="000000"/>
                <w:sz w:val="17"/>
                <w:szCs w:val="17"/>
                <w:lang w:val="es-PA"/>
              </w:rPr>
              <w:t>CSOs</w:t>
            </w:r>
          </w:p>
          <w:p w14:paraId="3DF27F9B" w14:textId="77777777" w:rsidR="001505FE" w:rsidRPr="000C28EB" w:rsidRDefault="001505FE" w:rsidP="0092368D">
            <w:pPr>
              <w:rPr>
                <w:rFonts w:eastAsia="Calibri"/>
                <w:iCs/>
                <w:color w:val="000000"/>
                <w:sz w:val="17"/>
                <w:szCs w:val="17"/>
                <w:lang w:val="es-PA"/>
              </w:rPr>
            </w:pPr>
            <w:r w:rsidRPr="000C28EB">
              <w:rPr>
                <w:rFonts w:eastAsia="Calibri"/>
                <w:iCs/>
                <w:color w:val="000000"/>
                <w:sz w:val="17"/>
                <w:szCs w:val="17"/>
                <w:lang w:val="es-PA"/>
              </w:rPr>
              <w:t>Private sector</w:t>
            </w:r>
          </w:p>
          <w:p w14:paraId="1B162B16" w14:textId="77777777" w:rsidR="001505FE" w:rsidRPr="000C28EB" w:rsidRDefault="001505FE" w:rsidP="0092368D">
            <w:pPr>
              <w:rPr>
                <w:rFonts w:eastAsia="Calibri"/>
                <w:iCs/>
                <w:color w:val="000000"/>
                <w:sz w:val="17"/>
                <w:szCs w:val="17"/>
                <w:lang w:val="es-PA"/>
              </w:rPr>
            </w:pPr>
            <w:r w:rsidRPr="000C28EB">
              <w:rPr>
                <w:rFonts w:eastAsia="Calibri"/>
                <w:iCs/>
                <w:color w:val="000000"/>
                <w:sz w:val="17"/>
                <w:szCs w:val="17"/>
                <w:lang w:val="es-PA"/>
              </w:rPr>
              <w:t xml:space="preserve"> </w:t>
            </w:r>
          </w:p>
          <w:p w14:paraId="3C7FB34C" w14:textId="77777777" w:rsidR="001505FE" w:rsidRPr="000C28EB" w:rsidRDefault="001505FE" w:rsidP="0092368D">
            <w:pPr>
              <w:rPr>
                <w:rFonts w:eastAsia="Calibri"/>
                <w:iCs/>
                <w:color w:val="000000"/>
                <w:sz w:val="17"/>
                <w:szCs w:val="17"/>
                <w:lang w:val="es-PA"/>
              </w:rPr>
            </w:pPr>
            <w:r w:rsidRPr="000C28EB">
              <w:rPr>
                <w:rFonts w:eastAsia="Calibri"/>
                <w:iCs/>
                <w:color w:val="000000"/>
                <w:sz w:val="17"/>
                <w:szCs w:val="17"/>
                <w:lang w:val="es-PA"/>
              </w:rPr>
              <w:t>UNFPA, UNICEF</w:t>
            </w:r>
          </w:p>
        </w:tc>
        <w:tc>
          <w:tcPr>
            <w:tcW w:w="522" w:type="pct"/>
            <w:tcBorders>
              <w:top w:val="single" w:sz="4" w:space="0" w:color="auto"/>
              <w:left w:val="single" w:sz="4" w:space="0" w:color="auto"/>
              <w:bottom w:val="single" w:sz="8" w:space="0" w:color="000000"/>
              <w:right w:val="single" w:sz="4" w:space="0" w:color="auto"/>
            </w:tcBorders>
            <w:tcMar>
              <w:top w:w="15" w:type="dxa"/>
              <w:left w:w="108" w:type="dxa"/>
              <w:bottom w:w="0" w:type="dxa"/>
              <w:right w:w="108" w:type="dxa"/>
            </w:tcMar>
          </w:tcPr>
          <w:p w14:paraId="0A0E4F51" w14:textId="65EAD53E" w:rsidR="001505FE" w:rsidRPr="001D13C7" w:rsidRDefault="001505FE" w:rsidP="0092368D">
            <w:pPr>
              <w:rPr>
                <w:rFonts w:eastAsia="Calibri"/>
                <w:color w:val="000000"/>
                <w:sz w:val="17"/>
                <w:szCs w:val="17"/>
              </w:rPr>
            </w:pPr>
            <w:r w:rsidRPr="001D13C7">
              <w:rPr>
                <w:rFonts w:eastAsia="Calibri"/>
                <w:color w:val="000000"/>
                <w:sz w:val="17"/>
                <w:szCs w:val="17"/>
              </w:rPr>
              <w:t>Regular</w:t>
            </w:r>
            <w:r w:rsidR="005C604B">
              <w:rPr>
                <w:rFonts w:eastAsia="Calibri"/>
                <w:color w:val="000000"/>
                <w:sz w:val="17"/>
                <w:szCs w:val="17"/>
              </w:rPr>
              <w:t xml:space="preserve"> resources:</w:t>
            </w:r>
          </w:p>
          <w:p w14:paraId="62058EB2" w14:textId="274608BF" w:rsidR="001505FE" w:rsidRPr="001D13C7" w:rsidRDefault="005C604B"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458,500</w:t>
            </w:r>
          </w:p>
          <w:p w14:paraId="0A402C51" w14:textId="419BFF68" w:rsidR="001505FE" w:rsidRPr="001D13C7" w:rsidRDefault="001505FE" w:rsidP="0092368D">
            <w:pPr>
              <w:rPr>
                <w:rFonts w:eastAsia="Calibri"/>
                <w:color w:val="000000"/>
                <w:sz w:val="17"/>
                <w:szCs w:val="17"/>
              </w:rPr>
            </w:pPr>
            <w:r w:rsidRPr="001D13C7">
              <w:rPr>
                <w:rFonts w:eastAsia="Calibri"/>
                <w:color w:val="000000"/>
                <w:sz w:val="17"/>
                <w:szCs w:val="17"/>
              </w:rPr>
              <w:t>Other</w:t>
            </w:r>
            <w:r w:rsidR="005C604B">
              <w:rPr>
                <w:rFonts w:eastAsia="Calibri"/>
                <w:color w:val="000000"/>
                <w:sz w:val="17"/>
                <w:szCs w:val="17"/>
              </w:rPr>
              <w:t xml:space="preserve"> resource</w:t>
            </w:r>
            <w:r w:rsidRPr="001D13C7">
              <w:rPr>
                <w:rFonts w:eastAsia="Calibri"/>
                <w:color w:val="000000"/>
                <w:sz w:val="17"/>
                <w:szCs w:val="17"/>
              </w:rPr>
              <w:t>s</w:t>
            </w:r>
          </w:p>
          <w:p w14:paraId="5AF0D73F" w14:textId="44CA3EAF" w:rsidR="001505FE" w:rsidRPr="001D13C7" w:rsidRDefault="005C604B"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49,541,500</w:t>
            </w:r>
          </w:p>
          <w:p w14:paraId="647E7216" w14:textId="77777777" w:rsidR="001505FE" w:rsidRPr="001D13C7" w:rsidRDefault="001505FE" w:rsidP="0092368D">
            <w:pPr>
              <w:rPr>
                <w:rFonts w:eastAsia="Calibri"/>
                <w:color w:val="000000"/>
                <w:sz w:val="17"/>
                <w:szCs w:val="17"/>
              </w:rPr>
            </w:pPr>
          </w:p>
          <w:p w14:paraId="61EBACE7" w14:textId="77777777" w:rsidR="001505FE" w:rsidRPr="001D13C7" w:rsidRDefault="001505FE" w:rsidP="0092368D">
            <w:pPr>
              <w:rPr>
                <w:rFonts w:eastAsia="Calibri"/>
                <w:color w:val="000000"/>
                <w:sz w:val="17"/>
                <w:szCs w:val="17"/>
              </w:rPr>
            </w:pPr>
            <w:r w:rsidRPr="001D13C7">
              <w:rPr>
                <w:rFonts w:eastAsia="Calibri"/>
                <w:color w:val="000000"/>
                <w:sz w:val="17"/>
                <w:szCs w:val="17"/>
              </w:rPr>
              <w:t>TOTAL</w:t>
            </w:r>
          </w:p>
          <w:p w14:paraId="2954FDE0" w14:textId="1DD39B5D" w:rsidR="001505FE" w:rsidRPr="001D13C7" w:rsidRDefault="005C604B" w:rsidP="0092368D">
            <w:pPr>
              <w:rPr>
                <w:rFonts w:eastAsia="Calibri"/>
                <w:b/>
                <w:color w:val="000000"/>
                <w:sz w:val="17"/>
                <w:szCs w:val="17"/>
              </w:rPr>
            </w:pPr>
            <w:r>
              <w:rPr>
                <w:rFonts w:eastAsia="Calibri"/>
                <w:color w:val="000000"/>
                <w:sz w:val="17"/>
                <w:szCs w:val="17"/>
              </w:rPr>
              <w:t>$</w:t>
            </w:r>
            <w:r w:rsidR="001505FE" w:rsidRPr="001D13C7">
              <w:rPr>
                <w:rFonts w:eastAsia="Calibri"/>
                <w:color w:val="000000"/>
                <w:sz w:val="17"/>
                <w:szCs w:val="17"/>
              </w:rPr>
              <w:t>50,000,000</w:t>
            </w:r>
          </w:p>
        </w:tc>
      </w:tr>
      <w:tr w:rsidR="001505FE" w:rsidRPr="001D13C7" w14:paraId="4169D9C3"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E016F" w14:textId="4B030C08" w:rsidR="001505FE" w:rsidRPr="001D13C7" w:rsidRDefault="001505FE" w:rsidP="0092368D">
            <w:pPr>
              <w:rPr>
                <w:sz w:val="17"/>
                <w:szCs w:val="17"/>
              </w:rPr>
            </w:pPr>
            <w:r w:rsidRPr="001D13C7">
              <w:rPr>
                <w:sz w:val="17"/>
                <w:szCs w:val="17"/>
              </w:rPr>
              <w:t xml:space="preserve">NATIONAL PRIORITY: 2021 Peru Bicentennial Plan. Full observance of fundamental rights and dignity of persons; Equal opportunities and access to services; Efficient and decentralized government at </w:t>
            </w:r>
            <w:r w:rsidRPr="001D13C7">
              <w:rPr>
                <w:sz w:val="17"/>
                <w:szCs w:val="17"/>
              </w:rPr>
              <w:lastRenderedPageBreak/>
              <w:t xml:space="preserve">the service of citizens and development </w:t>
            </w:r>
          </w:p>
        </w:tc>
      </w:tr>
      <w:tr w:rsidR="001505FE" w:rsidRPr="001D13C7" w14:paraId="21CD5FFA"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3F0E6" w14:textId="77777777" w:rsidR="001505FE" w:rsidRPr="001D13C7" w:rsidRDefault="001505FE" w:rsidP="0092368D">
            <w:pPr>
              <w:rPr>
                <w:sz w:val="17"/>
                <w:szCs w:val="17"/>
              </w:rPr>
            </w:pPr>
            <w:r w:rsidRPr="001D13C7">
              <w:rPr>
                <w:sz w:val="17"/>
                <w:szCs w:val="17"/>
              </w:rPr>
              <w:lastRenderedPageBreak/>
              <w:t xml:space="preserve">UNDAF OUTCOME 4: By 2021, people living in poverty and vulnerability improve their exercise of freedoms and rights in a framework of peace and lawfulness </w:t>
            </w:r>
          </w:p>
        </w:tc>
      </w:tr>
      <w:tr w:rsidR="001505FE" w:rsidRPr="001D13C7" w14:paraId="7D653AEF" w14:textId="77777777" w:rsidTr="001D13C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E7CB0B" w14:textId="1B1957C1" w:rsidR="001505FE" w:rsidRPr="001D13C7" w:rsidRDefault="001505FE" w:rsidP="00F95CAD">
            <w:pPr>
              <w:rPr>
                <w:sz w:val="17"/>
                <w:szCs w:val="17"/>
              </w:rPr>
            </w:pPr>
            <w:r w:rsidRPr="001D13C7">
              <w:rPr>
                <w:sz w:val="17"/>
                <w:szCs w:val="17"/>
              </w:rPr>
              <w:t>RELATED STRATEGIC PLAN OUTCOME: 2</w:t>
            </w:r>
            <w:r w:rsidR="00F95CAD">
              <w:rPr>
                <w:sz w:val="17"/>
                <w:szCs w:val="17"/>
              </w:rPr>
              <w:t>.</w:t>
            </w:r>
            <w:r w:rsidR="00F95CAD" w:rsidRPr="001D13C7">
              <w:rPr>
                <w:rFonts w:eastAsia="Calibri"/>
                <w:sz w:val="17"/>
                <w:szCs w:val="17"/>
              </w:rPr>
              <w:t xml:space="preserve"> </w:t>
            </w:r>
            <w:r w:rsidRPr="001D13C7">
              <w:rPr>
                <w:rFonts w:eastAsia="Calibri"/>
                <w:sz w:val="17"/>
                <w:szCs w:val="17"/>
              </w:rPr>
              <w:t>Citizen expectations for voice, development, the rule of law and accountability are met by stronger systems of democratic governance.</w:t>
            </w:r>
          </w:p>
        </w:tc>
      </w:tr>
      <w:tr w:rsidR="001505FE" w:rsidRPr="001D13C7" w14:paraId="5135D740" w14:textId="77777777" w:rsidTr="00FA3894">
        <w:tc>
          <w:tcPr>
            <w:tcW w:w="146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F92F024" w14:textId="31D4E0F9"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Proportion of positions (by sex and population groups) in public institutions (national and local legislatures) </w:t>
            </w:r>
          </w:p>
          <w:p w14:paraId="33135EBC" w14:textId="3F49EDCF"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EA4872">
              <w:rPr>
                <w:color w:val="212121"/>
                <w:sz w:val="17"/>
                <w:szCs w:val="17"/>
              </w:rPr>
              <w:t>aseline</w:t>
            </w:r>
            <w:r w:rsidRPr="001D13C7">
              <w:rPr>
                <w:color w:val="212121"/>
                <w:sz w:val="17"/>
                <w:szCs w:val="17"/>
              </w:rPr>
              <w:t>: 28% women as political authorities</w:t>
            </w:r>
          </w:p>
          <w:p w14:paraId="09261AFB" w14:textId="1234F665"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EA4872">
              <w:rPr>
                <w:color w:val="212121"/>
                <w:sz w:val="17"/>
                <w:szCs w:val="17"/>
              </w:rPr>
              <w:t>arget</w:t>
            </w:r>
            <w:r w:rsidRPr="001D13C7">
              <w:rPr>
                <w:color w:val="212121"/>
                <w:sz w:val="17"/>
                <w:szCs w:val="17"/>
              </w:rPr>
              <w:t>:  TBD</w:t>
            </w:r>
          </w:p>
          <w:p w14:paraId="15E5CA01"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2B835265" w14:textId="55037A75"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 xml:space="preserve">Proportion of population who declared themselves victim of discrimination or harassment on grounds of discrimination prohibited by human rights international laws in last 12 months </w:t>
            </w:r>
          </w:p>
          <w:p w14:paraId="67FCB1D9" w14:textId="03F39523"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EA4872">
              <w:rPr>
                <w:color w:val="212121"/>
                <w:sz w:val="17"/>
                <w:szCs w:val="17"/>
              </w:rPr>
              <w:t>aseline</w:t>
            </w:r>
            <w:r w:rsidRPr="001D13C7">
              <w:rPr>
                <w:color w:val="212121"/>
                <w:sz w:val="17"/>
                <w:szCs w:val="17"/>
              </w:rPr>
              <w:t>: 2.63% of population (82 complaints)</w:t>
            </w:r>
          </w:p>
          <w:p w14:paraId="643FC4C5" w14:textId="32ACFF56"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EA4872">
              <w:rPr>
                <w:color w:val="212121"/>
                <w:sz w:val="17"/>
                <w:szCs w:val="17"/>
              </w:rPr>
              <w:t>arget</w:t>
            </w:r>
            <w:r w:rsidRPr="001D13C7">
              <w:rPr>
                <w:color w:val="212121"/>
                <w:sz w:val="17"/>
                <w:szCs w:val="17"/>
              </w:rPr>
              <w:t xml:space="preserve">: TBD  </w:t>
            </w:r>
          </w:p>
          <w:p w14:paraId="7D6CABD4" w14:textId="7777777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p>
          <w:p w14:paraId="4D08E44B" w14:textId="34A7C247"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Level of Implementation of recommendations of U</w:t>
            </w:r>
            <w:r w:rsidR="00EA4872">
              <w:rPr>
                <w:color w:val="212121"/>
                <w:sz w:val="17"/>
                <w:szCs w:val="17"/>
              </w:rPr>
              <w:t xml:space="preserve">nited </w:t>
            </w:r>
            <w:r w:rsidRPr="001D13C7">
              <w:rPr>
                <w:color w:val="212121"/>
                <w:sz w:val="17"/>
                <w:szCs w:val="17"/>
              </w:rPr>
              <w:t>N</w:t>
            </w:r>
            <w:r w:rsidR="00EA4872">
              <w:rPr>
                <w:color w:val="212121"/>
                <w:sz w:val="17"/>
                <w:szCs w:val="17"/>
              </w:rPr>
              <w:t>ations</w:t>
            </w:r>
            <w:r w:rsidRPr="001D13C7">
              <w:rPr>
                <w:color w:val="212121"/>
                <w:sz w:val="17"/>
                <w:szCs w:val="17"/>
              </w:rPr>
              <w:t xml:space="preserve"> </w:t>
            </w:r>
            <w:r w:rsidR="00EA4872">
              <w:rPr>
                <w:color w:val="212121"/>
                <w:sz w:val="17"/>
                <w:szCs w:val="17"/>
              </w:rPr>
              <w:t>h</w:t>
            </w:r>
            <w:r w:rsidR="00EA4872" w:rsidRPr="001D13C7">
              <w:rPr>
                <w:color w:val="212121"/>
                <w:sz w:val="17"/>
                <w:szCs w:val="17"/>
              </w:rPr>
              <w:t xml:space="preserve">uman </w:t>
            </w:r>
            <w:r w:rsidR="00EA4872">
              <w:rPr>
                <w:color w:val="212121"/>
                <w:sz w:val="17"/>
                <w:szCs w:val="17"/>
              </w:rPr>
              <w:t>r</w:t>
            </w:r>
            <w:r w:rsidR="00EA4872" w:rsidRPr="001D13C7">
              <w:rPr>
                <w:color w:val="212121"/>
                <w:sz w:val="17"/>
                <w:szCs w:val="17"/>
              </w:rPr>
              <w:t xml:space="preserve">ights </w:t>
            </w:r>
            <w:r w:rsidR="00EA4872">
              <w:rPr>
                <w:color w:val="212121"/>
                <w:sz w:val="17"/>
                <w:szCs w:val="17"/>
              </w:rPr>
              <w:t>m</w:t>
            </w:r>
            <w:r w:rsidR="00EA4872" w:rsidRPr="001D13C7">
              <w:rPr>
                <w:color w:val="212121"/>
                <w:sz w:val="17"/>
                <w:szCs w:val="17"/>
              </w:rPr>
              <w:t xml:space="preserve">echanisms </w:t>
            </w:r>
          </w:p>
          <w:p w14:paraId="692AE9E2" w14:textId="5747E6CE"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B</w:t>
            </w:r>
            <w:r w:rsidR="00EA4872">
              <w:rPr>
                <w:color w:val="212121"/>
                <w:sz w:val="17"/>
                <w:szCs w:val="17"/>
              </w:rPr>
              <w:t>aseline</w:t>
            </w:r>
            <w:r w:rsidRPr="001D13C7">
              <w:rPr>
                <w:color w:val="212121"/>
                <w:sz w:val="17"/>
                <w:szCs w:val="17"/>
              </w:rPr>
              <w:t>: TBD</w:t>
            </w:r>
          </w:p>
          <w:p w14:paraId="2E5B7EBC" w14:textId="7C6E43F9" w:rsidR="001505FE" w:rsidRPr="001D13C7" w:rsidRDefault="001505FE" w:rsidP="0092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7"/>
                <w:szCs w:val="17"/>
              </w:rPr>
            </w:pPr>
            <w:r w:rsidRPr="001D13C7">
              <w:rPr>
                <w:color w:val="212121"/>
                <w:sz w:val="17"/>
                <w:szCs w:val="17"/>
              </w:rPr>
              <w:t>T</w:t>
            </w:r>
            <w:r w:rsidR="00EA4872">
              <w:rPr>
                <w:color w:val="212121"/>
                <w:sz w:val="17"/>
                <w:szCs w:val="17"/>
              </w:rPr>
              <w:t>arget</w:t>
            </w:r>
            <w:r w:rsidRPr="001D13C7">
              <w:rPr>
                <w:color w:val="212121"/>
                <w:sz w:val="17"/>
                <w:szCs w:val="17"/>
              </w:rPr>
              <w:t>: TBD</w:t>
            </w:r>
          </w:p>
          <w:p w14:paraId="0719C0E7" w14:textId="77777777" w:rsidR="001505FE" w:rsidRPr="001D13C7" w:rsidRDefault="001505FE" w:rsidP="0092368D">
            <w:pPr>
              <w:rPr>
                <w:rFonts w:eastAsia="Calibri"/>
                <w:bCs/>
                <w:color w:val="000000"/>
                <w:sz w:val="17"/>
                <w:szCs w:val="17"/>
              </w:rPr>
            </w:pPr>
          </w:p>
        </w:tc>
        <w:tc>
          <w:tcPr>
            <w:tcW w:w="992" w:type="pct"/>
            <w:tcBorders>
              <w:top w:val="single" w:sz="4" w:space="0" w:color="auto"/>
              <w:left w:val="single" w:sz="4" w:space="0" w:color="auto"/>
              <w:bottom w:val="single" w:sz="4" w:space="0" w:color="auto"/>
              <w:right w:val="single" w:sz="4" w:space="0" w:color="auto"/>
            </w:tcBorders>
          </w:tcPr>
          <w:p w14:paraId="59FC8D0D" w14:textId="77777777" w:rsidR="00F95CAD" w:rsidRDefault="00EA4872" w:rsidP="0092368D">
            <w:pPr>
              <w:rPr>
                <w:rFonts w:eastAsia="Calibri"/>
                <w:bCs/>
                <w:color w:val="000000"/>
                <w:sz w:val="17"/>
                <w:szCs w:val="17"/>
              </w:rPr>
            </w:pPr>
            <w:r>
              <w:rPr>
                <w:rFonts w:eastAsia="Calibri"/>
                <w:bCs/>
                <w:color w:val="000000"/>
                <w:sz w:val="17"/>
                <w:szCs w:val="17"/>
              </w:rPr>
              <w:t>National Electoral Jury</w:t>
            </w:r>
            <w:r w:rsidR="001505FE" w:rsidRPr="001D13C7">
              <w:rPr>
                <w:rFonts w:eastAsia="Calibri"/>
                <w:bCs/>
                <w:color w:val="000000"/>
                <w:sz w:val="17"/>
                <w:szCs w:val="17"/>
              </w:rPr>
              <w:t xml:space="preserve">; yearly </w:t>
            </w:r>
          </w:p>
          <w:p w14:paraId="0209FFCA" w14:textId="48BC16F2" w:rsidR="001505FE" w:rsidRPr="001D13C7" w:rsidRDefault="001505FE" w:rsidP="0092368D">
            <w:pPr>
              <w:rPr>
                <w:rFonts w:eastAsia="Calibri"/>
                <w:bCs/>
                <w:color w:val="000000"/>
                <w:sz w:val="17"/>
                <w:szCs w:val="17"/>
              </w:rPr>
            </w:pPr>
            <w:r w:rsidRPr="001D13C7">
              <w:rPr>
                <w:rFonts w:eastAsia="Calibri"/>
                <w:bCs/>
                <w:color w:val="000000"/>
                <w:sz w:val="17"/>
                <w:szCs w:val="17"/>
              </w:rPr>
              <w:t>(UN</w:t>
            </w:r>
            <w:r w:rsidR="00EA4872">
              <w:rPr>
                <w:rFonts w:eastAsia="Calibri"/>
                <w:bCs/>
                <w:color w:val="000000"/>
                <w:sz w:val="17"/>
                <w:szCs w:val="17"/>
              </w:rPr>
              <w:t>-</w:t>
            </w:r>
            <w:r w:rsidRPr="001D13C7">
              <w:rPr>
                <w:rFonts w:eastAsia="Calibri"/>
                <w:bCs/>
                <w:color w:val="000000"/>
                <w:sz w:val="17"/>
                <w:szCs w:val="17"/>
              </w:rPr>
              <w:t>Women)</w:t>
            </w:r>
          </w:p>
          <w:p w14:paraId="54A69FC1" w14:textId="348CA43C" w:rsidR="001505FE" w:rsidRPr="001D13C7" w:rsidRDefault="00EA4872" w:rsidP="0092368D">
            <w:pPr>
              <w:rPr>
                <w:rFonts w:eastAsia="Calibri"/>
                <w:bCs/>
                <w:color w:val="000000"/>
                <w:sz w:val="17"/>
                <w:szCs w:val="17"/>
              </w:rPr>
            </w:pPr>
            <w:r>
              <w:rPr>
                <w:rFonts w:eastAsia="Calibri"/>
                <w:bCs/>
                <w:color w:val="000000"/>
                <w:sz w:val="17"/>
                <w:szCs w:val="17"/>
              </w:rPr>
              <w:t>Ministry of Justice</w:t>
            </w:r>
            <w:r w:rsidR="001505FE" w:rsidRPr="001D13C7">
              <w:rPr>
                <w:rFonts w:eastAsia="Calibri"/>
                <w:bCs/>
                <w:color w:val="000000"/>
                <w:sz w:val="17"/>
                <w:szCs w:val="17"/>
              </w:rPr>
              <w:t>; yearly (UNAIDS)</w:t>
            </w:r>
          </w:p>
          <w:p w14:paraId="174B91E0" w14:textId="24709306" w:rsidR="001505FE" w:rsidRPr="001D13C7" w:rsidRDefault="00EA4872" w:rsidP="0092368D">
            <w:pPr>
              <w:rPr>
                <w:rFonts w:eastAsia="Calibri"/>
                <w:sz w:val="17"/>
                <w:szCs w:val="17"/>
              </w:rPr>
            </w:pPr>
            <w:r>
              <w:rPr>
                <w:rFonts w:eastAsia="Calibri"/>
                <w:sz w:val="17"/>
                <w:szCs w:val="17"/>
              </w:rPr>
              <w:t>Universal periodic review</w:t>
            </w:r>
            <w:r w:rsidR="001505FE" w:rsidRPr="001D13C7">
              <w:rPr>
                <w:rFonts w:eastAsia="Calibri"/>
                <w:sz w:val="17"/>
                <w:szCs w:val="17"/>
              </w:rPr>
              <w:t>; Ombudsman; yearly (UNFPA)</w:t>
            </w:r>
          </w:p>
          <w:p w14:paraId="4927F1ED" w14:textId="77777777" w:rsidR="001505FE" w:rsidRPr="001D13C7" w:rsidRDefault="001505FE" w:rsidP="0092368D">
            <w:pPr>
              <w:rPr>
                <w:rFonts w:eastAsia="Calibri"/>
                <w:sz w:val="17"/>
                <w:szCs w:val="17"/>
              </w:rPr>
            </w:pPr>
          </w:p>
          <w:p w14:paraId="1C78E9BE" w14:textId="77777777" w:rsidR="001505FE" w:rsidRPr="001D13C7" w:rsidRDefault="001505FE" w:rsidP="0092368D">
            <w:pPr>
              <w:rPr>
                <w:rFonts w:eastAsia="Calibri"/>
                <w:sz w:val="17"/>
                <w:szCs w:val="17"/>
              </w:rPr>
            </w:pPr>
          </w:p>
          <w:p w14:paraId="65ABCCED" w14:textId="77777777" w:rsidR="001505FE" w:rsidRPr="001D13C7" w:rsidRDefault="001505FE" w:rsidP="0092368D">
            <w:pPr>
              <w:rPr>
                <w:rFonts w:eastAsia="Calibri"/>
                <w:sz w:val="17"/>
                <w:szCs w:val="17"/>
              </w:rPr>
            </w:pPr>
          </w:p>
          <w:p w14:paraId="0AE19510" w14:textId="77777777" w:rsidR="001505FE" w:rsidRPr="001D13C7" w:rsidRDefault="001505FE" w:rsidP="0092368D">
            <w:pPr>
              <w:rPr>
                <w:rFonts w:eastAsia="Calibri"/>
                <w:sz w:val="17"/>
                <w:szCs w:val="17"/>
              </w:rPr>
            </w:pPr>
          </w:p>
          <w:p w14:paraId="0B204F0C" w14:textId="77777777" w:rsidR="001505FE" w:rsidRPr="001D13C7" w:rsidRDefault="001505FE" w:rsidP="0092368D">
            <w:pPr>
              <w:rPr>
                <w:rFonts w:eastAsia="Calibri"/>
                <w:sz w:val="17"/>
                <w:szCs w:val="17"/>
              </w:rPr>
            </w:pPr>
          </w:p>
          <w:p w14:paraId="718536BB" w14:textId="77777777" w:rsidR="001505FE" w:rsidRPr="001D13C7" w:rsidRDefault="001505FE" w:rsidP="0092368D">
            <w:pPr>
              <w:rPr>
                <w:rFonts w:eastAsia="Calibri"/>
                <w:sz w:val="17"/>
                <w:szCs w:val="17"/>
              </w:rPr>
            </w:pPr>
          </w:p>
          <w:p w14:paraId="1E9186B1" w14:textId="77777777" w:rsidR="001505FE" w:rsidRPr="001D13C7" w:rsidRDefault="001505FE" w:rsidP="0092368D">
            <w:pPr>
              <w:rPr>
                <w:rFonts w:eastAsia="Calibri"/>
                <w:sz w:val="17"/>
                <w:szCs w:val="17"/>
              </w:rPr>
            </w:pPr>
          </w:p>
        </w:tc>
        <w:tc>
          <w:tcPr>
            <w:tcW w:w="124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FE8F75C"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Output 4.1 Government capacities improved to address international human rights obligations, especially those related to people living in conditions of vulnerability and discrimination </w:t>
            </w:r>
          </w:p>
          <w:p w14:paraId="37667411" w14:textId="77777777" w:rsidR="001505FE" w:rsidRPr="001D13C7" w:rsidRDefault="001505FE" w:rsidP="0092368D">
            <w:pPr>
              <w:rPr>
                <w:color w:val="212121"/>
                <w:sz w:val="17"/>
                <w:szCs w:val="17"/>
                <w:shd w:val="clear" w:color="auto" w:fill="FFFFFF"/>
              </w:rPr>
            </w:pPr>
          </w:p>
          <w:p w14:paraId="707F7C60" w14:textId="18BE0C52" w:rsidR="001505FE" w:rsidRPr="001D13C7" w:rsidRDefault="001505FE" w:rsidP="0092368D">
            <w:pPr>
              <w:rPr>
                <w:color w:val="212121"/>
                <w:sz w:val="17"/>
                <w:szCs w:val="17"/>
                <w:shd w:val="clear" w:color="auto" w:fill="FFFFFF"/>
                <w:lang w:eastAsia="es-PE"/>
              </w:rPr>
            </w:pPr>
            <w:r w:rsidRPr="001D13C7">
              <w:rPr>
                <w:color w:val="212121"/>
                <w:sz w:val="17"/>
                <w:szCs w:val="17"/>
                <w:shd w:val="clear" w:color="auto" w:fill="FFFFFF"/>
              </w:rPr>
              <w:t>I</w:t>
            </w:r>
            <w:r w:rsidR="00D21CDD" w:rsidRPr="001D13C7">
              <w:rPr>
                <w:color w:val="212121"/>
                <w:sz w:val="17"/>
                <w:szCs w:val="17"/>
                <w:shd w:val="clear" w:color="auto" w:fill="FFFFFF"/>
              </w:rPr>
              <w:t xml:space="preserve">ntegration of </w:t>
            </w:r>
            <w:r w:rsidRPr="001D13C7">
              <w:rPr>
                <w:color w:val="212121"/>
                <w:sz w:val="17"/>
                <w:szCs w:val="17"/>
                <w:shd w:val="clear" w:color="auto" w:fill="FFFFFF"/>
              </w:rPr>
              <w:t xml:space="preserve">recommendations of </w:t>
            </w:r>
            <w:r w:rsidR="00EA4872">
              <w:rPr>
                <w:color w:val="212121"/>
                <w:sz w:val="17"/>
                <w:szCs w:val="17"/>
                <w:shd w:val="clear" w:color="auto" w:fill="FFFFFF"/>
              </w:rPr>
              <w:t>universal periodic review</w:t>
            </w:r>
            <w:r w:rsidR="00EA4872" w:rsidRPr="001D13C7">
              <w:rPr>
                <w:color w:val="212121"/>
                <w:sz w:val="17"/>
                <w:szCs w:val="17"/>
                <w:shd w:val="clear" w:color="auto" w:fill="FFFFFF"/>
              </w:rPr>
              <w:t xml:space="preserve"> </w:t>
            </w:r>
            <w:r w:rsidRPr="001D13C7">
              <w:rPr>
                <w:color w:val="212121"/>
                <w:sz w:val="17"/>
                <w:szCs w:val="17"/>
                <w:shd w:val="clear" w:color="auto" w:fill="FFFFFF"/>
              </w:rPr>
              <w:t xml:space="preserve">and treaty bodies </w:t>
            </w:r>
            <w:r w:rsidR="00D21CDD" w:rsidRPr="001D13C7">
              <w:rPr>
                <w:color w:val="212121"/>
                <w:sz w:val="17"/>
                <w:szCs w:val="17"/>
                <w:shd w:val="clear" w:color="auto" w:fill="FFFFFF"/>
              </w:rPr>
              <w:t xml:space="preserve">in National Human Rights Plan </w:t>
            </w:r>
          </w:p>
          <w:p w14:paraId="65D364A9"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1 = Not implemented </w:t>
            </w:r>
          </w:p>
          <w:p w14:paraId="79C995E9"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2 = Very partially </w:t>
            </w:r>
          </w:p>
          <w:p w14:paraId="458908C6"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3 = Partially </w:t>
            </w:r>
          </w:p>
          <w:p w14:paraId="35227AF5"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4 = Mostly </w:t>
            </w:r>
          </w:p>
          <w:p w14:paraId="06D3D97B" w14:textId="14B198C3"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B</w:t>
            </w:r>
            <w:r w:rsidR="00EA4872">
              <w:rPr>
                <w:color w:val="212121"/>
                <w:sz w:val="17"/>
                <w:szCs w:val="17"/>
                <w:shd w:val="clear" w:color="auto" w:fill="FFFFFF"/>
              </w:rPr>
              <w:t>aseline</w:t>
            </w:r>
            <w:r w:rsidRPr="001D13C7">
              <w:rPr>
                <w:color w:val="212121"/>
                <w:sz w:val="17"/>
                <w:szCs w:val="17"/>
                <w:shd w:val="clear" w:color="auto" w:fill="FFFFFF"/>
              </w:rPr>
              <w:t xml:space="preserve">: </w:t>
            </w:r>
            <w:r w:rsidR="00D21CDD" w:rsidRPr="001D13C7">
              <w:rPr>
                <w:color w:val="212121"/>
                <w:sz w:val="17"/>
                <w:szCs w:val="17"/>
                <w:shd w:val="clear" w:color="auto" w:fill="FFFFFF"/>
              </w:rPr>
              <w:t>2</w:t>
            </w:r>
            <w:r w:rsidRPr="001D13C7">
              <w:rPr>
                <w:color w:val="212121"/>
                <w:sz w:val="17"/>
                <w:szCs w:val="17"/>
                <w:shd w:val="clear" w:color="auto" w:fill="FFFFFF"/>
              </w:rPr>
              <w:t xml:space="preserve"> </w:t>
            </w:r>
          </w:p>
          <w:p w14:paraId="084AFA4F" w14:textId="7C3E3565"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T</w:t>
            </w:r>
            <w:r w:rsidR="00EA4872">
              <w:rPr>
                <w:color w:val="212121"/>
                <w:sz w:val="17"/>
                <w:szCs w:val="17"/>
                <w:shd w:val="clear" w:color="auto" w:fill="FFFFFF"/>
              </w:rPr>
              <w:t>arget</w:t>
            </w:r>
            <w:r w:rsidRPr="001D13C7">
              <w:rPr>
                <w:color w:val="212121"/>
                <w:sz w:val="17"/>
                <w:szCs w:val="17"/>
                <w:shd w:val="clear" w:color="auto" w:fill="FFFFFF"/>
              </w:rPr>
              <w:t xml:space="preserve">: </w:t>
            </w:r>
            <w:r w:rsidR="00D21CDD" w:rsidRPr="001D13C7">
              <w:rPr>
                <w:color w:val="212121"/>
                <w:sz w:val="17"/>
                <w:szCs w:val="17"/>
                <w:shd w:val="clear" w:color="auto" w:fill="FFFFFF"/>
              </w:rPr>
              <w:t>3</w:t>
            </w:r>
            <w:r w:rsidRPr="001D13C7">
              <w:rPr>
                <w:color w:val="212121"/>
                <w:sz w:val="17"/>
                <w:szCs w:val="17"/>
                <w:shd w:val="clear" w:color="auto" w:fill="FFFFFF"/>
              </w:rPr>
              <w:t xml:space="preserve"> </w:t>
            </w:r>
          </w:p>
          <w:p w14:paraId="3F716C23" w14:textId="4DEB64F4"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Annual </w:t>
            </w:r>
          </w:p>
          <w:p w14:paraId="7D4E4078" w14:textId="7E50A960" w:rsidR="001505FE" w:rsidRPr="001D13C7" w:rsidRDefault="002C52E2" w:rsidP="0092368D">
            <w:pPr>
              <w:rPr>
                <w:color w:val="212121"/>
                <w:sz w:val="17"/>
                <w:szCs w:val="17"/>
                <w:shd w:val="clear" w:color="auto" w:fill="FFFFFF"/>
              </w:rPr>
            </w:pPr>
            <w:r>
              <w:rPr>
                <w:color w:val="212121"/>
                <w:sz w:val="17"/>
                <w:szCs w:val="17"/>
                <w:shd w:val="clear" w:color="auto" w:fill="FFFFFF"/>
              </w:rPr>
              <w:t>MINJUS</w:t>
            </w:r>
            <w:r w:rsidR="001505FE" w:rsidRPr="001D13C7">
              <w:rPr>
                <w:color w:val="212121"/>
                <w:sz w:val="17"/>
                <w:szCs w:val="17"/>
                <w:shd w:val="clear" w:color="auto" w:fill="FFFFFF"/>
              </w:rPr>
              <w:t>;</w:t>
            </w:r>
            <w:r w:rsidR="001505FE" w:rsidRPr="001D13C7">
              <w:rPr>
                <w:sz w:val="17"/>
                <w:szCs w:val="17"/>
              </w:rPr>
              <w:t xml:space="preserve"> </w:t>
            </w:r>
            <w:r w:rsidR="001505FE" w:rsidRPr="001D13C7">
              <w:rPr>
                <w:color w:val="212121"/>
                <w:sz w:val="17"/>
                <w:szCs w:val="17"/>
                <w:shd w:val="clear" w:color="auto" w:fill="FFFFFF"/>
              </w:rPr>
              <w:t>Ombudsman</w:t>
            </w:r>
            <w:r w:rsidR="00D21CDD" w:rsidRPr="001D13C7">
              <w:rPr>
                <w:color w:val="212121"/>
                <w:sz w:val="17"/>
                <w:szCs w:val="17"/>
                <w:shd w:val="clear" w:color="auto" w:fill="FFFFFF"/>
              </w:rPr>
              <w:t xml:space="preserve"> Reports; OHCHR</w:t>
            </w:r>
          </w:p>
          <w:p w14:paraId="3E0C3FEB" w14:textId="77777777" w:rsidR="001505FE" w:rsidRPr="001D13C7" w:rsidRDefault="001505FE" w:rsidP="0092368D">
            <w:pPr>
              <w:rPr>
                <w:color w:val="212121"/>
                <w:sz w:val="17"/>
                <w:szCs w:val="17"/>
                <w:shd w:val="clear" w:color="auto" w:fill="FFFFFF"/>
              </w:rPr>
            </w:pPr>
          </w:p>
          <w:p w14:paraId="471265D3" w14:textId="22E5C8C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Percentage of districts with approved ordinances against all types of discrimination </w:t>
            </w:r>
          </w:p>
          <w:p w14:paraId="27D926B9" w14:textId="18C3821C"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B</w:t>
            </w:r>
            <w:r w:rsidR="00EA4872">
              <w:rPr>
                <w:color w:val="212121"/>
                <w:sz w:val="17"/>
                <w:szCs w:val="17"/>
                <w:shd w:val="clear" w:color="auto" w:fill="FFFFFF"/>
              </w:rPr>
              <w:t>aseline</w:t>
            </w:r>
            <w:r w:rsidRPr="001D13C7">
              <w:rPr>
                <w:color w:val="212121"/>
                <w:sz w:val="17"/>
                <w:szCs w:val="17"/>
                <w:shd w:val="clear" w:color="auto" w:fill="FFFFFF"/>
              </w:rPr>
              <w:t xml:space="preserve">: 4.8 </w:t>
            </w:r>
          </w:p>
          <w:p w14:paraId="50AF3D3B" w14:textId="1F632C76"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T</w:t>
            </w:r>
            <w:r w:rsidR="00EA4872">
              <w:rPr>
                <w:color w:val="212121"/>
                <w:sz w:val="17"/>
                <w:szCs w:val="17"/>
                <w:shd w:val="clear" w:color="auto" w:fill="FFFFFF"/>
              </w:rPr>
              <w:t>arget</w:t>
            </w:r>
            <w:r w:rsidRPr="001D13C7">
              <w:rPr>
                <w:color w:val="212121"/>
                <w:sz w:val="17"/>
                <w:szCs w:val="17"/>
                <w:shd w:val="clear" w:color="auto" w:fill="FFFFFF"/>
              </w:rPr>
              <w:t xml:space="preserve">: 20 </w:t>
            </w:r>
          </w:p>
          <w:p w14:paraId="6DCCD8D9" w14:textId="64544E70"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Annual </w:t>
            </w:r>
          </w:p>
          <w:p w14:paraId="66A7E38F" w14:textId="364848AD" w:rsidR="001505FE" w:rsidRPr="001D13C7" w:rsidRDefault="002C52E2" w:rsidP="0092368D">
            <w:pPr>
              <w:rPr>
                <w:color w:val="212121"/>
                <w:sz w:val="17"/>
                <w:szCs w:val="17"/>
                <w:shd w:val="clear" w:color="auto" w:fill="FFFFFF"/>
              </w:rPr>
            </w:pPr>
            <w:r>
              <w:rPr>
                <w:color w:val="212121"/>
                <w:sz w:val="17"/>
                <w:szCs w:val="17"/>
                <w:shd w:val="clear" w:color="auto" w:fill="FFFFFF"/>
              </w:rPr>
              <w:t xml:space="preserve">MINJUS; </w:t>
            </w:r>
            <w:r w:rsidR="00CF090A">
              <w:rPr>
                <w:color w:val="212121"/>
                <w:sz w:val="17"/>
                <w:szCs w:val="17"/>
                <w:shd w:val="clear" w:color="auto" w:fill="FFFFFF"/>
              </w:rPr>
              <w:t>Ministry of Culture</w:t>
            </w:r>
            <w:r w:rsidR="001505FE" w:rsidRPr="001D13C7">
              <w:rPr>
                <w:color w:val="212121"/>
                <w:sz w:val="17"/>
                <w:szCs w:val="17"/>
                <w:shd w:val="clear" w:color="auto" w:fill="FFFFFF"/>
              </w:rPr>
              <w:t xml:space="preserve">; Ombudsman </w:t>
            </w:r>
          </w:p>
          <w:p w14:paraId="51D1BFFD" w14:textId="77777777" w:rsidR="001505FE" w:rsidRPr="001D13C7" w:rsidRDefault="001505FE" w:rsidP="0092368D">
            <w:pPr>
              <w:rPr>
                <w:color w:val="212121"/>
                <w:sz w:val="17"/>
                <w:szCs w:val="17"/>
                <w:shd w:val="clear" w:color="auto" w:fill="FFFFFF"/>
              </w:rPr>
            </w:pPr>
          </w:p>
          <w:p w14:paraId="76BF1AFC"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Output 4.2 Enhanced participation mechanisms promoting dialogue and social peace and greater social representation </w:t>
            </w:r>
          </w:p>
          <w:p w14:paraId="1C7B19BA" w14:textId="77777777" w:rsidR="001505FE" w:rsidRPr="001D13C7" w:rsidRDefault="001505FE" w:rsidP="0092368D">
            <w:pPr>
              <w:rPr>
                <w:color w:val="212121"/>
                <w:sz w:val="17"/>
                <w:szCs w:val="17"/>
                <w:shd w:val="clear" w:color="auto" w:fill="FFFFFF"/>
              </w:rPr>
            </w:pPr>
          </w:p>
          <w:p w14:paraId="3996C8DE" w14:textId="0B9A65CE"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Percentage of women</w:t>
            </w:r>
            <w:r w:rsidR="009A2352" w:rsidRPr="001D13C7">
              <w:rPr>
                <w:color w:val="212121"/>
                <w:sz w:val="17"/>
                <w:szCs w:val="17"/>
                <w:shd w:val="clear" w:color="auto" w:fill="FFFFFF"/>
              </w:rPr>
              <w:t xml:space="preserve">, </w:t>
            </w:r>
            <w:r w:rsidR="00D21CDD" w:rsidRPr="001D13C7">
              <w:rPr>
                <w:color w:val="212121"/>
                <w:sz w:val="17"/>
                <w:szCs w:val="17"/>
                <w:shd w:val="clear" w:color="auto" w:fill="FFFFFF"/>
              </w:rPr>
              <w:t xml:space="preserve">indigenous and Afro-descendant </w:t>
            </w:r>
            <w:r w:rsidRPr="001D13C7">
              <w:rPr>
                <w:color w:val="212121"/>
                <w:sz w:val="17"/>
                <w:szCs w:val="17"/>
                <w:shd w:val="clear" w:color="auto" w:fill="FFFFFF"/>
              </w:rPr>
              <w:t xml:space="preserve">people (in relation to total) </w:t>
            </w:r>
            <w:r w:rsidR="009A2352" w:rsidRPr="001D13C7">
              <w:rPr>
                <w:color w:val="212121"/>
                <w:sz w:val="17"/>
                <w:szCs w:val="17"/>
                <w:shd w:val="clear" w:color="auto" w:fill="FFFFFF"/>
              </w:rPr>
              <w:t xml:space="preserve">participating as </w:t>
            </w:r>
            <w:r w:rsidRPr="001D13C7">
              <w:rPr>
                <w:color w:val="212121"/>
                <w:sz w:val="17"/>
                <w:szCs w:val="17"/>
                <w:shd w:val="clear" w:color="auto" w:fill="FFFFFF"/>
              </w:rPr>
              <w:t xml:space="preserve">candidates </w:t>
            </w:r>
            <w:r w:rsidR="009A2352" w:rsidRPr="001D13C7">
              <w:rPr>
                <w:color w:val="212121"/>
                <w:sz w:val="17"/>
                <w:szCs w:val="17"/>
                <w:shd w:val="clear" w:color="auto" w:fill="FFFFFF"/>
              </w:rPr>
              <w:t>in Congress and local elections</w:t>
            </w:r>
            <w:r w:rsidRPr="001D13C7">
              <w:rPr>
                <w:color w:val="212121"/>
                <w:sz w:val="17"/>
                <w:szCs w:val="17"/>
                <w:shd w:val="clear" w:color="auto" w:fill="FFFFFF"/>
              </w:rPr>
              <w:t xml:space="preserve"> </w:t>
            </w:r>
          </w:p>
          <w:p w14:paraId="68A4AD62" w14:textId="1DDC3EAC" w:rsidR="001505FE" w:rsidRPr="001D13C7" w:rsidRDefault="001505FE" w:rsidP="009A2352">
            <w:pPr>
              <w:jc w:val="both"/>
              <w:rPr>
                <w:bCs/>
                <w:i/>
                <w:color w:val="000000"/>
                <w:sz w:val="17"/>
                <w:szCs w:val="17"/>
              </w:rPr>
            </w:pPr>
            <w:r w:rsidRPr="001D13C7">
              <w:rPr>
                <w:bCs/>
                <w:color w:val="000000"/>
                <w:sz w:val="17"/>
                <w:szCs w:val="17"/>
              </w:rPr>
              <w:t>B</w:t>
            </w:r>
            <w:r w:rsidR="005C604B">
              <w:rPr>
                <w:bCs/>
                <w:color w:val="000000"/>
                <w:sz w:val="17"/>
                <w:szCs w:val="17"/>
              </w:rPr>
              <w:t>aseline</w:t>
            </w:r>
            <w:r w:rsidRPr="001D13C7">
              <w:rPr>
                <w:bCs/>
                <w:color w:val="000000"/>
                <w:sz w:val="17"/>
                <w:szCs w:val="17"/>
              </w:rPr>
              <w:t>:</w:t>
            </w:r>
            <w:r w:rsidR="002C52E2">
              <w:rPr>
                <w:bCs/>
                <w:color w:val="000000"/>
                <w:sz w:val="17"/>
                <w:szCs w:val="17"/>
              </w:rPr>
              <w:t xml:space="preserve"> Congress: </w:t>
            </w:r>
            <w:r w:rsidR="009A2352" w:rsidRPr="001D13C7">
              <w:rPr>
                <w:bCs/>
                <w:color w:val="000000"/>
                <w:sz w:val="17"/>
                <w:szCs w:val="17"/>
              </w:rPr>
              <w:t>W</w:t>
            </w:r>
            <w:r w:rsidR="002C52E2">
              <w:rPr>
                <w:bCs/>
                <w:color w:val="000000"/>
                <w:sz w:val="17"/>
                <w:szCs w:val="17"/>
              </w:rPr>
              <w:t>omen</w:t>
            </w:r>
            <w:r w:rsidR="009A2352" w:rsidRPr="001D13C7">
              <w:rPr>
                <w:bCs/>
                <w:color w:val="000000"/>
                <w:sz w:val="17"/>
                <w:szCs w:val="17"/>
              </w:rPr>
              <w:t>:30; I</w:t>
            </w:r>
            <w:r w:rsidR="002C52E2">
              <w:rPr>
                <w:bCs/>
                <w:color w:val="000000"/>
                <w:sz w:val="17"/>
                <w:szCs w:val="17"/>
              </w:rPr>
              <w:t>ndigenous</w:t>
            </w:r>
            <w:r w:rsidR="009A2352" w:rsidRPr="001D13C7">
              <w:rPr>
                <w:bCs/>
                <w:color w:val="000000"/>
                <w:sz w:val="17"/>
                <w:szCs w:val="17"/>
              </w:rPr>
              <w:t>:5; A</w:t>
            </w:r>
            <w:r w:rsidR="002C52E2">
              <w:rPr>
                <w:bCs/>
                <w:color w:val="000000"/>
                <w:sz w:val="17"/>
                <w:szCs w:val="17"/>
              </w:rPr>
              <w:t>fro:</w:t>
            </w:r>
            <w:r w:rsidR="000A7D27" w:rsidDel="000A7D27">
              <w:rPr>
                <w:bCs/>
                <w:color w:val="000000"/>
                <w:sz w:val="17"/>
                <w:szCs w:val="17"/>
              </w:rPr>
              <w:t xml:space="preserve"> </w:t>
            </w:r>
            <w:r w:rsidR="009A2352" w:rsidRPr="001D13C7">
              <w:rPr>
                <w:bCs/>
                <w:color w:val="000000"/>
                <w:sz w:val="17"/>
                <w:szCs w:val="17"/>
              </w:rPr>
              <w:t>0</w:t>
            </w:r>
            <w:r w:rsidR="002C52E2">
              <w:rPr>
                <w:bCs/>
                <w:color w:val="000000"/>
                <w:sz w:val="17"/>
                <w:szCs w:val="17"/>
              </w:rPr>
              <w:t>.  Local: Women: 30; Indigenous: 10; Afro: 0</w:t>
            </w:r>
          </w:p>
          <w:p w14:paraId="109C8669" w14:textId="59F000BB" w:rsidR="001505FE" w:rsidRPr="001D13C7" w:rsidRDefault="00027647" w:rsidP="0092368D">
            <w:pPr>
              <w:rPr>
                <w:bCs/>
                <w:color w:val="000000"/>
                <w:sz w:val="17"/>
                <w:szCs w:val="17"/>
              </w:rPr>
            </w:pPr>
            <w:r w:rsidRPr="001D13C7">
              <w:rPr>
                <w:bCs/>
                <w:color w:val="000000"/>
                <w:sz w:val="17"/>
                <w:szCs w:val="17"/>
              </w:rPr>
              <w:t>T</w:t>
            </w:r>
            <w:r w:rsidR="005C604B">
              <w:rPr>
                <w:bCs/>
                <w:color w:val="000000"/>
                <w:sz w:val="17"/>
                <w:szCs w:val="17"/>
              </w:rPr>
              <w:t>arget</w:t>
            </w:r>
            <w:r w:rsidRPr="001D13C7">
              <w:rPr>
                <w:bCs/>
                <w:color w:val="000000"/>
                <w:sz w:val="17"/>
                <w:szCs w:val="17"/>
              </w:rPr>
              <w:t>:</w:t>
            </w:r>
            <w:r w:rsidR="009A2352" w:rsidRPr="001D13C7">
              <w:rPr>
                <w:bCs/>
                <w:color w:val="000000"/>
                <w:sz w:val="17"/>
                <w:szCs w:val="17"/>
              </w:rPr>
              <w:t xml:space="preserve"> </w:t>
            </w:r>
            <w:r w:rsidR="002C52E2">
              <w:rPr>
                <w:bCs/>
                <w:color w:val="000000"/>
                <w:sz w:val="17"/>
                <w:szCs w:val="17"/>
              </w:rPr>
              <w:t xml:space="preserve">Congress: </w:t>
            </w:r>
            <w:r w:rsidR="009A2352" w:rsidRPr="001D13C7">
              <w:rPr>
                <w:bCs/>
                <w:color w:val="000000"/>
                <w:sz w:val="17"/>
                <w:szCs w:val="17"/>
              </w:rPr>
              <w:t>W</w:t>
            </w:r>
            <w:r w:rsidR="002C52E2">
              <w:rPr>
                <w:bCs/>
                <w:color w:val="000000"/>
                <w:sz w:val="17"/>
                <w:szCs w:val="17"/>
              </w:rPr>
              <w:t>omen</w:t>
            </w:r>
            <w:r w:rsidR="009A2352" w:rsidRPr="001D13C7">
              <w:rPr>
                <w:bCs/>
                <w:color w:val="000000"/>
                <w:sz w:val="17"/>
                <w:szCs w:val="17"/>
              </w:rPr>
              <w:t>:</w:t>
            </w:r>
            <w:r w:rsidR="00294144" w:rsidRPr="001D13C7">
              <w:rPr>
                <w:bCs/>
                <w:color w:val="000000"/>
                <w:sz w:val="17"/>
                <w:szCs w:val="17"/>
              </w:rPr>
              <w:t>4</w:t>
            </w:r>
            <w:r w:rsidR="009A2352" w:rsidRPr="001D13C7">
              <w:rPr>
                <w:bCs/>
                <w:color w:val="000000"/>
                <w:sz w:val="17"/>
                <w:szCs w:val="17"/>
              </w:rPr>
              <w:t>0; I</w:t>
            </w:r>
            <w:r w:rsidR="002C52E2">
              <w:rPr>
                <w:bCs/>
                <w:color w:val="000000"/>
                <w:sz w:val="17"/>
                <w:szCs w:val="17"/>
              </w:rPr>
              <w:t>ndigenous</w:t>
            </w:r>
            <w:r w:rsidR="009A2352" w:rsidRPr="001D13C7">
              <w:rPr>
                <w:bCs/>
                <w:color w:val="000000"/>
                <w:sz w:val="17"/>
                <w:szCs w:val="17"/>
              </w:rPr>
              <w:t>:</w:t>
            </w:r>
            <w:r w:rsidR="00294144" w:rsidRPr="001D13C7">
              <w:rPr>
                <w:bCs/>
                <w:color w:val="000000"/>
                <w:sz w:val="17"/>
                <w:szCs w:val="17"/>
              </w:rPr>
              <w:t>10</w:t>
            </w:r>
            <w:r w:rsidR="009A2352" w:rsidRPr="001D13C7">
              <w:rPr>
                <w:bCs/>
                <w:color w:val="000000"/>
                <w:sz w:val="17"/>
                <w:szCs w:val="17"/>
              </w:rPr>
              <w:t>; A</w:t>
            </w:r>
            <w:r w:rsidR="005242FC">
              <w:rPr>
                <w:bCs/>
                <w:color w:val="000000"/>
                <w:sz w:val="17"/>
                <w:szCs w:val="17"/>
              </w:rPr>
              <w:t>fro</w:t>
            </w:r>
            <w:r w:rsidR="00294144" w:rsidRPr="001D13C7">
              <w:rPr>
                <w:bCs/>
                <w:color w:val="000000"/>
                <w:sz w:val="17"/>
                <w:szCs w:val="17"/>
              </w:rPr>
              <w:t>&gt;</w:t>
            </w:r>
            <w:r w:rsidR="009A2352" w:rsidRPr="001D13C7">
              <w:rPr>
                <w:bCs/>
                <w:color w:val="000000"/>
                <w:sz w:val="17"/>
                <w:szCs w:val="17"/>
              </w:rPr>
              <w:t>0</w:t>
            </w:r>
            <w:r w:rsidR="005242FC">
              <w:rPr>
                <w:bCs/>
                <w:color w:val="000000"/>
                <w:sz w:val="17"/>
                <w:szCs w:val="17"/>
              </w:rPr>
              <w:t xml:space="preserve"> Local: Women: 40; Indigenous: 15; Afro&gt;0</w:t>
            </w:r>
          </w:p>
          <w:p w14:paraId="5FDD1CA5" w14:textId="5051050B" w:rsidR="001505FE" w:rsidRPr="001D13C7" w:rsidRDefault="005C604B" w:rsidP="0092368D">
            <w:pPr>
              <w:rPr>
                <w:b/>
                <w:bCs/>
                <w:color w:val="000000"/>
                <w:sz w:val="17"/>
                <w:szCs w:val="17"/>
              </w:rPr>
            </w:pPr>
            <w:r>
              <w:rPr>
                <w:bCs/>
                <w:color w:val="000000"/>
                <w:sz w:val="17"/>
                <w:szCs w:val="17"/>
              </w:rPr>
              <w:t>Four</w:t>
            </w:r>
            <w:r w:rsidR="001505FE" w:rsidRPr="001D13C7">
              <w:rPr>
                <w:bCs/>
                <w:color w:val="000000"/>
                <w:sz w:val="17"/>
                <w:szCs w:val="17"/>
              </w:rPr>
              <w:t xml:space="preserve"> y</w:t>
            </w:r>
            <w:r>
              <w:rPr>
                <w:bCs/>
                <w:color w:val="000000"/>
                <w:sz w:val="17"/>
                <w:szCs w:val="17"/>
              </w:rPr>
              <w:t>ea</w:t>
            </w:r>
            <w:r w:rsidR="001505FE" w:rsidRPr="001D13C7">
              <w:rPr>
                <w:bCs/>
                <w:color w:val="000000"/>
                <w:sz w:val="17"/>
                <w:szCs w:val="17"/>
              </w:rPr>
              <w:t>rs</w:t>
            </w:r>
            <w:r w:rsidR="001505FE" w:rsidRPr="001D13C7">
              <w:rPr>
                <w:color w:val="000000"/>
                <w:sz w:val="17"/>
                <w:szCs w:val="17"/>
              </w:rPr>
              <w:t xml:space="preserve"> </w:t>
            </w:r>
          </w:p>
          <w:p w14:paraId="25003D26" w14:textId="255D0E59" w:rsidR="00B16887" w:rsidRDefault="00B16887" w:rsidP="0092368D">
            <w:pPr>
              <w:rPr>
                <w:color w:val="000000"/>
                <w:sz w:val="17"/>
                <w:szCs w:val="17"/>
              </w:rPr>
            </w:pPr>
            <w:r w:rsidRPr="001D13C7">
              <w:rPr>
                <w:rFonts w:eastAsia="Calibri"/>
                <w:iCs/>
                <w:color w:val="000000"/>
                <w:sz w:val="17"/>
                <w:szCs w:val="17"/>
              </w:rPr>
              <w:lastRenderedPageBreak/>
              <w:t>National Electoral Jury</w:t>
            </w:r>
          </w:p>
          <w:p w14:paraId="40A0D01D" w14:textId="502B8E07" w:rsidR="001505FE" w:rsidRPr="001D13C7" w:rsidRDefault="00B16887" w:rsidP="0092368D">
            <w:pPr>
              <w:rPr>
                <w:color w:val="000000"/>
                <w:sz w:val="17"/>
                <w:szCs w:val="17"/>
              </w:rPr>
            </w:pPr>
            <w:r w:rsidRPr="001D13C7">
              <w:rPr>
                <w:rFonts w:eastAsia="Calibri"/>
                <w:iCs/>
                <w:color w:val="000000"/>
                <w:sz w:val="17"/>
                <w:szCs w:val="17"/>
              </w:rPr>
              <w:t xml:space="preserve"> National Office of Electoral Processes</w:t>
            </w:r>
          </w:p>
          <w:p w14:paraId="745CD122" w14:textId="77777777" w:rsidR="001505FE" w:rsidRPr="001D13C7" w:rsidRDefault="001505FE" w:rsidP="0092368D">
            <w:pPr>
              <w:rPr>
                <w:color w:val="212121"/>
                <w:sz w:val="17"/>
                <w:szCs w:val="17"/>
                <w:shd w:val="clear" w:color="auto" w:fill="FFFFFF"/>
              </w:rPr>
            </w:pPr>
          </w:p>
          <w:p w14:paraId="191FB283" w14:textId="1787C971" w:rsidR="001505FE" w:rsidRPr="001D13C7" w:rsidRDefault="00582603" w:rsidP="0092368D">
            <w:pPr>
              <w:rPr>
                <w:color w:val="212121"/>
                <w:sz w:val="17"/>
                <w:szCs w:val="17"/>
                <w:shd w:val="clear" w:color="auto" w:fill="FFFFFF"/>
              </w:rPr>
            </w:pPr>
            <w:r w:rsidRPr="001D13C7">
              <w:rPr>
                <w:color w:val="212121"/>
                <w:sz w:val="17"/>
                <w:szCs w:val="17"/>
                <w:shd w:val="clear" w:color="auto" w:fill="FFFFFF"/>
              </w:rPr>
              <w:t>I</w:t>
            </w:r>
            <w:r w:rsidR="001505FE" w:rsidRPr="001D13C7">
              <w:rPr>
                <w:color w:val="212121"/>
                <w:sz w:val="17"/>
                <w:szCs w:val="17"/>
                <w:shd w:val="clear" w:color="auto" w:fill="FFFFFF"/>
              </w:rPr>
              <w:t xml:space="preserve">mplementation of national system of prevention and conflict management </w:t>
            </w:r>
          </w:p>
          <w:p w14:paraId="70100821"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1 = Not implemented </w:t>
            </w:r>
          </w:p>
          <w:p w14:paraId="3214D133"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2 = Very partially </w:t>
            </w:r>
          </w:p>
          <w:p w14:paraId="63AA6B11"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3 = Partially </w:t>
            </w:r>
          </w:p>
          <w:p w14:paraId="1BDA4757" w14:textId="77777777"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4 = Mostly </w:t>
            </w:r>
          </w:p>
          <w:p w14:paraId="1FEF981E" w14:textId="483899EF"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B</w:t>
            </w:r>
            <w:r w:rsidR="005C604B">
              <w:rPr>
                <w:color w:val="212121"/>
                <w:sz w:val="17"/>
                <w:szCs w:val="17"/>
                <w:shd w:val="clear" w:color="auto" w:fill="FFFFFF"/>
              </w:rPr>
              <w:t>aseline</w:t>
            </w:r>
            <w:r w:rsidRPr="001D13C7">
              <w:rPr>
                <w:color w:val="212121"/>
                <w:sz w:val="17"/>
                <w:szCs w:val="17"/>
                <w:shd w:val="clear" w:color="auto" w:fill="FFFFFF"/>
              </w:rPr>
              <w:t xml:space="preserve">: 2 </w:t>
            </w:r>
          </w:p>
          <w:p w14:paraId="45AB83A0" w14:textId="3E76438F"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T</w:t>
            </w:r>
            <w:r w:rsidR="005C604B">
              <w:rPr>
                <w:color w:val="212121"/>
                <w:sz w:val="17"/>
                <w:szCs w:val="17"/>
                <w:shd w:val="clear" w:color="auto" w:fill="FFFFFF"/>
              </w:rPr>
              <w:t>arget</w:t>
            </w:r>
            <w:r w:rsidRPr="001D13C7">
              <w:rPr>
                <w:color w:val="212121"/>
                <w:sz w:val="17"/>
                <w:szCs w:val="17"/>
                <w:shd w:val="clear" w:color="auto" w:fill="FFFFFF"/>
              </w:rPr>
              <w:t xml:space="preserve">: 3 </w:t>
            </w:r>
          </w:p>
          <w:p w14:paraId="5FE56AF6" w14:textId="4F47A2CE"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 xml:space="preserve">Annual </w:t>
            </w:r>
          </w:p>
          <w:p w14:paraId="2ECE4A80" w14:textId="0A3D9FDE" w:rsidR="001505FE" w:rsidRPr="001D13C7" w:rsidRDefault="001505FE" w:rsidP="0092368D">
            <w:pPr>
              <w:rPr>
                <w:color w:val="212121"/>
                <w:sz w:val="17"/>
                <w:szCs w:val="17"/>
                <w:shd w:val="clear" w:color="auto" w:fill="FFFFFF"/>
              </w:rPr>
            </w:pPr>
            <w:r w:rsidRPr="001D13C7">
              <w:rPr>
                <w:color w:val="212121"/>
                <w:sz w:val="17"/>
                <w:szCs w:val="17"/>
                <w:shd w:val="clear" w:color="auto" w:fill="FFFFFF"/>
              </w:rPr>
              <w:t>PCM; Ombudsman</w:t>
            </w:r>
          </w:p>
        </w:tc>
        <w:tc>
          <w:tcPr>
            <w:tcW w:w="768" w:type="pct"/>
            <w:tcBorders>
              <w:top w:val="single" w:sz="4" w:space="0" w:color="auto"/>
              <w:left w:val="single" w:sz="4" w:space="0" w:color="auto"/>
              <w:bottom w:val="single" w:sz="4" w:space="0" w:color="auto"/>
              <w:right w:val="single" w:sz="4" w:space="0" w:color="auto"/>
            </w:tcBorders>
            <w:hideMark/>
          </w:tcPr>
          <w:p w14:paraId="3B0CE339" w14:textId="77777777" w:rsidR="001505FE" w:rsidRPr="001D13C7" w:rsidRDefault="001505FE" w:rsidP="0092368D">
            <w:pPr>
              <w:rPr>
                <w:rFonts w:eastAsia="Calibri"/>
                <w:iCs/>
                <w:color w:val="000000"/>
                <w:sz w:val="17"/>
                <w:szCs w:val="17"/>
              </w:rPr>
            </w:pPr>
            <w:r w:rsidRPr="001D13C7">
              <w:rPr>
                <w:rFonts w:eastAsia="Calibri"/>
                <w:iCs/>
                <w:color w:val="000000"/>
                <w:sz w:val="17"/>
                <w:szCs w:val="17"/>
              </w:rPr>
              <w:lastRenderedPageBreak/>
              <w:t>Congress, National Agreement</w:t>
            </w:r>
          </w:p>
          <w:p w14:paraId="7875C98F" w14:textId="77777777" w:rsidR="001505FE" w:rsidRPr="001D13C7" w:rsidRDefault="001505FE" w:rsidP="0092368D">
            <w:pPr>
              <w:rPr>
                <w:rFonts w:eastAsia="Calibri"/>
                <w:iCs/>
                <w:color w:val="000000"/>
                <w:sz w:val="17"/>
                <w:szCs w:val="17"/>
              </w:rPr>
            </w:pPr>
            <w:r w:rsidRPr="001D13C7">
              <w:rPr>
                <w:rFonts w:eastAsia="Calibri"/>
                <w:iCs/>
                <w:color w:val="000000"/>
                <w:sz w:val="17"/>
                <w:szCs w:val="17"/>
              </w:rPr>
              <w:t xml:space="preserve">PCM </w:t>
            </w:r>
          </w:p>
          <w:p w14:paraId="26A00FAA" w14:textId="548F7983" w:rsidR="005C604B" w:rsidRDefault="005242FC" w:rsidP="0092368D">
            <w:pPr>
              <w:rPr>
                <w:rFonts w:eastAsia="Calibri"/>
                <w:iCs/>
                <w:color w:val="000000"/>
                <w:sz w:val="17"/>
                <w:szCs w:val="17"/>
              </w:rPr>
            </w:pPr>
            <w:r>
              <w:rPr>
                <w:rFonts w:eastAsia="Calibri"/>
                <w:iCs/>
                <w:color w:val="000000"/>
                <w:sz w:val="17"/>
                <w:szCs w:val="17"/>
              </w:rPr>
              <w:t>MINJUS</w:t>
            </w:r>
          </w:p>
          <w:p w14:paraId="099C3AA7" w14:textId="31F49269" w:rsidR="005242FC" w:rsidRDefault="00CF090A" w:rsidP="0092368D">
            <w:pPr>
              <w:rPr>
                <w:rFonts w:eastAsia="Calibri"/>
                <w:iCs/>
                <w:color w:val="000000"/>
                <w:sz w:val="17"/>
                <w:szCs w:val="17"/>
              </w:rPr>
            </w:pPr>
            <w:r>
              <w:rPr>
                <w:rFonts w:eastAsia="Calibri"/>
                <w:iCs/>
                <w:color w:val="000000"/>
                <w:sz w:val="17"/>
                <w:szCs w:val="17"/>
              </w:rPr>
              <w:t>Ministry of Culture</w:t>
            </w:r>
          </w:p>
          <w:p w14:paraId="59C27A91" w14:textId="378A5521" w:rsidR="001505FE" w:rsidRPr="001D13C7" w:rsidRDefault="00A273F1" w:rsidP="0092368D">
            <w:pPr>
              <w:rPr>
                <w:rFonts w:eastAsia="Calibri"/>
                <w:iCs/>
                <w:color w:val="000000"/>
                <w:sz w:val="17"/>
                <w:szCs w:val="17"/>
              </w:rPr>
            </w:pPr>
            <w:r w:rsidRPr="001D13C7">
              <w:rPr>
                <w:rFonts w:eastAsia="Calibri"/>
                <w:iCs/>
                <w:color w:val="000000"/>
                <w:sz w:val="17"/>
                <w:szCs w:val="17"/>
              </w:rPr>
              <w:t>National Electoral Jury</w:t>
            </w:r>
            <w:r w:rsidR="001505FE" w:rsidRPr="001D13C7">
              <w:rPr>
                <w:rFonts w:eastAsia="Calibri"/>
                <w:iCs/>
                <w:color w:val="000000"/>
                <w:sz w:val="17"/>
                <w:szCs w:val="17"/>
              </w:rPr>
              <w:t xml:space="preserve">, </w:t>
            </w:r>
            <w:r w:rsidRPr="001D13C7">
              <w:rPr>
                <w:rFonts w:eastAsia="Calibri"/>
                <w:iCs/>
                <w:color w:val="000000"/>
                <w:sz w:val="17"/>
                <w:szCs w:val="17"/>
              </w:rPr>
              <w:t>National Office of Electoral Processes</w:t>
            </w:r>
            <w:r w:rsidR="005242FC">
              <w:rPr>
                <w:rFonts w:eastAsia="Calibri"/>
                <w:iCs/>
                <w:color w:val="000000"/>
                <w:sz w:val="17"/>
                <w:szCs w:val="17"/>
              </w:rPr>
              <w:t xml:space="preserve"> </w:t>
            </w:r>
          </w:p>
          <w:p w14:paraId="14E50430" w14:textId="027E3E83" w:rsidR="001505FE" w:rsidRPr="001D13C7" w:rsidRDefault="001505FE" w:rsidP="0092368D">
            <w:pPr>
              <w:rPr>
                <w:rFonts w:eastAsia="Calibri"/>
                <w:iCs/>
                <w:color w:val="000000"/>
                <w:sz w:val="17"/>
                <w:szCs w:val="17"/>
              </w:rPr>
            </w:pPr>
            <w:r w:rsidRPr="001D13C7">
              <w:rPr>
                <w:rFonts w:eastAsia="Calibri"/>
                <w:iCs/>
                <w:color w:val="000000"/>
                <w:sz w:val="17"/>
                <w:szCs w:val="17"/>
              </w:rPr>
              <w:t>Ombudsman</w:t>
            </w:r>
            <w:r w:rsidR="00A273F1" w:rsidRPr="001D13C7">
              <w:rPr>
                <w:rFonts w:eastAsia="Calibri"/>
                <w:iCs/>
                <w:color w:val="000000"/>
                <w:sz w:val="17"/>
                <w:szCs w:val="17"/>
              </w:rPr>
              <w:t>’s Office</w:t>
            </w:r>
          </w:p>
          <w:p w14:paraId="34CBD7AE" w14:textId="77777777" w:rsidR="00877971" w:rsidRPr="001D13C7" w:rsidRDefault="00877971" w:rsidP="00877971">
            <w:pPr>
              <w:rPr>
                <w:color w:val="212121"/>
                <w:sz w:val="17"/>
                <w:szCs w:val="17"/>
                <w:shd w:val="clear" w:color="auto" w:fill="FFFFFF"/>
              </w:rPr>
            </w:pPr>
            <w:r>
              <w:rPr>
                <w:color w:val="212121"/>
                <w:sz w:val="17"/>
                <w:szCs w:val="17"/>
                <w:shd w:val="clear" w:color="auto" w:fill="FFFFFF"/>
              </w:rPr>
              <w:t xml:space="preserve">Round Table for Poverty Reduction </w:t>
            </w:r>
          </w:p>
          <w:p w14:paraId="6124CB37" w14:textId="77777777" w:rsidR="001505FE" w:rsidRPr="001D13C7" w:rsidRDefault="001505FE" w:rsidP="0092368D">
            <w:pPr>
              <w:rPr>
                <w:rFonts w:eastAsia="Calibri"/>
                <w:iCs/>
                <w:color w:val="000000"/>
                <w:sz w:val="17"/>
                <w:szCs w:val="17"/>
              </w:rPr>
            </w:pPr>
          </w:p>
          <w:p w14:paraId="5B94EC79" w14:textId="710C00CE" w:rsidR="001505FE" w:rsidRPr="001D13C7" w:rsidRDefault="005C604B" w:rsidP="0092368D">
            <w:pPr>
              <w:rPr>
                <w:rFonts w:eastAsia="Calibri"/>
                <w:iCs/>
                <w:color w:val="000000"/>
                <w:sz w:val="17"/>
                <w:szCs w:val="17"/>
              </w:rPr>
            </w:pPr>
            <w:r>
              <w:rPr>
                <w:rFonts w:eastAsia="Calibri"/>
                <w:iCs/>
                <w:color w:val="000000"/>
                <w:sz w:val="17"/>
                <w:szCs w:val="17"/>
              </w:rPr>
              <w:t>O</w:t>
            </w:r>
            <w:r w:rsidRPr="001D13C7">
              <w:rPr>
                <w:rFonts w:eastAsia="Calibri"/>
                <w:iCs/>
                <w:color w:val="000000"/>
                <w:sz w:val="17"/>
                <w:szCs w:val="17"/>
              </w:rPr>
              <w:t>HCHR</w:t>
            </w:r>
          </w:p>
        </w:tc>
        <w:tc>
          <w:tcPr>
            <w:tcW w:w="5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B40C295" w14:textId="4686896C" w:rsidR="001505FE" w:rsidRPr="001D13C7" w:rsidRDefault="001505FE" w:rsidP="0092368D">
            <w:pPr>
              <w:rPr>
                <w:rFonts w:eastAsia="Calibri"/>
                <w:color w:val="000000"/>
                <w:sz w:val="17"/>
                <w:szCs w:val="17"/>
              </w:rPr>
            </w:pPr>
            <w:r w:rsidRPr="001D13C7">
              <w:rPr>
                <w:rFonts w:eastAsia="Calibri"/>
                <w:color w:val="000000"/>
                <w:sz w:val="17"/>
                <w:szCs w:val="17"/>
              </w:rPr>
              <w:t>Regular</w:t>
            </w:r>
            <w:r w:rsidR="005C604B">
              <w:rPr>
                <w:rFonts w:eastAsia="Calibri"/>
                <w:color w:val="000000"/>
                <w:sz w:val="17"/>
                <w:szCs w:val="17"/>
              </w:rPr>
              <w:t xml:space="preserve"> resources:</w:t>
            </w:r>
          </w:p>
          <w:p w14:paraId="7E75CC28" w14:textId="7487CC74" w:rsidR="001505FE" w:rsidRPr="001D13C7" w:rsidRDefault="005C604B"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458,500</w:t>
            </w:r>
          </w:p>
          <w:p w14:paraId="08260874" w14:textId="457848A9" w:rsidR="001505FE" w:rsidRPr="001D13C7" w:rsidRDefault="001505FE" w:rsidP="0092368D">
            <w:pPr>
              <w:rPr>
                <w:rFonts w:eastAsia="Calibri"/>
                <w:color w:val="000000"/>
                <w:sz w:val="17"/>
                <w:szCs w:val="17"/>
              </w:rPr>
            </w:pPr>
            <w:r w:rsidRPr="001D13C7">
              <w:rPr>
                <w:rFonts w:eastAsia="Calibri"/>
                <w:color w:val="000000"/>
                <w:sz w:val="17"/>
                <w:szCs w:val="17"/>
              </w:rPr>
              <w:t>Other</w:t>
            </w:r>
            <w:r w:rsidR="005C604B">
              <w:rPr>
                <w:rFonts w:eastAsia="Calibri"/>
                <w:color w:val="000000"/>
                <w:sz w:val="17"/>
                <w:szCs w:val="17"/>
              </w:rPr>
              <w:t xml:space="preserve"> resource</w:t>
            </w:r>
            <w:r w:rsidRPr="001D13C7">
              <w:rPr>
                <w:rFonts w:eastAsia="Calibri"/>
                <w:color w:val="000000"/>
                <w:sz w:val="17"/>
                <w:szCs w:val="17"/>
              </w:rPr>
              <w:t>s</w:t>
            </w:r>
            <w:r w:rsidR="005C604B">
              <w:rPr>
                <w:rFonts w:eastAsia="Calibri"/>
                <w:color w:val="000000"/>
                <w:sz w:val="17"/>
                <w:szCs w:val="17"/>
              </w:rPr>
              <w:t>:</w:t>
            </w:r>
          </w:p>
          <w:p w14:paraId="361F0F9A" w14:textId="18BB7475" w:rsidR="001505FE" w:rsidRPr="001D13C7" w:rsidRDefault="005C604B" w:rsidP="0092368D">
            <w:pPr>
              <w:rPr>
                <w:rFonts w:eastAsia="Calibri"/>
                <w:color w:val="000000"/>
                <w:sz w:val="17"/>
                <w:szCs w:val="17"/>
              </w:rPr>
            </w:pPr>
            <w:r>
              <w:rPr>
                <w:rFonts w:eastAsia="Calibri"/>
                <w:color w:val="000000"/>
                <w:sz w:val="17"/>
                <w:szCs w:val="17"/>
              </w:rPr>
              <w:t>$</w:t>
            </w:r>
            <w:r w:rsidR="001505FE" w:rsidRPr="001D13C7">
              <w:rPr>
                <w:rFonts w:eastAsia="Calibri"/>
                <w:color w:val="000000"/>
                <w:sz w:val="17"/>
                <w:szCs w:val="17"/>
              </w:rPr>
              <w:t>49,541,500</w:t>
            </w:r>
          </w:p>
          <w:p w14:paraId="60A64908" w14:textId="77777777" w:rsidR="001505FE" w:rsidRPr="001D13C7" w:rsidRDefault="001505FE" w:rsidP="0092368D">
            <w:pPr>
              <w:rPr>
                <w:rFonts w:eastAsia="Calibri"/>
                <w:color w:val="000000"/>
                <w:sz w:val="17"/>
                <w:szCs w:val="17"/>
              </w:rPr>
            </w:pPr>
          </w:p>
          <w:p w14:paraId="664C99B0" w14:textId="77777777" w:rsidR="001505FE" w:rsidRPr="001D13C7" w:rsidRDefault="001505FE" w:rsidP="0092368D">
            <w:pPr>
              <w:rPr>
                <w:rFonts w:eastAsia="Calibri"/>
                <w:color w:val="000000"/>
                <w:sz w:val="17"/>
                <w:szCs w:val="17"/>
              </w:rPr>
            </w:pPr>
            <w:r w:rsidRPr="001D13C7">
              <w:rPr>
                <w:rFonts w:eastAsia="Calibri"/>
                <w:color w:val="000000"/>
                <w:sz w:val="17"/>
                <w:szCs w:val="17"/>
              </w:rPr>
              <w:t>TOTAL</w:t>
            </w:r>
          </w:p>
          <w:p w14:paraId="23B0D05A" w14:textId="6A6F58C9" w:rsidR="001505FE" w:rsidRPr="001D13C7" w:rsidRDefault="005C604B" w:rsidP="0092368D">
            <w:pPr>
              <w:rPr>
                <w:rFonts w:eastAsia="Calibri"/>
                <w:b/>
                <w:color w:val="000000"/>
                <w:sz w:val="17"/>
                <w:szCs w:val="17"/>
              </w:rPr>
            </w:pPr>
            <w:r>
              <w:rPr>
                <w:rFonts w:eastAsia="Calibri"/>
                <w:color w:val="000000"/>
                <w:sz w:val="17"/>
                <w:szCs w:val="17"/>
              </w:rPr>
              <w:t>$</w:t>
            </w:r>
            <w:r w:rsidR="001505FE" w:rsidRPr="001D13C7">
              <w:rPr>
                <w:rFonts w:eastAsia="Calibri"/>
                <w:color w:val="000000"/>
                <w:sz w:val="17"/>
                <w:szCs w:val="17"/>
              </w:rPr>
              <w:t>50,000,000</w:t>
            </w:r>
          </w:p>
        </w:tc>
      </w:tr>
    </w:tbl>
    <w:p w14:paraId="198F81D4" w14:textId="4982D5BC" w:rsidR="001505FE" w:rsidRPr="002C09D9" w:rsidRDefault="001505FE" w:rsidP="001505FE"/>
    <w:p w14:paraId="13636615" w14:textId="77777777" w:rsidR="001D13C7" w:rsidRPr="001D13C7" w:rsidRDefault="001D13C7" w:rsidP="001D13C7">
      <w:pPr>
        <w:jc w:val="center"/>
        <w:rPr>
          <w:b/>
          <w:bCs/>
          <w:color w:val="000000"/>
          <w:lang w:val="en-GB"/>
        </w:rPr>
      </w:pPr>
      <w:r w:rsidRPr="001D13C7">
        <w:rPr>
          <w:b/>
          <w:bCs/>
          <w:color w:val="000000"/>
          <w:lang w:val="en-GB"/>
        </w:rPr>
        <w:t>_______________</w:t>
      </w:r>
    </w:p>
    <w:p w14:paraId="720A1D6C" w14:textId="675BB3A2" w:rsidR="00F12A19" w:rsidRDefault="00F12A19">
      <w:pPr>
        <w:rPr>
          <w:bCs/>
          <w:color w:val="000000"/>
        </w:rPr>
      </w:pPr>
    </w:p>
    <w:sectPr w:rsidR="00F12A19" w:rsidSect="008A4674">
      <w:headerReference w:type="even" r:id="rId22"/>
      <w:head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E5B1F" w14:textId="77777777" w:rsidR="00412234" w:rsidRDefault="00412234" w:rsidP="00441061">
      <w:r>
        <w:separator/>
      </w:r>
    </w:p>
  </w:endnote>
  <w:endnote w:type="continuationSeparator" w:id="0">
    <w:p w14:paraId="7EA00EC1" w14:textId="77777777" w:rsidR="00412234" w:rsidRDefault="00412234"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54" w14:textId="77777777" w:rsidR="004B38BB" w:rsidRPr="005841A3" w:rsidRDefault="004B38BB">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55" w14:textId="77777777" w:rsidR="004B38BB" w:rsidRPr="005841A3" w:rsidRDefault="004B38BB">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2440D556" w14:textId="77777777" w:rsidR="004B38BB" w:rsidRDefault="004B38BB"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862046655"/>
      <w:docPartObj>
        <w:docPartGallery w:val="Page Numbers (Bottom of Page)"/>
        <w:docPartUnique/>
      </w:docPartObj>
    </w:sdtPr>
    <w:sdtEndPr>
      <w:rPr>
        <w:noProof/>
      </w:rPr>
    </w:sdtEndPr>
    <w:sdtContent>
      <w:p w14:paraId="7FE496A3" w14:textId="63B79B48" w:rsidR="004B38BB" w:rsidRPr="00437220" w:rsidRDefault="004B38BB" w:rsidP="00437220">
        <w:pPr>
          <w:pStyle w:val="Footer"/>
          <w:rPr>
            <w:b/>
            <w:sz w:val="17"/>
            <w:szCs w:val="17"/>
          </w:rPr>
        </w:pPr>
        <w:r w:rsidRPr="00437220">
          <w:rPr>
            <w:b/>
            <w:sz w:val="17"/>
            <w:szCs w:val="17"/>
          </w:rPr>
          <w:fldChar w:fldCharType="begin"/>
        </w:r>
        <w:r w:rsidRPr="00437220">
          <w:rPr>
            <w:b/>
            <w:sz w:val="17"/>
            <w:szCs w:val="17"/>
          </w:rPr>
          <w:instrText xml:space="preserve"> PAGE   \* MERGEFORMAT </w:instrText>
        </w:r>
        <w:r w:rsidRPr="00437220">
          <w:rPr>
            <w:b/>
            <w:sz w:val="17"/>
            <w:szCs w:val="17"/>
          </w:rPr>
          <w:fldChar w:fldCharType="separate"/>
        </w:r>
        <w:r w:rsidR="00695FFE">
          <w:rPr>
            <w:b/>
            <w:noProof/>
            <w:sz w:val="17"/>
            <w:szCs w:val="17"/>
          </w:rPr>
          <w:t>6</w:t>
        </w:r>
        <w:r w:rsidRPr="00437220">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848364"/>
      <w:docPartObj>
        <w:docPartGallery w:val="Page Numbers (Bottom of Page)"/>
        <w:docPartUnique/>
      </w:docPartObj>
    </w:sdtPr>
    <w:sdtEndPr>
      <w:rPr>
        <w:b/>
        <w:noProof/>
        <w:sz w:val="17"/>
        <w:szCs w:val="17"/>
      </w:rPr>
    </w:sdtEndPr>
    <w:sdtContent>
      <w:p w14:paraId="6189DE01" w14:textId="1AA3457B" w:rsidR="004B38BB" w:rsidRPr="00437220" w:rsidRDefault="004B38BB" w:rsidP="00437220">
        <w:pPr>
          <w:pStyle w:val="Footer"/>
          <w:tabs>
            <w:tab w:val="clear" w:pos="8640"/>
          </w:tabs>
          <w:jc w:val="right"/>
          <w:rPr>
            <w:b/>
            <w:sz w:val="17"/>
            <w:szCs w:val="17"/>
          </w:rPr>
        </w:pPr>
        <w:r w:rsidRPr="00437220">
          <w:rPr>
            <w:b/>
            <w:sz w:val="17"/>
            <w:szCs w:val="17"/>
          </w:rPr>
          <w:fldChar w:fldCharType="begin"/>
        </w:r>
        <w:r w:rsidRPr="00437220">
          <w:rPr>
            <w:b/>
            <w:sz w:val="17"/>
            <w:szCs w:val="17"/>
          </w:rPr>
          <w:instrText xml:space="preserve"> PAGE   \* MERGEFORMAT </w:instrText>
        </w:r>
        <w:r w:rsidRPr="00437220">
          <w:rPr>
            <w:b/>
            <w:sz w:val="17"/>
            <w:szCs w:val="17"/>
          </w:rPr>
          <w:fldChar w:fldCharType="separate"/>
        </w:r>
        <w:r w:rsidR="00695FFE">
          <w:rPr>
            <w:b/>
            <w:noProof/>
            <w:sz w:val="17"/>
            <w:szCs w:val="17"/>
          </w:rPr>
          <w:t>5</w:t>
        </w:r>
        <w:r w:rsidRPr="00437220">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DDB48" w14:textId="77777777" w:rsidR="00412234" w:rsidRDefault="00412234" w:rsidP="00441061">
      <w:r>
        <w:separator/>
      </w:r>
    </w:p>
  </w:footnote>
  <w:footnote w:type="continuationSeparator" w:id="0">
    <w:p w14:paraId="27E702A9" w14:textId="77777777" w:rsidR="00412234" w:rsidRDefault="00412234" w:rsidP="00441061">
      <w:r>
        <w:continuationSeparator/>
      </w:r>
    </w:p>
  </w:footnote>
  <w:footnote w:id="1">
    <w:p w14:paraId="2D4C1F63" w14:textId="0BC3427F" w:rsidR="004B38BB" w:rsidRPr="003F0627" w:rsidRDefault="004B38BB" w:rsidP="00145E20">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lang w:val="es-PE"/>
        </w:rPr>
        <w:t xml:space="preserve"> UNDP, </w:t>
      </w:r>
      <w:r w:rsidRPr="003F0627">
        <w:rPr>
          <w:rFonts w:ascii="Times New Roman" w:hAnsi="Times New Roman"/>
          <w:i/>
          <w:sz w:val="17"/>
          <w:szCs w:val="17"/>
          <w:lang w:val="es-PE"/>
        </w:rPr>
        <w:t>Perfil de estratos sociales en América Latina: pobres, vulnerables y clases medias</w:t>
      </w:r>
      <w:r w:rsidRPr="003F0627">
        <w:rPr>
          <w:rFonts w:ascii="Times New Roman" w:hAnsi="Times New Roman"/>
          <w:sz w:val="17"/>
          <w:szCs w:val="17"/>
          <w:lang w:val="es-PE"/>
        </w:rPr>
        <w:t xml:space="preserve">. </w:t>
      </w:r>
      <w:r w:rsidRPr="003F0627">
        <w:rPr>
          <w:rFonts w:ascii="Times New Roman" w:hAnsi="Times New Roman"/>
          <w:sz w:val="17"/>
          <w:szCs w:val="17"/>
        </w:rPr>
        <w:t>2014.</w:t>
      </w:r>
    </w:p>
  </w:footnote>
  <w:footnote w:id="2">
    <w:p w14:paraId="5C5CD9B4" w14:textId="7BB0AE49" w:rsidR="004B38BB" w:rsidRPr="003F0627" w:rsidRDefault="004B38BB" w:rsidP="00145E20">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lang w:val="en"/>
        </w:rPr>
        <w:t xml:space="preserve"> OECD,   '</w:t>
      </w:r>
      <w:r w:rsidRPr="003F0627">
        <w:rPr>
          <w:rFonts w:ascii="Times New Roman" w:hAnsi="Times New Roman"/>
          <w:iCs/>
          <w:sz w:val="17"/>
          <w:szCs w:val="17"/>
          <w:lang w:val="en"/>
        </w:rPr>
        <w:t>Multi-dimensional Review of Peru: Volume 1. Initial Assessment'</w:t>
      </w:r>
      <w:r w:rsidRPr="003F0627">
        <w:rPr>
          <w:rFonts w:ascii="Times New Roman" w:hAnsi="Times New Roman"/>
          <w:sz w:val="17"/>
          <w:szCs w:val="17"/>
          <w:lang w:val="en"/>
        </w:rPr>
        <w:t xml:space="preserve">, OECD Development Pathways, OECD Publishing, 2015. </w:t>
      </w:r>
    </w:p>
  </w:footnote>
  <w:footnote w:id="3">
    <w:p w14:paraId="599EB53E" w14:textId="18DD858E" w:rsidR="004B38BB" w:rsidRPr="003F0627" w:rsidRDefault="004B38BB" w:rsidP="00145E20">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rPr>
        <w:t xml:space="preserve"> National Institute of Statistics and Information (Instituto Nacional de Estadística e Informática (INEI), National Household Surveys and Labor Surveys, several years.</w:t>
      </w:r>
    </w:p>
  </w:footnote>
  <w:footnote w:id="4">
    <w:p w14:paraId="1B536CD6" w14:textId="77777777" w:rsidR="004B38BB" w:rsidRPr="003F0627" w:rsidRDefault="004B38BB" w:rsidP="00145E20">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rPr>
        <w:t xml:space="preserve"> Final observations of Committee against Racial Discrimination in Peru (</w:t>
      </w:r>
      <w:r w:rsidRPr="003F0627">
        <w:rPr>
          <w:rFonts w:ascii="Times New Roman" w:hAnsi="Times New Roman"/>
          <w:bCs/>
          <w:sz w:val="17"/>
          <w:szCs w:val="17"/>
        </w:rPr>
        <w:t>CERD/C/PER/CO/18-21), September 2014.</w:t>
      </w:r>
    </w:p>
  </w:footnote>
  <w:footnote w:id="5">
    <w:p w14:paraId="6A83166C" w14:textId="5F02CBE3" w:rsidR="004B38BB" w:rsidRPr="003F0627" w:rsidRDefault="004B38BB" w:rsidP="00145E20">
      <w:pPr>
        <w:rPr>
          <w:sz w:val="17"/>
          <w:szCs w:val="17"/>
          <w:lang w:val="es-PE"/>
        </w:rPr>
      </w:pPr>
      <w:r w:rsidRPr="003F0627">
        <w:rPr>
          <w:rStyle w:val="FootnoteReference"/>
          <w:sz w:val="17"/>
          <w:szCs w:val="17"/>
        </w:rPr>
        <w:footnoteRef/>
      </w:r>
      <w:r w:rsidRPr="003F0627">
        <w:rPr>
          <w:sz w:val="17"/>
          <w:szCs w:val="17"/>
          <w:lang w:val="es-PE"/>
        </w:rPr>
        <w:t xml:space="preserve"> INEI, </w:t>
      </w:r>
      <w:r w:rsidRPr="003F0627">
        <w:rPr>
          <w:i/>
          <w:sz w:val="17"/>
          <w:szCs w:val="17"/>
          <w:lang w:val="es-PE"/>
        </w:rPr>
        <w:t>Informe técnico de la pobreza monetaria. 2016</w:t>
      </w:r>
      <w:r w:rsidRPr="003F0627">
        <w:rPr>
          <w:sz w:val="17"/>
          <w:szCs w:val="17"/>
          <w:lang w:val="es-PE"/>
        </w:rPr>
        <w:t xml:space="preserve">.  </w:t>
      </w:r>
    </w:p>
  </w:footnote>
  <w:footnote w:id="6">
    <w:p w14:paraId="42000E6B" w14:textId="129E7769" w:rsidR="004B38BB" w:rsidRPr="003F0627" w:rsidRDefault="004B38BB" w:rsidP="00145E20">
      <w:pPr>
        <w:pStyle w:val="FootnoteText"/>
        <w:rPr>
          <w:rFonts w:ascii="Times New Roman" w:hAnsi="Times New Roman"/>
          <w:sz w:val="17"/>
          <w:szCs w:val="17"/>
          <w:lang w:val="es-PE"/>
        </w:rPr>
      </w:pPr>
      <w:r w:rsidRPr="003F0627">
        <w:rPr>
          <w:rStyle w:val="FootnoteReference"/>
          <w:rFonts w:ascii="Times New Roman" w:hAnsi="Times New Roman"/>
          <w:sz w:val="17"/>
          <w:szCs w:val="17"/>
        </w:rPr>
        <w:footnoteRef/>
      </w:r>
      <w:r w:rsidRPr="003F0627">
        <w:rPr>
          <w:rFonts w:ascii="Times New Roman" w:hAnsi="Times New Roman"/>
          <w:sz w:val="17"/>
          <w:szCs w:val="17"/>
          <w:lang w:val="es-PE"/>
        </w:rPr>
        <w:t xml:space="preserve"> United Nations in Peru, </w:t>
      </w:r>
      <w:r w:rsidRPr="003F0627">
        <w:rPr>
          <w:rFonts w:ascii="Times New Roman" w:hAnsi="Times New Roman"/>
          <w:i/>
          <w:sz w:val="17"/>
          <w:szCs w:val="17"/>
          <w:lang w:val="es-ES"/>
        </w:rPr>
        <w:t>Informe de Análisis de la implementación de la Gestión del Riesgo de Desastres en el Perú</w:t>
      </w:r>
      <w:r w:rsidRPr="003F0627">
        <w:rPr>
          <w:rFonts w:ascii="Times New Roman" w:hAnsi="Times New Roman"/>
          <w:sz w:val="17"/>
          <w:szCs w:val="17"/>
          <w:lang w:val="es-ES"/>
        </w:rPr>
        <w:t>, 2014.</w:t>
      </w:r>
    </w:p>
  </w:footnote>
  <w:footnote w:id="7">
    <w:p w14:paraId="1735E8E7" w14:textId="5CDAAB1F" w:rsidR="004B38BB" w:rsidRPr="003F0627" w:rsidRDefault="004B38BB" w:rsidP="00145E20">
      <w:pPr>
        <w:pStyle w:val="FootnoteText"/>
        <w:rPr>
          <w:rFonts w:ascii="Times New Roman" w:hAnsi="Times New Roman"/>
          <w:sz w:val="17"/>
          <w:szCs w:val="17"/>
          <w:lang w:val="es-PE"/>
        </w:rPr>
      </w:pPr>
      <w:r w:rsidRPr="003F0627">
        <w:rPr>
          <w:rStyle w:val="FootnoteReference"/>
          <w:rFonts w:ascii="Times New Roman" w:hAnsi="Times New Roman"/>
          <w:sz w:val="17"/>
          <w:szCs w:val="17"/>
        </w:rPr>
        <w:footnoteRef/>
      </w:r>
      <w:r w:rsidRPr="003F0627">
        <w:rPr>
          <w:rFonts w:ascii="Times New Roman" w:hAnsi="Times New Roman"/>
          <w:sz w:val="17"/>
          <w:szCs w:val="17"/>
          <w:lang w:val="es-PE"/>
        </w:rPr>
        <w:t xml:space="preserve"> Vásquez, Enrique, </w:t>
      </w:r>
      <w:r w:rsidRPr="003F0627">
        <w:rPr>
          <w:rFonts w:ascii="Times New Roman" w:hAnsi="Times New Roman"/>
          <w:i/>
          <w:sz w:val="17"/>
          <w:szCs w:val="17"/>
          <w:lang w:val="es-PE"/>
        </w:rPr>
        <w:t>Las políticas y programas sociales del gobierno de Ollanta Humala desde la perspectiva de la pobreza multidimensional</w:t>
      </w:r>
      <w:r w:rsidRPr="003F0627">
        <w:rPr>
          <w:rFonts w:ascii="Times New Roman" w:hAnsi="Times New Roman"/>
          <w:sz w:val="17"/>
          <w:szCs w:val="17"/>
          <w:lang w:val="es-PE"/>
        </w:rPr>
        <w:t>, Universidad del Pacífico, 2013.</w:t>
      </w:r>
    </w:p>
  </w:footnote>
  <w:footnote w:id="8">
    <w:p w14:paraId="50D7BEDF" w14:textId="39101808" w:rsidR="004B38BB" w:rsidRPr="003F0627" w:rsidRDefault="004B38BB" w:rsidP="00B03CA5">
      <w:pPr>
        <w:pStyle w:val="FootnoteText"/>
        <w:rPr>
          <w:rFonts w:ascii="Times New Roman" w:hAnsi="Times New Roman"/>
          <w:sz w:val="17"/>
          <w:szCs w:val="17"/>
          <w:lang w:val="es-PE"/>
        </w:rPr>
      </w:pPr>
      <w:r w:rsidRPr="003F0627">
        <w:rPr>
          <w:rStyle w:val="FootnoteReference"/>
          <w:rFonts w:ascii="Times New Roman" w:hAnsi="Times New Roman"/>
          <w:sz w:val="17"/>
          <w:szCs w:val="17"/>
        </w:rPr>
        <w:footnoteRef/>
      </w:r>
      <w:r w:rsidRPr="003F0627">
        <w:rPr>
          <w:rFonts w:ascii="Times New Roman" w:hAnsi="Times New Roman"/>
          <w:sz w:val="17"/>
          <w:szCs w:val="17"/>
          <w:lang w:val="es-PE"/>
        </w:rPr>
        <w:t xml:space="preserve"> Yamada, Gustavo and Ricardo Montero, </w:t>
      </w:r>
      <w:r w:rsidRPr="003F0627">
        <w:rPr>
          <w:rFonts w:ascii="Times New Roman" w:hAnsi="Times New Roman"/>
          <w:i/>
          <w:sz w:val="17"/>
          <w:szCs w:val="17"/>
          <w:lang w:val="es-PE"/>
        </w:rPr>
        <w:t>Corrupción e inequidad en los servicios públicos en el Perú</w:t>
      </w:r>
      <w:r w:rsidRPr="003F0627">
        <w:rPr>
          <w:rFonts w:ascii="Times New Roman" w:hAnsi="Times New Roman"/>
          <w:sz w:val="17"/>
          <w:szCs w:val="17"/>
          <w:lang w:val="es-PE"/>
        </w:rPr>
        <w:t>, Consorcio de Investigación Económica y social: Documento de Trabajo 87, 2011.</w:t>
      </w:r>
    </w:p>
  </w:footnote>
  <w:footnote w:id="9">
    <w:p w14:paraId="7FC25E8E" w14:textId="08CBC88D" w:rsidR="004B38BB" w:rsidRPr="003F0627" w:rsidRDefault="004B38BB" w:rsidP="00B03CA5">
      <w:pPr>
        <w:pStyle w:val="FootnoteText"/>
        <w:rPr>
          <w:rFonts w:ascii="Times New Roman" w:hAnsi="Times New Roman"/>
          <w:sz w:val="17"/>
          <w:szCs w:val="17"/>
          <w:lang w:val="es-PE"/>
        </w:rPr>
      </w:pPr>
      <w:r w:rsidRPr="003F0627">
        <w:rPr>
          <w:rStyle w:val="FootnoteReference"/>
          <w:rFonts w:ascii="Times New Roman" w:hAnsi="Times New Roman"/>
          <w:sz w:val="17"/>
          <w:szCs w:val="17"/>
        </w:rPr>
        <w:footnoteRef/>
      </w:r>
      <w:r w:rsidRPr="003F0627">
        <w:rPr>
          <w:rFonts w:ascii="Times New Roman" w:hAnsi="Times New Roman"/>
          <w:sz w:val="17"/>
          <w:szCs w:val="17"/>
          <w:lang w:val="es-PE"/>
        </w:rPr>
        <w:t xml:space="preserve"> Carrión, Julio, Patricia Zárate and Elizabeth J. Zechmeister, </w:t>
      </w:r>
      <w:r w:rsidRPr="003F0627">
        <w:rPr>
          <w:rFonts w:ascii="Times New Roman" w:hAnsi="Times New Roman"/>
          <w:i/>
          <w:sz w:val="17"/>
          <w:szCs w:val="17"/>
          <w:lang w:val="es-PE"/>
        </w:rPr>
        <w:t>Cultura política de la democracia en Perú y en las Américas</w:t>
      </w:r>
      <w:r w:rsidRPr="003F0627">
        <w:rPr>
          <w:rFonts w:ascii="Times New Roman" w:hAnsi="Times New Roman"/>
          <w:sz w:val="17"/>
          <w:szCs w:val="17"/>
          <w:lang w:val="es-PE"/>
        </w:rPr>
        <w:t xml:space="preserve">, 2015 Lima: USAID, </w:t>
      </w:r>
      <w:r>
        <w:rPr>
          <w:rFonts w:ascii="Times New Roman" w:hAnsi="Times New Roman"/>
          <w:sz w:val="17"/>
          <w:szCs w:val="17"/>
          <w:lang w:val="es-PE"/>
        </w:rPr>
        <w:t>Institute of Peruvian S</w:t>
      </w:r>
      <w:r w:rsidR="00695FFE">
        <w:rPr>
          <w:rFonts w:ascii="Times New Roman" w:hAnsi="Times New Roman"/>
          <w:sz w:val="17"/>
          <w:szCs w:val="17"/>
          <w:lang w:val="es-PE"/>
        </w:rPr>
        <w:t>t</w:t>
      </w:r>
      <w:bookmarkStart w:id="0" w:name="_GoBack"/>
      <w:bookmarkEnd w:id="0"/>
      <w:r>
        <w:rPr>
          <w:rFonts w:ascii="Times New Roman" w:hAnsi="Times New Roman"/>
          <w:sz w:val="17"/>
          <w:szCs w:val="17"/>
          <w:lang w:val="es-PE"/>
        </w:rPr>
        <w:t>udies, Latin American Opinion Poll</w:t>
      </w:r>
      <w:r w:rsidRPr="003F0627">
        <w:rPr>
          <w:rFonts w:ascii="Times New Roman" w:hAnsi="Times New Roman"/>
          <w:sz w:val="17"/>
          <w:szCs w:val="17"/>
          <w:lang w:val="es-PE"/>
        </w:rPr>
        <w:t>, LAPOP Barómetro de las Américas, Vanderbilt University.</w:t>
      </w:r>
    </w:p>
  </w:footnote>
  <w:footnote w:id="10">
    <w:p w14:paraId="5EB25CDA" w14:textId="20026F30" w:rsidR="004B38BB" w:rsidRPr="003F0627" w:rsidRDefault="004B38BB" w:rsidP="00B03CA5">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rPr>
        <w:t xml:space="preserve"> Ombudsman Office, </w:t>
      </w:r>
      <w:hyperlink r:id="rId1" w:history="1">
        <w:r w:rsidRPr="003F0627">
          <w:rPr>
            <w:rStyle w:val="Hyperlink"/>
            <w:rFonts w:ascii="Times New Roman" w:hAnsi="Times New Roman"/>
            <w:sz w:val="17"/>
            <w:szCs w:val="17"/>
          </w:rPr>
          <w:t>http://www.defensoria.gob.pe/blog/actua-y-denuncia-la-corrupcion/</w:t>
        </w:r>
      </w:hyperlink>
      <w:r w:rsidRPr="003F0627">
        <w:rPr>
          <w:rStyle w:val="Hyperlink"/>
          <w:rFonts w:ascii="Times New Roman" w:hAnsi="Times New Roman"/>
          <w:sz w:val="17"/>
          <w:szCs w:val="17"/>
        </w:rPr>
        <w:t>.</w:t>
      </w:r>
    </w:p>
  </w:footnote>
  <w:footnote w:id="11">
    <w:p w14:paraId="0FD4CC9D" w14:textId="3976C964" w:rsidR="004B38BB" w:rsidRPr="003F0627" w:rsidRDefault="004B38BB" w:rsidP="00B03CA5">
      <w:pPr>
        <w:pStyle w:val="FootnoteText"/>
        <w:rPr>
          <w:rFonts w:ascii="Times New Roman" w:hAnsi="Times New Roman"/>
          <w:sz w:val="17"/>
          <w:szCs w:val="17"/>
          <w:lang w:val="es-PE"/>
        </w:rPr>
      </w:pPr>
      <w:r w:rsidRPr="003F0627">
        <w:rPr>
          <w:rStyle w:val="FootnoteReference"/>
          <w:rFonts w:ascii="Times New Roman" w:hAnsi="Times New Roman"/>
          <w:sz w:val="17"/>
          <w:szCs w:val="17"/>
        </w:rPr>
        <w:footnoteRef/>
      </w:r>
      <w:r w:rsidRPr="003F0627">
        <w:rPr>
          <w:rFonts w:ascii="Times New Roman" w:hAnsi="Times New Roman"/>
          <w:sz w:val="17"/>
          <w:szCs w:val="17"/>
          <w:lang w:val="es-PE"/>
        </w:rPr>
        <w:t xml:space="preserve"> Latinobarómetro, </w:t>
      </w:r>
      <w:r w:rsidRPr="003F0627">
        <w:rPr>
          <w:rFonts w:ascii="Times New Roman" w:hAnsi="Times New Roman"/>
          <w:i/>
          <w:sz w:val="17"/>
          <w:szCs w:val="17"/>
          <w:lang w:val="es-PE"/>
        </w:rPr>
        <w:t>P</w:t>
      </w:r>
      <w:r w:rsidRPr="003F0627">
        <w:rPr>
          <w:rFonts w:ascii="Times New Roman" w:hAnsi="Times New Roman"/>
          <w:i/>
          <w:sz w:val="17"/>
          <w:szCs w:val="17"/>
          <w:shd w:val="clear" w:color="auto" w:fill="FFFFFF"/>
          <w:lang w:val="es-PE"/>
        </w:rPr>
        <w:t>royecto de Opinión Pública de América Latina</w:t>
      </w:r>
      <w:r w:rsidRPr="003F0627">
        <w:rPr>
          <w:rFonts w:ascii="Times New Roman" w:hAnsi="Times New Roman"/>
          <w:sz w:val="17"/>
          <w:szCs w:val="17"/>
          <w:shd w:val="clear" w:color="auto" w:fill="FFFFFF"/>
          <w:lang w:val="es-PE"/>
        </w:rPr>
        <w:t xml:space="preserve">. </w:t>
      </w:r>
    </w:p>
  </w:footnote>
  <w:footnote w:id="12">
    <w:p w14:paraId="71BA657E" w14:textId="1E55C933" w:rsidR="004B38BB" w:rsidRPr="003F0627" w:rsidRDefault="004B38BB" w:rsidP="00B03CA5">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rPr>
        <w:t xml:space="preserve"> UNDP</w:t>
      </w:r>
      <w:r>
        <w:rPr>
          <w:rFonts w:ascii="Times New Roman" w:hAnsi="Times New Roman"/>
          <w:sz w:val="17"/>
          <w:szCs w:val="17"/>
        </w:rPr>
        <w:t>, op.cit.</w:t>
      </w:r>
    </w:p>
  </w:footnote>
  <w:footnote w:id="13">
    <w:p w14:paraId="5D663106" w14:textId="42817B3A" w:rsidR="004B38BB" w:rsidRPr="003F0627" w:rsidRDefault="004B38BB" w:rsidP="00B03CA5">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rPr>
        <w:t xml:space="preserve"> OECD</w:t>
      </w:r>
      <w:r>
        <w:rPr>
          <w:rFonts w:ascii="Times New Roman" w:hAnsi="Times New Roman"/>
          <w:sz w:val="17"/>
          <w:szCs w:val="17"/>
        </w:rPr>
        <w:t>. op.cit.</w:t>
      </w:r>
      <w:r w:rsidRPr="003F0627">
        <w:rPr>
          <w:rFonts w:ascii="Times New Roman" w:hAnsi="Times New Roman"/>
          <w:sz w:val="17"/>
          <w:szCs w:val="17"/>
        </w:rPr>
        <w:t xml:space="preserve"> </w:t>
      </w:r>
    </w:p>
  </w:footnote>
  <w:footnote w:id="14">
    <w:p w14:paraId="1DBB45FF" w14:textId="0D3B36BC" w:rsidR="004B38BB" w:rsidRPr="003F0627" w:rsidRDefault="004B38BB" w:rsidP="00B03CA5">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rPr>
        <w:t xml:space="preserve"> Thematic evaluation of poverty reduction and environmental sustainability programme areas; </w:t>
      </w:r>
      <w:r w:rsidRPr="003F0627">
        <w:rPr>
          <w:rFonts w:ascii="Times New Roman" w:hAnsi="Times New Roman"/>
          <w:bCs/>
          <w:sz w:val="17"/>
          <w:szCs w:val="17"/>
        </w:rPr>
        <w:t>evaluation reports of the disaster preparedness, financial inclusion and conflict prevention projects; see info.undp.org.</w:t>
      </w:r>
    </w:p>
  </w:footnote>
  <w:footnote w:id="15">
    <w:p w14:paraId="7F8982E2" w14:textId="7C6136D5" w:rsidR="004B38BB" w:rsidRPr="003F0627" w:rsidRDefault="004B38BB">
      <w:pPr>
        <w:pStyle w:val="FootnoteText"/>
        <w:rPr>
          <w:rFonts w:ascii="Times New Roman" w:hAnsi="Times New Roman"/>
          <w:sz w:val="17"/>
          <w:szCs w:val="17"/>
        </w:rPr>
      </w:pPr>
      <w:r w:rsidRPr="003F0627">
        <w:rPr>
          <w:rStyle w:val="FootnoteReference"/>
          <w:rFonts w:ascii="Times New Roman" w:hAnsi="Times New Roman"/>
          <w:sz w:val="17"/>
          <w:szCs w:val="17"/>
        </w:rPr>
        <w:footnoteRef/>
      </w:r>
      <w:r w:rsidRPr="003F0627">
        <w:rPr>
          <w:rFonts w:ascii="Times New Roman" w:hAnsi="Times New Roman"/>
          <w:sz w:val="17"/>
          <w:szCs w:val="17"/>
        </w:rPr>
        <w:t xml:space="preserve"> All indicators in UNDAF are </w:t>
      </w:r>
      <w:r>
        <w:rPr>
          <w:rFonts w:ascii="Times New Roman" w:hAnsi="Times New Roman"/>
          <w:sz w:val="17"/>
          <w:szCs w:val="17"/>
        </w:rPr>
        <w:t xml:space="preserve">approved </w:t>
      </w:r>
      <w:r w:rsidRPr="003F0627">
        <w:rPr>
          <w:rFonts w:ascii="Times New Roman" w:hAnsi="Times New Roman"/>
          <w:sz w:val="17"/>
          <w:szCs w:val="17"/>
        </w:rPr>
        <w:t>Sustainable Development Goal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4B38BB" w:rsidRPr="00437220" w14:paraId="5DA5EEC0" w14:textId="77777777" w:rsidTr="002272F9">
      <w:trPr>
        <w:trHeight w:hRule="exact" w:val="864"/>
      </w:trPr>
      <w:tc>
        <w:tcPr>
          <w:tcW w:w="4838" w:type="dxa"/>
          <w:tcBorders>
            <w:bottom w:val="single" w:sz="4" w:space="0" w:color="auto"/>
          </w:tcBorders>
          <w:vAlign w:val="bottom"/>
        </w:tcPr>
        <w:p w14:paraId="09FE72A9" w14:textId="77777777" w:rsidR="004B38BB" w:rsidRPr="00437220" w:rsidRDefault="004B38BB" w:rsidP="00437220">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01816FAD" w14:textId="0958523A" w:rsidR="004B38BB" w:rsidRPr="00437220" w:rsidRDefault="004B38BB" w:rsidP="00437220">
          <w:pPr>
            <w:widowControl w:val="0"/>
            <w:tabs>
              <w:tab w:val="center" w:pos="4320"/>
              <w:tab w:val="right" w:pos="8640"/>
            </w:tabs>
            <w:jc w:val="right"/>
            <w:rPr>
              <w:sz w:val="17"/>
              <w:szCs w:val="17"/>
            </w:rPr>
          </w:pPr>
          <w:r w:rsidRPr="00437220">
            <w:rPr>
              <w:b/>
              <w:sz w:val="17"/>
              <w:szCs w:val="17"/>
            </w:rPr>
            <w:t>DP/DCP/</w:t>
          </w:r>
          <w:r>
            <w:rPr>
              <w:b/>
              <w:sz w:val="17"/>
              <w:szCs w:val="17"/>
            </w:rPr>
            <w:t>PER</w:t>
          </w:r>
          <w:r w:rsidRPr="00437220">
            <w:rPr>
              <w:b/>
              <w:sz w:val="17"/>
              <w:szCs w:val="17"/>
            </w:rPr>
            <w:t>/3</w:t>
          </w:r>
        </w:p>
      </w:tc>
    </w:tr>
  </w:tbl>
  <w:p w14:paraId="2440D553" w14:textId="77777777" w:rsidR="004B38BB" w:rsidRPr="00916E69" w:rsidRDefault="004B38B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B38BB" w:rsidRPr="00437220" w14:paraId="6407C8B6" w14:textId="77777777" w:rsidTr="002272F9">
      <w:trPr>
        <w:trHeight w:hRule="exact" w:val="864"/>
      </w:trPr>
      <w:tc>
        <w:tcPr>
          <w:tcW w:w="1267" w:type="dxa"/>
          <w:tcBorders>
            <w:bottom w:val="single" w:sz="4" w:space="0" w:color="auto"/>
          </w:tcBorders>
          <w:shd w:val="clear" w:color="auto" w:fill="auto"/>
          <w:vAlign w:val="bottom"/>
        </w:tcPr>
        <w:p w14:paraId="5BA36A45" w14:textId="77777777" w:rsidR="004B38BB" w:rsidRPr="00437220" w:rsidRDefault="004B38BB" w:rsidP="0043722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730B262" w14:textId="77777777" w:rsidR="004B38BB" w:rsidRPr="00437220" w:rsidRDefault="004B38BB" w:rsidP="004372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437220">
            <w:rPr>
              <w:spacing w:val="2"/>
              <w:w w:val="96"/>
              <w:kern w:val="14"/>
              <w:sz w:val="28"/>
              <w:lang w:val="en-GB"/>
            </w:rPr>
            <w:t>United Nations</w:t>
          </w:r>
        </w:p>
      </w:tc>
      <w:tc>
        <w:tcPr>
          <w:tcW w:w="245" w:type="dxa"/>
          <w:tcBorders>
            <w:bottom w:val="single" w:sz="4" w:space="0" w:color="auto"/>
          </w:tcBorders>
          <w:shd w:val="clear" w:color="auto" w:fill="auto"/>
          <w:vAlign w:val="bottom"/>
        </w:tcPr>
        <w:p w14:paraId="123820DD" w14:textId="77777777" w:rsidR="004B38BB" w:rsidRPr="00437220" w:rsidRDefault="004B38BB" w:rsidP="0043722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E5167CC" w14:textId="6B6A98D8" w:rsidR="004B38BB" w:rsidRPr="00437220" w:rsidRDefault="004B38BB" w:rsidP="00437220">
          <w:pPr>
            <w:suppressAutoHyphens/>
            <w:spacing w:after="80"/>
            <w:jc w:val="right"/>
            <w:rPr>
              <w:spacing w:val="4"/>
              <w:w w:val="103"/>
              <w:kern w:val="14"/>
              <w:position w:val="-4"/>
              <w:lang w:val="en-GB"/>
            </w:rPr>
          </w:pPr>
          <w:r w:rsidRPr="00437220">
            <w:rPr>
              <w:spacing w:val="4"/>
              <w:w w:val="103"/>
              <w:kern w:val="14"/>
              <w:position w:val="-4"/>
              <w:sz w:val="40"/>
              <w:lang w:val="en-GB"/>
            </w:rPr>
            <w:t>DP</w:t>
          </w:r>
          <w:r w:rsidRPr="00437220">
            <w:rPr>
              <w:spacing w:val="4"/>
              <w:w w:val="103"/>
              <w:kern w:val="14"/>
              <w:position w:val="-4"/>
              <w:lang w:val="en-GB"/>
            </w:rPr>
            <w:t>/DCP/</w:t>
          </w:r>
          <w:r>
            <w:rPr>
              <w:spacing w:val="4"/>
              <w:w w:val="103"/>
              <w:kern w:val="14"/>
              <w:position w:val="-4"/>
              <w:lang w:val="en-GB"/>
            </w:rPr>
            <w:t>PER</w:t>
          </w:r>
          <w:r w:rsidRPr="00437220">
            <w:rPr>
              <w:spacing w:val="4"/>
              <w:w w:val="103"/>
              <w:kern w:val="14"/>
              <w:position w:val="-4"/>
              <w:lang w:val="en-GB"/>
            </w:rPr>
            <w:t>/3</w:t>
          </w:r>
        </w:p>
      </w:tc>
    </w:tr>
    <w:tr w:rsidR="004B38BB" w:rsidRPr="00437220" w14:paraId="7CC53D09" w14:textId="77777777" w:rsidTr="002272F9">
      <w:trPr>
        <w:gridAfter w:val="1"/>
        <w:wAfter w:w="28" w:type="dxa"/>
        <w:trHeight w:hRule="exact" w:val="2880"/>
      </w:trPr>
      <w:tc>
        <w:tcPr>
          <w:tcW w:w="1267" w:type="dxa"/>
          <w:tcBorders>
            <w:top w:val="single" w:sz="4" w:space="0" w:color="auto"/>
            <w:bottom w:val="single" w:sz="12" w:space="0" w:color="auto"/>
          </w:tcBorders>
          <w:shd w:val="clear" w:color="auto" w:fill="auto"/>
        </w:tcPr>
        <w:p w14:paraId="19ABD286" w14:textId="77777777" w:rsidR="004B38BB" w:rsidRPr="00437220" w:rsidRDefault="004B38BB" w:rsidP="00437220">
          <w:pPr>
            <w:tabs>
              <w:tab w:val="center" w:pos="4320"/>
              <w:tab w:val="right" w:pos="8640"/>
            </w:tabs>
            <w:spacing w:before="109"/>
            <w:rPr>
              <w:noProof/>
              <w:sz w:val="17"/>
            </w:rPr>
          </w:pPr>
          <w:r w:rsidRPr="00437220">
            <w:rPr>
              <w:noProof/>
              <w:sz w:val="17"/>
            </w:rPr>
            <w:t xml:space="preserve"> </w:t>
          </w:r>
          <w:r w:rsidRPr="00437220">
            <w:rPr>
              <w:noProof/>
              <w:sz w:val="17"/>
            </w:rPr>
            <w:drawing>
              <wp:inline distT="0" distB="0" distL="0" distR="0" wp14:anchorId="35C36E18" wp14:editId="256350E2">
                <wp:extent cx="702945" cy="592455"/>
                <wp:effectExtent l="0" t="0" r="1905"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FB82170" w14:textId="77777777" w:rsidR="004B38BB" w:rsidRPr="00437220" w:rsidRDefault="004B38BB" w:rsidP="0043722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5E7BFD3" w14:textId="77777777" w:rsidR="004B38BB" w:rsidRPr="00437220" w:rsidRDefault="004B38BB" w:rsidP="004372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437220">
            <w:rPr>
              <w:b/>
              <w:sz w:val="34"/>
            </w:rPr>
            <w:t>Executive Board of the</w:t>
          </w:r>
          <w:r w:rsidRPr="00437220">
            <w:rPr>
              <w:b/>
              <w:sz w:val="34"/>
            </w:rPr>
            <w:br/>
            <w:t>United Nations Development</w:t>
          </w:r>
          <w:r w:rsidRPr="00437220">
            <w:rPr>
              <w:b/>
              <w:sz w:val="34"/>
            </w:rPr>
            <w:br/>
            <w:t xml:space="preserve">Programme, the United Nations Population Fund and the </w:t>
          </w:r>
        </w:p>
        <w:p w14:paraId="26B6B821" w14:textId="77777777" w:rsidR="004B38BB" w:rsidRPr="00437220" w:rsidRDefault="004B38BB" w:rsidP="004372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437220">
            <w:rPr>
              <w:b/>
              <w:sz w:val="34"/>
            </w:rPr>
            <w:t xml:space="preserve">United Nations Office for </w:t>
          </w:r>
        </w:p>
        <w:p w14:paraId="4AC27F7D" w14:textId="77777777" w:rsidR="004B38BB" w:rsidRPr="00437220" w:rsidRDefault="004B38BB" w:rsidP="004372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437220">
            <w:rPr>
              <w:b/>
              <w:sz w:val="34"/>
            </w:rPr>
            <w:t>Project Services</w:t>
          </w:r>
        </w:p>
      </w:tc>
      <w:tc>
        <w:tcPr>
          <w:tcW w:w="245" w:type="dxa"/>
          <w:tcBorders>
            <w:top w:val="single" w:sz="4" w:space="0" w:color="auto"/>
            <w:bottom w:val="single" w:sz="12" w:space="0" w:color="auto"/>
          </w:tcBorders>
          <w:shd w:val="clear" w:color="auto" w:fill="auto"/>
        </w:tcPr>
        <w:p w14:paraId="22A1AC6A" w14:textId="77777777" w:rsidR="004B38BB" w:rsidRPr="00437220" w:rsidRDefault="004B38BB" w:rsidP="0043722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F60155B" w14:textId="77777777" w:rsidR="004B38BB" w:rsidRPr="00437220" w:rsidRDefault="004B38BB" w:rsidP="00437220">
          <w:pPr>
            <w:suppressAutoHyphens/>
            <w:spacing w:before="240" w:line="240" w:lineRule="exact"/>
            <w:rPr>
              <w:spacing w:val="4"/>
              <w:w w:val="103"/>
              <w:kern w:val="14"/>
              <w:lang w:val="en-GB"/>
            </w:rPr>
          </w:pPr>
          <w:r w:rsidRPr="00437220">
            <w:rPr>
              <w:spacing w:val="4"/>
              <w:w w:val="103"/>
              <w:kern w:val="14"/>
              <w:lang w:val="en-GB"/>
            </w:rPr>
            <w:t>Distr.: General</w:t>
          </w:r>
        </w:p>
        <w:p w14:paraId="14201C67" w14:textId="77777777" w:rsidR="004B38BB" w:rsidRPr="00437220" w:rsidRDefault="004B38BB" w:rsidP="00437220">
          <w:pPr>
            <w:suppressAutoHyphens/>
            <w:spacing w:line="240" w:lineRule="exact"/>
            <w:rPr>
              <w:spacing w:val="4"/>
              <w:w w:val="103"/>
              <w:kern w:val="14"/>
              <w:lang w:val="en-GB"/>
            </w:rPr>
          </w:pPr>
          <w:r w:rsidRPr="00437220">
            <w:rPr>
              <w:spacing w:val="4"/>
              <w:w w:val="103"/>
              <w:kern w:val="14"/>
              <w:lang w:val="en-GB"/>
            </w:rPr>
            <w:t>13 June 2016</w:t>
          </w:r>
        </w:p>
        <w:p w14:paraId="2EEE54D0" w14:textId="77777777" w:rsidR="004B38BB" w:rsidRPr="00437220" w:rsidRDefault="004B38BB" w:rsidP="00437220">
          <w:pPr>
            <w:suppressAutoHyphens/>
            <w:spacing w:line="240" w:lineRule="exact"/>
            <w:rPr>
              <w:spacing w:val="4"/>
              <w:w w:val="103"/>
              <w:kern w:val="14"/>
              <w:lang w:val="en-GB"/>
            </w:rPr>
          </w:pPr>
        </w:p>
        <w:p w14:paraId="08388EA6" w14:textId="77777777" w:rsidR="004B38BB" w:rsidRPr="00437220" w:rsidRDefault="004B38BB" w:rsidP="00437220">
          <w:pPr>
            <w:suppressAutoHyphens/>
            <w:spacing w:line="240" w:lineRule="exact"/>
            <w:rPr>
              <w:spacing w:val="4"/>
              <w:w w:val="103"/>
              <w:kern w:val="14"/>
              <w:lang w:val="en-GB"/>
            </w:rPr>
          </w:pPr>
          <w:r w:rsidRPr="00437220">
            <w:rPr>
              <w:spacing w:val="4"/>
              <w:w w:val="103"/>
              <w:kern w:val="14"/>
              <w:lang w:val="en-GB"/>
            </w:rPr>
            <w:t>Original: English</w:t>
          </w:r>
        </w:p>
      </w:tc>
    </w:tr>
  </w:tbl>
  <w:p w14:paraId="2440D565" w14:textId="77777777" w:rsidR="004B38BB" w:rsidRPr="00437220" w:rsidRDefault="004B38BB">
    <w:pPr>
      <w:pStyle w:val="Header"/>
      <w:rPr>
        <w:sz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B38BB" w:rsidRPr="00437220" w14:paraId="45EC2180" w14:textId="77777777" w:rsidTr="002272F9">
      <w:trPr>
        <w:trHeight w:hRule="exact" w:val="864"/>
      </w:trPr>
      <w:tc>
        <w:tcPr>
          <w:tcW w:w="4838" w:type="dxa"/>
          <w:shd w:val="clear" w:color="auto" w:fill="auto"/>
          <w:vAlign w:val="bottom"/>
        </w:tcPr>
        <w:p w14:paraId="4A765814" w14:textId="47C5D9A7" w:rsidR="004B38BB" w:rsidRPr="00437220" w:rsidRDefault="004B38BB" w:rsidP="00437220">
          <w:pPr>
            <w:tabs>
              <w:tab w:val="center" w:pos="4320"/>
              <w:tab w:val="right" w:pos="8640"/>
            </w:tabs>
            <w:spacing w:after="80"/>
            <w:rPr>
              <w:b/>
              <w:noProof/>
              <w:sz w:val="17"/>
            </w:rPr>
          </w:pPr>
          <w:r w:rsidRPr="00437220">
            <w:rPr>
              <w:b/>
              <w:noProof/>
              <w:sz w:val="17"/>
            </w:rPr>
            <w:t>DP/DCP/</w:t>
          </w:r>
          <w:r>
            <w:rPr>
              <w:b/>
              <w:noProof/>
              <w:sz w:val="17"/>
            </w:rPr>
            <w:t>PER</w:t>
          </w:r>
          <w:r w:rsidRPr="00437220">
            <w:rPr>
              <w:b/>
              <w:noProof/>
              <w:sz w:val="17"/>
            </w:rPr>
            <w:t>/3</w:t>
          </w:r>
        </w:p>
      </w:tc>
      <w:tc>
        <w:tcPr>
          <w:tcW w:w="5033" w:type="dxa"/>
          <w:shd w:val="clear" w:color="auto" w:fill="auto"/>
          <w:vAlign w:val="bottom"/>
        </w:tcPr>
        <w:p w14:paraId="391DC3C5" w14:textId="77777777" w:rsidR="004B38BB" w:rsidRPr="00437220" w:rsidRDefault="004B38BB" w:rsidP="00437220">
          <w:pPr>
            <w:tabs>
              <w:tab w:val="center" w:pos="4320"/>
              <w:tab w:val="right" w:pos="8640"/>
            </w:tabs>
            <w:jc w:val="right"/>
            <w:rPr>
              <w:b/>
              <w:noProof/>
              <w:sz w:val="17"/>
            </w:rPr>
          </w:pPr>
        </w:p>
      </w:tc>
    </w:tr>
  </w:tbl>
  <w:p w14:paraId="7F8659CF" w14:textId="77777777" w:rsidR="004B38BB" w:rsidRPr="00437220" w:rsidRDefault="004B38BB">
    <w:pPr>
      <w:pStyle w:val="Header"/>
      <w:rPr>
        <w:b/>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6A" w14:textId="77777777" w:rsidR="004B38BB" w:rsidRDefault="004B38BB">
    <w:pPr>
      <w:pStyle w:val="Header"/>
    </w:pPr>
    <w:r>
      <w:rPr>
        <w:noProof/>
        <w:lang w:val="en-US" w:eastAsia="en-US"/>
      </w:rPr>
      <mc:AlternateContent>
        <mc:Choice Requires="wps">
          <w:drawing>
            <wp:anchor distT="0" distB="0" distL="114300" distR="114300" simplePos="0" relativeHeight="251657728" behindDoc="0" locked="0" layoutInCell="0" allowOverlap="1" wp14:anchorId="2440D56D" wp14:editId="12E2618F">
              <wp:simplePos x="0" y="0"/>
              <wp:positionH relativeFrom="column">
                <wp:posOffset>-74296</wp:posOffset>
              </wp:positionH>
              <wp:positionV relativeFrom="paragraph">
                <wp:posOffset>-304800</wp:posOffset>
              </wp:positionV>
              <wp:extent cx="896302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30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2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382"/>
                          </w:tblGrid>
                          <w:tr w:rsidR="004B38BB" w:rsidRPr="005841A3" w14:paraId="2440D571" w14:textId="77777777" w:rsidTr="00437220">
                            <w:trPr>
                              <w:trHeight w:hRule="exact" w:val="864"/>
                            </w:trPr>
                            <w:tc>
                              <w:tcPr>
                                <w:tcW w:w="4838" w:type="dxa"/>
                                <w:tcBorders>
                                  <w:bottom w:val="single" w:sz="4" w:space="0" w:color="auto"/>
                                </w:tcBorders>
                                <w:vAlign w:val="bottom"/>
                              </w:tcPr>
                              <w:p w14:paraId="2440D56F" w14:textId="218FD4B0" w:rsidR="004B38BB" w:rsidRPr="007C6F85" w:rsidRDefault="004B38BB"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PER/3</w:t>
                                </w:r>
                              </w:p>
                            </w:tc>
                            <w:tc>
                              <w:tcPr>
                                <w:tcW w:w="9382" w:type="dxa"/>
                                <w:tcBorders>
                                  <w:bottom w:val="single" w:sz="4" w:space="0" w:color="auto"/>
                                </w:tcBorders>
                                <w:vAlign w:val="bottom"/>
                              </w:tcPr>
                              <w:p w14:paraId="2440D570" w14:textId="77777777" w:rsidR="004B38BB" w:rsidRPr="007C6F85" w:rsidRDefault="004B38BB" w:rsidP="00437220">
                                <w:pPr>
                                  <w:pStyle w:val="Header"/>
                                  <w:rPr>
                                    <w:rFonts w:ascii="Times New Roman" w:hAnsi="Times New Roman"/>
                                    <w:sz w:val="17"/>
                                    <w:szCs w:val="17"/>
                                    <w:lang w:val="en-US" w:eastAsia="en-US"/>
                                  </w:rPr>
                                </w:pPr>
                              </w:p>
                            </w:tc>
                          </w:tr>
                        </w:tbl>
                        <w:p w14:paraId="2440D572" w14:textId="77777777" w:rsidR="004B38BB" w:rsidRDefault="004B38B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85pt;margin-top:-24pt;width:705.7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" o:allowincell="f" stroked="f">
              <v:textbox inset="0,0,0,0">
                <w:txbxContent>
                  <w:tbl>
                    <w:tblPr>
                      <w:tblW w:w="142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382"/>
                    </w:tblGrid>
                    <w:tr w:rsidR="004B38BB" w:rsidRPr="005841A3" w14:paraId="2440D571" w14:textId="77777777" w:rsidTr="00437220">
                      <w:trPr>
                        <w:trHeight w:hRule="exact" w:val="864"/>
                      </w:trPr>
                      <w:tc>
                        <w:tcPr>
                          <w:tcW w:w="4838" w:type="dxa"/>
                          <w:tcBorders>
                            <w:bottom w:val="single" w:sz="4" w:space="0" w:color="auto"/>
                          </w:tcBorders>
                          <w:vAlign w:val="bottom"/>
                        </w:tcPr>
                        <w:p w14:paraId="2440D56F" w14:textId="218FD4B0" w:rsidR="004B38BB" w:rsidRPr="007C6F85" w:rsidRDefault="004B38BB"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PER/3</w:t>
                          </w:r>
                        </w:p>
                      </w:tc>
                      <w:tc>
                        <w:tcPr>
                          <w:tcW w:w="9382" w:type="dxa"/>
                          <w:tcBorders>
                            <w:bottom w:val="single" w:sz="4" w:space="0" w:color="auto"/>
                          </w:tcBorders>
                          <w:vAlign w:val="bottom"/>
                        </w:tcPr>
                        <w:p w14:paraId="2440D570" w14:textId="77777777" w:rsidR="004B38BB" w:rsidRPr="007C6F85" w:rsidRDefault="004B38BB" w:rsidP="00437220">
                          <w:pPr>
                            <w:pStyle w:val="Header"/>
                            <w:rPr>
                              <w:rFonts w:ascii="Times New Roman" w:hAnsi="Times New Roman"/>
                              <w:sz w:val="17"/>
                              <w:szCs w:val="17"/>
                              <w:lang w:val="en-US" w:eastAsia="en-US"/>
                            </w:rPr>
                          </w:pPr>
                        </w:p>
                      </w:tc>
                    </w:tr>
                  </w:tbl>
                  <w:p w14:paraId="2440D572" w14:textId="77777777" w:rsidR="004B38BB" w:rsidRDefault="004B38BB"/>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02"/>
    </w:tblGrid>
    <w:tr w:rsidR="004B38BB" w:rsidRPr="00437220" w14:paraId="5D56F005" w14:textId="77777777" w:rsidTr="00437220">
      <w:trPr>
        <w:trHeight w:hRule="exact" w:val="864"/>
      </w:trPr>
      <w:tc>
        <w:tcPr>
          <w:tcW w:w="4838" w:type="dxa"/>
          <w:tcBorders>
            <w:bottom w:val="single" w:sz="4" w:space="0" w:color="auto"/>
          </w:tcBorders>
          <w:vAlign w:val="bottom"/>
        </w:tcPr>
        <w:p w14:paraId="312B06BA" w14:textId="77777777" w:rsidR="004B38BB" w:rsidRPr="00437220" w:rsidRDefault="004B38BB" w:rsidP="00437220">
          <w:pPr>
            <w:widowControl w:val="0"/>
            <w:tabs>
              <w:tab w:val="center" w:pos="4320"/>
              <w:tab w:val="right" w:pos="8640"/>
            </w:tabs>
            <w:spacing w:after="80"/>
            <w:rPr>
              <w:b/>
              <w:sz w:val="17"/>
              <w:szCs w:val="17"/>
            </w:rPr>
          </w:pPr>
        </w:p>
      </w:tc>
      <w:tc>
        <w:tcPr>
          <w:tcW w:w="9202" w:type="dxa"/>
          <w:tcBorders>
            <w:bottom w:val="single" w:sz="4" w:space="0" w:color="auto"/>
          </w:tcBorders>
          <w:vAlign w:val="bottom"/>
        </w:tcPr>
        <w:p w14:paraId="5AADEC81" w14:textId="77777777" w:rsidR="004B38BB" w:rsidRPr="00437220" w:rsidRDefault="004B38BB" w:rsidP="00437220">
          <w:pPr>
            <w:widowControl w:val="0"/>
            <w:tabs>
              <w:tab w:val="center" w:pos="4320"/>
              <w:tab w:val="right" w:pos="8640"/>
            </w:tabs>
            <w:jc w:val="right"/>
            <w:rPr>
              <w:sz w:val="17"/>
              <w:szCs w:val="17"/>
            </w:rPr>
          </w:pPr>
          <w:r w:rsidRPr="00437220">
            <w:rPr>
              <w:b/>
              <w:sz w:val="17"/>
              <w:szCs w:val="17"/>
            </w:rPr>
            <w:t>DP/DCP/</w:t>
          </w:r>
          <w:r>
            <w:rPr>
              <w:b/>
              <w:sz w:val="17"/>
              <w:szCs w:val="17"/>
            </w:rPr>
            <w:t>PER</w:t>
          </w:r>
          <w:r w:rsidRPr="00437220">
            <w:rPr>
              <w:b/>
              <w:sz w:val="17"/>
              <w:szCs w:val="17"/>
            </w:rPr>
            <w:t>/3</w:t>
          </w:r>
        </w:p>
      </w:tc>
    </w:tr>
  </w:tbl>
  <w:p w14:paraId="6B42E3E1" w14:textId="77777777" w:rsidR="004B38BB" w:rsidRPr="00916E69" w:rsidRDefault="004B38B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C8D"/>
    <w:multiLevelType w:val="hybridMultilevel"/>
    <w:tmpl w:val="7A6A9EF6"/>
    <w:lvl w:ilvl="0" w:tplc="280A000F">
      <w:start w:val="1"/>
      <w:numFmt w:val="decimal"/>
      <w:lvlText w:val="%1."/>
      <w:lvlJc w:val="left"/>
      <w:pPr>
        <w:ind w:left="189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D815D6"/>
    <w:multiLevelType w:val="hybridMultilevel"/>
    <w:tmpl w:val="7A6A9E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667C"/>
    <w:multiLevelType w:val="hybridMultilevel"/>
    <w:tmpl w:val="7A6A9E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2"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7723D24"/>
    <w:multiLevelType w:val="hybridMultilevel"/>
    <w:tmpl w:val="7A6A9E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641AD7"/>
    <w:multiLevelType w:val="hybridMultilevel"/>
    <w:tmpl w:val="3F02931E"/>
    <w:lvl w:ilvl="0" w:tplc="6BCAC1E6">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9"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1" w15:restartNumberingAfterBreak="0">
    <w:nsid w:val="65F23744"/>
    <w:multiLevelType w:val="hybridMultilevel"/>
    <w:tmpl w:val="D64CD0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3"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5"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6"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CA51218"/>
    <w:multiLevelType w:val="hybridMultilevel"/>
    <w:tmpl w:val="7A6A9E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EDF0BE1"/>
    <w:multiLevelType w:val="hybridMultilevel"/>
    <w:tmpl w:val="BAA2728C"/>
    <w:lvl w:ilvl="0" w:tplc="BF467AD8">
      <w:start w:val="1"/>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9"/>
  </w:num>
  <w:num w:numId="3">
    <w:abstractNumId w:val="24"/>
  </w:num>
  <w:num w:numId="4">
    <w:abstractNumId w:val="34"/>
  </w:num>
  <w:num w:numId="5">
    <w:abstractNumId w:val="25"/>
  </w:num>
  <w:num w:numId="6">
    <w:abstractNumId w:val="1"/>
  </w:num>
  <w:num w:numId="7">
    <w:abstractNumId w:val="16"/>
  </w:num>
  <w:num w:numId="8">
    <w:abstractNumId w:val="30"/>
  </w:num>
  <w:num w:numId="9">
    <w:abstractNumId w:val="40"/>
  </w:num>
  <w:num w:numId="10">
    <w:abstractNumId w:val="33"/>
  </w:num>
  <w:num w:numId="11">
    <w:abstractNumId w:val="39"/>
  </w:num>
  <w:num w:numId="12">
    <w:abstractNumId w:val="22"/>
  </w:num>
  <w:num w:numId="13">
    <w:abstractNumId w:val="7"/>
  </w:num>
  <w:num w:numId="14">
    <w:abstractNumId w:val="15"/>
  </w:num>
  <w:num w:numId="15">
    <w:abstractNumId w:val="36"/>
  </w:num>
  <w:num w:numId="16">
    <w:abstractNumId w:val="10"/>
  </w:num>
  <w:num w:numId="17">
    <w:abstractNumId w:val="12"/>
  </w:num>
  <w:num w:numId="18">
    <w:abstractNumId w:val="18"/>
  </w:num>
  <w:num w:numId="19">
    <w:abstractNumId w:val="38"/>
  </w:num>
  <w:num w:numId="20">
    <w:abstractNumId w:val="9"/>
  </w:num>
  <w:num w:numId="21">
    <w:abstractNumId w:val="8"/>
  </w:num>
  <w:num w:numId="22">
    <w:abstractNumId w:val="37"/>
  </w:num>
  <w:num w:numId="23">
    <w:abstractNumId w:val="14"/>
  </w:num>
  <w:num w:numId="24">
    <w:abstractNumId w:val="4"/>
  </w:num>
  <w:num w:numId="25">
    <w:abstractNumId w:val="35"/>
  </w:num>
  <w:num w:numId="26">
    <w:abstractNumId w:val="32"/>
  </w:num>
  <w:num w:numId="27">
    <w:abstractNumId w:val="27"/>
  </w:num>
  <w:num w:numId="28">
    <w:abstractNumId w:val="3"/>
  </w:num>
  <w:num w:numId="29">
    <w:abstractNumId w:val="23"/>
  </w:num>
  <w:num w:numId="30">
    <w:abstractNumId w:val="26"/>
  </w:num>
  <w:num w:numId="31">
    <w:abstractNumId w:val="11"/>
  </w:num>
  <w:num w:numId="32">
    <w:abstractNumId w:val="6"/>
  </w:num>
  <w:num w:numId="33">
    <w:abstractNumId w:val="21"/>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1"/>
  </w:num>
  <w:num w:numId="37">
    <w:abstractNumId w:val="0"/>
  </w:num>
  <w:num w:numId="38">
    <w:abstractNumId w:val="13"/>
  </w:num>
  <w:num w:numId="39">
    <w:abstractNumId w:val="5"/>
  </w:num>
  <w:num w:numId="40">
    <w:abstractNumId w:val="2"/>
  </w:num>
  <w:num w:numId="41">
    <w:abstractNumId w:val="41"/>
  </w:num>
  <w:num w:numId="42">
    <w:abstractNumId w:val="20"/>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133"/>
    <w:rsid w:val="000010B5"/>
    <w:rsid w:val="000027D2"/>
    <w:rsid w:val="00005E26"/>
    <w:rsid w:val="00006F3F"/>
    <w:rsid w:val="000119A7"/>
    <w:rsid w:val="00015FDE"/>
    <w:rsid w:val="00016217"/>
    <w:rsid w:val="00016861"/>
    <w:rsid w:val="000200CF"/>
    <w:rsid w:val="000205F1"/>
    <w:rsid w:val="00022047"/>
    <w:rsid w:val="000274B9"/>
    <w:rsid w:val="0002758B"/>
    <w:rsid w:val="00027647"/>
    <w:rsid w:val="000276A0"/>
    <w:rsid w:val="000330DB"/>
    <w:rsid w:val="0003429F"/>
    <w:rsid w:val="0003562A"/>
    <w:rsid w:val="00036095"/>
    <w:rsid w:val="00036AF4"/>
    <w:rsid w:val="00041C10"/>
    <w:rsid w:val="00043804"/>
    <w:rsid w:val="000441A1"/>
    <w:rsid w:val="00050869"/>
    <w:rsid w:val="0005200F"/>
    <w:rsid w:val="000561C1"/>
    <w:rsid w:val="00056204"/>
    <w:rsid w:val="000570D1"/>
    <w:rsid w:val="000571A9"/>
    <w:rsid w:val="00060290"/>
    <w:rsid w:val="00063E24"/>
    <w:rsid w:val="00063E9D"/>
    <w:rsid w:val="00067775"/>
    <w:rsid w:val="00072229"/>
    <w:rsid w:val="00073CF1"/>
    <w:rsid w:val="00074BD0"/>
    <w:rsid w:val="00074D9A"/>
    <w:rsid w:val="00074DB9"/>
    <w:rsid w:val="000753C4"/>
    <w:rsid w:val="00075DF0"/>
    <w:rsid w:val="000762CA"/>
    <w:rsid w:val="00076D96"/>
    <w:rsid w:val="000803A4"/>
    <w:rsid w:val="000806E3"/>
    <w:rsid w:val="0008339E"/>
    <w:rsid w:val="00085D2D"/>
    <w:rsid w:val="00090AD1"/>
    <w:rsid w:val="00090F4F"/>
    <w:rsid w:val="00091476"/>
    <w:rsid w:val="0009182E"/>
    <w:rsid w:val="00092879"/>
    <w:rsid w:val="00094E87"/>
    <w:rsid w:val="00097FB2"/>
    <w:rsid w:val="000A151D"/>
    <w:rsid w:val="000A24C5"/>
    <w:rsid w:val="000A3F7F"/>
    <w:rsid w:val="000A7D27"/>
    <w:rsid w:val="000B3A13"/>
    <w:rsid w:val="000B4BB2"/>
    <w:rsid w:val="000C28EB"/>
    <w:rsid w:val="000C3E32"/>
    <w:rsid w:val="000C76B0"/>
    <w:rsid w:val="000C7BBE"/>
    <w:rsid w:val="000D2475"/>
    <w:rsid w:val="000D3555"/>
    <w:rsid w:val="000D442C"/>
    <w:rsid w:val="000D4DC4"/>
    <w:rsid w:val="000E612D"/>
    <w:rsid w:val="000E745A"/>
    <w:rsid w:val="000E7E9E"/>
    <w:rsid w:val="000F0044"/>
    <w:rsid w:val="000F703B"/>
    <w:rsid w:val="00106EF8"/>
    <w:rsid w:val="001101A2"/>
    <w:rsid w:val="00111489"/>
    <w:rsid w:val="00111797"/>
    <w:rsid w:val="00111B19"/>
    <w:rsid w:val="00114A64"/>
    <w:rsid w:val="00115F59"/>
    <w:rsid w:val="00116C1A"/>
    <w:rsid w:val="00117DD7"/>
    <w:rsid w:val="00121F3E"/>
    <w:rsid w:val="0012229E"/>
    <w:rsid w:val="00123849"/>
    <w:rsid w:val="00123A5E"/>
    <w:rsid w:val="0012483E"/>
    <w:rsid w:val="00125010"/>
    <w:rsid w:val="00125266"/>
    <w:rsid w:val="00125B82"/>
    <w:rsid w:val="001305E6"/>
    <w:rsid w:val="0013239A"/>
    <w:rsid w:val="0013761A"/>
    <w:rsid w:val="0014423A"/>
    <w:rsid w:val="00145E20"/>
    <w:rsid w:val="00147042"/>
    <w:rsid w:val="001471A7"/>
    <w:rsid w:val="001505FE"/>
    <w:rsid w:val="001506F6"/>
    <w:rsid w:val="00154032"/>
    <w:rsid w:val="001547D3"/>
    <w:rsid w:val="001559BD"/>
    <w:rsid w:val="00157F79"/>
    <w:rsid w:val="00160222"/>
    <w:rsid w:val="00162ACE"/>
    <w:rsid w:val="00163E84"/>
    <w:rsid w:val="001668AA"/>
    <w:rsid w:val="001675B1"/>
    <w:rsid w:val="0016789D"/>
    <w:rsid w:val="00167C87"/>
    <w:rsid w:val="00172EE3"/>
    <w:rsid w:val="00177E7E"/>
    <w:rsid w:val="0018356F"/>
    <w:rsid w:val="001876C5"/>
    <w:rsid w:val="00187D68"/>
    <w:rsid w:val="00190155"/>
    <w:rsid w:val="001906B5"/>
    <w:rsid w:val="00194163"/>
    <w:rsid w:val="001948F9"/>
    <w:rsid w:val="00194FEB"/>
    <w:rsid w:val="001970A4"/>
    <w:rsid w:val="00197AD1"/>
    <w:rsid w:val="001B0020"/>
    <w:rsid w:val="001B00FA"/>
    <w:rsid w:val="001B3F87"/>
    <w:rsid w:val="001B4026"/>
    <w:rsid w:val="001B598C"/>
    <w:rsid w:val="001B6750"/>
    <w:rsid w:val="001B76A6"/>
    <w:rsid w:val="001C07F8"/>
    <w:rsid w:val="001C13F5"/>
    <w:rsid w:val="001C2AE7"/>
    <w:rsid w:val="001C2F59"/>
    <w:rsid w:val="001C35A6"/>
    <w:rsid w:val="001C4D9F"/>
    <w:rsid w:val="001C6C08"/>
    <w:rsid w:val="001D13C7"/>
    <w:rsid w:val="001D2056"/>
    <w:rsid w:val="001D42D1"/>
    <w:rsid w:val="001D64E5"/>
    <w:rsid w:val="001D6DF3"/>
    <w:rsid w:val="001D6EB8"/>
    <w:rsid w:val="001E05EC"/>
    <w:rsid w:val="001E11C4"/>
    <w:rsid w:val="001E4809"/>
    <w:rsid w:val="001E4F4F"/>
    <w:rsid w:val="001F27F4"/>
    <w:rsid w:val="001F3DC0"/>
    <w:rsid w:val="001F4C5A"/>
    <w:rsid w:val="001F4EA9"/>
    <w:rsid w:val="001F4F73"/>
    <w:rsid w:val="001F6143"/>
    <w:rsid w:val="001F6425"/>
    <w:rsid w:val="001F6772"/>
    <w:rsid w:val="001F7421"/>
    <w:rsid w:val="00200195"/>
    <w:rsid w:val="00200B5F"/>
    <w:rsid w:val="00201EEF"/>
    <w:rsid w:val="00203416"/>
    <w:rsid w:val="002047C8"/>
    <w:rsid w:val="002052B3"/>
    <w:rsid w:val="0020588C"/>
    <w:rsid w:val="002058F9"/>
    <w:rsid w:val="00212B1F"/>
    <w:rsid w:val="00213D7C"/>
    <w:rsid w:val="00214513"/>
    <w:rsid w:val="002155B7"/>
    <w:rsid w:val="0021766A"/>
    <w:rsid w:val="002225D3"/>
    <w:rsid w:val="00222A35"/>
    <w:rsid w:val="0022301D"/>
    <w:rsid w:val="00224B2C"/>
    <w:rsid w:val="002272F9"/>
    <w:rsid w:val="00227E55"/>
    <w:rsid w:val="00232AA0"/>
    <w:rsid w:val="00234CDF"/>
    <w:rsid w:val="00236609"/>
    <w:rsid w:val="00236B91"/>
    <w:rsid w:val="00240411"/>
    <w:rsid w:val="00241A48"/>
    <w:rsid w:val="002424C0"/>
    <w:rsid w:val="00242CAA"/>
    <w:rsid w:val="00245D74"/>
    <w:rsid w:val="00246D03"/>
    <w:rsid w:val="00246DDF"/>
    <w:rsid w:val="00254E8F"/>
    <w:rsid w:val="002573CC"/>
    <w:rsid w:val="00260FAA"/>
    <w:rsid w:val="00262338"/>
    <w:rsid w:val="00263938"/>
    <w:rsid w:val="002646D7"/>
    <w:rsid w:val="002671D7"/>
    <w:rsid w:val="00267933"/>
    <w:rsid w:val="0027259C"/>
    <w:rsid w:val="00273543"/>
    <w:rsid w:val="00273E76"/>
    <w:rsid w:val="00274225"/>
    <w:rsid w:val="002743BE"/>
    <w:rsid w:val="00274C82"/>
    <w:rsid w:val="0027654D"/>
    <w:rsid w:val="002810DF"/>
    <w:rsid w:val="002812AB"/>
    <w:rsid w:val="002816D8"/>
    <w:rsid w:val="00282A8C"/>
    <w:rsid w:val="002854EE"/>
    <w:rsid w:val="0028565C"/>
    <w:rsid w:val="002875DE"/>
    <w:rsid w:val="00287E07"/>
    <w:rsid w:val="00290EB3"/>
    <w:rsid w:val="002917ED"/>
    <w:rsid w:val="00292846"/>
    <w:rsid w:val="00292A90"/>
    <w:rsid w:val="00293936"/>
    <w:rsid w:val="00294144"/>
    <w:rsid w:val="002971D6"/>
    <w:rsid w:val="002A231B"/>
    <w:rsid w:val="002A2F08"/>
    <w:rsid w:val="002A3641"/>
    <w:rsid w:val="002A495F"/>
    <w:rsid w:val="002A60F1"/>
    <w:rsid w:val="002A706F"/>
    <w:rsid w:val="002A70EA"/>
    <w:rsid w:val="002A7363"/>
    <w:rsid w:val="002A7F43"/>
    <w:rsid w:val="002B365E"/>
    <w:rsid w:val="002B489A"/>
    <w:rsid w:val="002B5D72"/>
    <w:rsid w:val="002B6341"/>
    <w:rsid w:val="002C0526"/>
    <w:rsid w:val="002C27A8"/>
    <w:rsid w:val="002C333E"/>
    <w:rsid w:val="002C36C8"/>
    <w:rsid w:val="002C51A0"/>
    <w:rsid w:val="002C52E2"/>
    <w:rsid w:val="002C6C73"/>
    <w:rsid w:val="002C7971"/>
    <w:rsid w:val="002C7B61"/>
    <w:rsid w:val="002D0584"/>
    <w:rsid w:val="002D2E2A"/>
    <w:rsid w:val="002D4274"/>
    <w:rsid w:val="002D5295"/>
    <w:rsid w:val="002D52BF"/>
    <w:rsid w:val="002D68FA"/>
    <w:rsid w:val="002D7ECA"/>
    <w:rsid w:val="002E0141"/>
    <w:rsid w:val="002E0B5D"/>
    <w:rsid w:val="002E0B76"/>
    <w:rsid w:val="002E1495"/>
    <w:rsid w:val="002E2900"/>
    <w:rsid w:val="002E396F"/>
    <w:rsid w:val="002E3C0D"/>
    <w:rsid w:val="002E43EC"/>
    <w:rsid w:val="002E5B3C"/>
    <w:rsid w:val="002E62B9"/>
    <w:rsid w:val="002E7A79"/>
    <w:rsid w:val="002F028D"/>
    <w:rsid w:val="002F0B67"/>
    <w:rsid w:val="002F0F20"/>
    <w:rsid w:val="002F2C6E"/>
    <w:rsid w:val="002F3C88"/>
    <w:rsid w:val="002F4067"/>
    <w:rsid w:val="002F47EB"/>
    <w:rsid w:val="002F7339"/>
    <w:rsid w:val="002F7461"/>
    <w:rsid w:val="003008C0"/>
    <w:rsid w:val="003025E2"/>
    <w:rsid w:val="00302618"/>
    <w:rsid w:val="00306D24"/>
    <w:rsid w:val="00307712"/>
    <w:rsid w:val="00310850"/>
    <w:rsid w:val="0031404A"/>
    <w:rsid w:val="00314B7C"/>
    <w:rsid w:val="00314E49"/>
    <w:rsid w:val="00315445"/>
    <w:rsid w:val="00317183"/>
    <w:rsid w:val="003204AE"/>
    <w:rsid w:val="003208EF"/>
    <w:rsid w:val="00324846"/>
    <w:rsid w:val="00324ABD"/>
    <w:rsid w:val="00324D9B"/>
    <w:rsid w:val="003251AC"/>
    <w:rsid w:val="003272A6"/>
    <w:rsid w:val="003273CB"/>
    <w:rsid w:val="0033125E"/>
    <w:rsid w:val="003342AA"/>
    <w:rsid w:val="00336913"/>
    <w:rsid w:val="0033718C"/>
    <w:rsid w:val="00337407"/>
    <w:rsid w:val="00340E02"/>
    <w:rsid w:val="00341728"/>
    <w:rsid w:val="00343E6E"/>
    <w:rsid w:val="0034503C"/>
    <w:rsid w:val="003450C8"/>
    <w:rsid w:val="0034782B"/>
    <w:rsid w:val="00351E5C"/>
    <w:rsid w:val="0035580F"/>
    <w:rsid w:val="00356CDE"/>
    <w:rsid w:val="00357CB4"/>
    <w:rsid w:val="003604EE"/>
    <w:rsid w:val="00360B19"/>
    <w:rsid w:val="0036286B"/>
    <w:rsid w:val="00363371"/>
    <w:rsid w:val="0036474F"/>
    <w:rsid w:val="00364989"/>
    <w:rsid w:val="003664C0"/>
    <w:rsid w:val="00366769"/>
    <w:rsid w:val="00367E04"/>
    <w:rsid w:val="00370E80"/>
    <w:rsid w:val="003761F2"/>
    <w:rsid w:val="00376A05"/>
    <w:rsid w:val="003774FE"/>
    <w:rsid w:val="00387438"/>
    <w:rsid w:val="00390E30"/>
    <w:rsid w:val="00393ABE"/>
    <w:rsid w:val="0039458D"/>
    <w:rsid w:val="00394D61"/>
    <w:rsid w:val="003A1F5A"/>
    <w:rsid w:val="003A2ECE"/>
    <w:rsid w:val="003A4252"/>
    <w:rsid w:val="003A539A"/>
    <w:rsid w:val="003A62A4"/>
    <w:rsid w:val="003A7476"/>
    <w:rsid w:val="003A7D86"/>
    <w:rsid w:val="003B0AA1"/>
    <w:rsid w:val="003B1BE5"/>
    <w:rsid w:val="003B243D"/>
    <w:rsid w:val="003B304F"/>
    <w:rsid w:val="003B5D18"/>
    <w:rsid w:val="003B795D"/>
    <w:rsid w:val="003C108A"/>
    <w:rsid w:val="003C26A6"/>
    <w:rsid w:val="003C26C1"/>
    <w:rsid w:val="003C48F0"/>
    <w:rsid w:val="003C5C11"/>
    <w:rsid w:val="003C6A5A"/>
    <w:rsid w:val="003C6AAD"/>
    <w:rsid w:val="003D06D3"/>
    <w:rsid w:val="003D1D4D"/>
    <w:rsid w:val="003D37DD"/>
    <w:rsid w:val="003D45DF"/>
    <w:rsid w:val="003D47C6"/>
    <w:rsid w:val="003D67B3"/>
    <w:rsid w:val="003D7E38"/>
    <w:rsid w:val="003D7EAC"/>
    <w:rsid w:val="003E36D0"/>
    <w:rsid w:val="003E379A"/>
    <w:rsid w:val="003E52B0"/>
    <w:rsid w:val="003E64DC"/>
    <w:rsid w:val="003E7A43"/>
    <w:rsid w:val="003F0627"/>
    <w:rsid w:val="003F0B58"/>
    <w:rsid w:val="003F0D40"/>
    <w:rsid w:val="003F2236"/>
    <w:rsid w:val="003F27B7"/>
    <w:rsid w:val="003F4051"/>
    <w:rsid w:val="003F5812"/>
    <w:rsid w:val="003F6AA4"/>
    <w:rsid w:val="003F6EA1"/>
    <w:rsid w:val="003F74D0"/>
    <w:rsid w:val="00400E4A"/>
    <w:rsid w:val="00402E9A"/>
    <w:rsid w:val="00403FA8"/>
    <w:rsid w:val="00404040"/>
    <w:rsid w:val="00404213"/>
    <w:rsid w:val="004048AC"/>
    <w:rsid w:val="00404B8E"/>
    <w:rsid w:val="004068C2"/>
    <w:rsid w:val="00412234"/>
    <w:rsid w:val="00415E7F"/>
    <w:rsid w:val="004167B0"/>
    <w:rsid w:val="00420288"/>
    <w:rsid w:val="00421703"/>
    <w:rsid w:val="00421C78"/>
    <w:rsid w:val="004224CE"/>
    <w:rsid w:val="00424A78"/>
    <w:rsid w:val="00424F7F"/>
    <w:rsid w:val="004254DB"/>
    <w:rsid w:val="00427EEA"/>
    <w:rsid w:val="00431836"/>
    <w:rsid w:val="004321E6"/>
    <w:rsid w:val="00432650"/>
    <w:rsid w:val="0043278E"/>
    <w:rsid w:val="00435B28"/>
    <w:rsid w:val="004360AC"/>
    <w:rsid w:val="00436B83"/>
    <w:rsid w:val="00437220"/>
    <w:rsid w:val="00441061"/>
    <w:rsid w:val="00445F51"/>
    <w:rsid w:val="00450C70"/>
    <w:rsid w:val="00453344"/>
    <w:rsid w:val="00454E76"/>
    <w:rsid w:val="00454FBD"/>
    <w:rsid w:val="00455E38"/>
    <w:rsid w:val="00457080"/>
    <w:rsid w:val="00460891"/>
    <w:rsid w:val="00464FB2"/>
    <w:rsid w:val="00466CDC"/>
    <w:rsid w:val="0046745E"/>
    <w:rsid w:val="004736BE"/>
    <w:rsid w:val="0047556D"/>
    <w:rsid w:val="00475789"/>
    <w:rsid w:val="00476170"/>
    <w:rsid w:val="00481E35"/>
    <w:rsid w:val="004820B0"/>
    <w:rsid w:val="00482E2F"/>
    <w:rsid w:val="004859B4"/>
    <w:rsid w:val="00486ACD"/>
    <w:rsid w:val="00492C65"/>
    <w:rsid w:val="0049403F"/>
    <w:rsid w:val="00494323"/>
    <w:rsid w:val="00494349"/>
    <w:rsid w:val="00494485"/>
    <w:rsid w:val="004975A4"/>
    <w:rsid w:val="004A0F27"/>
    <w:rsid w:val="004A0F37"/>
    <w:rsid w:val="004A0F68"/>
    <w:rsid w:val="004A3608"/>
    <w:rsid w:val="004A4FBD"/>
    <w:rsid w:val="004A7663"/>
    <w:rsid w:val="004A7810"/>
    <w:rsid w:val="004A7E93"/>
    <w:rsid w:val="004B38BB"/>
    <w:rsid w:val="004B3BF0"/>
    <w:rsid w:val="004B3CFB"/>
    <w:rsid w:val="004B5D6B"/>
    <w:rsid w:val="004B75E8"/>
    <w:rsid w:val="004B76F8"/>
    <w:rsid w:val="004C1FA6"/>
    <w:rsid w:val="004C5CFD"/>
    <w:rsid w:val="004C5D3F"/>
    <w:rsid w:val="004D12C0"/>
    <w:rsid w:val="004D18EA"/>
    <w:rsid w:val="004D3713"/>
    <w:rsid w:val="004D4B9A"/>
    <w:rsid w:val="004D6254"/>
    <w:rsid w:val="004D7E99"/>
    <w:rsid w:val="004E00CE"/>
    <w:rsid w:val="004E2BDB"/>
    <w:rsid w:val="004F50AF"/>
    <w:rsid w:val="004F5958"/>
    <w:rsid w:val="004F681D"/>
    <w:rsid w:val="004F6E14"/>
    <w:rsid w:val="0050228C"/>
    <w:rsid w:val="00502857"/>
    <w:rsid w:val="005044A9"/>
    <w:rsid w:val="00505994"/>
    <w:rsid w:val="00505FD4"/>
    <w:rsid w:val="00506E25"/>
    <w:rsid w:val="00507606"/>
    <w:rsid w:val="0051132C"/>
    <w:rsid w:val="00513483"/>
    <w:rsid w:val="00514A55"/>
    <w:rsid w:val="00514EF5"/>
    <w:rsid w:val="00516AB4"/>
    <w:rsid w:val="00516DB2"/>
    <w:rsid w:val="0051782D"/>
    <w:rsid w:val="0052087E"/>
    <w:rsid w:val="0052315E"/>
    <w:rsid w:val="005242FC"/>
    <w:rsid w:val="00524D0F"/>
    <w:rsid w:val="00530ED3"/>
    <w:rsid w:val="00531362"/>
    <w:rsid w:val="0053438E"/>
    <w:rsid w:val="005355EE"/>
    <w:rsid w:val="00535B16"/>
    <w:rsid w:val="005366D0"/>
    <w:rsid w:val="00537E27"/>
    <w:rsid w:val="00540B4D"/>
    <w:rsid w:val="00540FFA"/>
    <w:rsid w:val="00542930"/>
    <w:rsid w:val="005435B3"/>
    <w:rsid w:val="00550849"/>
    <w:rsid w:val="00554BF3"/>
    <w:rsid w:val="00555A63"/>
    <w:rsid w:val="0055655F"/>
    <w:rsid w:val="0055657D"/>
    <w:rsid w:val="0055700F"/>
    <w:rsid w:val="00560D0D"/>
    <w:rsid w:val="00562272"/>
    <w:rsid w:val="00565FB1"/>
    <w:rsid w:val="005662FB"/>
    <w:rsid w:val="00566332"/>
    <w:rsid w:val="00567781"/>
    <w:rsid w:val="00567ECC"/>
    <w:rsid w:val="005713B1"/>
    <w:rsid w:val="00572C23"/>
    <w:rsid w:val="00582603"/>
    <w:rsid w:val="00583090"/>
    <w:rsid w:val="005835F4"/>
    <w:rsid w:val="00583EFE"/>
    <w:rsid w:val="005841A3"/>
    <w:rsid w:val="00590EAE"/>
    <w:rsid w:val="0059112A"/>
    <w:rsid w:val="0059139F"/>
    <w:rsid w:val="00593216"/>
    <w:rsid w:val="00594BC3"/>
    <w:rsid w:val="00595ED3"/>
    <w:rsid w:val="00596CA7"/>
    <w:rsid w:val="00596DC8"/>
    <w:rsid w:val="00596E16"/>
    <w:rsid w:val="005A16A3"/>
    <w:rsid w:val="005A1C48"/>
    <w:rsid w:val="005A253A"/>
    <w:rsid w:val="005A5DFD"/>
    <w:rsid w:val="005A7627"/>
    <w:rsid w:val="005B0492"/>
    <w:rsid w:val="005B24D7"/>
    <w:rsid w:val="005B4421"/>
    <w:rsid w:val="005B445F"/>
    <w:rsid w:val="005B664B"/>
    <w:rsid w:val="005B7929"/>
    <w:rsid w:val="005C25D1"/>
    <w:rsid w:val="005C35A9"/>
    <w:rsid w:val="005C464B"/>
    <w:rsid w:val="005C604B"/>
    <w:rsid w:val="005C74A0"/>
    <w:rsid w:val="005D052C"/>
    <w:rsid w:val="005D16FE"/>
    <w:rsid w:val="005D4084"/>
    <w:rsid w:val="005D4777"/>
    <w:rsid w:val="005D4C2B"/>
    <w:rsid w:val="005E6518"/>
    <w:rsid w:val="005E7953"/>
    <w:rsid w:val="005E7E82"/>
    <w:rsid w:val="005F1373"/>
    <w:rsid w:val="005F2475"/>
    <w:rsid w:val="005F6144"/>
    <w:rsid w:val="005F6C28"/>
    <w:rsid w:val="005F7AB6"/>
    <w:rsid w:val="005F7E3C"/>
    <w:rsid w:val="00600FA8"/>
    <w:rsid w:val="006063DA"/>
    <w:rsid w:val="00606CE3"/>
    <w:rsid w:val="0060789A"/>
    <w:rsid w:val="00611DD3"/>
    <w:rsid w:val="00611EF0"/>
    <w:rsid w:val="00612219"/>
    <w:rsid w:val="00612E04"/>
    <w:rsid w:val="00617022"/>
    <w:rsid w:val="006173A4"/>
    <w:rsid w:val="00617C44"/>
    <w:rsid w:val="00622CE4"/>
    <w:rsid w:val="006234A7"/>
    <w:rsid w:val="00624480"/>
    <w:rsid w:val="00625917"/>
    <w:rsid w:val="0062789F"/>
    <w:rsid w:val="006301BE"/>
    <w:rsid w:val="0063096E"/>
    <w:rsid w:val="00633349"/>
    <w:rsid w:val="00633D61"/>
    <w:rsid w:val="0063402B"/>
    <w:rsid w:val="00634B09"/>
    <w:rsid w:val="00635F66"/>
    <w:rsid w:val="00636570"/>
    <w:rsid w:val="00637901"/>
    <w:rsid w:val="00637E1B"/>
    <w:rsid w:val="006402DF"/>
    <w:rsid w:val="0064164B"/>
    <w:rsid w:val="00644468"/>
    <w:rsid w:val="00645EFA"/>
    <w:rsid w:val="00645F5E"/>
    <w:rsid w:val="00647B1E"/>
    <w:rsid w:val="00647C55"/>
    <w:rsid w:val="0065008B"/>
    <w:rsid w:val="00651065"/>
    <w:rsid w:val="00653A3B"/>
    <w:rsid w:val="00653FD9"/>
    <w:rsid w:val="00654AE0"/>
    <w:rsid w:val="00654D42"/>
    <w:rsid w:val="00656328"/>
    <w:rsid w:val="00656486"/>
    <w:rsid w:val="00660279"/>
    <w:rsid w:val="00661B73"/>
    <w:rsid w:val="006622B9"/>
    <w:rsid w:val="00662E1E"/>
    <w:rsid w:val="0066371E"/>
    <w:rsid w:val="006671DE"/>
    <w:rsid w:val="006724AD"/>
    <w:rsid w:val="00672BAB"/>
    <w:rsid w:val="0067314A"/>
    <w:rsid w:val="00673D1E"/>
    <w:rsid w:val="006779CF"/>
    <w:rsid w:val="00677A8F"/>
    <w:rsid w:val="00677F8A"/>
    <w:rsid w:val="006821E3"/>
    <w:rsid w:val="00683AD6"/>
    <w:rsid w:val="006842AE"/>
    <w:rsid w:val="0069097D"/>
    <w:rsid w:val="00695FFE"/>
    <w:rsid w:val="006A5773"/>
    <w:rsid w:val="006A5804"/>
    <w:rsid w:val="006A58F0"/>
    <w:rsid w:val="006B0372"/>
    <w:rsid w:val="006B0764"/>
    <w:rsid w:val="006B4467"/>
    <w:rsid w:val="006B6C46"/>
    <w:rsid w:val="006B6E78"/>
    <w:rsid w:val="006C0039"/>
    <w:rsid w:val="006C1927"/>
    <w:rsid w:val="006C2585"/>
    <w:rsid w:val="006C2587"/>
    <w:rsid w:val="006C4008"/>
    <w:rsid w:val="006C5931"/>
    <w:rsid w:val="006C73EF"/>
    <w:rsid w:val="006D1723"/>
    <w:rsid w:val="006D5D3F"/>
    <w:rsid w:val="006D60ED"/>
    <w:rsid w:val="006E1166"/>
    <w:rsid w:val="006E1ABA"/>
    <w:rsid w:val="006E596E"/>
    <w:rsid w:val="006F033F"/>
    <w:rsid w:val="006F24D8"/>
    <w:rsid w:val="006F3149"/>
    <w:rsid w:val="006F33B8"/>
    <w:rsid w:val="006F4C9C"/>
    <w:rsid w:val="006F640F"/>
    <w:rsid w:val="006F762A"/>
    <w:rsid w:val="00701B6B"/>
    <w:rsid w:val="0070384F"/>
    <w:rsid w:val="00703A9E"/>
    <w:rsid w:val="00703D6D"/>
    <w:rsid w:val="00704152"/>
    <w:rsid w:val="00704FB5"/>
    <w:rsid w:val="00706B71"/>
    <w:rsid w:val="0071277A"/>
    <w:rsid w:val="00712EE5"/>
    <w:rsid w:val="00713493"/>
    <w:rsid w:val="00713494"/>
    <w:rsid w:val="00714031"/>
    <w:rsid w:val="0071466E"/>
    <w:rsid w:val="00714A6C"/>
    <w:rsid w:val="00714CD3"/>
    <w:rsid w:val="00715D2E"/>
    <w:rsid w:val="007206A8"/>
    <w:rsid w:val="0072116D"/>
    <w:rsid w:val="0072121B"/>
    <w:rsid w:val="0072226F"/>
    <w:rsid w:val="00725625"/>
    <w:rsid w:val="00725B78"/>
    <w:rsid w:val="00725F5A"/>
    <w:rsid w:val="00727082"/>
    <w:rsid w:val="00730000"/>
    <w:rsid w:val="0073233C"/>
    <w:rsid w:val="00732D0C"/>
    <w:rsid w:val="00733EAD"/>
    <w:rsid w:val="00734F54"/>
    <w:rsid w:val="007378E9"/>
    <w:rsid w:val="00737C04"/>
    <w:rsid w:val="00744110"/>
    <w:rsid w:val="00744595"/>
    <w:rsid w:val="00746860"/>
    <w:rsid w:val="00747A52"/>
    <w:rsid w:val="00750F1E"/>
    <w:rsid w:val="00751C12"/>
    <w:rsid w:val="00752691"/>
    <w:rsid w:val="007528F2"/>
    <w:rsid w:val="007575C4"/>
    <w:rsid w:val="00763700"/>
    <w:rsid w:val="0076427C"/>
    <w:rsid w:val="00764DDF"/>
    <w:rsid w:val="00765217"/>
    <w:rsid w:val="007659AA"/>
    <w:rsid w:val="0077266C"/>
    <w:rsid w:val="00772802"/>
    <w:rsid w:val="0077461B"/>
    <w:rsid w:val="00775066"/>
    <w:rsid w:val="00775D76"/>
    <w:rsid w:val="00775FC0"/>
    <w:rsid w:val="00776406"/>
    <w:rsid w:val="0078005A"/>
    <w:rsid w:val="00781B6F"/>
    <w:rsid w:val="00781F9C"/>
    <w:rsid w:val="00782DFD"/>
    <w:rsid w:val="00784424"/>
    <w:rsid w:val="00784927"/>
    <w:rsid w:val="00785474"/>
    <w:rsid w:val="00787B99"/>
    <w:rsid w:val="0079421C"/>
    <w:rsid w:val="0079526D"/>
    <w:rsid w:val="00795A2C"/>
    <w:rsid w:val="00797390"/>
    <w:rsid w:val="00797E98"/>
    <w:rsid w:val="007A05B6"/>
    <w:rsid w:val="007A1C0A"/>
    <w:rsid w:val="007A1C59"/>
    <w:rsid w:val="007A492C"/>
    <w:rsid w:val="007A5B41"/>
    <w:rsid w:val="007A76AA"/>
    <w:rsid w:val="007B04C7"/>
    <w:rsid w:val="007B5792"/>
    <w:rsid w:val="007C31E2"/>
    <w:rsid w:val="007C5CE1"/>
    <w:rsid w:val="007C6F85"/>
    <w:rsid w:val="007D0569"/>
    <w:rsid w:val="007D16B1"/>
    <w:rsid w:val="007D19E4"/>
    <w:rsid w:val="007D46CC"/>
    <w:rsid w:val="007D7400"/>
    <w:rsid w:val="007D7761"/>
    <w:rsid w:val="007D79FF"/>
    <w:rsid w:val="007E02A7"/>
    <w:rsid w:val="007E468A"/>
    <w:rsid w:val="007E51A5"/>
    <w:rsid w:val="007E7F4C"/>
    <w:rsid w:val="007F233F"/>
    <w:rsid w:val="007F251F"/>
    <w:rsid w:val="007F3018"/>
    <w:rsid w:val="00804D33"/>
    <w:rsid w:val="008060C3"/>
    <w:rsid w:val="008063A1"/>
    <w:rsid w:val="00807F00"/>
    <w:rsid w:val="00812095"/>
    <w:rsid w:val="008134BD"/>
    <w:rsid w:val="00814656"/>
    <w:rsid w:val="00817355"/>
    <w:rsid w:val="00820E45"/>
    <w:rsid w:val="00821E2C"/>
    <w:rsid w:val="00822835"/>
    <w:rsid w:val="00826758"/>
    <w:rsid w:val="008353E0"/>
    <w:rsid w:val="008365F0"/>
    <w:rsid w:val="00840D7D"/>
    <w:rsid w:val="00841534"/>
    <w:rsid w:val="008462F1"/>
    <w:rsid w:val="00846930"/>
    <w:rsid w:val="00850FDE"/>
    <w:rsid w:val="00852876"/>
    <w:rsid w:val="008543F5"/>
    <w:rsid w:val="00855004"/>
    <w:rsid w:val="0085668F"/>
    <w:rsid w:val="008572C4"/>
    <w:rsid w:val="0085733E"/>
    <w:rsid w:val="008604A8"/>
    <w:rsid w:val="00861AFA"/>
    <w:rsid w:val="00863C61"/>
    <w:rsid w:val="00865522"/>
    <w:rsid w:val="00865ADF"/>
    <w:rsid w:val="0086644C"/>
    <w:rsid w:val="00866686"/>
    <w:rsid w:val="008666B5"/>
    <w:rsid w:val="008703B3"/>
    <w:rsid w:val="00870900"/>
    <w:rsid w:val="00870CF0"/>
    <w:rsid w:val="008740B5"/>
    <w:rsid w:val="00874936"/>
    <w:rsid w:val="00876985"/>
    <w:rsid w:val="00877971"/>
    <w:rsid w:val="008821BE"/>
    <w:rsid w:val="00883780"/>
    <w:rsid w:val="00883B99"/>
    <w:rsid w:val="00885066"/>
    <w:rsid w:val="00885F85"/>
    <w:rsid w:val="0088665E"/>
    <w:rsid w:val="008923C8"/>
    <w:rsid w:val="00893260"/>
    <w:rsid w:val="00893269"/>
    <w:rsid w:val="008932A8"/>
    <w:rsid w:val="00893756"/>
    <w:rsid w:val="00894A9E"/>
    <w:rsid w:val="008950F6"/>
    <w:rsid w:val="00896815"/>
    <w:rsid w:val="00897605"/>
    <w:rsid w:val="008A0744"/>
    <w:rsid w:val="008A0A6E"/>
    <w:rsid w:val="008A0D0F"/>
    <w:rsid w:val="008A2FB3"/>
    <w:rsid w:val="008A3347"/>
    <w:rsid w:val="008A398B"/>
    <w:rsid w:val="008A4674"/>
    <w:rsid w:val="008A5601"/>
    <w:rsid w:val="008A59AD"/>
    <w:rsid w:val="008B0299"/>
    <w:rsid w:val="008B0EEB"/>
    <w:rsid w:val="008B431D"/>
    <w:rsid w:val="008B51FD"/>
    <w:rsid w:val="008B6AF9"/>
    <w:rsid w:val="008B7186"/>
    <w:rsid w:val="008C177A"/>
    <w:rsid w:val="008C1939"/>
    <w:rsid w:val="008C3396"/>
    <w:rsid w:val="008C621C"/>
    <w:rsid w:val="008C697C"/>
    <w:rsid w:val="008C75ED"/>
    <w:rsid w:val="008C7649"/>
    <w:rsid w:val="008D1F0F"/>
    <w:rsid w:val="008D43E4"/>
    <w:rsid w:val="008D653C"/>
    <w:rsid w:val="008E0991"/>
    <w:rsid w:val="008E338E"/>
    <w:rsid w:val="008E4B1D"/>
    <w:rsid w:val="008E57FE"/>
    <w:rsid w:val="008E7391"/>
    <w:rsid w:val="008F2665"/>
    <w:rsid w:val="008F34E7"/>
    <w:rsid w:val="008F507E"/>
    <w:rsid w:val="008F6376"/>
    <w:rsid w:val="0090086E"/>
    <w:rsid w:val="00900CC2"/>
    <w:rsid w:val="00900F14"/>
    <w:rsid w:val="009019FB"/>
    <w:rsid w:val="00903310"/>
    <w:rsid w:val="00905B05"/>
    <w:rsid w:val="0090753C"/>
    <w:rsid w:val="00911B66"/>
    <w:rsid w:val="00912A7E"/>
    <w:rsid w:val="00915330"/>
    <w:rsid w:val="00916E69"/>
    <w:rsid w:val="00917525"/>
    <w:rsid w:val="0091777D"/>
    <w:rsid w:val="0092057D"/>
    <w:rsid w:val="009218DE"/>
    <w:rsid w:val="009219FE"/>
    <w:rsid w:val="00922251"/>
    <w:rsid w:val="00922D00"/>
    <w:rsid w:val="0092368D"/>
    <w:rsid w:val="00923F17"/>
    <w:rsid w:val="009266DA"/>
    <w:rsid w:val="00930DE8"/>
    <w:rsid w:val="009318DD"/>
    <w:rsid w:val="00935413"/>
    <w:rsid w:val="00935F5D"/>
    <w:rsid w:val="009368E0"/>
    <w:rsid w:val="0094260B"/>
    <w:rsid w:val="00942661"/>
    <w:rsid w:val="00942705"/>
    <w:rsid w:val="00945307"/>
    <w:rsid w:val="0094558D"/>
    <w:rsid w:val="00946FCE"/>
    <w:rsid w:val="009515BC"/>
    <w:rsid w:val="00953ED0"/>
    <w:rsid w:val="0095492E"/>
    <w:rsid w:val="00955F7D"/>
    <w:rsid w:val="0096242F"/>
    <w:rsid w:val="00962E3B"/>
    <w:rsid w:val="00962FF5"/>
    <w:rsid w:val="00964A4E"/>
    <w:rsid w:val="00965B02"/>
    <w:rsid w:val="00965C07"/>
    <w:rsid w:val="00965D2D"/>
    <w:rsid w:val="00967538"/>
    <w:rsid w:val="00971847"/>
    <w:rsid w:val="00972964"/>
    <w:rsid w:val="0097762F"/>
    <w:rsid w:val="009816B8"/>
    <w:rsid w:val="00981CDF"/>
    <w:rsid w:val="00983B45"/>
    <w:rsid w:val="0098730E"/>
    <w:rsid w:val="0098766F"/>
    <w:rsid w:val="00993912"/>
    <w:rsid w:val="0099399B"/>
    <w:rsid w:val="00994050"/>
    <w:rsid w:val="009962CF"/>
    <w:rsid w:val="009969D6"/>
    <w:rsid w:val="009A2352"/>
    <w:rsid w:val="009A4543"/>
    <w:rsid w:val="009A5DB1"/>
    <w:rsid w:val="009A7C5A"/>
    <w:rsid w:val="009A7E51"/>
    <w:rsid w:val="009B21B9"/>
    <w:rsid w:val="009B4CD0"/>
    <w:rsid w:val="009B4DA7"/>
    <w:rsid w:val="009C21C6"/>
    <w:rsid w:val="009C383B"/>
    <w:rsid w:val="009C3A80"/>
    <w:rsid w:val="009C445F"/>
    <w:rsid w:val="009C4F26"/>
    <w:rsid w:val="009C5238"/>
    <w:rsid w:val="009D12B4"/>
    <w:rsid w:val="009D1E70"/>
    <w:rsid w:val="009D2135"/>
    <w:rsid w:val="009D235D"/>
    <w:rsid w:val="009D2FA7"/>
    <w:rsid w:val="009D4CAE"/>
    <w:rsid w:val="009D55F9"/>
    <w:rsid w:val="009D578D"/>
    <w:rsid w:val="009D5A11"/>
    <w:rsid w:val="009D7760"/>
    <w:rsid w:val="009E16E6"/>
    <w:rsid w:val="009E2953"/>
    <w:rsid w:val="009E30CE"/>
    <w:rsid w:val="009E394A"/>
    <w:rsid w:val="009F04C3"/>
    <w:rsid w:val="009F0760"/>
    <w:rsid w:val="009F1E1A"/>
    <w:rsid w:val="009F3B29"/>
    <w:rsid w:val="009F4860"/>
    <w:rsid w:val="00A00057"/>
    <w:rsid w:val="00A00485"/>
    <w:rsid w:val="00A01A5F"/>
    <w:rsid w:val="00A02C96"/>
    <w:rsid w:val="00A02E65"/>
    <w:rsid w:val="00A0340A"/>
    <w:rsid w:val="00A0440C"/>
    <w:rsid w:val="00A048FA"/>
    <w:rsid w:val="00A0585F"/>
    <w:rsid w:val="00A0694A"/>
    <w:rsid w:val="00A07005"/>
    <w:rsid w:val="00A10A30"/>
    <w:rsid w:val="00A1137C"/>
    <w:rsid w:val="00A113D7"/>
    <w:rsid w:val="00A11F0F"/>
    <w:rsid w:val="00A16126"/>
    <w:rsid w:val="00A210E8"/>
    <w:rsid w:val="00A220A2"/>
    <w:rsid w:val="00A24133"/>
    <w:rsid w:val="00A262BF"/>
    <w:rsid w:val="00A273F1"/>
    <w:rsid w:val="00A27809"/>
    <w:rsid w:val="00A30533"/>
    <w:rsid w:val="00A317B0"/>
    <w:rsid w:val="00A322C3"/>
    <w:rsid w:val="00A34591"/>
    <w:rsid w:val="00A34E44"/>
    <w:rsid w:val="00A3640F"/>
    <w:rsid w:val="00A40CE2"/>
    <w:rsid w:val="00A430EB"/>
    <w:rsid w:val="00A435B5"/>
    <w:rsid w:val="00A443AC"/>
    <w:rsid w:val="00A47176"/>
    <w:rsid w:val="00A475C5"/>
    <w:rsid w:val="00A4768C"/>
    <w:rsid w:val="00A50A68"/>
    <w:rsid w:val="00A50D3B"/>
    <w:rsid w:val="00A518AA"/>
    <w:rsid w:val="00A56348"/>
    <w:rsid w:val="00A5703F"/>
    <w:rsid w:val="00A57D39"/>
    <w:rsid w:val="00A6316B"/>
    <w:rsid w:val="00A6396F"/>
    <w:rsid w:val="00A646DC"/>
    <w:rsid w:val="00A65316"/>
    <w:rsid w:val="00A674FF"/>
    <w:rsid w:val="00A70F69"/>
    <w:rsid w:val="00A72611"/>
    <w:rsid w:val="00A7289B"/>
    <w:rsid w:val="00A73ABB"/>
    <w:rsid w:val="00A73C66"/>
    <w:rsid w:val="00A76D2C"/>
    <w:rsid w:val="00A77746"/>
    <w:rsid w:val="00A806AA"/>
    <w:rsid w:val="00A83BF6"/>
    <w:rsid w:val="00A85BF5"/>
    <w:rsid w:val="00A86318"/>
    <w:rsid w:val="00A87F31"/>
    <w:rsid w:val="00A90D27"/>
    <w:rsid w:val="00A9103B"/>
    <w:rsid w:val="00A91284"/>
    <w:rsid w:val="00A918A7"/>
    <w:rsid w:val="00A92871"/>
    <w:rsid w:val="00A92B3D"/>
    <w:rsid w:val="00A955EB"/>
    <w:rsid w:val="00AA1AFE"/>
    <w:rsid w:val="00AA1F49"/>
    <w:rsid w:val="00AA3A2E"/>
    <w:rsid w:val="00AA4099"/>
    <w:rsid w:val="00AA6913"/>
    <w:rsid w:val="00AB2190"/>
    <w:rsid w:val="00AB39EB"/>
    <w:rsid w:val="00AB3F27"/>
    <w:rsid w:val="00AB3FD9"/>
    <w:rsid w:val="00AB7DE7"/>
    <w:rsid w:val="00AC1BE7"/>
    <w:rsid w:val="00AC275F"/>
    <w:rsid w:val="00AC50A4"/>
    <w:rsid w:val="00AC5A95"/>
    <w:rsid w:val="00AC6074"/>
    <w:rsid w:val="00AC6471"/>
    <w:rsid w:val="00AC75AB"/>
    <w:rsid w:val="00AD1751"/>
    <w:rsid w:val="00AD2B6E"/>
    <w:rsid w:val="00AD3443"/>
    <w:rsid w:val="00AD41D6"/>
    <w:rsid w:val="00AD4B3C"/>
    <w:rsid w:val="00AD68A5"/>
    <w:rsid w:val="00AE185D"/>
    <w:rsid w:val="00AE1BFE"/>
    <w:rsid w:val="00AE3842"/>
    <w:rsid w:val="00AE3D83"/>
    <w:rsid w:val="00AE4374"/>
    <w:rsid w:val="00AE485C"/>
    <w:rsid w:val="00AE4B42"/>
    <w:rsid w:val="00AE74DC"/>
    <w:rsid w:val="00AE7D4F"/>
    <w:rsid w:val="00AE7FE4"/>
    <w:rsid w:val="00AF0572"/>
    <w:rsid w:val="00AF17D3"/>
    <w:rsid w:val="00AF1D77"/>
    <w:rsid w:val="00AF2191"/>
    <w:rsid w:val="00AF38BA"/>
    <w:rsid w:val="00AF4F67"/>
    <w:rsid w:val="00AF5811"/>
    <w:rsid w:val="00AF6509"/>
    <w:rsid w:val="00B00BBE"/>
    <w:rsid w:val="00B022E5"/>
    <w:rsid w:val="00B03CA5"/>
    <w:rsid w:val="00B0456E"/>
    <w:rsid w:val="00B0490E"/>
    <w:rsid w:val="00B06A05"/>
    <w:rsid w:val="00B06BF6"/>
    <w:rsid w:val="00B06F7F"/>
    <w:rsid w:val="00B100F0"/>
    <w:rsid w:val="00B1402E"/>
    <w:rsid w:val="00B14865"/>
    <w:rsid w:val="00B16887"/>
    <w:rsid w:val="00B21D50"/>
    <w:rsid w:val="00B22F9B"/>
    <w:rsid w:val="00B23747"/>
    <w:rsid w:val="00B24090"/>
    <w:rsid w:val="00B257E3"/>
    <w:rsid w:val="00B260C7"/>
    <w:rsid w:val="00B27494"/>
    <w:rsid w:val="00B279B9"/>
    <w:rsid w:val="00B27BFD"/>
    <w:rsid w:val="00B3220D"/>
    <w:rsid w:val="00B34F48"/>
    <w:rsid w:val="00B5105A"/>
    <w:rsid w:val="00B510E4"/>
    <w:rsid w:val="00B51BA0"/>
    <w:rsid w:val="00B535BD"/>
    <w:rsid w:val="00B53701"/>
    <w:rsid w:val="00B56A26"/>
    <w:rsid w:val="00B6079C"/>
    <w:rsid w:val="00B6110A"/>
    <w:rsid w:val="00B6176A"/>
    <w:rsid w:val="00B628CD"/>
    <w:rsid w:val="00B62ADA"/>
    <w:rsid w:val="00B6301A"/>
    <w:rsid w:val="00B64CAD"/>
    <w:rsid w:val="00B66751"/>
    <w:rsid w:val="00B67AA6"/>
    <w:rsid w:val="00B7066C"/>
    <w:rsid w:val="00B717D8"/>
    <w:rsid w:val="00B723F9"/>
    <w:rsid w:val="00B72DF3"/>
    <w:rsid w:val="00B74146"/>
    <w:rsid w:val="00B7482F"/>
    <w:rsid w:val="00B76F6C"/>
    <w:rsid w:val="00B8080B"/>
    <w:rsid w:val="00B811EF"/>
    <w:rsid w:val="00B86EF1"/>
    <w:rsid w:val="00B90674"/>
    <w:rsid w:val="00B934E3"/>
    <w:rsid w:val="00B94323"/>
    <w:rsid w:val="00B9566B"/>
    <w:rsid w:val="00B961B7"/>
    <w:rsid w:val="00B963D4"/>
    <w:rsid w:val="00B9772B"/>
    <w:rsid w:val="00BA09AF"/>
    <w:rsid w:val="00BA2DEF"/>
    <w:rsid w:val="00BA42FB"/>
    <w:rsid w:val="00BA4768"/>
    <w:rsid w:val="00BA4D21"/>
    <w:rsid w:val="00BA516F"/>
    <w:rsid w:val="00BA628C"/>
    <w:rsid w:val="00BA7059"/>
    <w:rsid w:val="00BA7397"/>
    <w:rsid w:val="00BB0051"/>
    <w:rsid w:val="00BB02C6"/>
    <w:rsid w:val="00BB1082"/>
    <w:rsid w:val="00BB2127"/>
    <w:rsid w:val="00BB3805"/>
    <w:rsid w:val="00BB52A5"/>
    <w:rsid w:val="00BB6740"/>
    <w:rsid w:val="00BB7EA1"/>
    <w:rsid w:val="00BB7F81"/>
    <w:rsid w:val="00BC0B9F"/>
    <w:rsid w:val="00BC269B"/>
    <w:rsid w:val="00BC27D2"/>
    <w:rsid w:val="00BD35E1"/>
    <w:rsid w:val="00BD54FC"/>
    <w:rsid w:val="00BD63C3"/>
    <w:rsid w:val="00BD67CE"/>
    <w:rsid w:val="00BD76A4"/>
    <w:rsid w:val="00BD7F8A"/>
    <w:rsid w:val="00BE1C8A"/>
    <w:rsid w:val="00BE4857"/>
    <w:rsid w:val="00BE4E8E"/>
    <w:rsid w:val="00BE5847"/>
    <w:rsid w:val="00BE5BE0"/>
    <w:rsid w:val="00BE70E8"/>
    <w:rsid w:val="00BF0E76"/>
    <w:rsid w:val="00BF19DC"/>
    <w:rsid w:val="00BF1AE4"/>
    <w:rsid w:val="00BF2B3E"/>
    <w:rsid w:val="00BF2DAF"/>
    <w:rsid w:val="00BF3978"/>
    <w:rsid w:val="00BF4E1B"/>
    <w:rsid w:val="00BF505C"/>
    <w:rsid w:val="00C0480F"/>
    <w:rsid w:val="00C1043C"/>
    <w:rsid w:val="00C12A51"/>
    <w:rsid w:val="00C12CD1"/>
    <w:rsid w:val="00C132C7"/>
    <w:rsid w:val="00C1591E"/>
    <w:rsid w:val="00C163A9"/>
    <w:rsid w:val="00C20CFC"/>
    <w:rsid w:val="00C20D36"/>
    <w:rsid w:val="00C21038"/>
    <w:rsid w:val="00C2396B"/>
    <w:rsid w:val="00C2785F"/>
    <w:rsid w:val="00C30BA6"/>
    <w:rsid w:val="00C31467"/>
    <w:rsid w:val="00C34CCB"/>
    <w:rsid w:val="00C34D57"/>
    <w:rsid w:val="00C35515"/>
    <w:rsid w:val="00C35807"/>
    <w:rsid w:val="00C35A4B"/>
    <w:rsid w:val="00C36696"/>
    <w:rsid w:val="00C36720"/>
    <w:rsid w:val="00C37518"/>
    <w:rsid w:val="00C37F00"/>
    <w:rsid w:val="00C421C9"/>
    <w:rsid w:val="00C42A3A"/>
    <w:rsid w:val="00C44C9C"/>
    <w:rsid w:val="00C4517F"/>
    <w:rsid w:val="00C45232"/>
    <w:rsid w:val="00C464A7"/>
    <w:rsid w:val="00C46E94"/>
    <w:rsid w:val="00C52BA5"/>
    <w:rsid w:val="00C53323"/>
    <w:rsid w:val="00C54D8C"/>
    <w:rsid w:val="00C63082"/>
    <w:rsid w:val="00C66CEF"/>
    <w:rsid w:val="00C670FE"/>
    <w:rsid w:val="00C71087"/>
    <w:rsid w:val="00C71E3C"/>
    <w:rsid w:val="00C752F4"/>
    <w:rsid w:val="00C75492"/>
    <w:rsid w:val="00C77C78"/>
    <w:rsid w:val="00C8146C"/>
    <w:rsid w:val="00C846DD"/>
    <w:rsid w:val="00C850CC"/>
    <w:rsid w:val="00C85CA6"/>
    <w:rsid w:val="00C87C13"/>
    <w:rsid w:val="00C9007B"/>
    <w:rsid w:val="00C90C9A"/>
    <w:rsid w:val="00C9147E"/>
    <w:rsid w:val="00C9223D"/>
    <w:rsid w:val="00C925ED"/>
    <w:rsid w:val="00C9339F"/>
    <w:rsid w:val="00C947B5"/>
    <w:rsid w:val="00C96A10"/>
    <w:rsid w:val="00C9753B"/>
    <w:rsid w:val="00C97EAE"/>
    <w:rsid w:val="00CA0C87"/>
    <w:rsid w:val="00CA19CD"/>
    <w:rsid w:val="00CA4A62"/>
    <w:rsid w:val="00CA51A2"/>
    <w:rsid w:val="00CA55DB"/>
    <w:rsid w:val="00CA561E"/>
    <w:rsid w:val="00CA659E"/>
    <w:rsid w:val="00CB23DD"/>
    <w:rsid w:val="00CB2757"/>
    <w:rsid w:val="00CB2FE7"/>
    <w:rsid w:val="00CB3B57"/>
    <w:rsid w:val="00CB42AE"/>
    <w:rsid w:val="00CB6768"/>
    <w:rsid w:val="00CC17DB"/>
    <w:rsid w:val="00CC2F01"/>
    <w:rsid w:val="00CC6453"/>
    <w:rsid w:val="00CD2D8A"/>
    <w:rsid w:val="00CD31EA"/>
    <w:rsid w:val="00CD5160"/>
    <w:rsid w:val="00CD5377"/>
    <w:rsid w:val="00CD692F"/>
    <w:rsid w:val="00CE0392"/>
    <w:rsid w:val="00CE03C1"/>
    <w:rsid w:val="00CE5481"/>
    <w:rsid w:val="00CE5866"/>
    <w:rsid w:val="00CF0045"/>
    <w:rsid w:val="00CF090A"/>
    <w:rsid w:val="00CF375C"/>
    <w:rsid w:val="00CF3F6E"/>
    <w:rsid w:val="00CF4BE9"/>
    <w:rsid w:val="00CF4EA8"/>
    <w:rsid w:val="00CF7194"/>
    <w:rsid w:val="00CF7C90"/>
    <w:rsid w:val="00CF7EA0"/>
    <w:rsid w:val="00D00600"/>
    <w:rsid w:val="00D01CBE"/>
    <w:rsid w:val="00D0329F"/>
    <w:rsid w:val="00D06299"/>
    <w:rsid w:val="00D10089"/>
    <w:rsid w:val="00D1045D"/>
    <w:rsid w:val="00D133AA"/>
    <w:rsid w:val="00D13B0B"/>
    <w:rsid w:val="00D13CCF"/>
    <w:rsid w:val="00D14CF7"/>
    <w:rsid w:val="00D15E67"/>
    <w:rsid w:val="00D17A7D"/>
    <w:rsid w:val="00D20ABB"/>
    <w:rsid w:val="00D21CDD"/>
    <w:rsid w:val="00D24AEE"/>
    <w:rsid w:val="00D26A33"/>
    <w:rsid w:val="00D3073E"/>
    <w:rsid w:val="00D31676"/>
    <w:rsid w:val="00D316C8"/>
    <w:rsid w:val="00D337D5"/>
    <w:rsid w:val="00D33905"/>
    <w:rsid w:val="00D34817"/>
    <w:rsid w:val="00D365BB"/>
    <w:rsid w:val="00D3795A"/>
    <w:rsid w:val="00D37AB5"/>
    <w:rsid w:val="00D40C74"/>
    <w:rsid w:val="00D42CD2"/>
    <w:rsid w:val="00D43282"/>
    <w:rsid w:val="00D43EA4"/>
    <w:rsid w:val="00D44508"/>
    <w:rsid w:val="00D47810"/>
    <w:rsid w:val="00D507D3"/>
    <w:rsid w:val="00D5128E"/>
    <w:rsid w:val="00D512ED"/>
    <w:rsid w:val="00D52FD0"/>
    <w:rsid w:val="00D54385"/>
    <w:rsid w:val="00D55E3F"/>
    <w:rsid w:val="00D6259C"/>
    <w:rsid w:val="00D63B91"/>
    <w:rsid w:val="00D64A4A"/>
    <w:rsid w:val="00D6679C"/>
    <w:rsid w:val="00D73EE6"/>
    <w:rsid w:val="00D742D2"/>
    <w:rsid w:val="00D744DC"/>
    <w:rsid w:val="00D75CF7"/>
    <w:rsid w:val="00D75F59"/>
    <w:rsid w:val="00D776C3"/>
    <w:rsid w:val="00D80153"/>
    <w:rsid w:val="00D81AC7"/>
    <w:rsid w:val="00D8495C"/>
    <w:rsid w:val="00D86737"/>
    <w:rsid w:val="00D8696A"/>
    <w:rsid w:val="00D9153B"/>
    <w:rsid w:val="00D95903"/>
    <w:rsid w:val="00D95D78"/>
    <w:rsid w:val="00DA0810"/>
    <w:rsid w:val="00DA3FCE"/>
    <w:rsid w:val="00DA5392"/>
    <w:rsid w:val="00DB3675"/>
    <w:rsid w:val="00DB4203"/>
    <w:rsid w:val="00DB4FDB"/>
    <w:rsid w:val="00DB7CA1"/>
    <w:rsid w:val="00DC25DA"/>
    <w:rsid w:val="00DC4C59"/>
    <w:rsid w:val="00DC5149"/>
    <w:rsid w:val="00DC69AF"/>
    <w:rsid w:val="00DD1B88"/>
    <w:rsid w:val="00DD3C08"/>
    <w:rsid w:val="00DE0476"/>
    <w:rsid w:val="00DE2AAC"/>
    <w:rsid w:val="00DE57F4"/>
    <w:rsid w:val="00DE7ACD"/>
    <w:rsid w:val="00DF1125"/>
    <w:rsid w:val="00DF27AC"/>
    <w:rsid w:val="00DF28E7"/>
    <w:rsid w:val="00DF399A"/>
    <w:rsid w:val="00DF3BD2"/>
    <w:rsid w:val="00DF6280"/>
    <w:rsid w:val="00DF7B14"/>
    <w:rsid w:val="00E00009"/>
    <w:rsid w:val="00E01667"/>
    <w:rsid w:val="00E01948"/>
    <w:rsid w:val="00E01EF4"/>
    <w:rsid w:val="00E02CF2"/>
    <w:rsid w:val="00E04947"/>
    <w:rsid w:val="00E069F7"/>
    <w:rsid w:val="00E06C35"/>
    <w:rsid w:val="00E0710D"/>
    <w:rsid w:val="00E07F71"/>
    <w:rsid w:val="00E114D8"/>
    <w:rsid w:val="00E1347F"/>
    <w:rsid w:val="00E14524"/>
    <w:rsid w:val="00E14D46"/>
    <w:rsid w:val="00E1621B"/>
    <w:rsid w:val="00E21114"/>
    <w:rsid w:val="00E22B84"/>
    <w:rsid w:val="00E26045"/>
    <w:rsid w:val="00E26BDB"/>
    <w:rsid w:val="00E27304"/>
    <w:rsid w:val="00E337F5"/>
    <w:rsid w:val="00E339E4"/>
    <w:rsid w:val="00E34EBC"/>
    <w:rsid w:val="00E37211"/>
    <w:rsid w:val="00E37848"/>
    <w:rsid w:val="00E4034D"/>
    <w:rsid w:val="00E404B3"/>
    <w:rsid w:val="00E41EE7"/>
    <w:rsid w:val="00E42084"/>
    <w:rsid w:val="00E4476C"/>
    <w:rsid w:val="00E44854"/>
    <w:rsid w:val="00E552A9"/>
    <w:rsid w:val="00E55808"/>
    <w:rsid w:val="00E559EA"/>
    <w:rsid w:val="00E5696D"/>
    <w:rsid w:val="00E56E45"/>
    <w:rsid w:val="00E60DB1"/>
    <w:rsid w:val="00E6161C"/>
    <w:rsid w:val="00E62DEC"/>
    <w:rsid w:val="00E63233"/>
    <w:rsid w:val="00E64D46"/>
    <w:rsid w:val="00E65F8A"/>
    <w:rsid w:val="00E66ECB"/>
    <w:rsid w:val="00E67486"/>
    <w:rsid w:val="00E727CE"/>
    <w:rsid w:val="00E749E1"/>
    <w:rsid w:val="00E8007A"/>
    <w:rsid w:val="00E80578"/>
    <w:rsid w:val="00E80B43"/>
    <w:rsid w:val="00E80F07"/>
    <w:rsid w:val="00E833CB"/>
    <w:rsid w:val="00E83995"/>
    <w:rsid w:val="00E83CBA"/>
    <w:rsid w:val="00E83D2E"/>
    <w:rsid w:val="00E83FB2"/>
    <w:rsid w:val="00E85CE0"/>
    <w:rsid w:val="00E90615"/>
    <w:rsid w:val="00E91FE0"/>
    <w:rsid w:val="00E95AC2"/>
    <w:rsid w:val="00E97167"/>
    <w:rsid w:val="00E9744E"/>
    <w:rsid w:val="00E97DBB"/>
    <w:rsid w:val="00EA0169"/>
    <w:rsid w:val="00EA0E82"/>
    <w:rsid w:val="00EA3781"/>
    <w:rsid w:val="00EA4872"/>
    <w:rsid w:val="00EA5023"/>
    <w:rsid w:val="00EA7061"/>
    <w:rsid w:val="00EB13FE"/>
    <w:rsid w:val="00EB1FCA"/>
    <w:rsid w:val="00EB254B"/>
    <w:rsid w:val="00EB374B"/>
    <w:rsid w:val="00EB39F1"/>
    <w:rsid w:val="00EB472E"/>
    <w:rsid w:val="00EB5434"/>
    <w:rsid w:val="00EB5D6C"/>
    <w:rsid w:val="00EB6A9B"/>
    <w:rsid w:val="00EB76D6"/>
    <w:rsid w:val="00EC0178"/>
    <w:rsid w:val="00EC049F"/>
    <w:rsid w:val="00EC483F"/>
    <w:rsid w:val="00EC5526"/>
    <w:rsid w:val="00ED024E"/>
    <w:rsid w:val="00ED117A"/>
    <w:rsid w:val="00ED194C"/>
    <w:rsid w:val="00ED2C26"/>
    <w:rsid w:val="00ED3898"/>
    <w:rsid w:val="00ED4F63"/>
    <w:rsid w:val="00ED5EC2"/>
    <w:rsid w:val="00EE0DF2"/>
    <w:rsid w:val="00EE21DD"/>
    <w:rsid w:val="00EE293A"/>
    <w:rsid w:val="00EE3914"/>
    <w:rsid w:val="00EE56DF"/>
    <w:rsid w:val="00EF1A24"/>
    <w:rsid w:val="00EF1BF1"/>
    <w:rsid w:val="00EF71E1"/>
    <w:rsid w:val="00F01BD5"/>
    <w:rsid w:val="00F0264E"/>
    <w:rsid w:val="00F026A6"/>
    <w:rsid w:val="00F05EAF"/>
    <w:rsid w:val="00F06D7C"/>
    <w:rsid w:val="00F1049D"/>
    <w:rsid w:val="00F119F0"/>
    <w:rsid w:val="00F12A19"/>
    <w:rsid w:val="00F147FD"/>
    <w:rsid w:val="00F15FC1"/>
    <w:rsid w:val="00F17762"/>
    <w:rsid w:val="00F23C5A"/>
    <w:rsid w:val="00F23E91"/>
    <w:rsid w:val="00F25540"/>
    <w:rsid w:val="00F25E30"/>
    <w:rsid w:val="00F277D4"/>
    <w:rsid w:val="00F307EF"/>
    <w:rsid w:val="00F31104"/>
    <w:rsid w:val="00F33E65"/>
    <w:rsid w:val="00F34E93"/>
    <w:rsid w:val="00F4474B"/>
    <w:rsid w:val="00F513E5"/>
    <w:rsid w:val="00F51C5A"/>
    <w:rsid w:val="00F5219B"/>
    <w:rsid w:val="00F53138"/>
    <w:rsid w:val="00F534C0"/>
    <w:rsid w:val="00F54022"/>
    <w:rsid w:val="00F54930"/>
    <w:rsid w:val="00F5523B"/>
    <w:rsid w:val="00F623B6"/>
    <w:rsid w:val="00F6280F"/>
    <w:rsid w:val="00F62819"/>
    <w:rsid w:val="00F6394B"/>
    <w:rsid w:val="00F6653B"/>
    <w:rsid w:val="00F708D9"/>
    <w:rsid w:val="00F720FB"/>
    <w:rsid w:val="00F721C2"/>
    <w:rsid w:val="00F74B34"/>
    <w:rsid w:val="00F80602"/>
    <w:rsid w:val="00F81376"/>
    <w:rsid w:val="00F84C20"/>
    <w:rsid w:val="00F85F8A"/>
    <w:rsid w:val="00F92112"/>
    <w:rsid w:val="00F9230A"/>
    <w:rsid w:val="00F92366"/>
    <w:rsid w:val="00F92753"/>
    <w:rsid w:val="00F94B79"/>
    <w:rsid w:val="00F9598E"/>
    <w:rsid w:val="00F95CAD"/>
    <w:rsid w:val="00F96B32"/>
    <w:rsid w:val="00F9735A"/>
    <w:rsid w:val="00FA1E4D"/>
    <w:rsid w:val="00FA3894"/>
    <w:rsid w:val="00FA42F4"/>
    <w:rsid w:val="00FA4630"/>
    <w:rsid w:val="00FA6502"/>
    <w:rsid w:val="00FB0730"/>
    <w:rsid w:val="00FB0BC1"/>
    <w:rsid w:val="00FB14A0"/>
    <w:rsid w:val="00FB4E4A"/>
    <w:rsid w:val="00FB6D3A"/>
    <w:rsid w:val="00FB7924"/>
    <w:rsid w:val="00FB7F35"/>
    <w:rsid w:val="00FC11D6"/>
    <w:rsid w:val="00FC2B10"/>
    <w:rsid w:val="00FC3CE0"/>
    <w:rsid w:val="00FC44AA"/>
    <w:rsid w:val="00FC48DD"/>
    <w:rsid w:val="00FC569E"/>
    <w:rsid w:val="00FC67E5"/>
    <w:rsid w:val="00FC6BFF"/>
    <w:rsid w:val="00FD04EB"/>
    <w:rsid w:val="00FD1036"/>
    <w:rsid w:val="00FD131D"/>
    <w:rsid w:val="00FD5177"/>
    <w:rsid w:val="00FD5F3C"/>
    <w:rsid w:val="00FE1B5C"/>
    <w:rsid w:val="00FE35E1"/>
    <w:rsid w:val="00FE6D86"/>
    <w:rsid w:val="00FE756E"/>
    <w:rsid w:val="00FF0DA7"/>
    <w:rsid w:val="00FF3276"/>
    <w:rsid w:val="00FF5B26"/>
    <w:rsid w:val="00FF64C5"/>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5669BA82-EECD-4031-928D-6B574C2D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0C3E32"/>
    <w:rPr>
      <w:color w:val="800080" w:themeColor="followedHyperlink"/>
      <w:u w:val="single"/>
    </w:rPr>
  </w:style>
  <w:style w:type="character" w:customStyle="1" w:styleId="Heading4Char">
    <w:name w:val="Heading 4 Char"/>
    <w:basedOn w:val="DefaultParagraphFont"/>
    <w:link w:val="Heading4"/>
    <w:rsid w:val="001505FE"/>
    <w:rPr>
      <w:rFonts w:ascii="Arial" w:hAnsi="Arial"/>
      <w:b/>
      <w:sz w:val="22"/>
      <w:lang w:val="en-US" w:eastAsia="en-US"/>
    </w:rPr>
  </w:style>
  <w:style w:type="character" w:styleId="Emphasis">
    <w:name w:val="Emphasis"/>
    <w:basedOn w:val="DefaultParagraphFont"/>
    <w:uiPriority w:val="20"/>
    <w:qFormat/>
    <w:locked/>
    <w:rsid w:val="002917ED"/>
    <w:rPr>
      <w:i/>
      <w:iCs/>
    </w:rPr>
  </w:style>
  <w:style w:type="character" w:styleId="Strong">
    <w:name w:val="Strong"/>
    <w:basedOn w:val="DefaultParagraphFont"/>
    <w:uiPriority w:val="22"/>
    <w:qFormat/>
    <w:locked/>
    <w:rsid w:val="00E14D46"/>
    <w:rPr>
      <w:b/>
      <w:bCs/>
    </w:rPr>
  </w:style>
  <w:style w:type="character" w:customStyle="1" w:styleId="apple-converted-space">
    <w:name w:val="apple-converted-space"/>
    <w:basedOn w:val="DefaultParagraphFont"/>
    <w:rsid w:val="00E1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8555432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20613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info.undp.org/global/popp/rma/Pages/internal-control-framework.asp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d.pcm.gob.pe/category/sinager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gob.pe/blog/actua-y-denuncia-la-corrupc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E17491-04BE-48D2-8CC6-99F572B2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5865</Words>
  <Characters>35368</Characters>
  <Application>Microsoft Office Word</Application>
  <DocSecurity>0</DocSecurity>
  <Lines>982</Lines>
  <Paragraphs>468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40765</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2016-06-07T21:07:00Z</cp:lastPrinted>
  <dcterms:created xsi:type="dcterms:W3CDTF">2016-06-13T15:43:00Z</dcterms:created>
  <dcterms:modified xsi:type="dcterms:W3CDTF">2016-06-13T15:43:00Z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