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8163B" w14:textId="77777777" w:rsidR="00707E0E" w:rsidRPr="00AC58E0" w:rsidRDefault="00707E0E" w:rsidP="00E859FA">
      <w:pPr>
        <w:rPr>
          <w:b/>
          <w:lang w:val="en-GB"/>
        </w:rPr>
      </w:pPr>
      <w:r w:rsidRPr="00AC58E0">
        <w:rPr>
          <w:b/>
          <w:lang w:val="en-GB"/>
        </w:rPr>
        <w:t>Second regular session 2018</w:t>
      </w:r>
    </w:p>
    <w:p w14:paraId="49699CC4" w14:textId="77777777" w:rsidR="00707E0E" w:rsidRPr="00707E0E" w:rsidRDefault="00707E0E" w:rsidP="00707E0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707E0E">
        <w:rPr>
          <w:color w:val="000000"/>
          <w:lang w:val="en-GB"/>
        </w:rPr>
        <w:t>4-7 September 2018, New York</w:t>
      </w:r>
    </w:p>
    <w:p w14:paraId="73AFE20B" w14:textId="77777777" w:rsidR="00707E0E" w:rsidRPr="00707E0E" w:rsidRDefault="00707E0E" w:rsidP="00707E0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707E0E">
        <w:rPr>
          <w:color w:val="000000"/>
          <w:lang w:val="en-GB"/>
        </w:rPr>
        <w:t>Item x of the provisional agenda</w:t>
      </w:r>
    </w:p>
    <w:p w14:paraId="3D7FADD7" w14:textId="77777777" w:rsidR="00707E0E" w:rsidRPr="00707E0E" w:rsidRDefault="00707E0E" w:rsidP="00707E0E">
      <w:pPr>
        <w:ind w:right="1260"/>
        <w:rPr>
          <w:b/>
          <w:color w:val="000000"/>
          <w:lang w:val="en-GB"/>
        </w:rPr>
      </w:pPr>
      <w:r w:rsidRPr="00707E0E">
        <w:rPr>
          <w:b/>
          <w:color w:val="000000"/>
          <w:lang w:val="en-GB"/>
        </w:rPr>
        <w:t>Country programmes and related matters</w:t>
      </w:r>
    </w:p>
    <w:p w14:paraId="663CF608" w14:textId="77777777" w:rsidR="00707E0E" w:rsidRPr="00707E0E" w:rsidRDefault="00707E0E" w:rsidP="00707E0E">
      <w:pPr>
        <w:rPr>
          <w:color w:val="000000"/>
          <w:spacing w:val="-3"/>
        </w:rPr>
      </w:pPr>
    </w:p>
    <w:p w14:paraId="4BB78472" w14:textId="77777777" w:rsidR="00707E0E" w:rsidRPr="00707E0E" w:rsidRDefault="00707E0E" w:rsidP="00707E0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5A60E6B3" w14:textId="77777777" w:rsidR="00707E0E" w:rsidRPr="00707E0E" w:rsidRDefault="00707E0E" w:rsidP="00707E0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527F4056" w14:textId="77777777" w:rsidR="00707E0E" w:rsidRPr="00707E0E" w:rsidRDefault="00707E0E" w:rsidP="00707E0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76D3FEE0" w14:textId="77777777" w:rsidR="00707E0E" w:rsidRPr="00707E0E" w:rsidRDefault="00707E0E" w:rsidP="00707E0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color w:val="000000"/>
          <w:spacing w:val="-2"/>
          <w:w w:val="103"/>
          <w:kern w:val="14"/>
          <w:sz w:val="28"/>
          <w:lang w:val="en-GB"/>
        </w:rPr>
      </w:pPr>
      <w:r w:rsidRPr="00707E0E">
        <w:rPr>
          <w:b/>
          <w:color w:val="000000"/>
          <w:spacing w:val="-2"/>
          <w:w w:val="103"/>
          <w:kern w:val="14"/>
          <w:sz w:val="28"/>
          <w:lang w:val="en-GB"/>
        </w:rPr>
        <w:tab/>
      </w:r>
    </w:p>
    <w:p w14:paraId="3DE5DD33" w14:textId="77777777" w:rsidR="00707E0E" w:rsidRPr="00707E0E" w:rsidRDefault="00707E0E" w:rsidP="00707E0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jc w:val="center"/>
        <w:outlineLvl w:val="0"/>
        <w:rPr>
          <w:b/>
          <w:color w:val="000000"/>
          <w:spacing w:val="-2"/>
          <w:w w:val="103"/>
          <w:kern w:val="14"/>
          <w:sz w:val="28"/>
          <w:lang w:val="en-GB"/>
        </w:rPr>
      </w:pPr>
      <w:r w:rsidRPr="00707E0E">
        <w:rPr>
          <w:b/>
          <w:color w:val="000000"/>
          <w:spacing w:val="-2"/>
          <w:w w:val="103"/>
          <w:kern w:val="14"/>
          <w:sz w:val="28"/>
          <w:lang w:val="en-GB"/>
        </w:rPr>
        <w:t xml:space="preserve">Draft country programme document for </w:t>
      </w:r>
      <w:r>
        <w:rPr>
          <w:b/>
          <w:color w:val="000000"/>
          <w:spacing w:val="-2"/>
          <w:w w:val="103"/>
          <w:kern w:val="14"/>
          <w:sz w:val="28"/>
          <w:lang w:val="en-GB"/>
        </w:rPr>
        <w:t>Libya</w:t>
      </w:r>
      <w:r w:rsidRPr="00707E0E">
        <w:rPr>
          <w:b/>
          <w:color w:val="000000"/>
          <w:spacing w:val="-2"/>
          <w:w w:val="103"/>
          <w:kern w:val="14"/>
          <w:sz w:val="28"/>
          <w:lang w:val="en-GB"/>
        </w:rPr>
        <w:t xml:space="preserve"> (2019-202</w:t>
      </w:r>
      <w:r>
        <w:rPr>
          <w:b/>
          <w:color w:val="000000"/>
          <w:spacing w:val="-2"/>
          <w:w w:val="103"/>
          <w:kern w:val="14"/>
          <w:sz w:val="28"/>
          <w:lang w:val="en-GB"/>
        </w:rPr>
        <w:t>0</w:t>
      </w:r>
      <w:r w:rsidRPr="00707E0E">
        <w:rPr>
          <w:b/>
          <w:color w:val="000000"/>
          <w:spacing w:val="-2"/>
          <w:w w:val="103"/>
          <w:kern w:val="14"/>
          <w:sz w:val="28"/>
          <w:lang w:val="en-GB"/>
        </w:rPr>
        <w:t>)</w:t>
      </w:r>
      <w:r w:rsidRPr="00707E0E">
        <w:rPr>
          <w:b/>
          <w:color w:val="000000"/>
          <w:spacing w:val="-2"/>
          <w:w w:val="103"/>
          <w:kern w:val="14"/>
          <w:sz w:val="28"/>
          <w:lang w:val="en-GB"/>
        </w:rPr>
        <w:br/>
      </w:r>
    </w:p>
    <w:p w14:paraId="3663B0E4" w14:textId="77777777" w:rsidR="00707E0E" w:rsidRPr="00707E0E" w:rsidRDefault="00707E0E" w:rsidP="00707E0E">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spacing w:val="-2"/>
          <w:w w:val="103"/>
          <w:kern w:val="14"/>
          <w:sz w:val="28"/>
          <w:lang w:val="en-GB" w:eastAsia="fr-FR"/>
        </w:rPr>
      </w:pPr>
      <w:r w:rsidRPr="00707E0E">
        <w:rPr>
          <w:color w:val="000000"/>
          <w:kern w:val="14"/>
          <w:sz w:val="28"/>
          <w:lang w:val="en-GB" w:eastAsia="fr-FR"/>
        </w:rPr>
        <w:t>Contents</w:t>
      </w:r>
    </w:p>
    <w:p w14:paraId="2985D99F" w14:textId="77777777" w:rsidR="00707E0E" w:rsidRPr="00707E0E" w:rsidRDefault="00707E0E" w:rsidP="00707E0E">
      <w:pPr>
        <w:tabs>
          <w:tab w:val="left" w:pos="1620"/>
        </w:tabs>
        <w:rPr>
          <w:color w:val="000000"/>
          <w:lang w:val="en-GB" w:eastAsia="fr-FR"/>
        </w:rPr>
      </w:pP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060"/>
        <w:gridCol w:w="8309"/>
        <w:gridCol w:w="171"/>
        <w:gridCol w:w="362"/>
      </w:tblGrid>
      <w:tr w:rsidR="00707E0E" w:rsidRPr="00707E0E" w14:paraId="0632271A" w14:textId="77777777" w:rsidTr="000A2FC7">
        <w:tc>
          <w:tcPr>
            <w:tcW w:w="1060" w:type="dxa"/>
            <w:shd w:val="clear" w:color="auto" w:fill="auto"/>
          </w:tcPr>
          <w:p w14:paraId="0EFA647C" w14:textId="77777777" w:rsidR="00707E0E" w:rsidRPr="00707E0E" w:rsidRDefault="00707E0E" w:rsidP="00707E0E">
            <w:pPr>
              <w:tabs>
                <w:tab w:val="left" w:pos="1620"/>
              </w:tabs>
              <w:suppressAutoHyphens/>
              <w:spacing w:after="120"/>
              <w:jc w:val="right"/>
              <w:rPr>
                <w:i/>
                <w:color w:val="000000"/>
                <w:spacing w:val="4"/>
                <w:w w:val="103"/>
                <w:kern w:val="14"/>
                <w:sz w:val="14"/>
                <w:lang w:val="en-GB" w:eastAsia="fr-FR"/>
              </w:rPr>
            </w:pPr>
          </w:p>
        </w:tc>
        <w:tc>
          <w:tcPr>
            <w:tcW w:w="8480" w:type="dxa"/>
            <w:gridSpan w:val="2"/>
            <w:shd w:val="clear" w:color="auto" w:fill="auto"/>
          </w:tcPr>
          <w:p w14:paraId="36ED939B" w14:textId="77777777" w:rsidR="00707E0E" w:rsidRPr="00707E0E" w:rsidRDefault="00707E0E" w:rsidP="00707E0E">
            <w:pPr>
              <w:tabs>
                <w:tab w:val="left" w:pos="1620"/>
              </w:tabs>
              <w:suppressAutoHyphens/>
              <w:spacing w:after="120"/>
              <w:rPr>
                <w:i/>
                <w:color w:val="000000"/>
                <w:spacing w:val="4"/>
                <w:w w:val="103"/>
                <w:kern w:val="14"/>
                <w:sz w:val="14"/>
                <w:lang w:val="en-GB" w:eastAsia="fr-FR"/>
              </w:rPr>
            </w:pPr>
          </w:p>
        </w:tc>
        <w:tc>
          <w:tcPr>
            <w:tcW w:w="362" w:type="dxa"/>
            <w:shd w:val="clear" w:color="auto" w:fill="auto"/>
          </w:tcPr>
          <w:p w14:paraId="534481BE" w14:textId="77777777" w:rsidR="00707E0E" w:rsidRPr="00707E0E" w:rsidRDefault="00707E0E" w:rsidP="00707E0E">
            <w:pPr>
              <w:tabs>
                <w:tab w:val="left" w:pos="1620"/>
              </w:tabs>
              <w:suppressAutoHyphens/>
              <w:spacing w:after="120"/>
              <w:jc w:val="right"/>
              <w:rPr>
                <w:i/>
                <w:color w:val="000000"/>
                <w:spacing w:val="4"/>
                <w:w w:val="103"/>
                <w:kern w:val="14"/>
                <w:sz w:val="14"/>
                <w:lang w:val="en-GB" w:eastAsia="fr-FR"/>
              </w:rPr>
            </w:pPr>
            <w:r w:rsidRPr="00707E0E">
              <w:rPr>
                <w:i/>
                <w:iCs/>
                <w:color w:val="000000"/>
                <w:kern w:val="14"/>
                <w:sz w:val="14"/>
                <w:lang w:val="en-GB" w:eastAsia="fr-FR"/>
              </w:rPr>
              <w:t>Page</w:t>
            </w:r>
          </w:p>
        </w:tc>
      </w:tr>
      <w:tr w:rsidR="00707E0E" w:rsidRPr="00707E0E" w14:paraId="7B2CDEF3" w14:textId="77777777" w:rsidTr="000A2FC7">
        <w:tc>
          <w:tcPr>
            <w:tcW w:w="9540" w:type="dxa"/>
            <w:gridSpan w:val="3"/>
            <w:shd w:val="clear" w:color="auto" w:fill="auto"/>
          </w:tcPr>
          <w:p w14:paraId="4D12B216" w14:textId="77777777" w:rsidR="00707E0E" w:rsidRPr="00707E0E" w:rsidRDefault="00707E0E" w:rsidP="00707E0E">
            <w:pPr>
              <w:numPr>
                <w:ilvl w:val="0"/>
                <w:numId w:val="25"/>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eastAsia="fr-FR"/>
              </w:rPr>
            </w:pPr>
            <w:r w:rsidRPr="00707E0E">
              <w:rPr>
                <w:color w:val="000000"/>
                <w:kern w:val="14"/>
                <w:lang w:val="en-GB" w:eastAsia="fr-FR"/>
              </w:rPr>
              <w:tab/>
              <w:t>Programme rationale</w:t>
            </w:r>
            <w:r w:rsidRPr="00707E0E">
              <w:rPr>
                <w:color w:val="000000"/>
                <w:sz w:val="24"/>
                <w:szCs w:val="24"/>
                <w:lang w:val="en-GB" w:eastAsia="fr-FR"/>
              </w:rPr>
              <w:tab/>
            </w:r>
          </w:p>
        </w:tc>
        <w:tc>
          <w:tcPr>
            <w:tcW w:w="362" w:type="dxa"/>
            <w:vMerge w:val="restart"/>
            <w:shd w:val="clear" w:color="auto" w:fill="auto"/>
            <w:vAlign w:val="bottom"/>
          </w:tcPr>
          <w:p w14:paraId="6146E52F" w14:textId="77777777" w:rsidR="00707E0E" w:rsidRPr="00707E0E" w:rsidRDefault="00707E0E" w:rsidP="00707E0E">
            <w:pPr>
              <w:tabs>
                <w:tab w:val="left" w:pos="1620"/>
              </w:tabs>
              <w:suppressAutoHyphens/>
              <w:spacing w:after="120" w:line="240" w:lineRule="exact"/>
              <w:jc w:val="right"/>
              <w:rPr>
                <w:color w:val="000000"/>
                <w:spacing w:val="4"/>
                <w:w w:val="103"/>
                <w:kern w:val="14"/>
                <w:lang w:val="en-GB" w:eastAsia="fr-FR"/>
              </w:rPr>
            </w:pPr>
            <w:r w:rsidRPr="00707E0E">
              <w:rPr>
                <w:color w:val="000000"/>
                <w:kern w:val="14"/>
                <w:lang w:val="en-GB" w:eastAsia="fr-FR"/>
              </w:rPr>
              <w:t>2</w:t>
            </w:r>
          </w:p>
          <w:p w14:paraId="77D32B31" w14:textId="77777777" w:rsidR="00707E0E" w:rsidRPr="00707E0E" w:rsidRDefault="00707E0E" w:rsidP="00707E0E">
            <w:pPr>
              <w:tabs>
                <w:tab w:val="left" w:pos="1620"/>
              </w:tabs>
              <w:suppressAutoHyphens/>
              <w:spacing w:after="120" w:line="240" w:lineRule="exact"/>
              <w:jc w:val="right"/>
              <w:rPr>
                <w:color w:val="000000"/>
                <w:spacing w:val="4"/>
                <w:w w:val="103"/>
                <w:kern w:val="14"/>
                <w:lang w:val="en-GB" w:eastAsia="fr-FR"/>
              </w:rPr>
            </w:pPr>
            <w:r w:rsidRPr="00707E0E">
              <w:rPr>
                <w:color w:val="000000"/>
                <w:kern w:val="14"/>
                <w:lang w:val="en-GB" w:eastAsia="fr-FR"/>
              </w:rPr>
              <w:t>5</w:t>
            </w:r>
          </w:p>
        </w:tc>
      </w:tr>
      <w:tr w:rsidR="00707E0E" w:rsidRPr="00707E0E" w14:paraId="3AB8F92F" w14:textId="77777777" w:rsidTr="000A2FC7">
        <w:tc>
          <w:tcPr>
            <w:tcW w:w="9540" w:type="dxa"/>
            <w:gridSpan w:val="3"/>
            <w:shd w:val="clear" w:color="auto" w:fill="auto"/>
          </w:tcPr>
          <w:p w14:paraId="0371FCB4" w14:textId="77777777" w:rsidR="00707E0E" w:rsidRPr="00707E0E" w:rsidRDefault="00707E0E" w:rsidP="00707E0E">
            <w:pPr>
              <w:numPr>
                <w:ilvl w:val="0"/>
                <w:numId w:val="25"/>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eastAsia="fr-FR"/>
              </w:rPr>
            </w:pPr>
            <w:r w:rsidRPr="00707E0E">
              <w:rPr>
                <w:color w:val="000000"/>
                <w:kern w:val="14"/>
                <w:lang w:val="en-GB" w:eastAsia="fr-FR"/>
              </w:rPr>
              <w:tab/>
              <w:t>Programme priorities and partnerships………………………………………………….</w:t>
            </w:r>
            <w:r w:rsidRPr="00707E0E">
              <w:rPr>
                <w:color w:val="000000"/>
                <w:kern w:val="14"/>
                <w:sz w:val="17"/>
                <w:lang w:val="en-GB" w:eastAsia="fr-FR"/>
              </w:rPr>
              <w:tab/>
            </w:r>
            <w:r w:rsidRPr="00707E0E">
              <w:rPr>
                <w:color w:val="000000"/>
                <w:kern w:val="14"/>
                <w:lang w:val="en-GB" w:eastAsia="fr-FR"/>
              </w:rPr>
              <w:t>……….…</w:t>
            </w:r>
          </w:p>
        </w:tc>
        <w:tc>
          <w:tcPr>
            <w:tcW w:w="362" w:type="dxa"/>
            <w:vMerge/>
            <w:shd w:val="clear" w:color="auto" w:fill="auto"/>
            <w:vAlign w:val="bottom"/>
          </w:tcPr>
          <w:p w14:paraId="46F83293" w14:textId="77777777" w:rsidR="00707E0E" w:rsidRPr="00707E0E" w:rsidRDefault="00707E0E" w:rsidP="00707E0E">
            <w:pPr>
              <w:tabs>
                <w:tab w:val="left" w:pos="1620"/>
              </w:tabs>
              <w:suppressAutoHyphens/>
              <w:spacing w:after="120" w:line="240" w:lineRule="exact"/>
              <w:jc w:val="right"/>
              <w:rPr>
                <w:color w:val="000000"/>
                <w:spacing w:val="4"/>
                <w:w w:val="103"/>
                <w:kern w:val="14"/>
                <w:lang w:val="en-GB" w:eastAsia="fr-FR"/>
              </w:rPr>
            </w:pPr>
          </w:p>
        </w:tc>
      </w:tr>
      <w:tr w:rsidR="00707E0E" w:rsidRPr="00707E0E" w14:paraId="1E41AE64" w14:textId="77777777" w:rsidTr="000A2FC7">
        <w:tc>
          <w:tcPr>
            <w:tcW w:w="9540" w:type="dxa"/>
            <w:gridSpan w:val="3"/>
            <w:shd w:val="clear" w:color="auto" w:fill="auto"/>
          </w:tcPr>
          <w:p w14:paraId="653C5A5C" w14:textId="77777777" w:rsidR="00707E0E" w:rsidRPr="00707E0E" w:rsidRDefault="00707E0E" w:rsidP="00707E0E">
            <w:pPr>
              <w:numPr>
                <w:ilvl w:val="0"/>
                <w:numId w:val="25"/>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eastAsia="fr-FR"/>
              </w:rPr>
            </w:pPr>
            <w:r w:rsidRPr="00707E0E">
              <w:rPr>
                <w:color w:val="000000"/>
                <w:kern w:val="14"/>
                <w:lang w:val="en-GB" w:eastAsia="fr-FR"/>
              </w:rPr>
              <w:tab/>
              <w:t>Programme and risk management</w:t>
            </w:r>
            <w:r w:rsidRPr="00707E0E">
              <w:rPr>
                <w:color w:val="000000"/>
                <w:sz w:val="24"/>
                <w:szCs w:val="24"/>
                <w:lang w:val="en-GB" w:eastAsia="fr-FR"/>
              </w:rPr>
              <w:tab/>
            </w:r>
          </w:p>
        </w:tc>
        <w:tc>
          <w:tcPr>
            <w:tcW w:w="362" w:type="dxa"/>
            <w:vMerge w:val="restart"/>
            <w:shd w:val="clear" w:color="auto" w:fill="auto"/>
            <w:vAlign w:val="bottom"/>
          </w:tcPr>
          <w:p w14:paraId="576376E7" w14:textId="77777777" w:rsidR="00707E0E" w:rsidRPr="00707E0E" w:rsidRDefault="00707E0E" w:rsidP="00707E0E">
            <w:pPr>
              <w:tabs>
                <w:tab w:val="left" w:pos="1620"/>
              </w:tabs>
              <w:suppressAutoHyphens/>
              <w:spacing w:after="120" w:line="240" w:lineRule="exact"/>
              <w:jc w:val="right"/>
              <w:rPr>
                <w:color w:val="000000"/>
                <w:spacing w:val="4"/>
                <w:w w:val="103"/>
                <w:kern w:val="14"/>
                <w:lang w:val="en-GB" w:eastAsia="fr-FR"/>
              </w:rPr>
            </w:pPr>
            <w:r w:rsidRPr="00707E0E">
              <w:rPr>
                <w:color w:val="000000"/>
                <w:kern w:val="14"/>
                <w:lang w:val="en-GB" w:eastAsia="fr-FR"/>
              </w:rPr>
              <w:t>8</w:t>
            </w:r>
          </w:p>
          <w:p w14:paraId="1DD562F2" w14:textId="77777777" w:rsidR="00707E0E" w:rsidRPr="00707E0E" w:rsidRDefault="00707E0E" w:rsidP="00707E0E">
            <w:pPr>
              <w:tabs>
                <w:tab w:val="left" w:pos="1620"/>
              </w:tabs>
              <w:suppressAutoHyphens/>
              <w:spacing w:after="120" w:line="240" w:lineRule="exact"/>
              <w:jc w:val="right"/>
              <w:rPr>
                <w:color w:val="000000"/>
                <w:spacing w:val="4"/>
                <w:w w:val="103"/>
                <w:kern w:val="14"/>
                <w:lang w:val="en-GB" w:eastAsia="fr-FR"/>
              </w:rPr>
            </w:pPr>
            <w:r w:rsidRPr="00707E0E">
              <w:rPr>
                <w:color w:val="000000"/>
                <w:kern w:val="14"/>
                <w:lang w:val="en-GB" w:eastAsia="fr-FR"/>
              </w:rPr>
              <w:t>9</w:t>
            </w:r>
          </w:p>
        </w:tc>
      </w:tr>
      <w:tr w:rsidR="00707E0E" w:rsidRPr="00707E0E" w14:paraId="28D47107" w14:textId="77777777" w:rsidTr="000A2FC7">
        <w:tc>
          <w:tcPr>
            <w:tcW w:w="9540" w:type="dxa"/>
            <w:gridSpan w:val="3"/>
            <w:shd w:val="clear" w:color="auto" w:fill="auto"/>
          </w:tcPr>
          <w:p w14:paraId="58CBE8F3" w14:textId="77777777" w:rsidR="00707E0E" w:rsidRPr="00707E0E" w:rsidRDefault="00707E0E" w:rsidP="00707E0E">
            <w:pPr>
              <w:numPr>
                <w:ilvl w:val="0"/>
                <w:numId w:val="25"/>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eastAsia="fr-FR"/>
              </w:rPr>
            </w:pPr>
            <w:r w:rsidRPr="00707E0E">
              <w:rPr>
                <w:color w:val="000000"/>
                <w:kern w:val="14"/>
                <w:lang w:val="en-GB" w:eastAsia="fr-FR"/>
              </w:rPr>
              <w:tab/>
              <w:t>Monitoring and evaluation</w:t>
            </w:r>
            <w:r w:rsidRPr="00707E0E">
              <w:rPr>
                <w:color w:val="000000"/>
                <w:sz w:val="24"/>
                <w:szCs w:val="24"/>
                <w:lang w:val="en-GB" w:eastAsia="fr-FR"/>
              </w:rPr>
              <w:tab/>
            </w:r>
            <w:r w:rsidRPr="00707E0E">
              <w:rPr>
                <w:color w:val="000000"/>
                <w:lang w:val="en-GB" w:eastAsia="fr-FR"/>
              </w:rPr>
              <w:t>…………………………………………………….……………………</w:t>
            </w:r>
          </w:p>
        </w:tc>
        <w:tc>
          <w:tcPr>
            <w:tcW w:w="362" w:type="dxa"/>
            <w:vMerge/>
            <w:shd w:val="clear" w:color="auto" w:fill="auto"/>
            <w:vAlign w:val="bottom"/>
          </w:tcPr>
          <w:p w14:paraId="21B49C14" w14:textId="77777777" w:rsidR="00707E0E" w:rsidRPr="00707E0E" w:rsidRDefault="00707E0E" w:rsidP="00707E0E">
            <w:pPr>
              <w:tabs>
                <w:tab w:val="left" w:pos="1620"/>
              </w:tabs>
              <w:suppressAutoHyphens/>
              <w:spacing w:after="120" w:line="240" w:lineRule="exact"/>
              <w:jc w:val="right"/>
              <w:rPr>
                <w:color w:val="000000"/>
                <w:spacing w:val="4"/>
                <w:w w:val="103"/>
                <w:kern w:val="14"/>
                <w:lang w:val="en-GB" w:eastAsia="fr-FR"/>
              </w:rPr>
            </w:pPr>
          </w:p>
        </w:tc>
      </w:tr>
      <w:tr w:rsidR="00707E0E" w:rsidRPr="00707E0E" w14:paraId="2FADF6DD" w14:textId="77777777" w:rsidTr="000A2FC7">
        <w:tc>
          <w:tcPr>
            <w:tcW w:w="9369" w:type="dxa"/>
            <w:gridSpan w:val="2"/>
            <w:shd w:val="clear" w:color="auto" w:fill="auto"/>
          </w:tcPr>
          <w:p w14:paraId="7900D123" w14:textId="77777777" w:rsidR="00707E0E" w:rsidRPr="00707E0E" w:rsidRDefault="00707E0E" w:rsidP="00707E0E">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eastAsia="fr-FR"/>
              </w:rPr>
            </w:pPr>
            <w:r w:rsidRPr="00707E0E">
              <w:rPr>
                <w:color w:val="000000"/>
                <w:kern w:val="14"/>
                <w:lang w:val="en-GB" w:eastAsia="fr-FR"/>
              </w:rPr>
              <w:t xml:space="preserve">     Annex</w:t>
            </w:r>
          </w:p>
        </w:tc>
        <w:tc>
          <w:tcPr>
            <w:tcW w:w="533" w:type="dxa"/>
            <w:gridSpan w:val="2"/>
            <w:shd w:val="clear" w:color="auto" w:fill="auto"/>
            <w:vAlign w:val="bottom"/>
          </w:tcPr>
          <w:p w14:paraId="2F642360" w14:textId="77777777" w:rsidR="00707E0E" w:rsidRPr="00707E0E" w:rsidRDefault="00707E0E" w:rsidP="00707E0E">
            <w:pPr>
              <w:tabs>
                <w:tab w:val="left" w:pos="1620"/>
              </w:tabs>
              <w:suppressAutoHyphens/>
              <w:spacing w:after="120" w:line="240" w:lineRule="exact"/>
              <w:jc w:val="right"/>
              <w:rPr>
                <w:color w:val="000000"/>
                <w:spacing w:val="4"/>
                <w:w w:val="103"/>
                <w:kern w:val="14"/>
                <w:lang w:val="en-GB" w:eastAsia="fr-FR"/>
              </w:rPr>
            </w:pPr>
          </w:p>
        </w:tc>
      </w:tr>
      <w:tr w:rsidR="00707E0E" w:rsidRPr="00707E0E" w14:paraId="29541EB1" w14:textId="77777777" w:rsidTr="000A2FC7">
        <w:tc>
          <w:tcPr>
            <w:tcW w:w="9369" w:type="dxa"/>
            <w:gridSpan w:val="2"/>
            <w:shd w:val="clear" w:color="auto" w:fill="auto"/>
          </w:tcPr>
          <w:p w14:paraId="3FE43FB9" w14:textId="77777777" w:rsidR="00707E0E" w:rsidRPr="00707E0E" w:rsidRDefault="00707E0E" w:rsidP="00707E0E">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color w:val="000000"/>
                <w:spacing w:val="60"/>
                <w:w w:val="103"/>
                <w:kern w:val="14"/>
                <w:sz w:val="17"/>
                <w:lang w:val="en-GB" w:eastAsia="fr-FR"/>
              </w:rPr>
            </w:pPr>
            <w:r w:rsidRPr="00707E0E">
              <w:rPr>
                <w:color w:val="000000"/>
                <w:kern w:val="14"/>
                <w:lang w:val="en-GB" w:eastAsia="fr-FR"/>
              </w:rPr>
              <w:t xml:space="preserve">Results and resources framework for </w:t>
            </w:r>
            <w:r>
              <w:rPr>
                <w:color w:val="000000"/>
                <w:kern w:val="14"/>
                <w:lang w:val="en-GB" w:eastAsia="fr-FR"/>
              </w:rPr>
              <w:t>Libya</w:t>
            </w:r>
            <w:r w:rsidRPr="00707E0E">
              <w:rPr>
                <w:color w:val="000000"/>
                <w:kern w:val="14"/>
                <w:lang w:val="en-GB" w:eastAsia="fr-FR"/>
              </w:rPr>
              <w:t xml:space="preserve"> (2019-202</w:t>
            </w:r>
            <w:r>
              <w:rPr>
                <w:color w:val="000000"/>
                <w:kern w:val="14"/>
                <w:lang w:val="en-GB" w:eastAsia="fr-FR"/>
              </w:rPr>
              <w:t>0</w:t>
            </w:r>
            <w:r w:rsidRPr="00707E0E">
              <w:rPr>
                <w:color w:val="000000"/>
                <w:kern w:val="14"/>
                <w:lang w:val="en-GB" w:eastAsia="fr-FR"/>
              </w:rPr>
              <w:t>)</w:t>
            </w:r>
          </w:p>
        </w:tc>
        <w:tc>
          <w:tcPr>
            <w:tcW w:w="533" w:type="dxa"/>
            <w:gridSpan w:val="2"/>
            <w:shd w:val="clear" w:color="auto" w:fill="auto"/>
            <w:vAlign w:val="bottom"/>
          </w:tcPr>
          <w:p w14:paraId="326D61F7" w14:textId="77777777" w:rsidR="00707E0E" w:rsidRPr="00707E0E" w:rsidRDefault="00707E0E" w:rsidP="00707E0E">
            <w:pPr>
              <w:tabs>
                <w:tab w:val="left" w:pos="1620"/>
              </w:tabs>
              <w:suppressAutoHyphens/>
              <w:spacing w:after="120" w:line="240" w:lineRule="exact"/>
              <w:jc w:val="right"/>
              <w:rPr>
                <w:color w:val="000000"/>
                <w:spacing w:val="4"/>
                <w:w w:val="103"/>
                <w:kern w:val="14"/>
                <w:lang w:val="en-GB" w:eastAsia="fr-FR"/>
              </w:rPr>
            </w:pPr>
            <w:r w:rsidRPr="00707E0E">
              <w:rPr>
                <w:color w:val="000000"/>
                <w:kern w:val="14"/>
                <w:lang w:val="en-GB" w:eastAsia="fr-FR"/>
              </w:rPr>
              <w:t>10</w:t>
            </w:r>
          </w:p>
        </w:tc>
      </w:tr>
    </w:tbl>
    <w:p w14:paraId="1B2A3D9A" w14:textId="77777777" w:rsidR="00964A4E" w:rsidRDefault="00964A4E" w:rsidP="00EA0169">
      <w:pPr>
        <w:rPr>
          <w:b/>
          <w:color w:val="000000"/>
        </w:rPr>
      </w:pPr>
    </w:p>
    <w:p w14:paraId="3E89F37E" w14:textId="77777777" w:rsidR="00785474" w:rsidRPr="003C26C1" w:rsidRDefault="00785474" w:rsidP="00D63B91"/>
    <w:p w14:paraId="4D4F0B9A" w14:textId="77777777" w:rsidR="0029274E" w:rsidRDefault="00785474" w:rsidP="00C747FA">
      <w:pPr>
        <w:pStyle w:val="Heading2"/>
        <w:spacing w:line="240" w:lineRule="exact"/>
        <w:ind w:left="1080" w:right="720" w:hanging="450"/>
        <w:jc w:val="both"/>
        <w:rPr>
          <w:rFonts w:ascii="Times New Roman" w:hAnsi="Times New Roman"/>
          <w:bCs/>
          <w:color w:val="000000"/>
          <w:sz w:val="24"/>
          <w:szCs w:val="24"/>
        </w:rPr>
      </w:pPr>
      <w:r w:rsidRPr="003C26C1">
        <w:br w:type="page"/>
      </w:r>
      <w:r w:rsidR="0059112A" w:rsidRPr="003C26C1">
        <w:rPr>
          <w:rFonts w:ascii="Times New Roman" w:hAnsi="Times New Roman"/>
          <w:bCs/>
          <w:color w:val="000000"/>
          <w:sz w:val="24"/>
          <w:szCs w:val="24"/>
        </w:rPr>
        <w:lastRenderedPageBreak/>
        <w:t>I</w:t>
      </w:r>
      <w:bookmarkStart w:id="0" w:name="_Hlk505589262"/>
      <w:r w:rsidR="0059112A" w:rsidRPr="003C26C1">
        <w:rPr>
          <w:rFonts w:ascii="Times New Roman" w:hAnsi="Times New Roman"/>
          <w:bCs/>
          <w:color w:val="000000"/>
          <w:sz w:val="24"/>
          <w:szCs w:val="24"/>
        </w:rPr>
        <w:t>.</w:t>
      </w:r>
      <w:r w:rsidR="00C747FA">
        <w:rPr>
          <w:rFonts w:ascii="Times New Roman" w:hAnsi="Times New Roman"/>
          <w:bCs/>
          <w:color w:val="000000"/>
          <w:sz w:val="24"/>
          <w:szCs w:val="24"/>
        </w:rPr>
        <w:tab/>
      </w:r>
      <w:r w:rsidR="0059112A" w:rsidRPr="003C26C1">
        <w:rPr>
          <w:rFonts w:ascii="Times New Roman" w:hAnsi="Times New Roman"/>
          <w:bCs/>
          <w:color w:val="000000"/>
          <w:sz w:val="24"/>
          <w:szCs w:val="24"/>
        </w:rPr>
        <w:t xml:space="preserve">Programme </w:t>
      </w:r>
      <w:r w:rsidR="00C747FA">
        <w:rPr>
          <w:rFonts w:ascii="Times New Roman" w:hAnsi="Times New Roman"/>
          <w:bCs/>
          <w:color w:val="000000"/>
          <w:sz w:val="24"/>
          <w:szCs w:val="24"/>
        </w:rPr>
        <w:t>r</w:t>
      </w:r>
      <w:r w:rsidR="0059112A" w:rsidRPr="003C26C1">
        <w:rPr>
          <w:rFonts w:ascii="Times New Roman" w:hAnsi="Times New Roman"/>
          <w:bCs/>
          <w:color w:val="000000"/>
          <w:sz w:val="24"/>
          <w:szCs w:val="24"/>
        </w:rPr>
        <w:t>ationale</w:t>
      </w:r>
      <w:r w:rsidR="00A113D7" w:rsidRPr="003C26C1">
        <w:rPr>
          <w:rFonts w:ascii="Times New Roman" w:hAnsi="Times New Roman"/>
          <w:bCs/>
          <w:color w:val="000000"/>
          <w:sz w:val="24"/>
          <w:szCs w:val="24"/>
        </w:rPr>
        <w:t xml:space="preserve"> </w:t>
      </w:r>
    </w:p>
    <w:bookmarkEnd w:id="0"/>
    <w:p w14:paraId="6C7D032F" w14:textId="77777777" w:rsidR="00E445BF" w:rsidRPr="00C747FA" w:rsidRDefault="00E445BF" w:rsidP="00EC06EB">
      <w:pPr>
        <w:pStyle w:val="Heading2"/>
        <w:spacing w:line="240" w:lineRule="exact"/>
        <w:ind w:left="1282" w:right="720" w:hanging="259"/>
        <w:jc w:val="both"/>
        <w:rPr>
          <w:b w:val="0"/>
          <w:sz w:val="20"/>
        </w:rPr>
      </w:pPr>
    </w:p>
    <w:p w14:paraId="12F02607" w14:textId="727C5346" w:rsidR="00546467" w:rsidRDefault="000B2A89" w:rsidP="00C747FA">
      <w:pPr>
        <w:pStyle w:val="ColorfulList-Accent11"/>
        <w:numPr>
          <w:ilvl w:val="0"/>
          <w:numId w:val="11"/>
        </w:numPr>
        <w:spacing w:after="120" w:line="240" w:lineRule="exact"/>
        <w:ind w:left="1080" w:right="720" w:firstLine="0"/>
        <w:jc w:val="both"/>
      </w:pPr>
      <w:r w:rsidRPr="001C0E17">
        <w:t>Libya</w:t>
      </w:r>
      <w:r w:rsidR="00510B41">
        <w:t>,</w:t>
      </w:r>
      <w:r w:rsidR="008B0753" w:rsidRPr="001C0E17">
        <w:t xml:space="preserve"> with an estimated population of</w:t>
      </w:r>
      <w:r w:rsidR="005A65E7">
        <w:t xml:space="preserve"> </w:t>
      </w:r>
      <w:r w:rsidR="00510B41">
        <w:t>6</w:t>
      </w:r>
      <w:r w:rsidR="00004E58" w:rsidRPr="001C0E17">
        <w:t xml:space="preserve"> mill</w:t>
      </w:r>
      <w:r w:rsidR="00560FCB" w:rsidRPr="001C0E17">
        <w:t>ion</w:t>
      </w:r>
      <w:r w:rsidR="00510B41">
        <w:t>,</w:t>
      </w:r>
      <w:r w:rsidR="008B0753" w:rsidRPr="001C0E17">
        <w:t xml:space="preserve"> </w:t>
      </w:r>
      <w:r w:rsidR="007C6AFB">
        <w:t xml:space="preserve">continues to </w:t>
      </w:r>
      <w:r w:rsidR="004E34A6">
        <w:t>face</w:t>
      </w:r>
      <w:r w:rsidR="00605C65">
        <w:t xml:space="preserve"> myriad challenges </w:t>
      </w:r>
      <w:r w:rsidR="004E34A6">
        <w:t>in its transition to democratic rule</w:t>
      </w:r>
      <w:r w:rsidR="00292869">
        <w:t xml:space="preserve"> in the aftermath of the 2011 revolution</w:t>
      </w:r>
      <w:r w:rsidR="004E34A6">
        <w:t xml:space="preserve">.  The </w:t>
      </w:r>
      <w:r w:rsidR="00A946C9">
        <w:t xml:space="preserve">period following the </w:t>
      </w:r>
      <w:r w:rsidR="004E34A6">
        <w:t>end of the authoritarian regime</w:t>
      </w:r>
      <w:r w:rsidR="00A946C9">
        <w:t xml:space="preserve"> </w:t>
      </w:r>
      <w:r w:rsidR="00D77E23">
        <w:t>saw a we</w:t>
      </w:r>
      <w:r w:rsidR="002E1871">
        <w:t>akening of central government authority</w:t>
      </w:r>
      <w:r w:rsidR="00292869">
        <w:t>,</w:t>
      </w:r>
      <w:r w:rsidR="002E1871">
        <w:t xml:space="preserve"> causing the emergence of rival </w:t>
      </w:r>
      <w:r w:rsidR="00A86753">
        <w:t>claimants to political authority</w:t>
      </w:r>
      <w:r w:rsidR="00292869">
        <w:t>;</w:t>
      </w:r>
      <w:r w:rsidR="00E963B8">
        <w:t xml:space="preserve"> the fragmentation of the security sector</w:t>
      </w:r>
      <w:r w:rsidR="00292869">
        <w:t>;</w:t>
      </w:r>
      <w:r w:rsidR="00DD1E89">
        <w:t xml:space="preserve"> and severe economic decline </w:t>
      </w:r>
      <w:r w:rsidR="00546467">
        <w:t>due to</w:t>
      </w:r>
      <w:r w:rsidR="00DD1E89">
        <w:t xml:space="preserve"> </w:t>
      </w:r>
      <w:r w:rsidR="00292869">
        <w:t xml:space="preserve">decreased </w:t>
      </w:r>
      <w:r w:rsidR="00DD1E89">
        <w:t xml:space="preserve">oil production and exports linked </w:t>
      </w:r>
      <w:r w:rsidR="00B81B11">
        <w:t xml:space="preserve">both </w:t>
      </w:r>
      <w:r w:rsidR="00DD1E89">
        <w:t xml:space="preserve">to the </w:t>
      </w:r>
      <w:r w:rsidR="00A37BB7">
        <w:t xml:space="preserve">deteriorating </w:t>
      </w:r>
      <w:r w:rsidR="00DD1E89">
        <w:t>political and security situation</w:t>
      </w:r>
      <w:r w:rsidR="00546467">
        <w:t xml:space="preserve"> </w:t>
      </w:r>
      <w:r w:rsidR="00B81B11">
        <w:t xml:space="preserve">and the decline in </w:t>
      </w:r>
      <w:r w:rsidR="00546467">
        <w:t xml:space="preserve">oil prices. While </w:t>
      </w:r>
      <w:r w:rsidR="00546467" w:rsidRPr="001C0E17">
        <w:t>Libya</w:t>
      </w:r>
      <w:r w:rsidR="00546467">
        <w:t xml:space="preserve">’s </w:t>
      </w:r>
      <w:r w:rsidR="00B81B11">
        <w:t>H</w:t>
      </w:r>
      <w:r w:rsidR="00546467" w:rsidRPr="001C0E17">
        <w:t xml:space="preserve">uman </w:t>
      </w:r>
      <w:r w:rsidR="00B81B11">
        <w:t>D</w:t>
      </w:r>
      <w:r w:rsidR="00546467" w:rsidRPr="001C0E17">
        <w:t xml:space="preserve">evelopment </w:t>
      </w:r>
      <w:r w:rsidR="00B81B11">
        <w:t>I</w:t>
      </w:r>
      <w:r w:rsidR="00546467" w:rsidRPr="001C0E17">
        <w:t>ndex</w:t>
      </w:r>
      <w:r w:rsidR="009D1BE2">
        <w:t xml:space="preserve"> (HDI)</w:t>
      </w:r>
      <w:r w:rsidR="00546467" w:rsidRPr="001C0E17">
        <w:t xml:space="preserve"> of 0.716</w:t>
      </w:r>
      <w:r w:rsidR="009D1BE2" w:rsidRPr="001C0E17">
        <w:rPr>
          <w:rStyle w:val="FootnoteReference"/>
        </w:rPr>
        <w:footnoteReference w:id="1"/>
      </w:r>
      <w:r w:rsidR="009D1BE2" w:rsidRPr="001C0E17">
        <w:t xml:space="preserve"> </w:t>
      </w:r>
      <w:r w:rsidR="00B81B11">
        <w:t xml:space="preserve">categorizes it as a </w:t>
      </w:r>
      <w:r w:rsidR="009D1BE2">
        <w:t>high human development</w:t>
      </w:r>
      <w:r w:rsidR="00B81B11">
        <w:t xml:space="preserve"> country</w:t>
      </w:r>
      <w:r w:rsidR="009D1BE2">
        <w:t xml:space="preserve">, its HDI ranking </w:t>
      </w:r>
      <w:r w:rsidR="008614A4">
        <w:t>fell</w:t>
      </w:r>
      <w:r w:rsidR="009D1BE2">
        <w:t xml:space="preserve"> 35 places to 102 of 188 countries </w:t>
      </w:r>
      <w:r w:rsidR="006533B1">
        <w:t xml:space="preserve">between </w:t>
      </w:r>
      <w:r w:rsidR="009D1BE2">
        <w:t>2010</w:t>
      </w:r>
      <w:r w:rsidR="00D93ED0">
        <w:t xml:space="preserve"> and </w:t>
      </w:r>
      <w:r w:rsidR="009D1BE2">
        <w:t>2015</w:t>
      </w:r>
      <w:r w:rsidR="00546467" w:rsidRPr="001C0E17">
        <w:t xml:space="preserve">. </w:t>
      </w:r>
      <w:r w:rsidR="008F7AC5">
        <w:t>Th</w:t>
      </w:r>
      <w:r w:rsidR="00CD3DDC">
        <w:t>is</w:t>
      </w:r>
      <w:r w:rsidR="008F7AC5">
        <w:t xml:space="preserve"> drop in HDI performance is felt by Libya’s people </w:t>
      </w:r>
      <w:r w:rsidR="0027733A">
        <w:t xml:space="preserve">mainly </w:t>
      </w:r>
      <w:r w:rsidR="008F7AC5">
        <w:t xml:space="preserve">through the collapse of public services, </w:t>
      </w:r>
      <w:r w:rsidR="004D3524">
        <w:t>especially education</w:t>
      </w:r>
      <w:r w:rsidR="008F7AC5">
        <w:t xml:space="preserve"> and </w:t>
      </w:r>
      <w:r w:rsidR="00B751A9">
        <w:t>health, higher</w:t>
      </w:r>
      <w:r w:rsidR="0027733A">
        <w:t xml:space="preserve"> prices through cuts to food and fuel </w:t>
      </w:r>
      <w:r w:rsidR="00B751A9">
        <w:t>subsidies, conflict</w:t>
      </w:r>
      <w:r w:rsidR="00BD477B">
        <w:t>-related loss of shelter and livelihoods</w:t>
      </w:r>
      <w:r w:rsidR="00665282">
        <w:t xml:space="preserve"> and major setbacks in ensuring </w:t>
      </w:r>
      <w:r w:rsidR="00D93ED0">
        <w:t xml:space="preserve">the </w:t>
      </w:r>
      <w:r w:rsidR="00665282">
        <w:t xml:space="preserve">safety of citizens and </w:t>
      </w:r>
      <w:r w:rsidR="00D93ED0">
        <w:t xml:space="preserve">the </w:t>
      </w:r>
      <w:r w:rsidR="00665282">
        <w:t>rule of law.</w:t>
      </w:r>
    </w:p>
    <w:p w14:paraId="21EF8913" w14:textId="267DB3CC" w:rsidR="008D1604" w:rsidRPr="0030165A" w:rsidRDefault="00B81B11" w:rsidP="00C747FA">
      <w:pPr>
        <w:pStyle w:val="ColorfulList-Accent11"/>
        <w:numPr>
          <w:ilvl w:val="0"/>
          <w:numId w:val="11"/>
        </w:numPr>
        <w:spacing w:after="120" w:line="240" w:lineRule="exact"/>
        <w:ind w:left="1080" w:right="720" w:firstLine="0"/>
        <w:jc w:val="both"/>
      </w:pPr>
      <w:r>
        <w:t xml:space="preserve">Although </w:t>
      </w:r>
      <w:r w:rsidR="008D1604" w:rsidRPr="00EC06EB">
        <w:t xml:space="preserve">Libya successfully held elections in 2012 and 2014, </w:t>
      </w:r>
      <w:r w:rsidR="00A513A6" w:rsidRPr="00EC06EB">
        <w:t>the</w:t>
      </w:r>
      <w:r>
        <w:t>y</w:t>
      </w:r>
      <w:r w:rsidR="00A513A6" w:rsidRPr="00EC06EB">
        <w:t xml:space="preserve"> did not resolve issues surrounding control of public institutions and security structures</w:t>
      </w:r>
      <w:r w:rsidR="008D1604" w:rsidRPr="00EC06EB">
        <w:t xml:space="preserve">. The rivalry over control of these institutions eventually resulted in a national conflict </w:t>
      </w:r>
      <w:r>
        <w:t xml:space="preserve">that </w:t>
      </w:r>
      <w:r w:rsidR="008D1604" w:rsidRPr="00EC06EB">
        <w:t xml:space="preserve">effectively </w:t>
      </w:r>
      <w:r w:rsidRPr="00EC06EB">
        <w:t>divid</w:t>
      </w:r>
      <w:r>
        <w:t>ed</w:t>
      </w:r>
      <w:r w:rsidRPr="00EC06EB">
        <w:t xml:space="preserve"> </w:t>
      </w:r>
      <w:r w:rsidR="008D1604" w:rsidRPr="00EC06EB">
        <w:t xml:space="preserve">the country into two competing polities including the House of Representatives and Interim Government in the east and the General National Congress with the Salvation Government in the west. The competition between </w:t>
      </w:r>
      <w:r w:rsidR="00AB7A37">
        <w:t>these entities</w:t>
      </w:r>
      <w:r w:rsidR="008D1604" w:rsidRPr="00EC06EB">
        <w:t xml:space="preserve"> divided national institutions</w:t>
      </w:r>
      <w:r w:rsidR="00057BCC">
        <w:t xml:space="preserve"> </w:t>
      </w:r>
      <w:r w:rsidR="008D1604" w:rsidRPr="00EC06EB">
        <w:t>and further fragmented the security sector</w:t>
      </w:r>
      <w:r w:rsidR="00847B85">
        <w:t>,</w:t>
      </w:r>
      <w:r w:rsidR="00D40FC0">
        <w:t xml:space="preserve"> </w:t>
      </w:r>
      <w:r w:rsidR="008D1604" w:rsidRPr="00EC06EB">
        <w:t>which undermined efforts to consolidate revolutionary and professional security actors under one structure.</w:t>
      </w:r>
      <w:r w:rsidR="00FB0303">
        <w:rPr>
          <w:rStyle w:val="FootnoteReference"/>
        </w:rPr>
        <w:footnoteReference w:id="2"/>
      </w:r>
      <w:r w:rsidR="00A513A6" w:rsidRPr="00EC06EB">
        <w:t xml:space="preserve"> </w:t>
      </w:r>
      <w:r w:rsidR="008D1604" w:rsidRPr="00EC06EB">
        <w:t xml:space="preserve">These conflict dynamics were further exacerbated by the uncontrolled proliferation </w:t>
      </w:r>
      <w:r w:rsidR="00B751A9" w:rsidRPr="00EC06EB">
        <w:t xml:space="preserve">of </w:t>
      </w:r>
      <w:r w:rsidR="002A2DC5">
        <w:t>weapons.</w:t>
      </w:r>
    </w:p>
    <w:p w14:paraId="7D6A7005" w14:textId="043FE83C" w:rsidR="00546467" w:rsidRDefault="00D118CA" w:rsidP="00C747FA">
      <w:pPr>
        <w:pStyle w:val="ColorfulList-Accent11"/>
        <w:numPr>
          <w:ilvl w:val="0"/>
          <w:numId w:val="11"/>
        </w:numPr>
        <w:spacing w:after="120" w:line="240" w:lineRule="exact"/>
        <w:ind w:left="1080" w:right="720" w:firstLine="0"/>
        <w:jc w:val="both"/>
      </w:pPr>
      <w:r>
        <w:t xml:space="preserve">The United Nations </w:t>
      </w:r>
      <w:r w:rsidR="00A5174E">
        <w:t xml:space="preserve">Support </w:t>
      </w:r>
      <w:r>
        <w:t xml:space="preserve">Mission </w:t>
      </w:r>
      <w:r w:rsidR="00A5174E">
        <w:t xml:space="preserve">in </w:t>
      </w:r>
      <w:r>
        <w:t xml:space="preserve">Libya (UNSMIL) successfully brokered a dialogue process in 2015 </w:t>
      </w:r>
      <w:r w:rsidR="00A513A6">
        <w:t xml:space="preserve">intended </w:t>
      </w:r>
      <w:r>
        <w:t>to unify the parallel institu</w:t>
      </w:r>
      <w:r w:rsidR="00BB323D">
        <w:t>t</w:t>
      </w:r>
      <w:r>
        <w:t>ions</w:t>
      </w:r>
      <w:r w:rsidR="008D1604">
        <w:t>,</w:t>
      </w:r>
      <w:r>
        <w:t xml:space="preserve"> end civil strife </w:t>
      </w:r>
      <w:r w:rsidR="008D1604">
        <w:t xml:space="preserve">and </w:t>
      </w:r>
      <w:r w:rsidR="00A513A6">
        <w:t xml:space="preserve">chart a course to </w:t>
      </w:r>
      <w:r w:rsidR="008D1604">
        <w:t>guide the country’s governance and security structures through the remainder of the transition period</w:t>
      </w:r>
      <w:r w:rsidR="00847B85">
        <w:t>,</w:t>
      </w:r>
      <w:r w:rsidR="008D1604">
        <w:t xml:space="preserve"> resulting in a new constitution and national elections.</w:t>
      </w:r>
      <w:r w:rsidR="0053463C">
        <w:rPr>
          <w:rStyle w:val="FootnoteReference"/>
        </w:rPr>
        <w:footnoteReference w:id="3"/>
      </w:r>
      <w:r w:rsidR="008D1604">
        <w:t xml:space="preserve"> This effort </w:t>
      </w:r>
      <w:r w:rsidR="00847B85">
        <w:t>led to</w:t>
      </w:r>
      <w:r>
        <w:t xml:space="preserve"> the Libya Political Agreement</w:t>
      </w:r>
      <w:r w:rsidR="00847B85">
        <w:t>,</w:t>
      </w:r>
      <w:r w:rsidR="008D1604">
        <w:t xml:space="preserve"> which</w:t>
      </w:r>
      <w:r w:rsidR="00B07E4D">
        <w:t xml:space="preserve"> </w:t>
      </w:r>
      <w:r w:rsidR="008D1604">
        <w:t>resulted in the establishment of</w:t>
      </w:r>
      <w:r w:rsidR="00B07E4D">
        <w:t xml:space="preserve"> a Government of National Accord  and </w:t>
      </w:r>
      <w:r w:rsidR="00963D93">
        <w:t xml:space="preserve">the </w:t>
      </w:r>
      <w:r w:rsidR="00B81B11">
        <w:t xml:space="preserve">United Nations </w:t>
      </w:r>
      <w:r w:rsidR="00963D93">
        <w:t xml:space="preserve">recognition of the </w:t>
      </w:r>
      <w:r w:rsidR="00724B36">
        <w:t>House of Representatives</w:t>
      </w:r>
      <w:r w:rsidR="00847B85">
        <w:t>,</w:t>
      </w:r>
      <w:r w:rsidR="00B07E4D">
        <w:t xml:space="preserve"> </w:t>
      </w:r>
      <w:r w:rsidR="00963D93">
        <w:t>elected in 2014</w:t>
      </w:r>
      <w:r w:rsidR="00A5174E">
        <w:t>,</w:t>
      </w:r>
      <w:r w:rsidR="00963D93">
        <w:t xml:space="preserve"> as the legitimate legislative authority.</w:t>
      </w:r>
      <w:r w:rsidR="007E0D75">
        <w:t xml:space="preserve"> </w:t>
      </w:r>
      <w:r>
        <w:t xml:space="preserve">However, </w:t>
      </w:r>
      <w:r w:rsidR="007E0D75">
        <w:t>political and institutional unity remain</w:t>
      </w:r>
      <w:r w:rsidR="008D1604">
        <w:t>ed</w:t>
      </w:r>
      <w:r w:rsidR="007E0D75">
        <w:t xml:space="preserve"> elusive, prompting the Secretary-General </w:t>
      </w:r>
      <w:r w:rsidR="007809A3">
        <w:t xml:space="preserve">in 2017 </w:t>
      </w:r>
      <w:r w:rsidR="007E0D75">
        <w:t>to launch a</w:t>
      </w:r>
      <w:r w:rsidR="00847B85">
        <w:t xml:space="preserve"> Libyan </w:t>
      </w:r>
      <w:r w:rsidR="007E0D75">
        <w:t xml:space="preserve">Action Plan to </w:t>
      </w:r>
      <w:r w:rsidR="00F07596">
        <w:t xml:space="preserve">address the </w:t>
      </w:r>
      <w:r w:rsidR="00F54ABB">
        <w:t xml:space="preserve">shortcomings </w:t>
      </w:r>
      <w:r w:rsidR="00724B36">
        <w:t xml:space="preserve">of the Libyan Political </w:t>
      </w:r>
      <w:r w:rsidR="00B751A9">
        <w:t>Agreement</w:t>
      </w:r>
      <w:r w:rsidR="00724B36">
        <w:t xml:space="preserve"> </w:t>
      </w:r>
      <w:r w:rsidR="00F54ABB">
        <w:t xml:space="preserve">and </w:t>
      </w:r>
      <w:r w:rsidR="00F07596">
        <w:t>help create</w:t>
      </w:r>
      <w:r w:rsidR="007809A3">
        <w:t xml:space="preserve"> </w:t>
      </w:r>
      <w:r w:rsidR="007E0D75">
        <w:t>the necessar</w:t>
      </w:r>
      <w:r w:rsidR="007809A3">
        <w:t xml:space="preserve">y conditions for </w:t>
      </w:r>
      <w:r w:rsidR="00F54ABB">
        <w:t>elections.</w:t>
      </w:r>
      <w:r w:rsidR="00FB0303">
        <w:rPr>
          <w:rStyle w:val="FootnoteReference"/>
        </w:rPr>
        <w:footnoteReference w:id="4"/>
      </w:r>
    </w:p>
    <w:p w14:paraId="77587303" w14:textId="35A9ECCB" w:rsidR="001C2FAD" w:rsidRDefault="00346760" w:rsidP="00C747FA">
      <w:pPr>
        <w:pStyle w:val="ColorfulList-Accent11"/>
        <w:numPr>
          <w:ilvl w:val="0"/>
          <w:numId w:val="11"/>
        </w:numPr>
        <w:spacing w:after="120" w:line="240" w:lineRule="exact"/>
        <w:ind w:left="1080" w:right="720" w:firstLine="0"/>
        <w:jc w:val="both"/>
      </w:pPr>
      <w:r>
        <w:t>For</w:t>
      </w:r>
      <w:r w:rsidR="001C2FAD" w:rsidRPr="00571EA0">
        <w:t xml:space="preserve"> Libya to progress along the path of sustained peace and increased prosperity</w:t>
      </w:r>
      <w:r w:rsidR="00847B85">
        <w:t>,</w:t>
      </w:r>
      <w:r w:rsidR="001C2FAD" w:rsidRPr="00571EA0">
        <w:t xml:space="preserve"> </w:t>
      </w:r>
      <w:r w:rsidR="00010E1A">
        <w:t xml:space="preserve">the theory of change suggests </w:t>
      </w:r>
      <w:r w:rsidR="001C2FAD" w:rsidRPr="00571EA0">
        <w:t>it will be necessary to overcome the lack of political, social and economic inclusion and cohesion. This will be dependent upon the emergence of a unified, legitimate governing authority</w:t>
      </w:r>
      <w:r w:rsidR="00B522A4">
        <w:t xml:space="preserve"> </w:t>
      </w:r>
      <w:r w:rsidR="001C2FAD" w:rsidRPr="00571EA0">
        <w:t xml:space="preserve">which is able to exert control over institutions of governance, security and the economy. </w:t>
      </w:r>
      <w:r w:rsidR="00CC0A04">
        <w:t xml:space="preserve">The near-term </w:t>
      </w:r>
      <w:r w:rsidR="00E00F68">
        <w:t xml:space="preserve">development </w:t>
      </w:r>
      <w:r w:rsidR="00CC0A04">
        <w:t>priorit</w:t>
      </w:r>
      <w:r w:rsidR="00E00F68">
        <w:t>ies</w:t>
      </w:r>
      <w:r w:rsidR="00CC0A04">
        <w:t xml:space="preserve"> </w:t>
      </w:r>
      <w:r w:rsidR="008E12B8">
        <w:t>include</w:t>
      </w:r>
      <w:r w:rsidR="00881D46">
        <w:t xml:space="preserve"> </w:t>
      </w:r>
      <w:r w:rsidR="00CC0A04">
        <w:t>i</w:t>
      </w:r>
      <w:r w:rsidR="001C2FAD">
        <w:t>mproving the effectiveness, oversight and reach of existing public institutions</w:t>
      </w:r>
      <w:r w:rsidR="00D93ED0">
        <w:t>;</w:t>
      </w:r>
      <w:r w:rsidR="001C2FAD">
        <w:t xml:space="preserve"> securing the rule of law</w:t>
      </w:r>
      <w:r w:rsidR="00D93ED0">
        <w:t>;</w:t>
      </w:r>
      <w:r w:rsidR="001C2FAD">
        <w:t xml:space="preserve"> </w:t>
      </w:r>
      <w:r w:rsidR="00E00F68">
        <w:t>improving public services</w:t>
      </w:r>
      <w:r w:rsidR="00D93ED0">
        <w:t>;</w:t>
      </w:r>
      <w:r w:rsidR="00E00F68">
        <w:t xml:space="preserve"> </w:t>
      </w:r>
      <w:r w:rsidR="001C2FAD">
        <w:t>expanding civic engagement and participation in political and development processes</w:t>
      </w:r>
      <w:r w:rsidR="00D93ED0">
        <w:t>;</w:t>
      </w:r>
      <w:r w:rsidR="001C2FAD">
        <w:t xml:space="preserve"> and increasing economic opportunities</w:t>
      </w:r>
      <w:r w:rsidR="00984A4E">
        <w:t>. These</w:t>
      </w:r>
      <w:r w:rsidR="001C2FAD">
        <w:t xml:space="preserve"> are key elements to building </w:t>
      </w:r>
      <w:r w:rsidR="00D93ED0">
        <w:t xml:space="preserve">the </w:t>
      </w:r>
      <w:r w:rsidR="001C2FAD">
        <w:t xml:space="preserve">trust and confidence among </w:t>
      </w:r>
      <w:r w:rsidR="004D3524">
        <w:t>communities ̶</w:t>
      </w:r>
      <w:r w:rsidR="001C2FAD">
        <w:t xml:space="preserve">, and between communities and the </w:t>
      </w:r>
      <w:r w:rsidR="00724B36">
        <w:t>Government</w:t>
      </w:r>
      <w:r w:rsidR="00D93ED0">
        <w:t xml:space="preserve"> </w:t>
      </w:r>
      <w:r w:rsidR="004D3524">
        <w:t>̶ necessary</w:t>
      </w:r>
      <w:r w:rsidR="001C2FAD">
        <w:t xml:space="preserve"> to build legitimacy for a unified </w:t>
      </w:r>
      <w:r w:rsidR="00724B36">
        <w:t>State</w:t>
      </w:r>
      <w:r w:rsidR="001C2FAD">
        <w:t xml:space="preserve">. However, the legacy of authoritarian rule and absence of effective and accountable governance institutions, combined with the tribal </w:t>
      </w:r>
      <w:r w:rsidR="00C3496C">
        <w:t>aspects of governance,</w:t>
      </w:r>
      <w:r w:rsidR="001C2FAD">
        <w:t xml:space="preserve"> the </w:t>
      </w:r>
      <w:r w:rsidR="00CC22A3">
        <w:t xml:space="preserve">discriminatory elements </w:t>
      </w:r>
      <w:r w:rsidR="00B751A9">
        <w:t>of traditional</w:t>
      </w:r>
      <w:r w:rsidR="001C2FAD">
        <w:t xml:space="preserve"> norms and values that govern Libyan society </w:t>
      </w:r>
      <w:r w:rsidR="00A5174E">
        <w:t xml:space="preserve">and </w:t>
      </w:r>
      <w:r w:rsidR="00200901">
        <w:t>a</w:t>
      </w:r>
      <w:r w:rsidR="00A5174E">
        <w:t xml:space="preserve"> flourishing “economy of predation”, </w:t>
      </w:r>
      <w:r w:rsidR="001C2FAD">
        <w:t xml:space="preserve">pose significant structural challenges to </w:t>
      </w:r>
      <w:r w:rsidR="00724B36">
        <w:t>S</w:t>
      </w:r>
      <w:r w:rsidR="00E710D3">
        <w:t>tate-building and addressing inequalities</w:t>
      </w:r>
      <w:r w:rsidR="001C2FAD">
        <w:t>.</w:t>
      </w:r>
      <w:r w:rsidR="001C2FAD">
        <w:rPr>
          <w:rStyle w:val="FootnoteReference"/>
        </w:rPr>
        <w:footnoteReference w:id="5"/>
      </w:r>
    </w:p>
    <w:p w14:paraId="17413C65" w14:textId="37F459D4" w:rsidR="00864547" w:rsidRDefault="00981A89" w:rsidP="00C747FA">
      <w:pPr>
        <w:pStyle w:val="ColorfulList-Accent11"/>
        <w:numPr>
          <w:ilvl w:val="0"/>
          <w:numId w:val="11"/>
        </w:numPr>
        <w:spacing w:after="120" w:line="240" w:lineRule="exact"/>
        <w:ind w:left="1080" w:right="720" w:firstLine="0"/>
        <w:jc w:val="both"/>
      </w:pPr>
      <w:r>
        <w:t xml:space="preserve">Libya has </w:t>
      </w:r>
      <w:r w:rsidR="0075512F">
        <w:t>yet to develo</w:t>
      </w:r>
      <w:r w:rsidR="00317F72">
        <w:t>p a</w:t>
      </w:r>
      <w:r>
        <w:t xml:space="preserve"> n</w:t>
      </w:r>
      <w:r w:rsidR="009D7D04">
        <w:t xml:space="preserve">ational development strategy </w:t>
      </w:r>
      <w:r w:rsidR="00317F72">
        <w:t>and</w:t>
      </w:r>
      <w:r w:rsidR="00ED5719">
        <w:t xml:space="preserve"> </w:t>
      </w:r>
      <w:r w:rsidR="00B8506A">
        <w:t xml:space="preserve">lacks a </w:t>
      </w:r>
      <w:r w:rsidR="00ED5719">
        <w:t xml:space="preserve">framework </w:t>
      </w:r>
      <w:r w:rsidR="009D7D04">
        <w:t xml:space="preserve">within which to </w:t>
      </w:r>
      <w:r w:rsidR="00B8506A">
        <w:t xml:space="preserve">align </w:t>
      </w:r>
      <w:r w:rsidR="0097233F">
        <w:t xml:space="preserve">and coordinate </w:t>
      </w:r>
      <w:r w:rsidR="00ED5719">
        <w:t xml:space="preserve">priority actions </w:t>
      </w:r>
      <w:r w:rsidR="00346760">
        <w:t>toward</w:t>
      </w:r>
      <w:r w:rsidR="003E56B4">
        <w:t>s</w:t>
      </w:r>
      <w:r w:rsidR="00ED5719">
        <w:t xml:space="preserve"> achievement of the Sustainable Development Goals</w:t>
      </w:r>
      <w:r w:rsidR="00B8506A">
        <w:t>. Libya</w:t>
      </w:r>
      <w:r w:rsidR="00317F72">
        <w:t xml:space="preserve"> also requires additional</w:t>
      </w:r>
      <w:r w:rsidR="00CB54D7">
        <w:t xml:space="preserve"> capacity to collect and</w:t>
      </w:r>
      <w:r w:rsidR="00770CB1">
        <w:t xml:space="preserve"> analy</w:t>
      </w:r>
      <w:r w:rsidR="006D439F">
        <w:t>s</w:t>
      </w:r>
      <w:r w:rsidR="00770CB1">
        <w:t xml:space="preserve">e the data necessary to develop such </w:t>
      </w:r>
      <w:r w:rsidR="00770CB1">
        <w:lastRenderedPageBreak/>
        <w:t>strategies and monitor progress</w:t>
      </w:r>
      <w:r w:rsidR="00ED5719">
        <w:t>.</w:t>
      </w:r>
      <w:r w:rsidR="00DC4579">
        <w:rPr>
          <w:rStyle w:val="FootnoteReference"/>
        </w:rPr>
        <w:footnoteReference w:id="6"/>
      </w:r>
      <w:r w:rsidR="00ED5719">
        <w:t xml:space="preserve"> </w:t>
      </w:r>
      <w:r w:rsidR="00864547">
        <w:t>Given the proposed two-year timeframe, the focus of the country programme will be on implementing initiatives which contribute to the objectives of th</w:t>
      </w:r>
      <w:r w:rsidR="00647CC7">
        <w:t>e Action Plan for Libya</w:t>
      </w:r>
      <w:r w:rsidR="00984A4E">
        <w:t>,</w:t>
      </w:r>
      <w:r w:rsidR="00864547">
        <w:t xml:space="preserve"> while also</w:t>
      </w:r>
      <w:r w:rsidR="00F52FBB">
        <w:t xml:space="preserve"> </w:t>
      </w:r>
      <w:r w:rsidR="00864547">
        <w:t xml:space="preserve">building the foundation for </w:t>
      </w:r>
      <w:r w:rsidR="00647CC7">
        <w:t>sustained</w:t>
      </w:r>
      <w:r w:rsidR="00864547">
        <w:t xml:space="preserve"> capacity development support </w:t>
      </w:r>
      <w:r w:rsidR="00647CC7">
        <w:t xml:space="preserve">to </w:t>
      </w:r>
      <w:r w:rsidR="0021610C">
        <w:t xml:space="preserve">begin to </w:t>
      </w:r>
      <w:r w:rsidR="00647CC7">
        <w:t>address Libya’s long-term development challenges</w:t>
      </w:r>
      <w:r w:rsidR="00ED5719">
        <w:t xml:space="preserve"> within an eventual national development/</w:t>
      </w:r>
      <w:r w:rsidR="003E56B4">
        <w:t>Sustainable Development Goal</w:t>
      </w:r>
      <w:r w:rsidR="00ED5719">
        <w:t xml:space="preserve"> strategy</w:t>
      </w:r>
      <w:r w:rsidR="00647CC7">
        <w:t>.</w:t>
      </w:r>
    </w:p>
    <w:p w14:paraId="3CB69D5F" w14:textId="3426F13C" w:rsidR="0005545F" w:rsidRPr="00C663CD" w:rsidRDefault="0005545F" w:rsidP="00C747FA">
      <w:pPr>
        <w:pStyle w:val="ColorfulList-Accent11"/>
        <w:numPr>
          <w:ilvl w:val="0"/>
          <w:numId w:val="11"/>
        </w:numPr>
        <w:spacing w:after="120" w:line="240" w:lineRule="exact"/>
        <w:ind w:left="1080" w:right="720" w:firstLine="0"/>
        <w:jc w:val="both"/>
      </w:pPr>
      <w:r>
        <w:t>The weakening of central government institutions is illustrated by the decline in Libya’s performance</w:t>
      </w:r>
      <w:r w:rsidR="00312C66">
        <w:t xml:space="preserve"> in recent years</w:t>
      </w:r>
      <w:r>
        <w:t xml:space="preserve"> </w:t>
      </w:r>
      <w:r w:rsidR="00312C66">
        <w:t>across a range of governance indicators</w:t>
      </w:r>
      <w:r w:rsidR="003E56B4">
        <w:t>,</w:t>
      </w:r>
      <w:r w:rsidR="00312C66" w:rsidRPr="00C4778F">
        <w:rPr>
          <w:rStyle w:val="FootnoteReference"/>
          <w:iCs/>
          <w:lang w:eastAsia="en-GB"/>
        </w:rPr>
        <w:footnoteReference w:id="7"/>
      </w:r>
      <w:r w:rsidR="00CF5582">
        <w:t xml:space="preserve"> </w:t>
      </w:r>
      <w:r w:rsidR="00CC012F">
        <w:t xml:space="preserve">resulting in a </w:t>
      </w:r>
      <w:r w:rsidR="00CF5582">
        <w:t xml:space="preserve">diminished ability </w:t>
      </w:r>
      <w:r w:rsidR="003E56B4">
        <w:t xml:space="preserve">of </w:t>
      </w:r>
      <w:r w:rsidR="00CF5582">
        <w:t>central ministries to provide key public services</w:t>
      </w:r>
      <w:r w:rsidR="0035108D">
        <w:t xml:space="preserve"> and </w:t>
      </w:r>
      <w:r w:rsidR="00901F28">
        <w:t>law enforcement</w:t>
      </w:r>
      <w:r w:rsidR="00CF5582">
        <w:t xml:space="preserve">. </w:t>
      </w:r>
      <w:r w:rsidR="00D52248">
        <w:t>Local governance structures</w:t>
      </w:r>
      <w:r w:rsidR="00CF5582">
        <w:t xml:space="preserve"> have increasingly taken </w:t>
      </w:r>
      <w:r w:rsidR="00C663CD">
        <w:t xml:space="preserve">on responsibility </w:t>
      </w:r>
      <w:r w:rsidR="00D52248">
        <w:t xml:space="preserve">for basic services, security, reconciliation and justice, </w:t>
      </w:r>
      <w:r w:rsidR="00C663CD">
        <w:t>but without sufficient support from central authorities, thereby weak</w:t>
      </w:r>
      <w:r w:rsidR="000435E5">
        <w:t>en</w:t>
      </w:r>
      <w:r w:rsidR="00C663CD">
        <w:t xml:space="preserve">ing the vertical linkages between national and subnational </w:t>
      </w:r>
      <w:r w:rsidR="00C663CD" w:rsidRPr="00B02F6D">
        <w:t>institutions.</w:t>
      </w:r>
      <w:r w:rsidR="00C663CD" w:rsidRPr="00B02F6D">
        <w:rPr>
          <w:rStyle w:val="FootnoteReference"/>
        </w:rPr>
        <w:footnoteReference w:id="8"/>
      </w:r>
      <w:r w:rsidR="00C663CD" w:rsidRPr="00B02F6D">
        <w:t xml:space="preserve"> </w:t>
      </w:r>
      <w:r w:rsidR="006A0946">
        <w:t>At the same time, o</w:t>
      </w:r>
      <w:r w:rsidR="00317F72" w:rsidRPr="00014586">
        <w:t>nly 10 per</w:t>
      </w:r>
      <w:r w:rsidR="00346760">
        <w:t xml:space="preserve"> </w:t>
      </w:r>
      <w:r w:rsidR="00317F72" w:rsidRPr="00014586">
        <w:t xml:space="preserve">cent of </w:t>
      </w:r>
      <w:r w:rsidR="00317F72">
        <w:t xml:space="preserve">members of the </w:t>
      </w:r>
      <w:r w:rsidR="00317F72" w:rsidRPr="00014586">
        <w:t>constitutional drafting committee were women, 16 per</w:t>
      </w:r>
      <w:r w:rsidR="00346760">
        <w:t xml:space="preserve"> </w:t>
      </w:r>
      <w:r w:rsidR="00317F72" w:rsidRPr="00014586">
        <w:t>cent of parliamentary members are female, 12 per</w:t>
      </w:r>
      <w:r w:rsidR="00346760">
        <w:t xml:space="preserve"> </w:t>
      </w:r>
      <w:r w:rsidR="00317F72" w:rsidRPr="00014586">
        <w:t>cent of all local councilors in Libya are women and 38 per</w:t>
      </w:r>
      <w:r w:rsidR="00346760">
        <w:t xml:space="preserve"> </w:t>
      </w:r>
      <w:r w:rsidR="00317F72" w:rsidRPr="00014586">
        <w:t>cent of eligible women voters participated in local elections.</w:t>
      </w:r>
      <w:r w:rsidR="00317F72" w:rsidRPr="00590FF2">
        <w:rPr>
          <w:rStyle w:val="FootnoteReference"/>
        </w:rPr>
        <w:footnoteReference w:id="9"/>
      </w:r>
      <w:r w:rsidR="00317F72">
        <w:t xml:space="preserve"> </w:t>
      </w:r>
      <w:r w:rsidR="00C663CD" w:rsidRPr="00B02F6D">
        <w:t>To re-establish legitimate and</w:t>
      </w:r>
      <w:r w:rsidR="00C663CD" w:rsidRPr="00C663CD">
        <w:t xml:space="preserve"> effective national institutions it will be necessary to </w:t>
      </w:r>
      <w:r w:rsidR="00C663CD" w:rsidRPr="00592333">
        <w:rPr>
          <w:bCs/>
          <w:lang w:bidi="ar-OM"/>
        </w:rPr>
        <w:t xml:space="preserve">strengthen national </w:t>
      </w:r>
      <w:r w:rsidR="00537793">
        <w:rPr>
          <w:bCs/>
          <w:lang w:bidi="ar-OM"/>
        </w:rPr>
        <w:t xml:space="preserve">ownership and </w:t>
      </w:r>
      <w:r w:rsidR="00C663CD" w:rsidRPr="00592333">
        <w:rPr>
          <w:bCs/>
          <w:lang w:bidi="ar-OM"/>
        </w:rPr>
        <w:t>governance capacity, rebuild the relationship between national authorities and local institutions, build capacity to provide local services and enhance community resilienc</w:t>
      </w:r>
      <w:r w:rsidR="007153EF">
        <w:rPr>
          <w:bCs/>
          <w:lang w:bidi="ar-OM"/>
        </w:rPr>
        <w:t>e</w:t>
      </w:r>
      <w:r w:rsidR="00681AAC">
        <w:rPr>
          <w:bCs/>
          <w:lang w:bidi="ar-OM"/>
        </w:rPr>
        <w:t xml:space="preserve"> and participation</w:t>
      </w:r>
      <w:r w:rsidR="00C663CD" w:rsidRPr="00592333">
        <w:rPr>
          <w:bCs/>
          <w:lang w:bidi="ar-OM"/>
        </w:rPr>
        <w:t>, and advance the rule of law through statutory reforms and capacity</w:t>
      </w:r>
      <w:r w:rsidR="006262DE">
        <w:rPr>
          <w:bCs/>
          <w:lang w:bidi="ar-OM"/>
        </w:rPr>
        <w:t>-</w:t>
      </w:r>
      <w:r w:rsidR="00C663CD" w:rsidRPr="00592333">
        <w:rPr>
          <w:bCs/>
          <w:lang w:bidi="ar-OM"/>
        </w:rPr>
        <w:t>building of formal law enforcement mechanisms.</w:t>
      </w:r>
      <w:r w:rsidR="00C663CD" w:rsidRPr="00592333">
        <w:rPr>
          <w:rStyle w:val="FootnoteReference"/>
          <w:bCs/>
          <w:lang w:bidi="ar-OM"/>
        </w:rPr>
        <w:footnoteReference w:id="10"/>
      </w:r>
    </w:p>
    <w:p w14:paraId="44C02592" w14:textId="577F5BFE" w:rsidR="00465055" w:rsidRPr="00115A9F" w:rsidRDefault="00465055" w:rsidP="00C747FA">
      <w:pPr>
        <w:pStyle w:val="ColorfulList-Accent11"/>
        <w:numPr>
          <w:ilvl w:val="0"/>
          <w:numId w:val="11"/>
        </w:numPr>
        <w:spacing w:after="120" w:line="240" w:lineRule="exact"/>
        <w:ind w:left="1080" w:right="720" w:firstLine="0"/>
        <w:jc w:val="both"/>
      </w:pPr>
      <w:r>
        <w:t xml:space="preserve">Following the </w:t>
      </w:r>
      <w:r w:rsidR="00B751A9">
        <w:t>transition</w:t>
      </w:r>
      <w:r>
        <w:t xml:space="preserve"> in 2011, </w:t>
      </w:r>
      <w:r w:rsidR="007628EB">
        <w:t xml:space="preserve">Libya’s formal justice institutions </w:t>
      </w:r>
      <w:r>
        <w:t>further unraveled</w:t>
      </w:r>
      <w:r w:rsidR="00075361">
        <w:t>, resulting</w:t>
      </w:r>
      <w:r>
        <w:t xml:space="preserve"> in parallel delivery of justice and security services</w:t>
      </w:r>
      <w:r w:rsidR="00FB7282">
        <w:t>.</w:t>
      </w:r>
      <w:r w:rsidR="00A60A99">
        <w:rPr>
          <w:rStyle w:val="FootnoteReference"/>
        </w:rPr>
        <w:footnoteReference w:id="11"/>
      </w:r>
      <w:r w:rsidR="00FB7282">
        <w:t xml:space="preserve"> Of particular concern is the lack of security for justice actors </w:t>
      </w:r>
      <w:r w:rsidR="005134F1">
        <w:t xml:space="preserve">who </w:t>
      </w:r>
      <w:r w:rsidR="005134F1" w:rsidRPr="00B02F6D">
        <w:t>have been subjected to threats and attacks</w:t>
      </w:r>
      <w:r>
        <w:t>.</w:t>
      </w:r>
      <w:r>
        <w:rPr>
          <w:rStyle w:val="FootnoteReference"/>
        </w:rPr>
        <w:footnoteReference w:id="12"/>
      </w:r>
      <w:r>
        <w:t xml:space="preserve"> </w:t>
      </w:r>
      <w:r w:rsidRPr="00140481">
        <w:t>In addition, many Libyans have been placed in prolonged pretrial detention following the transition, a result of the limited access to justice services</w:t>
      </w:r>
      <w:r w:rsidR="008932A9" w:rsidRPr="00140481">
        <w:t>.</w:t>
      </w:r>
      <w:r w:rsidR="00E109A6">
        <w:rPr>
          <w:rStyle w:val="FootnoteReference"/>
        </w:rPr>
        <w:footnoteReference w:id="13"/>
      </w:r>
      <w:r w:rsidR="008932A9" w:rsidRPr="00260D08">
        <w:t xml:space="preserve"> </w:t>
      </w:r>
      <w:r w:rsidR="000435E5">
        <w:t>R</w:t>
      </w:r>
      <w:r w:rsidR="00F65D71" w:rsidRPr="00592333">
        <w:t xml:space="preserve">eporting structures for </w:t>
      </w:r>
      <w:r w:rsidR="003E56B4">
        <w:t xml:space="preserve">female </w:t>
      </w:r>
      <w:r w:rsidR="00F65D71" w:rsidRPr="00592333">
        <w:t>victims of violence are weak due to a lack of social support and specialized staff, fear of reprisals and  lack of trust and confidence in the justice system</w:t>
      </w:r>
      <w:r w:rsidR="00F65D71" w:rsidRPr="00B02F6D">
        <w:t xml:space="preserve">. </w:t>
      </w:r>
      <w:r w:rsidR="00D206C4">
        <w:t>In</w:t>
      </w:r>
      <w:r w:rsidR="008C34DD" w:rsidRPr="00B02F6D">
        <w:t xml:space="preserve"> the absence of </w:t>
      </w:r>
      <w:r w:rsidR="008C34DD" w:rsidRPr="0050430A">
        <w:t xml:space="preserve">unified political and security </w:t>
      </w:r>
      <w:r w:rsidR="00306FFB" w:rsidRPr="0050430A">
        <w:t>arrangements</w:t>
      </w:r>
      <w:r w:rsidR="00984A4E">
        <w:t>,</w:t>
      </w:r>
      <w:r w:rsidR="00295FD8" w:rsidRPr="00C955C9">
        <w:t xml:space="preserve"> there is </w:t>
      </w:r>
      <w:r w:rsidR="00CE68FA">
        <w:t xml:space="preserve">still </w:t>
      </w:r>
      <w:r w:rsidR="00295FD8" w:rsidRPr="00C955C9">
        <w:t xml:space="preserve">a need for </w:t>
      </w:r>
      <w:r w:rsidR="00FA2477">
        <w:t xml:space="preserve">institutional </w:t>
      </w:r>
      <w:r w:rsidR="003F0248">
        <w:t xml:space="preserve">support </w:t>
      </w:r>
      <w:r w:rsidR="00FA2477">
        <w:t xml:space="preserve">and </w:t>
      </w:r>
      <w:r w:rsidR="00541A69" w:rsidRPr="00592333">
        <w:rPr>
          <w:bCs/>
        </w:rPr>
        <w:t>capacity</w:t>
      </w:r>
      <w:r w:rsidR="003E56B4">
        <w:rPr>
          <w:bCs/>
        </w:rPr>
        <w:t>-</w:t>
      </w:r>
      <w:r w:rsidR="00541A69" w:rsidRPr="00592333">
        <w:rPr>
          <w:bCs/>
        </w:rPr>
        <w:t xml:space="preserve">building of </w:t>
      </w:r>
      <w:r w:rsidR="00881D46">
        <w:rPr>
          <w:bCs/>
        </w:rPr>
        <w:t xml:space="preserve">justice </w:t>
      </w:r>
      <w:r w:rsidR="00C955C9">
        <w:rPr>
          <w:bCs/>
        </w:rPr>
        <w:t>actors</w:t>
      </w:r>
      <w:r>
        <w:rPr>
          <w:bCs/>
        </w:rPr>
        <w:t xml:space="preserve"> across the criminal justice chain</w:t>
      </w:r>
      <w:r w:rsidR="003E56B4">
        <w:rPr>
          <w:bCs/>
        </w:rPr>
        <w:t>;</w:t>
      </w:r>
      <w:r w:rsidR="00FA2477">
        <w:rPr>
          <w:bCs/>
        </w:rPr>
        <w:t xml:space="preserve"> </w:t>
      </w:r>
      <w:r>
        <w:rPr>
          <w:bCs/>
        </w:rPr>
        <w:t xml:space="preserve">support </w:t>
      </w:r>
      <w:r w:rsidR="00D6519D">
        <w:rPr>
          <w:bCs/>
        </w:rPr>
        <w:t>for</w:t>
      </w:r>
      <w:r>
        <w:rPr>
          <w:bCs/>
        </w:rPr>
        <w:t xml:space="preserve"> </w:t>
      </w:r>
      <w:r w:rsidR="00541A69" w:rsidRPr="00592333">
        <w:rPr>
          <w:bCs/>
        </w:rPr>
        <w:t>a coordination mechanism among criminal justice actors</w:t>
      </w:r>
      <w:r w:rsidR="003E56B4">
        <w:rPr>
          <w:bCs/>
        </w:rPr>
        <w:t>;</w:t>
      </w:r>
      <w:r w:rsidR="00FA2477">
        <w:rPr>
          <w:bCs/>
        </w:rPr>
        <w:t xml:space="preserve"> </w:t>
      </w:r>
      <w:r>
        <w:rPr>
          <w:bCs/>
        </w:rPr>
        <w:t>strengthening community security</w:t>
      </w:r>
      <w:r w:rsidR="003E56B4">
        <w:rPr>
          <w:bCs/>
        </w:rPr>
        <w:t>;</w:t>
      </w:r>
      <w:r>
        <w:rPr>
          <w:bCs/>
        </w:rPr>
        <w:t xml:space="preserve"> and security sector reform</w:t>
      </w:r>
      <w:r w:rsidRPr="00592333">
        <w:rPr>
          <w:bCs/>
        </w:rPr>
        <w:t>.</w:t>
      </w:r>
    </w:p>
    <w:p w14:paraId="1A6E26A3" w14:textId="083BE601" w:rsidR="00115A9F" w:rsidRPr="00140481" w:rsidRDefault="00115A9F" w:rsidP="00C747FA">
      <w:pPr>
        <w:pStyle w:val="ColorfulList-Accent11"/>
        <w:numPr>
          <w:ilvl w:val="0"/>
          <w:numId w:val="11"/>
        </w:numPr>
        <w:spacing w:after="120" w:line="240" w:lineRule="exact"/>
        <w:ind w:left="1080" w:right="720" w:firstLine="0"/>
        <w:jc w:val="both"/>
      </w:pPr>
      <w:r w:rsidRPr="00140481">
        <w:t xml:space="preserve">Community conflicts in Libya are often </w:t>
      </w:r>
      <w:r w:rsidR="003E56B4">
        <w:t>addressed</w:t>
      </w:r>
      <w:r w:rsidRPr="00140481">
        <w:t xml:space="preserve"> locally by traditional leaders, building upon customary arbitration practices outside of the formal justice system. These</w:t>
      </w:r>
      <w:r w:rsidR="00A5174E">
        <w:t xml:space="preserve"> </w:t>
      </w:r>
      <w:r w:rsidRPr="00140481">
        <w:t xml:space="preserve">peace efforts are Libyan-owned mechanisms for building stability, ahead of efforts to address the structural causes of conflict. Linking local community efforts with </w:t>
      </w:r>
      <w:r w:rsidR="003E56B4">
        <w:t xml:space="preserve">those of </w:t>
      </w:r>
      <w:r w:rsidRPr="00140481">
        <w:t xml:space="preserve">central and local authorities on peacebuilding and reconciliation </w:t>
      </w:r>
      <w:r w:rsidR="00D24A08" w:rsidRPr="00140481">
        <w:t>can</w:t>
      </w:r>
      <w:r w:rsidRPr="00140481">
        <w:t xml:space="preserve"> provide </w:t>
      </w:r>
      <w:r w:rsidR="00D24A08" w:rsidRPr="00140481">
        <w:t>a</w:t>
      </w:r>
      <w:r w:rsidR="003E56B4">
        <w:t>n environment that is</w:t>
      </w:r>
      <w:r w:rsidR="00D24A08" w:rsidRPr="00140481">
        <w:t xml:space="preserve"> more conducive</w:t>
      </w:r>
      <w:r w:rsidRPr="00140481">
        <w:t xml:space="preserve"> to </w:t>
      </w:r>
      <w:r w:rsidR="003E56B4" w:rsidRPr="00140481">
        <w:t>engag</w:t>
      </w:r>
      <w:r w:rsidR="003E56B4">
        <w:t>ing</w:t>
      </w:r>
      <w:r w:rsidR="003E56B4" w:rsidRPr="00140481">
        <w:t xml:space="preserve"> </w:t>
      </w:r>
      <w:r w:rsidR="00D24A08" w:rsidRPr="00140481">
        <w:t xml:space="preserve">a </w:t>
      </w:r>
      <w:r w:rsidRPr="00140481">
        <w:t>wider range of citizens in</w:t>
      </w:r>
      <w:r w:rsidR="00984A4E">
        <w:t xml:space="preserve"> </w:t>
      </w:r>
      <w:r w:rsidRPr="00140481">
        <w:t>reconciliation processes</w:t>
      </w:r>
      <w:r w:rsidR="003E56B4">
        <w:t>,</w:t>
      </w:r>
      <w:r w:rsidRPr="00140481">
        <w:t xml:space="preserve"> develop</w:t>
      </w:r>
      <w:r w:rsidR="00984A4E">
        <w:t>ing</w:t>
      </w:r>
      <w:r w:rsidRPr="00140481">
        <w:t xml:space="preserve"> local capacity in conflict resolution</w:t>
      </w:r>
      <w:r w:rsidR="00A2242A" w:rsidRPr="00140481">
        <w:t xml:space="preserve"> and the improvement of public service delivery</w:t>
      </w:r>
      <w:r w:rsidRPr="00140481">
        <w:t>.</w:t>
      </w:r>
    </w:p>
    <w:p w14:paraId="0ECCF177" w14:textId="63BE1F0F" w:rsidR="00D92C0F" w:rsidRPr="00592333" w:rsidRDefault="00D92C0F" w:rsidP="00C747FA">
      <w:pPr>
        <w:pStyle w:val="ColorfulList-Accent11"/>
        <w:numPr>
          <w:ilvl w:val="0"/>
          <w:numId w:val="11"/>
        </w:numPr>
        <w:spacing w:after="120" w:line="240" w:lineRule="exact"/>
        <w:ind w:left="1080" w:right="720" w:firstLine="0"/>
        <w:jc w:val="both"/>
      </w:pPr>
      <w:r w:rsidRPr="00F64EA4">
        <w:rPr>
          <w:iCs/>
        </w:rPr>
        <w:t xml:space="preserve">Despite its relatively high HDI, Libya is a rentier economy </w:t>
      </w:r>
      <w:r w:rsidRPr="00D2038D">
        <w:t>highly dependent on hydrocarbons, which generate over 95 per cent of exports, 90 per cent of government revenues and over 70 per cent of gross domestic product, the wealth from which accrued primarily to the ruling elite. Whil</w:t>
      </w:r>
      <w:r w:rsidR="005039C7">
        <w:t xml:space="preserve">e </w:t>
      </w:r>
      <w:r w:rsidRPr="00D2038D">
        <w:t>there are no reliable statistics on poverty and inequality,</w:t>
      </w:r>
      <w:r w:rsidRPr="00D2038D">
        <w:rPr>
          <w:rStyle w:val="FootnoteReference"/>
        </w:rPr>
        <w:footnoteReference w:id="14"/>
      </w:r>
      <w:r w:rsidRPr="00D2038D">
        <w:t xml:space="preserve"> the high dependence on hydrocarbons increases Libya’s economic vulnerability to </w:t>
      </w:r>
      <w:r w:rsidRPr="00140481">
        <w:t xml:space="preserve">internal and external shocks, especially as the vast majority of the </w:t>
      </w:r>
      <w:r w:rsidRPr="00140481">
        <w:lastRenderedPageBreak/>
        <w:t>employed work in the public sector.</w:t>
      </w:r>
      <w:r w:rsidRPr="00140481">
        <w:rPr>
          <w:rStyle w:val="FootnoteReference"/>
        </w:rPr>
        <w:footnoteReference w:id="15"/>
      </w:r>
      <w:r w:rsidR="00B45B37" w:rsidRPr="00140481">
        <w:t xml:space="preserve"> Libya went from </w:t>
      </w:r>
      <w:r w:rsidR="005039C7">
        <w:t xml:space="preserve">being </w:t>
      </w:r>
      <w:r w:rsidR="00B45B37" w:rsidRPr="00140481">
        <w:t xml:space="preserve">a welfare </w:t>
      </w:r>
      <w:r w:rsidR="005039C7">
        <w:t>S</w:t>
      </w:r>
      <w:r w:rsidR="005039C7" w:rsidRPr="00140481">
        <w:t xml:space="preserve">tate </w:t>
      </w:r>
      <w:r w:rsidR="005039C7">
        <w:t xml:space="preserve">under which </w:t>
      </w:r>
      <w:r w:rsidR="00B45B37" w:rsidRPr="00140481">
        <w:t xml:space="preserve">people had </w:t>
      </w:r>
      <w:r w:rsidR="00E04260" w:rsidRPr="00140481">
        <w:t>s</w:t>
      </w:r>
      <w:r w:rsidR="00B45B37" w:rsidRPr="00140481">
        <w:t>ubsidized food, inexpensive housing</w:t>
      </w:r>
      <w:r w:rsidR="005039C7">
        <w:t xml:space="preserve"> and</w:t>
      </w:r>
      <w:r w:rsidR="00B45B37" w:rsidRPr="00140481">
        <w:t xml:space="preserve"> free medical care and education, to a </w:t>
      </w:r>
      <w:r w:rsidR="005039C7">
        <w:t>S</w:t>
      </w:r>
      <w:r w:rsidR="005039C7" w:rsidRPr="00140481">
        <w:t xml:space="preserve">tate </w:t>
      </w:r>
      <w:r w:rsidR="005039C7">
        <w:t xml:space="preserve">that </w:t>
      </w:r>
      <w:r w:rsidR="00B45B37" w:rsidRPr="00140481">
        <w:t>no</w:t>
      </w:r>
      <w:r w:rsidR="000D2626">
        <w:t xml:space="preserve"> longer</w:t>
      </w:r>
      <w:r w:rsidR="00B45B37" w:rsidRPr="00140481">
        <w:t xml:space="preserve"> guarant</w:t>
      </w:r>
      <w:r w:rsidR="001A5B84">
        <w:t>e</w:t>
      </w:r>
      <w:r w:rsidR="00B45B37" w:rsidRPr="00140481">
        <w:t>ed</w:t>
      </w:r>
      <w:r w:rsidR="005039C7">
        <w:t xml:space="preserve"> these conditions</w:t>
      </w:r>
      <w:r w:rsidR="00B45B37" w:rsidRPr="00140481">
        <w:t>.</w:t>
      </w:r>
      <w:r w:rsidR="00B45B37" w:rsidRPr="00140481">
        <w:rPr>
          <w:rStyle w:val="FootnoteReference"/>
        </w:rPr>
        <w:footnoteReference w:id="16"/>
      </w:r>
      <w:r w:rsidR="00F64EA4" w:rsidRPr="00140481">
        <w:t xml:space="preserve"> </w:t>
      </w:r>
      <w:r w:rsidR="008B167D" w:rsidRPr="00394B24">
        <w:rPr>
          <w:bCs/>
          <w:lang w:eastAsia="de-DE"/>
        </w:rPr>
        <w:t>For example, a recent survey shows that</w:t>
      </w:r>
      <w:r w:rsidR="008B167D">
        <w:rPr>
          <w:bCs/>
          <w:lang w:eastAsia="de-DE"/>
        </w:rPr>
        <w:t xml:space="preserve"> 17 per cent</w:t>
      </w:r>
      <w:r w:rsidR="008B167D" w:rsidRPr="00394B24">
        <w:rPr>
          <w:bCs/>
          <w:lang w:eastAsia="de-DE"/>
        </w:rPr>
        <w:t xml:space="preserve"> of the public hospitals and </w:t>
      </w:r>
      <w:r w:rsidR="008B167D">
        <w:rPr>
          <w:bCs/>
          <w:lang w:eastAsia="de-DE"/>
        </w:rPr>
        <w:t>20 per cent</w:t>
      </w:r>
      <w:r w:rsidR="008B167D" w:rsidRPr="00394B24">
        <w:rPr>
          <w:bCs/>
          <w:lang w:eastAsia="de-DE"/>
        </w:rPr>
        <w:t xml:space="preserve"> of the primary health care facilities are damaged and non-functional</w:t>
      </w:r>
      <w:r w:rsidR="005039C7">
        <w:rPr>
          <w:bCs/>
          <w:lang w:eastAsia="de-DE"/>
        </w:rPr>
        <w:t>,</w:t>
      </w:r>
      <w:r w:rsidR="008B167D">
        <w:rPr>
          <w:rStyle w:val="FootnoteReference"/>
          <w:bCs/>
          <w:lang w:eastAsia="de-DE"/>
        </w:rPr>
        <w:footnoteReference w:id="17"/>
      </w:r>
      <w:r w:rsidR="008B167D" w:rsidRPr="00394B24">
        <w:rPr>
          <w:bCs/>
          <w:lang w:eastAsia="de-DE"/>
        </w:rPr>
        <w:t xml:space="preserve"> and  a</w:t>
      </w:r>
      <w:r w:rsidR="008B167D" w:rsidRPr="00394B24">
        <w:t>ccording to data collected in 2016 from</w:t>
      </w:r>
      <w:r w:rsidR="008B167D">
        <w:t xml:space="preserve"> the Ministry of Education</w:t>
      </w:r>
      <w:r w:rsidR="008B167D" w:rsidRPr="00394B24">
        <w:t xml:space="preserve"> in the </w:t>
      </w:r>
      <w:r w:rsidR="006262DE">
        <w:t>e</w:t>
      </w:r>
      <w:r w:rsidR="008B167D" w:rsidRPr="00394B24">
        <w:t xml:space="preserve">ast and </w:t>
      </w:r>
      <w:r w:rsidR="006262DE">
        <w:t>w</w:t>
      </w:r>
      <w:r w:rsidR="008B167D" w:rsidRPr="00394B24">
        <w:t xml:space="preserve">est of Libya, </w:t>
      </w:r>
      <w:r w:rsidR="006B77CA">
        <w:t xml:space="preserve">over </w:t>
      </w:r>
      <w:r w:rsidR="008B167D">
        <w:t>10 per cent</w:t>
      </w:r>
      <w:r w:rsidR="008B167D" w:rsidRPr="00394B24">
        <w:t xml:space="preserve"> of schools</w:t>
      </w:r>
      <w:r w:rsidR="006B77CA">
        <w:t xml:space="preserve"> are affected by the crisis, </w:t>
      </w:r>
      <w:r w:rsidR="008B167D" w:rsidRPr="00394B24">
        <w:t>negatively affecting an estimated 279,000 childre</w:t>
      </w:r>
      <w:r w:rsidR="008B167D">
        <w:t xml:space="preserve">n. </w:t>
      </w:r>
      <w:r w:rsidRPr="00140481">
        <w:t>The instability exacerbated vulnerability</w:t>
      </w:r>
      <w:r w:rsidR="0045557F" w:rsidRPr="00140481">
        <w:t>,</w:t>
      </w:r>
      <w:r w:rsidRPr="00140481">
        <w:t xml:space="preserve"> resulting in reduce</w:t>
      </w:r>
      <w:r w:rsidR="0045557F" w:rsidRPr="00140481">
        <w:t xml:space="preserve">d government revenues, fewer public services, </w:t>
      </w:r>
      <w:r w:rsidRPr="00140481">
        <w:t>increased unemployment</w:t>
      </w:r>
      <w:r w:rsidR="0045557F" w:rsidRPr="00140481">
        <w:t>, rising inflation and budget deficits</w:t>
      </w:r>
      <w:r w:rsidRPr="00140481">
        <w:t>.</w:t>
      </w:r>
      <w:r w:rsidRPr="00140481">
        <w:rPr>
          <w:rStyle w:val="FootnoteReference"/>
        </w:rPr>
        <w:footnoteReference w:id="18"/>
      </w:r>
      <w:r w:rsidRPr="00140481">
        <w:t xml:space="preserve"> Only 29 per</w:t>
      </w:r>
      <w:r w:rsidR="0002713A">
        <w:t xml:space="preserve"> </w:t>
      </w:r>
      <w:r w:rsidR="00B751A9" w:rsidRPr="00140481">
        <w:t>cent of</w:t>
      </w:r>
      <w:r w:rsidRPr="00140481">
        <w:t xml:space="preserve"> women are reported to participate in the formal labour force, virtually all </w:t>
      </w:r>
      <w:r w:rsidR="005039C7">
        <w:t xml:space="preserve">of </w:t>
      </w:r>
      <w:r w:rsidR="00590E87">
        <w:t xml:space="preserve">them </w:t>
      </w:r>
      <w:r w:rsidRPr="00140481">
        <w:t>in the public sector. Women</w:t>
      </w:r>
      <w:r w:rsidRPr="00D2038D">
        <w:t xml:space="preserve"> also experience higher rates of unemployment and receive less pay than men.</w:t>
      </w:r>
      <w:r w:rsidRPr="00D2038D">
        <w:rPr>
          <w:rStyle w:val="FootnoteReference"/>
        </w:rPr>
        <w:footnoteReference w:id="19"/>
      </w:r>
      <w:r>
        <w:t xml:space="preserve"> </w:t>
      </w:r>
      <w:r w:rsidRPr="00F64EA4">
        <w:rPr>
          <w:rFonts w:eastAsia="Arial"/>
        </w:rPr>
        <w:t>Young people aged 15–34 represent half of Libya’s workforce</w:t>
      </w:r>
      <w:r w:rsidR="00984A4E">
        <w:rPr>
          <w:rFonts w:eastAsia="Arial"/>
        </w:rPr>
        <w:t xml:space="preserve"> and</w:t>
      </w:r>
      <w:r w:rsidRPr="00F64EA4">
        <w:rPr>
          <w:rFonts w:eastAsia="Arial"/>
        </w:rPr>
        <w:t xml:space="preserve"> yet experience much higher rates of unemployment</w:t>
      </w:r>
      <w:r w:rsidR="005039C7">
        <w:rPr>
          <w:rFonts w:eastAsia="Arial"/>
        </w:rPr>
        <w:t>,</w:t>
      </w:r>
      <w:r w:rsidR="00984A4E">
        <w:rPr>
          <w:rFonts w:eastAsia="Arial"/>
        </w:rPr>
        <w:t xml:space="preserve"> standing at</w:t>
      </w:r>
      <w:r w:rsidRPr="00F64EA4">
        <w:rPr>
          <w:rFonts w:eastAsia="Arial"/>
        </w:rPr>
        <w:t xml:space="preserve"> 48 per cent in 2015, of which girls </w:t>
      </w:r>
      <w:r w:rsidR="00BA6107">
        <w:rPr>
          <w:rFonts w:eastAsia="Arial"/>
        </w:rPr>
        <w:t>account for</w:t>
      </w:r>
      <w:r w:rsidR="00BA6107" w:rsidRPr="00F64EA4">
        <w:rPr>
          <w:rFonts w:eastAsia="Arial"/>
        </w:rPr>
        <w:t xml:space="preserve"> </w:t>
      </w:r>
      <w:r w:rsidRPr="00F64EA4">
        <w:rPr>
          <w:rFonts w:eastAsia="Arial"/>
        </w:rPr>
        <w:t>68 per cent.</w:t>
      </w:r>
      <w:r w:rsidRPr="00C24B38">
        <w:rPr>
          <w:rFonts w:eastAsia="Arial"/>
          <w:vertAlign w:val="superscript"/>
        </w:rPr>
        <w:footnoteReference w:id="20"/>
      </w:r>
    </w:p>
    <w:p w14:paraId="6758292F" w14:textId="0FBA7E3C" w:rsidR="008003E8" w:rsidRPr="00260D08" w:rsidRDefault="00D92C0F" w:rsidP="00C747FA">
      <w:pPr>
        <w:pStyle w:val="ColorfulList-Accent11"/>
        <w:numPr>
          <w:ilvl w:val="0"/>
          <w:numId w:val="11"/>
        </w:numPr>
        <w:spacing w:after="120" w:line="240" w:lineRule="exact"/>
        <w:ind w:left="1080" w:right="720" w:firstLine="0"/>
        <w:jc w:val="both"/>
        <w:rPr>
          <w:iCs/>
        </w:rPr>
      </w:pPr>
      <w:r w:rsidRPr="00E63292">
        <w:rPr>
          <w:iCs/>
        </w:rPr>
        <w:t xml:space="preserve">In addition to </w:t>
      </w:r>
      <w:r w:rsidR="009021A9" w:rsidRPr="00E63292">
        <w:rPr>
          <w:iCs/>
        </w:rPr>
        <w:t xml:space="preserve">broader </w:t>
      </w:r>
      <w:r w:rsidRPr="00E63292">
        <w:rPr>
          <w:iCs/>
        </w:rPr>
        <w:t xml:space="preserve">economic vulnerabilities, certain groups experience </w:t>
      </w:r>
      <w:r w:rsidR="009021A9" w:rsidRPr="00E63292">
        <w:rPr>
          <w:iCs/>
        </w:rPr>
        <w:t>specific</w:t>
      </w:r>
      <w:r w:rsidRPr="00E63292">
        <w:rPr>
          <w:iCs/>
        </w:rPr>
        <w:t xml:space="preserve"> forms of exclusion. </w:t>
      </w:r>
      <w:r w:rsidR="00B20F9F">
        <w:rPr>
          <w:iCs/>
        </w:rPr>
        <w:t>Approximately</w:t>
      </w:r>
      <w:r w:rsidRPr="00E63292">
        <w:rPr>
          <w:iCs/>
        </w:rPr>
        <w:t xml:space="preserve"> 1.3 million people, including </w:t>
      </w:r>
      <w:r w:rsidR="0061743C">
        <w:rPr>
          <w:iCs/>
        </w:rPr>
        <w:t>i</w:t>
      </w:r>
      <w:r w:rsidRPr="00E63292">
        <w:rPr>
          <w:iCs/>
        </w:rPr>
        <w:t xml:space="preserve">nternally </w:t>
      </w:r>
      <w:r w:rsidR="0061743C">
        <w:rPr>
          <w:iCs/>
        </w:rPr>
        <w:t>d</w:t>
      </w:r>
      <w:r w:rsidRPr="00E63292">
        <w:rPr>
          <w:iCs/>
        </w:rPr>
        <w:t xml:space="preserve">isplaced </w:t>
      </w:r>
      <w:r w:rsidR="0061743C">
        <w:rPr>
          <w:iCs/>
        </w:rPr>
        <w:t>p</w:t>
      </w:r>
      <w:r w:rsidRPr="00E63292">
        <w:rPr>
          <w:iCs/>
        </w:rPr>
        <w:t>ersons (IDPs), returnees, vulnerable non-displaced Libyans, migrants, refugees and asylum seekers</w:t>
      </w:r>
      <w:r w:rsidR="00590E87">
        <w:rPr>
          <w:iCs/>
        </w:rPr>
        <w:t>,</w:t>
      </w:r>
      <w:r w:rsidRPr="00E63292">
        <w:rPr>
          <w:iCs/>
        </w:rPr>
        <w:t xml:space="preserve"> are in urgent need of humanitarian assistance</w:t>
      </w:r>
      <w:r w:rsidR="00BD30E5" w:rsidRPr="00E63292">
        <w:rPr>
          <w:iCs/>
        </w:rPr>
        <w:t>, access to services and jobs</w:t>
      </w:r>
      <w:r w:rsidRPr="00E63292">
        <w:rPr>
          <w:iCs/>
        </w:rPr>
        <w:t xml:space="preserve">. </w:t>
      </w:r>
      <w:r w:rsidR="00664264">
        <w:rPr>
          <w:iCs/>
        </w:rPr>
        <w:t>M</w:t>
      </w:r>
      <w:r w:rsidR="002B54F5" w:rsidRPr="00E63292">
        <w:rPr>
          <w:iCs/>
        </w:rPr>
        <w:t>igrants in Libya are highly vulnerable, facing sexual violence and other violations and abuses.</w:t>
      </w:r>
      <w:r w:rsidR="002B54F5" w:rsidRPr="00260D08">
        <w:rPr>
          <w:iCs/>
          <w:vertAlign w:val="superscript"/>
        </w:rPr>
        <w:footnoteReference w:id="21"/>
      </w:r>
      <w:r w:rsidR="002B54F5" w:rsidRPr="00E63292">
        <w:rPr>
          <w:iCs/>
        </w:rPr>
        <w:t xml:space="preserve"> </w:t>
      </w:r>
      <w:r w:rsidR="00095733" w:rsidRPr="00E63292">
        <w:rPr>
          <w:iCs/>
        </w:rPr>
        <w:t xml:space="preserve">Increased violence against women is also a feature of the conflict and a consequence of violent extremism. Women in areas under control of </w:t>
      </w:r>
      <w:r w:rsidR="009021A9" w:rsidRPr="00E63292">
        <w:rPr>
          <w:iCs/>
        </w:rPr>
        <w:t xml:space="preserve">the </w:t>
      </w:r>
      <w:r w:rsidR="00095733" w:rsidRPr="00E63292">
        <w:rPr>
          <w:iCs/>
        </w:rPr>
        <w:t xml:space="preserve">so-called </w:t>
      </w:r>
      <w:r w:rsidR="009021A9" w:rsidRPr="00E63292">
        <w:rPr>
          <w:iCs/>
        </w:rPr>
        <w:t xml:space="preserve">Islamic State </w:t>
      </w:r>
      <w:r w:rsidR="00095733" w:rsidRPr="00E63292">
        <w:rPr>
          <w:iCs/>
        </w:rPr>
        <w:t xml:space="preserve">confirm violations of women’s fundamental human rights, including </w:t>
      </w:r>
      <w:r w:rsidR="00FF3249">
        <w:rPr>
          <w:iCs/>
        </w:rPr>
        <w:t xml:space="preserve">slavery, </w:t>
      </w:r>
      <w:r w:rsidR="00095733" w:rsidRPr="00E63292">
        <w:rPr>
          <w:iCs/>
        </w:rPr>
        <w:t>conflict</w:t>
      </w:r>
      <w:r w:rsidR="000D2626">
        <w:rPr>
          <w:iCs/>
        </w:rPr>
        <w:t>-</w:t>
      </w:r>
      <w:r w:rsidR="00095733" w:rsidRPr="00E63292">
        <w:rPr>
          <w:iCs/>
        </w:rPr>
        <w:t xml:space="preserve">related sexual violence and </w:t>
      </w:r>
      <w:r w:rsidR="00D6519D">
        <w:rPr>
          <w:iCs/>
        </w:rPr>
        <w:t xml:space="preserve">other forms of </w:t>
      </w:r>
      <w:r w:rsidR="00095733" w:rsidRPr="00E63292">
        <w:rPr>
          <w:iCs/>
        </w:rPr>
        <w:t>abuse</w:t>
      </w:r>
      <w:r w:rsidR="0097233F" w:rsidRPr="00E63292">
        <w:rPr>
          <w:iCs/>
        </w:rPr>
        <w:t>.</w:t>
      </w:r>
      <w:r w:rsidR="00095733" w:rsidRPr="00E04260">
        <w:rPr>
          <w:rFonts w:eastAsia="Arial"/>
          <w:vertAlign w:val="superscript"/>
        </w:rPr>
        <w:footnoteReference w:id="22"/>
      </w:r>
      <w:r w:rsidR="00095733" w:rsidRPr="00E04260">
        <w:rPr>
          <w:rFonts w:eastAsia="Arial"/>
          <w:vertAlign w:val="superscript"/>
        </w:rPr>
        <w:t xml:space="preserve"> </w:t>
      </w:r>
    </w:p>
    <w:p w14:paraId="3C30F0CD" w14:textId="008979F9" w:rsidR="0050430A" w:rsidRDefault="005039C7" w:rsidP="00C747FA">
      <w:pPr>
        <w:numPr>
          <w:ilvl w:val="0"/>
          <w:numId w:val="11"/>
        </w:numPr>
        <w:spacing w:after="120" w:line="240" w:lineRule="exact"/>
        <w:ind w:left="1080" w:right="720" w:firstLine="0"/>
        <w:jc w:val="both"/>
      </w:pPr>
      <w:r>
        <w:t xml:space="preserve">During </w:t>
      </w:r>
      <w:r w:rsidR="00BE7202" w:rsidRPr="003738F7">
        <w:t xml:space="preserve">the previous programme period, UNDP </w:t>
      </w:r>
      <w:r w:rsidR="001A1FAA" w:rsidRPr="003738F7">
        <w:t>provided critical support in three areas</w:t>
      </w:r>
      <w:r w:rsidR="000D2626">
        <w:t>.</w:t>
      </w:r>
      <w:r w:rsidR="00507B90" w:rsidRPr="003738F7">
        <w:t xml:space="preserve"> First, </w:t>
      </w:r>
      <w:r w:rsidR="003738F7" w:rsidRPr="003738F7">
        <w:rPr>
          <w:color w:val="000000"/>
        </w:rPr>
        <w:t xml:space="preserve">UNDP </w:t>
      </w:r>
      <w:r w:rsidR="003738F7" w:rsidRPr="00592333">
        <w:rPr>
          <w:color w:val="000000"/>
        </w:rPr>
        <w:t xml:space="preserve">supported the High </w:t>
      </w:r>
      <w:r>
        <w:rPr>
          <w:color w:val="000000"/>
        </w:rPr>
        <w:t xml:space="preserve">Commission for </w:t>
      </w:r>
      <w:r w:rsidR="003738F7" w:rsidRPr="00592333">
        <w:rPr>
          <w:color w:val="000000"/>
        </w:rPr>
        <w:t>National Elect</w:t>
      </w:r>
      <w:r>
        <w:rPr>
          <w:color w:val="000000"/>
        </w:rPr>
        <w:t xml:space="preserve">ions </w:t>
      </w:r>
      <w:r w:rsidR="003738F7" w:rsidRPr="00592333">
        <w:rPr>
          <w:color w:val="000000"/>
        </w:rPr>
        <w:t>to organize nationwide elections in 2012</w:t>
      </w:r>
      <w:r w:rsidR="003738F7" w:rsidRPr="003738F7">
        <w:rPr>
          <w:color w:val="000000"/>
        </w:rPr>
        <w:t xml:space="preserve"> and 2014,</w:t>
      </w:r>
      <w:r w:rsidR="00BA1DE8" w:rsidRPr="008427D4">
        <w:rPr>
          <w:vertAlign w:val="superscript"/>
        </w:rPr>
        <w:footnoteReference w:id="23"/>
      </w:r>
      <w:r w:rsidR="00BA1DE8" w:rsidRPr="00013E76">
        <w:rPr>
          <w:color w:val="000000"/>
        </w:rPr>
        <w:t xml:space="preserve"> </w:t>
      </w:r>
      <w:r w:rsidR="003738F7" w:rsidRPr="003738F7">
        <w:rPr>
          <w:color w:val="000000"/>
        </w:rPr>
        <w:t>and supported</w:t>
      </w:r>
      <w:r w:rsidR="003738F7" w:rsidRPr="00592333">
        <w:rPr>
          <w:color w:val="000000"/>
        </w:rPr>
        <w:t xml:space="preserve"> UNSMIL </w:t>
      </w:r>
      <w:r w:rsidR="003738F7" w:rsidRPr="003738F7">
        <w:rPr>
          <w:color w:val="000000"/>
        </w:rPr>
        <w:t>to facilitate</w:t>
      </w:r>
      <w:r w:rsidR="003738F7" w:rsidRPr="00592333">
        <w:rPr>
          <w:color w:val="000000"/>
        </w:rPr>
        <w:t xml:space="preserve"> political dialogue </w:t>
      </w:r>
      <w:r w:rsidR="003738F7" w:rsidRPr="003738F7">
        <w:rPr>
          <w:color w:val="000000"/>
        </w:rPr>
        <w:t>and provide</w:t>
      </w:r>
      <w:r w:rsidR="003738F7" w:rsidRPr="00592333">
        <w:rPr>
          <w:color w:val="000000"/>
        </w:rPr>
        <w:t xml:space="preserve"> technical</w:t>
      </w:r>
      <w:r w:rsidR="0002713A">
        <w:rPr>
          <w:color w:val="000000"/>
        </w:rPr>
        <w:t xml:space="preserve"> and </w:t>
      </w:r>
      <w:r w:rsidR="003738F7" w:rsidRPr="00592333">
        <w:rPr>
          <w:color w:val="000000"/>
        </w:rPr>
        <w:t>logi</w:t>
      </w:r>
      <w:r w:rsidR="003738F7" w:rsidRPr="003738F7">
        <w:rPr>
          <w:color w:val="000000"/>
        </w:rPr>
        <w:t xml:space="preserve">stical support </w:t>
      </w:r>
      <w:r>
        <w:rPr>
          <w:color w:val="000000"/>
        </w:rPr>
        <w:t xml:space="preserve">for </w:t>
      </w:r>
      <w:r w:rsidR="003738F7" w:rsidRPr="00592333">
        <w:rPr>
          <w:color w:val="000000"/>
        </w:rPr>
        <w:t>the Constitution drafting process</w:t>
      </w:r>
      <w:r w:rsidR="003738F7">
        <w:rPr>
          <w:color w:val="000000"/>
        </w:rPr>
        <w:t xml:space="preserve">. </w:t>
      </w:r>
      <w:r w:rsidR="00B751A9">
        <w:rPr>
          <w:color w:val="000000"/>
        </w:rPr>
        <w:t xml:space="preserve">Second, </w:t>
      </w:r>
      <w:r w:rsidR="00B751A9" w:rsidRPr="003738F7">
        <w:t>together</w:t>
      </w:r>
      <w:r w:rsidR="00B02F6D" w:rsidRPr="003738F7">
        <w:t xml:space="preserve"> with UNSMIL</w:t>
      </w:r>
      <w:r w:rsidR="0061743C">
        <w:t xml:space="preserve">, </w:t>
      </w:r>
      <w:r w:rsidR="00B02F6D" w:rsidRPr="003738F7">
        <w:t>other U</w:t>
      </w:r>
      <w:r>
        <w:t xml:space="preserve">nited </w:t>
      </w:r>
      <w:r w:rsidR="00B02F6D" w:rsidRPr="003738F7">
        <w:t>N</w:t>
      </w:r>
      <w:r>
        <w:t>ations</w:t>
      </w:r>
      <w:r w:rsidR="00B02F6D" w:rsidRPr="003738F7">
        <w:t xml:space="preserve"> agencies and civil society partners </w:t>
      </w:r>
      <w:r w:rsidR="00A65E33" w:rsidRPr="003738F7">
        <w:t>under the Stabilization Facility for Libya</w:t>
      </w:r>
      <w:r w:rsidR="00590E87">
        <w:t>,</w:t>
      </w:r>
      <w:r w:rsidR="00BA1DE8">
        <w:t xml:space="preserve"> UNDP</w:t>
      </w:r>
      <w:r w:rsidR="00A65E33" w:rsidRPr="003738F7">
        <w:t xml:space="preserve"> </w:t>
      </w:r>
      <w:r w:rsidR="00D17FD7" w:rsidRPr="003738F7">
        <w:t xml:space="preserve">provided </w:t>
      </w:r>
      <w:r w:rsidR="001355DC">
        <w:t xml:space="preserve">tangible benefits to </w:t>
      </w:r>
      <w:r w:rsidR="00D1236D">
        <w:t>people</w:t>
      </w:r>
      <w:r w:rsidR="00D17FD7" w:rsidRPr="003738F7">
        <w:t xml:space="preserve"> </w:t>
      </w:r>
      <w:r w:rsidR="009875EF">
        <w:t xml:space="preserve">in nine regions </w:t>
      </w:r>
      <w:r w:rsidR="00BA1DE8">
        <w:t>for</w:t>
      </w:r>
      <w:r w:rsidR="00FF3249">
        <w:t>:</w:t>
      </w:r>
      <w:r w:rsidR="00BA1DE8">
        <w:t xml:space="preserve"> </w:t>
      </w:r>
      <w:r w:rsidR="00C3496C">
        <w:t>refurbishment and re-eq</w:t>
      </w:r>
      <w:r w:rsidR="00FF3249">
        <w:t>u</w:t>
      </w:r>
      <w:r w:rsidR="00C3496C">
        <w:t>ipping of public service</w:t>
      </w:r>
      <w:r w:rsidR="00BE7202" w:rsidRPr="006116C3">
        <w:t xml:space="preserve"> infrastructure</w:t>
      </w:r>
      <w:r w:rsidR="00340DD1">
        <w:t xml:space="preserve">, including </w:t>
      </w:r>
      <w:r w:rsidR="00340DD1" w:rsidRPr="0076626D">
        <w:rPr>
          <w:color w:val="000000"/>
          <w:lang w:val="en-GB"/>
        </w:rPr>
        <w:t>11 hospitals and medical centr</w:t>
      </w:r>
      <w:r w:rsidR="006C6BAD">
        <w:rPr>
          <w:color w:val="000000"/>
          <w:lang w:val="en-GB"/>
        </w:rPr>
        <w:t>e</w:t>
      </w:r>
      <w:r w:rsidR="00340DD1" w:rsidRPr="0076626D">
        <w:rPr>
          <w:color w:val="000000"/>
          <w:lang w:val="en-GB"/>
        </w:rPr>
        <w:t>s</w:t>
      </w:r>
      <w:r w:rsidR="006C6BAD">
        <w:rPr>
          <w:color w:val="000000"/>
          <w:lang w:val="en-GB"/>
        </w:rPr>
        <w:t xml:space="preserve"> and</w:t>
      </w:r>
      <w:r w:rsidR="006C6BAD" w:rsidRPr="0076626D">
        <w:rPr>
          <w:color w:val="000000"/>
          <w:lang w:val="en-GB"/>
        </w:rPr>
        <w:t xml:space="preserve"> </w:t>
      </w:r>
      <w:r w:rsidR="00340DD1" w:rsidRPr="0076626D">
        <w:rPr>
          <w:color w:val="000000"/>
          <w:lang w:val="en-GB"/>
        </w:rPr>
        <w:t xml:space="preserve">16 schools, and </w:t>
      </w:r>
      <w:r w:rsidR="00340DD1">
        <w:rPr>
          <w:color w:val="000000"/>
          <w:lang w:val="en-GB"/>
        </w:rPr>
        <w:t xml:space="preserve">improved </w:t>
      </w:r>
      <w:r w:rsidR="00340DD1" w:rsidRPr="0076626D">
        <w:rPr>
          <w:color w:val="000000"/>
          <w:lang w:val="en-GB"/>
        </w:rPr>
        <w:t>performance of electrical substations, water and sewage system</w:t>
      </w:r>
      <w:r w:rsidR="00340DD1">
        <w:rPr>
          <w:color w:val="000000"/>
          <w:lang w:val="en-GB"/>
        </w:rPr>
        <w:t>s</w:t>
      </w:r>
      <w:r w:rsidR="00FF3249">
        <w:t>;</w:t>
      </w:r>
      <w:r w:rsidR="00BE7202" w:rsidRPr="006116C3">
        <w:t xml:space="preserve"> strengthen</w:t>
      </w:r>
      <w:r w:rsidR="00174593">
        <w:t>ed</w:t>
      </w:r>
      <w:r w:rsidR="00BE7202" w:rsidRPr="006116C3">
        <w:t xml:space="preserve"> </w:t>
      </w:r>
      <w:r w:rsidR="006C6BAD" w:rsidRPr="006116C3">
        <w:t>capacit</w:t>
      </w:r>
      <w:r w:rsidR="006C6BAD">
        <w:t>ies</w:t>
      </w:r>
      <w:r w:rsidR="006C6BAD" w:rsidRPr="006116C3">
        <w:t xml:space="preserve"> </w:t>
      </w:r>
      <w:r w:rsidR="00BE7202" w:rsidRPr="006116C3">
        <w:t xml:space="preserve">of national institutions to </w:t>
      </w:r>
      <w:r w:rsidR="00C3496C">
        <w:t xml:space="preserve">connect with </w:t>
      </w:r>
      <w:r w:rsidR="0030165A">
        <w:t>m</w:t>
      </w:r>
      <w:r w:rsidR="00C3496C">
        <w:t>unicipalities</w:t>
      </w:r>
      <w:r w:rsidR="00340DD1">
        <w:t>;</w:t>
      </w:r>
      <w:r w:rsidR="00C3496C">
        <w:t xml:space="preserve"> and</w:t>
      </w:r>
      <w:r w:rsidR="00340DD1">
        <w:t xml:space="preserve"> improved</w:t>
      </w:r>
      <w:r w:rsidR="00C3496C">
        <w:t xml:space="preserve"> local capacit</w:t>
      </w:r>
      <w:r w:rsidR="006C6BAD">
        <w:t>ies</w:t>
      </w:r>
      <w:r w:rsidR="00C3496C">
        <w:t xml:space="preserve"> for conflict monitoring, management and mediation</w:t>
      </w:r>
      <w:r w:rsidR="00BE7202" w:rsidRPr="006116C3">
        <w:t>.</w:t>
      </w:r>
      <w:r w:rsidR="00BE7202" w:rsidRPr="001F437D">
        <w:t xml:space="preserve"> </w:t>
      </w:r>
      <w:r w:rsidR="00BA1DE8">
        <w:t>Third, UNDP supported civic engagement and dialogue through partnerships between selected municipalities</w:t>
      </w:r>
      <w:r w:rsidR="006229F1">
        <w:t xml:space="preserve"> </w:t>
      </w:r>
      <w:r w:rsidR="0032184B">
        <w:t xml:space="preserve">and civil society </w:t>
      </w:r>
      <w:r w:rsidR="006229F1">
        <w:t xml:space="preserve">in </w:t>
      </w:r>
      <w:r w:rsidR="0037180E">
        <w:t>the w</w:t>
      </w:r>
      <w:r w:rsidR="006229F1">
        <w:t xml:space="preserve">est, </w:t>
      </w:r>
      <w:r w:rsidR="0062574A">
        <w:t>e</w:t>
      </w:r>
      <w:r w:rsidR="006229F1">
        <w:t xml:space="preserve">ast and </w:t>
      </w:r>
      <w:r w:rsidR="0037180E">
        <w:t>s</w:t>
      </w:r>
      <w:r w:rsidR="006229F1">
        <w:t>outh</w:t>
      </w:r>
      <w:r w:rsidR="00BA1DE8">
        <w:t xml:space="preserve"> </w:t>
      </w:r>
      <w:r w:rsidR="00B175CC">
        <w:t xml:space="preserve">of Libya </w:t>
      </w:r>
      <w:r w:rsidR="00BA1DE8">
        <w:t>to build</w:t>
      </w:r>
      <w:r w:rsidR="00BA1DE8" w:rsidRPr="00F67E89">
        <w:t xml:space="preserve"> resilience </w:t>
      </w:r>
      <w:r w:rsidR="00BA1DE8">
        <w:t>and improve</w:t>
      </w:r>
      <w:r w:rsidR="00BA1DE8" w:rsidRPr="00F67E89">
        <w:t xml:space="preserve"> communi</w:t>
      </w:r>
      <w:r w:rsidR="00BA1DE8">
        <w:t>ty stability, security and soci</w:t>
      </w:r>
      <w:r w:rsidR="000E7BC8">
        <w:t>o</w:t>
      </w:r>
      <w:r w:rsidR="00BA1DE8">
        <w:t>economic conditions.</w:t>
      </w:r>
      <w:r w:rsidR="009021A9">
        <w:t xml:space="preserve"> </w:t>
      </w:r>
    </w:p>
    <w:p w14:paraId="3C92C48F" w14:textId="4421A2F2" w:rsidR="00BA1DE8" w:rsidRPr="0042229F" w:rsidRDefault="00BA1DE8" w:rsidP="00707E0E">
      <w:pPr>
        <w:pStyle w:val="ColorfulList-Accent11"/>
        <w:numPr>
          <w:ilvl w:val="0"/>
          <w:numId w:val="11"/>
        </w:numPr>
        <w:spacing w:line="240" w:lineRule="exact"/>
        <w:ind w:left="1080" w:right="720" w:firstLine="0"/>
        <w:jc w:val="both"/>
      </w:pPr>
      <w:r w:rsidRPr="0042229F">
        <w:t>Two key lessons can be highlighted from the previous programme period.</w:t>
      </w:r>
      <w:r w:rsidR="000F5CB7">
        <w:rPr>
          <w:rStyle w:val="FootnoteReference"/>
        </w:rPr>
        <w:footnoteReference w:id="24"/>
      </w:r>
      <w:r w:rsidRPr="0042229F">
        <w:t xml:space="preserve"> First, </w:t>
      </w:r>
      <w:r w:rsidR="004D3524" w:rsidRPr="0042229F">
        <w:t>whil</w:t>
      </w:r>
      <w:r w:rsidR="004D3524">
        <w:t xml:space="preserve">e </w:t>
      </w:r>
      <w:r w:rsidR="004D3524" w:rsidRPr="0042229F">
        <w:t>improvements</w:t>
      </w:r>
      <w:r w:rsidRPr="0042229F">
        <w:t xml:space="preserve"> in institutional effectiveness, service delivery and reconciliation are meaningful contributions to building trust, true legitimacy will come only with an overall political settlement. </w:t>
      </w:r>
      <w:r w:rsidR="00945B40">
        <w:t>Secondly,</w:t>
      </w:r>
      <w:r w:rsidRPr="0042229F">
        <w:t xml:space="preserve"> </w:t>
      </w:r>
      <w:r w:rsidR="00DC4579" w:rsidRPr="0042229F">
        <w:t>as</w:t>
      </w:r>
      <w:r w:rsidRPr="0042229F">
        <w:t xml:space="preserve"> long as local arrangements do not pose obstacles for key actors at the national level</w:t>
      </w:r>
      <w:r w:rsidR="00C3496C" w:rsidRPr="0042229F">
        <w:t xml:space="preserve"> or encourage fissiparous tendencies</w:t>
      </w:r>
      <w:r w:rsidRPr="0042229F">
        <w:t>, it is possible to support</w:t>
      </w:r>
      <w:r w:rsidR="00383AE9">
        <w:t xml:space="preserve"> </w:t>
      </w:r>
      <w:r w:rsidRPr="0042229F">
        <w:t>conflict reduction</w:t>
      </w:r>
      <w:r w:rsidR="00634406" w:rsidRPr="0042229F">
        <w:t xml:space="preserve">, social cohesion </w:t>
      </w:r>
      <w:r w:rsidRPr="0042229F">
        <w:t xml:space="preserve">and improved service delivery </w:t>
      </w:r>
      <w:r w:rsidR="001F27AF">
        <w:t>by focusing on specific geographic areas</w:t>
      </w:r>
      <w:r w:rsidR="00D1236D">
        <w:t xml:space="preserve"> and </w:t>
      </w:r>
      <w:r w:rsidR="00BD33A6">
        <w:t>target</w:t>
      </w:r>
      <w:r w:rsidR="00BD33A6" w:rsidRPr="0042229F">
        <w:t xml:space="preserve"> </w:t>
      </w:r>
      <w:r w:rsidRPr="0042229F">
        <w:t>groups</w:t>
      </w:r>
      <w:r w:rsidR="001F27AF">
        <w:t xml:space="preserve">. </w:t>
      </w:r>
      <w:r w:rsidRPr="0042229F">
        <w:t xml:space="preserve">This will require UNDP to ensure </w:t>
      </w:r>
      <w:r w:rsidR="00537758">
        <w:t xml:space="preserve">that </w:t>
      </w:r>
      <w:r w:rsidRPr="0042229F">
        <w:t>conflict analysis continues to be embedded in its programming and continuously updated.</w:t>
      </w:r>
      <w:r w:rsidR="00FD7FD5" w:rsidRPr="0042229F">
        <w:t xml:space="preserve"> UNDP has </w:t>
      </w:r>
      <w:r w:rsidR="00AD3AF5">
        <w:t xml:space="preserve">established its </w:t>
      </w:r>
      <w:r w:rsidR="00FD7FD5" w:rsidRPr="0042229F">
        <w:t xml:space="preserve">value-added </w:t>
      </w:r>
      <w:r w:rsidR="00AD3AF5">
        <w:t xml:space="preserve">role in Libya </w:t>
      </w:r>
      <w:r w:rsidR="00FD7FD5" w:rsidRPr="0042229F">
        <w:t xml:space="preserve">through its ability to coordinate and manage </w:t>
      </w:r>
      <w:r w:rsidR="0088455E">
        <w:t xml:space="preserve">(with UNSMIL) the </w:t>
      </w:r>
      <w:r w:rsidR="00FD7FD5" w:rsidRPr="0042229F">
        <w:t xml:space="preserve">implementation of large, complex </w:t>
      </w:r>
      <w:r w:rsidR="00B751A9" w:rsidRPr="0042229F">
        <w:t>initiatives</w:t>
      </w:r>
      <w:r w:rsidR="00FD7FD5" w:rsidRPr="0042229F">
        <w:t xml:space="preserve"> for infrastructure improvements in difficult</w:t>
      </w:r>
      <w:r w:rsidR="000D2626">
        <w:t>-</w:t>
      </w:r>
      <w:r w:rsidR="00FD7FD5" w:rsidRPr="0042229F">
        <w:t>to</w:t>
      </w:r>
      <w:r w:rsidR="000D2626">
        <w:t>-</w:t>
      </w:r>
      <w:r w:rsidR="00FD7FD5" w:rsidRPr="0042229F">
        <w:t xml:space="preserve">access areas </w:t>
      </w:r>
      <w:r w:rsidR="004607F1">
        <w:t>through</w:t>
      </w:r>
      <w:r w:rsidR="00552470" w:rsidRPr="0042229F">
        <w:t xml:space="preserve"> </w:t>
      </w:r>
      <w:r w:rsidR="00AD3AF5">
        <w:t xml:space="preserve">third-party </w:t>
      </w:r>
      <w:r w:rsidR="00552470" w:rsidRPr="0042229F">
        <w:t>implementing partners</w:t>
      </w:r>
      <w:r w:rsidR="00002751">
        <w:t xml:space="preserve"> </w:t>
      </w:r>
      <w:r w:rsidR="00002751">
        <w:lastRenderedPageBreak/>
        <w:t>(</w:t>
      </w:r>
      <w:r w:rsidR="00002751" w:rsidRPr="00C33A6D">
        <w:t xml:space="preserve">Aktis Strategy Ltd., Peaceful Change Initiative, </w:t>
      </w:r>
      <w:r w:rsidR="004D3524">
        <w:t>etc.</w:t>
      </w:r>
      <w:r w:rsidR="00836F71">
        <w:t>,)</w:t>
      </w:r>
      <w:r w:rsidR="00552470" w:rsidRPr="0042229F">
        <w:t xml:space="preserve">. Similarly, </w:t>
      </w:r>
      <w:r w:rsidR="00537758">
        <w:t xml:space="preserve">the </w:t>
      </w:r>
      <w:r w:rsidR="00552470" w:rsidRPr="0042229F">
        <w:t xml:space="preserve">convening power </w:t>
      </w:r>
      <w:r w:rsidR="00537758">
        <w:t xml:space="preserve">of UNDP </w:t>
      </w:r>
      <w:r w:rsidR="00552470" w:rsidRPr="0042229F">
        <w:t>ensured th</w:t>
      </w:r>
      <w:r w:rsidR="00D14FEA">
        <w:t>at</w:t>
      </w:r>
      <w:r w:rsidR="00552470" w:rsidRPr="0042229F">
        <w:t xml:space="preserve"> rehabilitation of public services is accompanied by community outreach</w:t>
      </w:r>
      <w:r w:rsidR="00CC2F15">
        <w:t xml:space="preserve"> </w:t>
      </w:r>
      <w:r w:rsidR="00552470" w:rsidRPr="0042229F">
        <w:t>and conflict-sensitive approaches</w:t>
      </w:r>
      <w:r w:rsidR="00045270">
        <w:t>,</w:t>
      </w:r>
      <w:r w:rsidR="00552470" w:rsidRPr="0042229F">
        <w:t xml:space="preserve"> which increases local buy-in and sustainability.</w:t>
      </w:r>
    </w:p>
    <w:p w14:paraId="658B84DA" w14:textId="77777777" w:rsidR="008003E8" w:rsidRDefault="008003E8" w:rsidP="00707E0E">
      <w:pPr>
        <w:pStyle w:val="ColorfulList-Accent11"/>
        <w:spacing w:line="240" w:lineRule="exact"/>
        <w:ind w:left="1080" w:right="720"/>
        <w:jc w:val="both"/>
      </w:pPr>
    </w:p>
    <w:p w14:paraId="34749668" w14:textId="77777777" w:rsidR="00850956" w:rsidRPr="00592333" w:rsidRDefault="009021A9" w:rsidP="00C747FA">
      <w:pPr>
        <w:pStyle w:val="Heading2"/>
        <w:spacing w:line="240" w:lineRule="exact"/>
        <w:ind w:left="1080" w:right="720" w:hanging="540"/>
        <w:jc w:val="both"/>
        <w:rPr>
          <w:rFonts w:ascii="Times New Roman" w:hAnsi="Times New Roman"/>
          <w:color w:val="000000"/>
          <w:spacing w:val="-3"/>
          <w:sz w:val="20"/>
        </w:rPr>
      </w:pPr>
      <w:r w:rsidRPr="003C26C1">
        <w:rPr>
          <w:rFonts w:ascii="Times New Roman" w:hAnsi="Times New Roman"/>
          <w:bCs/>
          <w:color w:val="000000"/>
          <w:sz w:val="24"/>
          <w:szCs w:val="24"/>
        </w:rPr>
        <w:t>II.</w:t>
      </w:r>
      <w:r w:rsidR="00C747FA">
        <w:rPr>
          <w:rFonts w:ascii="Times New Roman" w:hAnsi="Times New Roman"/>
          <w:bCs/>
          <w:color w:val="000000"/>
          <w:sz w:val="24"/>
          <w:szCs w:val="24"/>
        </w:rPr>
        <w:tab/>
      </w:r>
      <w:r w:rsidRPr="003C26C1">
        <w:rPr>
          <w:rFonts w:ascii="Times New Roman" w:hAnsi="Times New Roman"/>
          <w:bCs/>
          <w:color w:val="000000"/>
          <w:sz w:val="24"/>
          <w:szCs w:val="24"/>
        </w:rPr>
        <w:t xml:space="preserve">Programme </w:t>
      </w:r>
      <w:r w:rsidR="00C747FA">
        <w:rPr>
          <w:rFonts w:ascii="Times New Roman" w:hAnsi="Times New Roman"/>
          <w:bCs/>
          <w:color w:val="000000"/>
          <w:sz w:val="24"/>
          <w:szCs w:val="24"/>
        </w:rPr>
        <w:t>p</w:t>
      </w:r>
      <w:r w:rsidRPr="003C26C1">
        <w:rPr>
          <w:rFonts w:ascii="Times New Roman" w:hAnsi="Times New Roman"/>
          <w:bCs/>
          <w:color w:val="000000"/>
          <w:sz w:val="24"/>
          <w:szCs w:val="24"/>
        </w:rPr>
        <w:t xml:space="preserve">riorities and </w:t>
      </w:r>
      <w:r w:rsidR="00C747FA">
        <w:rPr>
          <w:rFonts w:ascii="Times New Roman" w:hAnsi="Times New Roman"/>
          <w:bCs/>
          <w:color w:val="000000"/>
          <w:sz w:val="24"/>
          <w:szCs w:val="24"/>
        </w:rPr>
        <w:t>p</w:t>
      </w:r>
      <w:r w:rsidRPr="003C26C1">
        <w:rPr>
          <w:rFonts w:ascii="Times New Roman" w:hAnsi="Times New Roman"/>
          <w:bCs/>
          <w:color w:val="000000"/>
          <w:sz w:val="24"/>
          <w:szCs w:val="24"/>
        </w:rPr>
        <w:t xml:space="preserve">artnerships </w:t>
      </w:r>
    </w:p>
    <w:p w14:paraId="77BAED3E" w14:textId="77777777" w:rsidR="008003E8" w:rsidRDefault="008003E8" w:rsidP="00707E0E">
      <w:pPr>
        <w:pStyle w:val="ColorfulList-Accent11"/>
        <w:spacing w:line="240" w:lineRule="exact"/>
        <w:ind w:left="1080" w:right="720"/>
        <w:jc w:val="both"/>
      </w:pPr>
    </w:p>
    <w:p w14:paraId="592C5F14" w14:textId="4A6CBC7E" w:rsidR="00E503EF" w:rsidRPr="00592333" w:rsidRDefault="003D30FB" w:rsidP="00C747FA">
      <w:pPr>
        <w:pStyle w:val="ColorfulList-Accent11"/>
        <w:numPr>
          <w:ilvl w:val="0"/>
          <w:numId w:val="11"/>
        </w:numPr>
        <w:spacing w:after="120" w:line="240" w:lineRule="exact"/>
        <w:ind w:left="1080" w:right="720" w:firstLine="0"/>
        <w:jc w:val="both"/>
      </w:pPr>
      <w:r>
        <w:t xml:space="preserve">The country programme </w:t>
      </w:r>
      <w:r w:rsidR="0006406F">
        <w:t>benefited from consultations with government and civil society</w:t>
      </w:r>
      <w:r w:rsidR="00BB552C">
        <w:t xml:space="preserve"> counterparts, U</w:t>
      </w:r>
      <w:r w:rsidR="00537758">
        <w:t xml:space="preserve">nited </w:t>
      </w:r>
      <w:r w:rsidR="00BB552C">
        <w:t>N</w:t>
      </w:r>
      <w:r w:rsidR="00537758">
        <w:t>ations</w:t>
      </w:r>
      <w:r w:rsidR="00BB552C">
        <w:t xml:space="preserve"> and international partners.</w:t>
      </w:r>
      <w:r w:rsidR="00E503EF">
        <w:t xml:space="preserve"> </w:t>
      </w:r>
      <w:r w:rsidR="000E0334">
        <w:t>The U</w:t>
      </w:r>
      <w:r w:rsidR="00537758">
        <w:t xml:space="preserve">nited </w:t>
      </w:r>
      <w:r w:rsidR="000E0334">
        <w:t>N</w:t>
      </w:r>
      <w:r w:rsidR="00537758">
        <w:t>ations</w:t>
      </w:r>
      <w:r w:rsidR="000E0334">
        <w:t xml:space="preserve"> </w:t>
      </w:r>
      <w:r w:rsidR="00537758">
        <w:t>C</w:t>
      </w:r>
      <w:r w:rsidR="000E0334">
        <w:t xml:space="preserve">ountry </w:t>
      </w:r>
      <w:r w:rsidR="00537758">
        <w:t>T</w:t>
      </w:r>
      <w:r w:rsidR="000E0334">
        <w:t>eam</w:t>
      </w:r>
      <w:r w:rsidR="00850956">
        <w:t xml:space="preserve"> </w:t>
      </w:r>
      <w:r w:rsidR="00590E87">
        <w:t xml:space="preserve">(UNCT) </w:t>
      </w:r>
      <w:r w:rsidR="00850956">
        <w:t xml:space="preserve">has developed the United Nations </w:t>
      </w:r>
      <w:r w:rsidR="000B2A89">
        <w:t>Strategic</w:t>
      </w:r>
      <w:r w:rsidR="00850956">
        <w:t xml:space="preserve"> Framework </w:t>
      </w:r>
      <w:r w:rsidR="00A45DB0">
        <w:t xml:space="preserve">(UNSF) </w:t>
      </w:r>
      <w:r w:rsidR="00850956" w:rsidRPr="00850956">
        <w:t>2019-2020</w:t>
      </w:r>
      <w:r w:rsidR="00A45DB0">
        <w:t xml:space="preserve">, a </w:t>
      </w:r>
      <w:r w:rsidR="00261EF5">
        <w:t>“</w:t>
      </w:r>
      <w:r w:rsidR="00850956" w:rsidRPr="00850956">
        <w:t>light</w:t>
      </w:r>
      <w:r w:rsidR="00261EF5">
        <w:t>”</w:t>
      </w:r>
      <w:r w:rsidR="00850956" w:rsidRPr="00850956">
        <w:t xml:space="preserve"> high-level framework </w:t>
      </w:r>
      <w:r w:rsidR="00570787">
        <w:t xml:space="preserve">to be signed with the </w:t>
      </w:r>
      <w:r w:rsidR="00537758">
        <w:t>G</w:t>
      </w:r>
      <w:r w:rsidR="00570787">
        <w:t xml:space="preserve">overnment </w:t>
      </w:r>
      <w:r w:rsidR="00850956" w:rsidRPr="00850956">
        <w:t xml:space="preserve">that uses </w:t>
      </w:r>
      <w:r w:rsidR="00537758">
        <w:t xml:space="preserve">the 2030 </w:t>
      </w:r>
      <w:r w:rsidR="00850956" w:rsidRPr="00850956">
        <w:t xml:space="preserve">Agenda </w:t>
      </w:r>
      <w:r w:rsidR="00537758">
        <w:t xml:space="preserve">for Sustainable </w:t>
      </w:r>
      <w:r w:rsidR="00836F71">
        <w:t xml:space="preserve">Development </w:t>
      </w:r>
      <w:r w:rsidR="00836F71" w:rsidRPr="00850956">
        <w:t>and</w:t>
      </w:r>
      <w:r w:rsidR="00C4317F">
        <w:t xml:space="preserve"> the </w:t>
      </w:r>
      <w:r w:rsidR="00537758">
        <w:t>Sustainable Development Goals</w:t>
      </w:r>
      <w:r w:rsidR="00537758" w:rsidRPr="00850956">
        <w:t xml:space="preserve"> </w:t>
      </w:r>
      <w:r w:rsidR="00850956" w:rsidRPr="00850956">
        <w:t xml:space="preserve">as </w:t>
      </w:r>
      <w:r w:rsidR="00C4317F">
        <w:t xml:space="preserve">the </w:t>
      </w:r>
      <w:r w:rsidR="00850956" w:rsidRPr="00850956">
        <w:t xml:space="preserve">guiding logic of its results </w:t>
      </w:r>
      <w:r w:rsidR="00850956" w:rsidRPr="00E503EF">
        <w:t>architecture.</w:t>
      </w:r>
      <w:r w:rsidR="00DB2DB6">
        <w:t xml:space="preserve"> </w:t>
      </w:r>
      <w:r w:rsidR="00E503EF" w:rsidRPr="00E503EF">
        <w:t xml:space="preserve">In the absence of a national development strategy, the UNSF and </w:t>
      </w:r>
      <w:r w:rsidR="00537758">
        <w:t xml:space="preserve">the </w:t>
      </w:r>
      <w:r w:rsidR="00E503EF" w:rsidRPr="00E503EF">
        <w:t xml:space="preserve">UNDP country programme will </w:t>
      </w:r>
      <w:r w:rsidR="00E503EF" w:rsidRPr="00592333">
        <w:t>align with national planning processes through the government-led International Coordination Framework for Technical Cooperation</w:t>
      </w:r>
      <w:r w:rsidR="00E503EF" w:rsidRPr="00E503EF">
        <w:t xml:space="preserve">. </w:t>
      </w:r>
      <w:r w:rsidR="00986558">
        <w:t xml:space="preserve">The two-year duration of the UNSF and UNDP country programme </w:t>
      </w:r>
      <w:r w:rsidR="00664264">
        <w:t xml:space="preserve">will </w:t>
      </w:r>
      <w:r w:rsidR="00986558">
        <w:t>focus efforts on the most critical needs</w:t>
      </w:r>
      <w:r w:rsidR="00045270">
        <w:t>,</w:t>
      </w:r>
      <w:r w:rsidR="00986558">
        <w:t xml:space="preserve"> which will </w:t>
      </w:r>
      <w:r w:rsidR="00BE7864">
        <w:t xml:space="preserve">address the </w:t>
      </w:r>
      <w:r w:rsidR="00403F9F">
        <w:t xml:space="preserve">humanitarian-development-peace nexus </w:t>
      </w:r>
      <w:r w:rsidR="00E503EF" w:rsidRPr="00592333">
        <w:rPr>
          <w:color w:val="000000"/>
        </w:rPr>
        <w:t>through alignment between the UNSF and UNSMIL Plan of Action</w:t>
      </w:r>
      <w:r w:rsidR="00D2424D">
        <w:rPr>
          <w:color w:val="000000"/>
        </w:rPr>
        <w:t xml:space="preserve">. </w:t>
      </w:r>
      <w:r w:rsidR="00D2424D" w:rsidRPr="00C236ED">
        <w:rPr>
          <w:color w:val="000000"/>
        </w:rPr>
        <w:t>This would</w:t>
      </w:r>
      <w:r w:rsidR="00BE7864" w:rsidRPr="00C236ED">
        <w:rPr>
          <w:color w:val="000000"/>
        </w:rPr>
        <w:t xml:space="preserve"> help</w:t>
      </w:r>
      <w:r w:rsidR="00E503EF" w:rsidRPr="007408A1">
        <w:rPr>
          <w:color w:val="000000"/>
        </w:rPr>
        <w:t xml:space="preserve"> set the political foundation for longer-term</w:t>
      </w:r>
      <w:r w:rsidR="00F24CFD" w:rsidRPr="007408A1">
        <w:rPr>
          <w:color w:val="000000"/>
        </w:rPr>
        <w:t>,</w:t>
      </w:r>
      <w:r w:rsidR="00E503EF" w:rsidRPr="007408A1">
        <w:rPr>
          <w:color w:val="000000"/>
        </w:rPr>
        <w:t xml:space="preserve"> inclusive and sustainable development</w:t>
      </w:r>
      <w:r w:rsidR="00D2424D" w:rsidRPr="007408A1">
        <w:rPr>
          <w:color w:val="000000"/>
        </w:rPr>
        <w:t xml:space="preserve"> and </w:t>
      </w:r>
      <w:r w:rsidR="00F24CFD" w:rsidRPr="007408A1">
        <w:rPr>
          <w:color w:val="000000"/>
        </w:rPr>
        <w:t>localization</w:t>
      </w:r>
      <w:r w:rsidR="00B42C82">
        <w:rPr>
          <w:color w:val="000000"/>
        </w:rPr>
        <w:t xml:space="preserve"> of the Sustainable Development Goals</w:t>
      </w:r>
      <w:r w:rsidR="00E503EF" w:rsidRPr="007408A1">
        <w:rPr>
          <w:color w:val="000000"/>
        </w:rPr>
        <w:t>.</w:t>
      </w:r>
      <w:r w:rsidR="00E503EF" w:rsidRPr="00592333">
        <w:rPr>
          <w:rFonts w:ascii="Arial" w:hAnsi="Arial"/>
          <w:color w:val="000000"/>
        </w:rPr>
        <w:t xml:space="preserve"> </w:t>
      </w:r>
    </w:p>
    <w:p w14:paraId="16487057" w14:textId="24A48EB4" w:rsidR="00092504" w:rsidRDefault="00731227" w:rsidP="00C747FA">
      <w:pPr>
        <w:pStyle w:val="ColorfulList-Accent11"/>
        <w:numPr>
          <w:ilvl w:val="0"/>
          <w:numId w:val="11"/>
        </w:numPr>
        <w:spacing w:after="120" w:line="240" w:lineRule="exact"/>
        <w:ind w:left="1080" w:right="720" w:firstLine="0"/>
        <w:jc w:val="both"/>
      </w:pPr>
      <w:r w:rsidRPr="00140481">
        <w:t xml:space="preserve">UNDP will broaden its partnership </w:t>
      </w:r>
      <w:r w:rsidR="00F24CFD">
        <w:t>beyond</w:t>
      </w:r>
      <w:r w:rsidR="00343E9D" w:rsidRPr="00140481">
        <w:t xml:space="preserve"> governmental actors to </w:t>
      </w:r>
      <w:r w:rsidR="00F24CFD">
        <w:t xml:space="preserve">include </w:t>
      </w:r>
      <w:r w:rsidRPr="00140481">
        <w:t>innovative women’s and youth organizations</w:t>
      </w:r>
      <w:r w:rsidR="00E45BEC">
        <w:t xml:space="preserve"> </w:t>
      </w:r>
      <w:r w:rsidR="00045270">
        <w:t>and</w:t>
      </w:r>
      <w:r w:rsidRPr="00140481">
        <w:t xml:space="preserve"> the private sector</w:t>
      </w:r>
      <w:r w:rsidR="007408A1">
        <w:t xml:space="preserve"> (</w:t>
      </w:r>
      <w:r w:rsidR="00660C90" w:rsidRPr="00140481">
        <w:t>Toyota and</w:t>
      </w:r>
      <w:r w:rsidR="00343E9D" w:rsidRPr="00140481">
        <w:t xml:space="preserve"> Tatweer</w:t>
      </w:r>
      <w:r w:rsidR="007408A1">
        <w:t>)</w:t>
      </w:r>
      <w:r w:rsidR="00E45BEC">
        <w:t>, as well as international oil companies</w:t>
      </w:r>
      <w:r w:rsidR="00045270">
        <w:t>,</w:t>
      </w:r>
      <w:r w:rsidR="00343E9D" w:rsidRPr="00140481">
        <w:t xml:space="preserve"> to </w:t>
      </w:r>
      <w:r w:rsidR="00BF6FD3" w:rsidRPr="00140481">
        <w:t xml:space="preserve">build </w:t>
      </w:r>
      <w:r w:rsidR="00B751A9" w:rsidRPr="00140481">
        <w:t>entrepreneurship</w:t>
      </w:r>
      <w:r w:rsidR="00EE28A3" w:rsidRPr="00140481">
        <w:t xml:space="preserve"> </w:t>
      </w:r>
      <w:r w:rsidR="00BF6FD3" w:rsidRPr="00140481">
        <w:t xml:space="preserve">skills </w:t>
      </w:r>
      <w:r w:rsidR="00EE28A3" w:rsidRPr="00140481">
        <w:t xml:space="preserve">and </w:t>
      </w:r>
      <w:r w:rsidR="00BF6FD3" w:rsidRPr="00140481">
        <w:t>expand job opportunities</w:t>
      </w:r>
      <w:r w:rsidR="00660C90" w:rsidRPr="00140481">
        <w:t xml:space="preserve">. UNDP will promote South-South and triangular cooperation with countries within the region, such as Tunisia on </w:t>
      </w:r>
      <w:r w:rsidR="00B42C82" w:rsidRPr="00140481">
        <w:t>elect</w:t>
      </w:r>
      <w:r w:rsidR="00B42C82">
        <w:t>oral</w:t>
      </w:r>
      <w:r w:rsidR="00B42C82" w:rsidRPr="00140481">
        <w:t xml:space="preserve"> </w:t>
      </w:r>
      <w:r w:rsidR="00660C90" w:rsidRPr="00140481">
        <w:t>support and Sudan on security and rule</w:t>
      </w:r>
      <w:r w:rsidR="00590E87">
        <w:t xml:space="preserve"> </w:t>
      </w:r>
      <w:r w:rsidR="00660C90" w:rsidRPr="00140481">
        <w:t>of</w:t>
      </w:r>
      <w:r w:rsidR="00590E87">
        <w:t xml:space="preserve"> </w:t>
      </w:r>
      <w:r w:rsidR="00660C90" w:rsidRPr="00140481">
        <w:t xml:space="preserve">law. </w:t>
      </w:r>
      <w:r>
        <w:t xml:space="preserve">UNDP will </w:t>
      </w:r>
      <w:r w:rsidR="00254AF8">
        <w:t xml:space="preserve">explore possibilities to expand collaboration with the World Bank and African Development Bank on </w:t>
      </w:r>
      <w:r w:rsidR="00C3496C">
        <w:t>subnati</w:t>
      </w:r>
      <w:r w:rsidR="00CE22D9">
        <w:t>o</w:t>
      </w:r>
      <w:r w:rsidR="00C3496C">
        <w:t>nal governance</w:t>
      </w:r>
      <w:r w:rsidR="00CE22D9">
        <w:t xml:space="preserve">, </w:t>
      </w:r>
      <w:r>
        <w:t>anti</w:t>
      </w:r>
      <w:r w:rsidR="00174593">
        <w:t>-</w:t>
      </w:r>
      <w:r>
        <w:t xml:space="preserve">corruption and public financial management </w:t>
      </w:r>
      <w:r w:rsidR="00A80DC0">
        <w:t>strategies</w:t>
      </w:r>
      <w:r>
        <w:t>.</w:t>
      </w:r>
      <w:r w:rsidRPr="000829B2">
        <w:t xml:space="preserve"> </w:t>
      </w:r>
      <w:r w:rsidR="00E17616">
        <w:t xml:space="preserve">UNDP will preserve and further expand partnerships with </w:t>
      </w:r>
      <w:r w:rsidR="00B42C82">
        <w:t xml:space="preserve">non-governmental </w:t>
      </w:r>
      <w:r w:rsidR="00836F71">
        <w:t>organizations and</w:t>
      </w:r>
      <w:r w:rsidR="00B42C82">
        <w:t xml:space="preserve"> civil society organizations (</w:t>
      </w:r>
      <w:r w:rsidR="00E17616">
        <w:t>CSOs</w:t>
      </w:r>
      <w:r w:rsidR="00B42C82">
        <w:t>)</w:t>
      </w:r>
      <w:r w:rsidR="00E17616">
        <w:t xml:space="preserve">. </w:t>
      </w:r>
    </w:p>
    <w:p w14:paraId="740A668F" w14:textId="79F88972" w:rsidR="00092504" w:rsidRDefault="00092504" w:rsidP="00C747FA">
      <w:pPr>
        <w:pStyle w:val="ColorfulList-Accent11"/>
        <w:numPr>
          <w:ilvl w:val="0"/>
          <w:numId w:val="11"/>
        </w:numPr>
        <w:spacing w:after="120" w:line="240" w:lineRule="exact"/>
        <w:ind w:left="1080" w:right="720" w:firstLine="0"/>
        <w:jc w:val="both"/>
      </w:pPr>
      <w:r>
        <w:t xml:space="preserve">Based on </w:t>
      </w:r>
      <w:r w:rsidR="00B42C82">
        <w:t xml:space="preserve">the </w:t>
      </w:r>
      <w:r>
        <w:t xml:space="preserve">UNDP comparative advantage in Libya and global network of knowledge and expertise, the country programme </w:t>
      </w:r>
      <w:r w:rsidRPr="00E503EF">
        <w:t xml:space="preserve">will contribute to </w:t>
      </w:r>
      <w:r>
        <w:t xml:space="preserve">two of </w:t>
      </w:r>
      <w:r w:rsidR="00836F71">
        <w:t xml:space="preserve">the </w:t>
      </w:r>
      <w:r w:rsidR="00836F71" w:rsidRPr="00E503EF">
        <w:t>three</w:t>
      </w:r>
      <w:r w:rsidRPr="00E503EF">
        <w:t xml:space="preserve"> </w:t>
      </w:r>
      <w:r w:rsidR="00B42C82">
        <w:t xml:space="preserve">UNSF </w:t>
      </w:r>
      <w:r w:rsidRPr="00E503EF">
        <w:t>outcome areas</w:t>
      </w:r>
      <w:r>
        <w:t>:</w:t>
      </w:r>
      <w:r w:rsidRPr="00E503EF">
        <w:t xml:space="preserve"> strengthening governance</w:t>
      </w:r>
      <w:r>
        <w:t xml:space="preserve"> and rule of law; and supporting sustained basic social services. UNDP will provide support to transitional governance, strengthening the capacity of public institutions, promoting civic and political engagement, restoration of social infrastructure and services, spurring local economic recovery and </w:t>
      </w:r>
      <w:r w:rsidRPr="008C6FDD">
        <w:t xml:space="preserve">building </w:t>
      </w:r>
      <w:r w:rsidRPr="00EC06EB">
        <w:t xml:space="preserve">individual, community and institutional </w:t>
      </w:r>
      <w:r w:rsidRPr="008C6FDD">
        <w:t>resilience</w:t>
      </w:r>
      <w:r>
        <w:t xml:space="preserve"> and social cohesion. The country programme </w:t>
      </w:r>
      <w:r w:rsidR="00836F71">
        <w:t>will contribute</w:t>
      </w:r>
      <w:r>
        <w:t xml:space="preserve"> to </w:t>
      </w:r>
      <w:r w:rsidR="00977DBB">
        <w:t xml:space="preserve">the </w:t>
      </w:r>
      <w:r w:rsidR="00A13DDB">
        <w:t xml:space="preserve">aim of the Strategic </w:t>
      </w:r>
      <w:r w:rsidR="00B751A9">
        <w:t>Plan</w:t>
      </w:r>
      <w:r w:rsidR="00A13DDB">
        <w:t>, 2018-2022 to build</w:t>
      </w:r>
      <w:r w:rsidR="007D1C8A">
        <w:t xml:space="preserve"> resilience to shocks and crises</w:t>
      </w:r>
      <w:r w:rsidR="00A13DDB">
        <w:t xml:space="preserve"> via s</w:t>
      </w:r>
      <w:r>
        <w:t xml:space="preserve">ignature </w:t>
      </w:r>
      <w:r w:rsidR="00A13DDB">
        <w:t xml:space="preserve">solutions </w:t>
      </w:r>
      <w:r>
        <w:t xml:space="preserve">1 </w:t>
      </w:r>
      <w:r w:rsidR="00A13DDB">
        <w:t>(</w:t>
      </w:r>
      <w:r>
        <w:t>keeping people out of poverty</w:t>
      </w:r>
      <w:r w:rsidR="00322181">
        <w:t xml:space="preserve">), </w:t>
      </w:r>
      <w:r>
        <w:t>2</w:t>
      </w:r>
      <w:r w:rsidR="00322181">
        <w:t xml:space="preserve"> (</w:t>
      </w:r>
      <w:r w:rsidRPr="00164513">
        <w:rPr>
          <w:bCs/>
          <w:iCs/>
          <w:lang w:eastAsia="x-none"/>
        </w:rPr>
        <w:t>s</w:t>
      </w:r>
      <w:r w:rsidRPr="00592333">
        <w:rPr>
          <w:bCs/>
          <w:iCs/>
          <w:lang w:eastAsia="x-none"/>
        </w:rPr>
        <w:t>trengthen effective, inclusive and accountable governance</w:t>
      </w:r>
      <w:r w:rsidR="00322181">
        <w:rPr>
          <w:bCs/>
          <w:iCs/>
          <w:lang w:eastAsia="x-none"/>
        </w:rPr>
        <w:t xml:space="preserve">), </w:t>
      </w:r>
      <w:r>
        <w:rPr>
          <w:bCs/>
          <w:iCs/>
          <w:lang w:eastAsia="x-none"/>
        </w:rPr>
        <w:t xml:space="preserve">3 </w:t>
      </w:r>
      <w:r w:rsidR="00322181">
        <w:rPr>
          <w:bCs/>
          <w:iCs/>
          <w:lang w:eastAsia="x-none"/>
        </w:rPr>
        <w:t>(</w:t>
      </w:r>
      <w:r w:rsidRPr="00164513">
        <w:rPr>
          <w:bCs/>
          <w:iCs/>
          <w:lang w:eastAsia="x-none"/>
        </w:rPr>
        <w:t>e</w:t>
      </w:r>
      <w:r w:rsidRPr="00592333">
        <w:rPr>
          <w:bCs/>
          <w:iCs/>
          <w:lang w:eastAsia="x-none"/>
        </w:rPr>
        <w:t>nhance national prevention and recovery capacities for resilient societies</w:t>
      </w:r>
      <w:r w:rsidR="00322181">
        <w:rPr>
          <w:bCs/>
          <w:iCs/>
          <w:lang w:eastAsia="x-none"/>
        </w:rPr>
        <w:t xml:space="preserve">) </w:t>
      </w:r>
      <w:r>
        <w:rPr>
          <w:bCs/>
          <w:iCs/>
          <w:lang w:eastAsia="x-none"/>
        </w:rPr>
        <w:t>and 6</w:t>
      </w:r>
      <w:r w:rsidR="00322181">
        <w:rPr>
          <w:bCs/>
          <w:iCs/>
          <w:lang w:eastAsia="x-none"/>
        </w:rPr>
        <w:t xml:space="preserve"> (</w:t>
      </w:r>
      <w:r w:rsidRPr="00592333">
        <w:rPr>
          <w:bCs/>
          <w:iCs/>
          <w:lang w:eastAsia="x-none"/>
        </w:rPr>
        <w:t>strengthen gender equality and the empowerment of women and girls</w:t>
      </w:r>
      <w:r w:rsidR="00322181">
        <w:rPr>
          <w:bCs/>
          <w:iCs/>
          <w:lang w:eastAsia="x-none"/>
        </w:rPr>
        <w:t>)</w:t>
      </w:r>
      <w:r>
        <w:t xml:space="preserve">. In line with the Strategic Plan, the country programme will continue to offer a country-level operational platform for the wider United Nations system. </w:t>
      </w:r>
    </w:p>
    <w:p w14:paraId="4E0D7B8D" w14:textId="56861886" w:rsidR="008003E8" w:rsidRPr="00322181" w:rsidRDefault="00992800" w:rsidP="00C747FA">
      <w:pPr>
        <w:pStyle w:val="Heading3"/>
        <w:spacing w:before="120" w:after="120"/>
        <w:ind w:left="1080"/>
        <w:rPr>
          <w:color w:val="auto"/>
        </w:rPr>
      </w:pPr>
      <w:bookmarkStart w:id="1" w:name="_Toc502737740"/>
      <w:r w:rsidRPr="00322181">
        <w:rPr>
          <w:rFonts w:ascii="Times New Roman" w:hAnsi="Times New Roman"/>
          <w:b/>
          <w:color w:val="auto"/>
          <w:sz w:val="20"/>
          <w:szCs w:val="20"/>
        </w:rPr>
        <w:t>Effective, inclusive and accountable governance</w:t>
      </w:r>
      <w:bookmarkEnd w:id="1"/>
      <w:r w:rsidRPr="00322181">
        <w:rPr>
          <w:rFonts w:ascii="Times New Roman" w:hAnsi="Times New Roman"/>
          <w:b/>
          <w:color w:val="auto"/>
          <w:sz w:val="20"/>
          <w:szCs w:val="20"/>
        </w:rPr>
        <w:t xml:space="preserve"> institutions</w:t>
      </w:r>
      <w:r w:rsidR="0057271B" w:rsidRPr="00322181">
        <w:rPr>
          <w:rFonts w:ascii="Times New Roman" w:hAnsi="Times New Roman"/>
          <w:b/>
          <w:color w:val="auto"/>
          <w:sz w:val="20"/>
          <w:szCs w:val="20"/>
        </w:rPr>
        <w:t xml:space="preserve"> </w:t>
      </w:r>
    </w:p>
    <w:p w14:paraId="7649B6F2" w14:textId="73963FCB" w:rsidR="00A63ACA" w:rsidRPr="00140481" w:rsidRDefault="00067A62" w:rsidP="00C747FA">
      <w:pPr>
        <w:numPr>
          <w:ilvl w:val="0"/>
          <w:numId w:val="11"/>
        </w:numPr>
        <w:spacing w:after="120" w:line="240" w:lineRule="exact"/>
        <w:ind w:left="1080" w:right="720" w:firstLine="0"/>
        <w:jc w:val="both"/>
      </w:pPr>
      <w:r w:rsidRPr="00140481">
        <w:t xml:space="preserve">UNDP will </w:t>
      </w:r>
      <w:r w:rsidR="003C624F" w:rsidRPr="00140481">
        <w:t>continue support</w:t>
      </w:r>
      <w:r w:rsidR="00BC232E">
        <w:t>ing</w:t>
      </w:r>
      <w:r w:rsidR="003C624F" w:rsidRPr="00140481">
        <w:t xml:space="preserve"> </w:t>
      </w:r>
      <w:r w:rsidR="00BA7A6C" w:rsidRPr="00140481">
        <w:t>transitional governance</w:t>
      </w:r>
      <w:r w:rsidR="00BC0A46" w:rsidRPr="00140481">
        <w:t xml:space="preserve"> mechanisms</w:t>
      </w:r>
      <w:r w:rsidR="00BA7A6C" w:rsidRPr="00140481">
        <w:t xml:space="preserve">, strengthen core government functions </w:t>
      </w:r>
      <w:r w:rsidR="00836F71" w:rsidRPr="00140481">
        <w:t>for critical</w:t>
      </w:r>
      <w:r w:rsidRPr="00140481">
        <w:t xml:space="preserve"> state institutions at central and local levels,</w:t>
      </w:r>
      <w:r w:rsidR="00BA7A6C" w:rsidRPr="00140481">
        <w:t xml:space="preserve"> </w:t>
      </w:r>
      <w:r w:rsidR="003C624F" w:rsidRPr="00140481">
        <w:t xml:space="preserve">contribute </w:t>
      </w:r>
      <w:r w:rsidRPr="00140481">
        <w:t>to confidence</w:t>
      </w:r>
      <w:r w:rsidR="00980707">
        <w:t>-</w:t>
      </w:r>
      <w:r w:rsidRPr="00140481">
        <w:t>building</w:t>
      </w:r>
      <w:r w:rsidR="003C624F" w:rsidRPr="00140481">
        <w:t xml:space="preserve"> and</w:t>
      </w:r>
      <w:r w:rsidRPr="00140481">
        <w:t xml:space="preserve"> reconciliation</w:t>
      </w:r>
      <w:r w:rsidR="003C624F" w:rsidRPr="00140481">
        <w:t xml:space="preserve"> and increase</w:t>
      </w:r>
      <w:r w:rsidR="001B040B" w:rsidRPr="00140481">
        <w:t xml:space="preserve"> </w:t>
      </w:r>
      <w:r w:rsidR="003C624F" w:rsidRPr="00140481">
        <w:t xml:space="preserve">access </w:t>
      </w:r>
      <w:r w:rsidR="00BC0A46" w:rsidRPr="00140481">
        <w:t xml:space="preserve">to </w:t>
      </w:r>
      <w:r w:rsidRPr="00140481">
        <w:t>justice</w:t>
      </w:r>
      <w:r w:rsidR="00BC0A46" w:rsidRPr="00140481">
        <w:t xml:space="preserve">, prioritizing </w:t>
      </w:r>
      <w:r w:rsidR="003C624F" w:rsidRPr="00140481">
        <w:t xml:space="preserve">groups </w:t>
      </w:r>
      <w:r w:rsidR="00BC0A46" w:rsidRPr="00140481">
        <w:t>most</w:t>
      </w:r>
      <w:r w:rsidR="001B040B" w:rsidRPr="00140481">
        <w:t xml:space="preserve"> affected by</w:t>
      </w:r>
      <w:r w:rsidR="00BC0A46" w:rsidRPr="00140481">
        <w:t xml:space="preserve"> </w:t>
      </w:r>
      <w:r w:rsidR="001B040B" w:rsidRPr="00140481">
        <w:t xml:space="preserve">the conflict.  </w:t>
      </w:r>
    </w:p>
    <w:p w14:paraId="04FC633F" w14:textId="3D6FB3A5" w:rsidR="008003E8" w:rsidRDefault="00D25365" w:rsidP="00C747FA">
      <w:pPr>
        <w:numPr>
          <w:ilvl w:val="0"/>
          <w:numId w:val="11"/>
        </w:numPr>
        <w:spacing w:after="120" w:line="240" w:lineRule="exact"/>
        <w:ind w:left="1080" w:right="720" w:firstLine="0"/>
        <w:jc w:val="both"/>
      </w:pPr>
      <w:r>
        <w:t>In the area of transitional governance, UNDP</w:t>
      </w:r>
      <w:r w:rsidR="00045270">
        <w:t>,</w:t>
      </w:r>
      <w:r>
        <w:t xml:space="preserve"> together with UNSMIL</w:t>
      </w:r>
      <w:r w:rsidR="00045270">
        <w:t>,</w:t>
      </w:r>
      <w:r>
        <w:t xml:space="preserve"> will continue providing technical support to the constitution-making process</w:t>
      </w:r>
      <w:r w:rsidR="00432FBA">
        <w:t xml:space="preserve">, and </w:t>
      </w:r>
      <w:r>
        <w:t xml:space="preserve">with </w:t>
      </w:r>
      <w:r w:rsidR="00E17616">
        <w:t>UNSMIL</w:t>
      </w:r>
      <w:r w:rsidR="00432FBA">
        <w:t xml:space="preserve">, </w:t>
      </w:r>
      <w:r>
        <w:t xml:space="preserve">the </w:t>
      </w:r>
      <w:r w:rsidR="00432FBA">
        <w:t xml:space="preserve">European Union </w:t>
      </w:r>
      <w:r>
        <w:t>and other international partners</w:t>
      </w:r>
      <w:r w:rsidR="00045270">
        <w:t>,</w:t>
      </w:r>
      <w:r>
        <w:t xml:space="preserve"> will continue technical and advisory support to the </w:t>
      </w:r>
      <w:r w:rsidR="00432FBA">
        <w:t xml:space="preserve">High </w:t>
      </w:r>
      <w:r w:rsidR="00B07B53">
        <w:t xml:space="preserve">Commission for </w:t>
      </w:r>
      <w:r w:rsidR="00432FBA">
        <w:t xml:space="preserve">National </w:t>
      </w:r>
      <w:r w:rsidR="00836F71">
        <w:t>Elections to</w:t>
      </w:r>
      <w:r w:rsidR="00D1236D">
        <w:t xml:space="preserve"> prepare and conduct</w:t>
      </w:r>
      <w:r>
        <w:t xml:space="preserve"> </w:t>
      </w:r>
      <w:r w:rsidR="004607F1">
        <w:t xml:space="preserve">a </w:t>
      </w:r>
      <w:r>
        <w:t>constitutional referendum and ele</w:t>
      </w:r>
      <w:r w:rsidR="000D2626">
        <w:t>c</w:t>
      </w:r>
      <w:r>
        <w:t>tions. Through partnership</w:t>
      </w:r>
      <w:r w:rsidR="00980707">
        <w:t>s</w:t>
      </w:r>
      <w:r>
        <w:t xml:space="preserve"> with </w:t>
      </w:r>
      <w:r w:rsidR="00432FBA">
        <w:t>CSOs</w:t>
      </w:r>
      <w:r w:rsidR="00045270">
        <w:t>,</w:t>
      </w:r>
      <w:r>
        <w:t xml:space="preserve"> UNDP will support civic</w:t>
      </w:r>
      <w:r w:rsidR="009E7C42">
        <w:t>/</w:t>
      </w:r>
      <w:r>
        <w:t>voter education programming that promotes inclusiveness and targets</w:t>
      </w:r>
      <w:r w:rsidR="009E7C42">
        <w:t xml:space="preserve"> </w:t>
      </w:r>
      <w:r>
        <w:t>vulnerable groups</w:t>
      </w:r>
      <w:r w:rsidR="004607F1">
        <w:t>.</w:t>
      </w:r>
      <w:r>
        <w:t xml:space="preserve"> </w:t>
      </w:r>
    </w:p>
    <w:p w14:paraId="617808C7" w14:textId="70F03BE0" w:rsidR="00AB1FC5" w:rsidRPr="00A54387" w:rsidRDefault="00CF3930" w:rsidP="00C747FA">
      <w:pPr>
        <w:numPr>
          <w:ilvl w:val="0"/>
          <w:numId w:val="11"/>
        </w:numPr>
        <w:spacing w:after="120" w:line="240" w:lineRule="exact"/>
        <w:ind w:left="1080" w:right="720" w:firstLine="0"/>
        <w:jc w:val="both"/>
      </w:pPr>
      <w:r>
        <w:lastRenderedPageBreak/>
        <w:t>UNDP</w:t>
      </w:r>
      <w:r w:rsidR="00045270">
        <w:t>,</w:t>
      </w:r>
      <w:r>
        <w:t xml:space="preserve"> in coop</w:t>
      </w:r>
      <w:r w:rsidR="004277A4">
        <w:t>e</w:t>
      </w:r>
      <w:r>
        <w:t>ration with UNSMIL</w:t>
      </w:r>
      <w:r w:rsidR="00045270">
        <w:t>,</w:t>
      </w:r>
      <w:r>
        <w:t xml:space="preserve"> will </w:t>
      </w:r>
      <w:r w:rsidRPr="00FA6FB5">
        <w:t xml:space="preserve">strengthen </w:t>
      </w:r>
      <w:r>
        <w:t>peacebuilding</w:t>
      </w:r>
      <w:r w:rsidRPr="00FA6FB5">
        <w:t xml:space="preserve"> processes </w:t>
      </w:r>
      <w:r>
        <w:t xml:space="preserve">by supporting inclusive and neutral platforms for continued political dialogue. </w:t>
      </w:r>
      <w:r w:rsidRPr="00FA6FB5">
        <w:t>At the national level</w:t>
      </w:r>
      <w:r w:rsidR="00045270">
        <w:t>,</w:t>
      </w:r>
      <w:r w:rsidRPr="00FA6FB5">
        <w:t xml:space="preserve"> </w:t>
      </w:r>
      <w:r>
        <w:t xml:space="preserve">UNDP </w:t>
      </w:r>
      <w:r w:rsidRPr="00FA6FB5">
        <w:t xml:space="preserve">will work with </w:t>
      </w:r>
      <w:r>
        <w:t xml:space="preserve">the Presidential Council and other government institutions </w:t>
      </w:r>
      <w:r w:rsidRPr="00FA6FB5">
        <w:t xml:space="preserve">to provide </w:t>
      </w:r>
      <w:r w:rsidRPr="004E4B2C">
        <w:t xml:space="preserve">policy </w:t>
      </w:r>
      <w:r w:rsidR="009E67D4">
        <w:t xml:space="preserve">and technical </w:t>
      </w:r>
      <w:r w:rsidRPr="004E4B2C">
        <w:t xml:space="preserve">advice on long-term peacebuilding </w:t>
      </w:r>
      <w:r w:rsidR="00836F71" w:rsidRPr="004E4B2C">
        <w:t>initiatives and</w:t>
      </w:r>
      <w:r w:rsidR="009E67D4">
        <w:t xml:space="preserve"> undertake</w:t>
      </w:r>
      <w:r w:rsidR="004E4B2C" w:rsidRPr="004E4B2C">
        <w:t xml:space="preserve"> </w:t>
      </w:r>
      <w:r w:rsidR="004E4B2C" w:rsidRPr="00592333">
        <w:rPr>
          <w:bCs/>
          <w:color w:val="000000"/>
          <w:lang w:val="en-GB"/>
        </w:rPr>
        <w:t>advocacy to ensure the implementation of reconciliation agreements</w:t>
      </w:r>
      <w:r w:rsidR="004E4B2C" w:rsidRPr="004E4B2C">
        <w:rPr>
          <w:bCs/>
          <w:color w:val="000000"/>
          <w:lang w:val="en-GB"/>
        </w:rPr>
        <w:t xml:space="preserve">. </w:t>
      </w:r>
      <w:r w:rsidR="002C68B8" w:rsidRPr="002C68B8">
        <w:rPr>
          <w:bCs/>
          <w:color w:val="000000"/>
          <w:lang w:val="en-GB"/>
        </w:rPr>
        <w:t xml:space="preserve">The capacities of local and national government institutions will be reinforced on topics </w:t>
      </w:r>
      <w:r w:rsidR="00D95883">
        <w:rPr>
          <w:bCs/>
          <w:color w:val="000000"/>
          <w:lang w:val="en-GB"/>
        </w:rPr>
        <w:t>such as</w:t>
      </w:r>
      <w:r w:rsidR="002C68B8" w:rsidRPr="002C68B8">
        <w:rPr>
          <w:bCs/>
          <w:color w:val="000000"/>
          <w:lang w:val="en-GB"/>
        </w:rPr>
        <w:t xml:space="preserve"> transitional justice, responding to victims’ needs and providing guarantees and safeguards of non-recurrence of violence.</w:t>
      </w:r>
      <w:r w:rsidR="002C68B8">
        <w:rPr>
          <w:bCs/>
          <w:color w:val="000000"/>
          <w:lang w:val="en-GB"/>
        </w:rPr>
        <w:t xml:space="preserve"> </w:t>
      </w:r>
    </w:p>
    <w:p w14:paraId="54F5B087" w14:textId="473A064D" w:rsidR="00CF3930" w:rsidRDefault="004E4B2C" w:rsidP="00C747FA">
      <w:pPr>
        <w:numPr>
          <w:ilvl w:val="0"/>
          <w:numId w:val="11"/>
        </w:numPr>
        <w:spacing w:after="120" w:line="240" w:lineRule="exact"/>
        <w:ind w:left="1080" w:right="720" w:firstLine="0"/>
        <w:jc w:val="both"/>
      </w:pPr>
      <w:r w:rsidRPr="004E4B2C">
        <w:rPr>
          <w:bCs/>
          <w:color w:val="000000"/>
          <w:lang w:val="en-GB"/>
        </w:rPr>
        <w:t xml:space="preserve">UNDP will </w:t>
      </w:r>
      <w:r w:rsidRPr="00592333">
        <w:rPr>
          <w:bCs/>
          <w:color w:val="000000"/>
          <w:lang w:val="en-GB"/>
        </w:rPr>
        <w:t>strengthen central and local governments to operationalize reconciliation mechanisms based on a coherent strategy and legal framework</w:t>
      </w:r>
      <w:r w:rsidR="00CF3930">
        <w:t>.</w:t>
      </w:r>
      <w:r w:rsidR="0025370A">
        <w:t xml:space="preserve"> </w:t>
      </w:r>
      <w:r w:rsidR="002C68B8">
        <w:t>A</w:t>
      </w:r>
      <w:r w:rsidR="002C68B8" w:rsidRPr="002C68B8">
        <w:t xml:space="preserve"> comprehensive assessment of existing government institutions, legal framework</w:t>
      </w:r>
      <w:r w:rsidR="0065183C">
        <w:t>s</w:t>
      </w:r>
      <w:r w:rsidR="002C68B8" w:rsidRPr="002C68B8">
        <w:t xml:space="preserve"> and committees related to reconciliation (</w:t>
      </w:r>
      <w:r w:rsidR="002C68B8" w:rsidRPr="001E5BDD">
        <w:t xml:space="preserve">Preparatory Committee for a National Reconciliation Commission, National Reparations Fund, </w:t>
      </w:r>
      <w:r w:rsidR="00432FBA">
        <w:t>etc.</w:t>
      </w:r>
      <w:r w:rsidR="00054D69">
        <w:t xml:space="preserve">) </w:t>
      </w:r>
      <w:r w:rsidR="002C68B8" w:rsidRPr="002C68B8">
        <w:t xml:space="preserve">will first be undertaken. </w:t>
      </w:r>
      <w:r w:rsidR="002C68B8">
        <w:t xml:space="preserve">At the local level, </w:t>
      </w:r>
      <w:r w:rsidR="0058378E">
        <w:t>UNDP</w:t>
      </w:r>
      <w:r w:rsidR="002C68B8">
        <w:t xml:space="preserve"> will support local authorities</w:t>
      </w:r>
      <w:r w:rsidR="00980707">
        <w:t xml:space="preserve"> </w:t>
      </w:r>
      <w:r w:rsidR="002C68B8">
        <w:t xml:space="preserve">to better engage in local dispute mediation </w:t>
      </w:r>
      <w:r w:rsidR="0058378E">
        <w:t xml:space="preserve">to </w:t>
      </w:r>
      <w:r w:rsidR="002C68B8">
        <w:t xml:space="preserve">address issues such as the return of IDPs, arbitrary detention, reparations, service delivery </w:t>
      </w:r>
      <w:r w:rsidR="006227DF">
        <w:t>and</w:t>
      </w:r>
      <w:r w:rsidR="002C68B8">
        <w:t xml:space="preserve"> security.</w:t>
      </w:r>
      <w:r w:rsidR="0025370A">
        <w:t xml:space="preserve"> </w:t>
      </w:r>
    </w:p>
    <w:p w14:paraId="70821D02" w14:textId="3F5F3FA5" w:rsidR="008003E8" w:rsidRDefault="00432FBA" w:rsidP="00C747FA">
      <w:pPr>
        <w:numPr>
          <w:ilvl w:val="0"/>
          <w:numId w:val="11"/>
        </w:numPr>
        <w:spacing w:after="120" w:line="240" w:lineRule="exact"/>
        <w:ind w:left="1080" w:right="720" w:firstLine="0"/>
        <w:jc w:val="both"/>
      </w:pPr>
      <w:r>
        <w:t>I</w:t>
      </w:r>
      <w:r w:rsidR="00CF3930">
        <w:t>n cooperation with</w:t>
      </w:r>
      <w:r w:rsidR="0058378E">
        <w:t xml:space="preserve"> UNSMIL and</w:t>
      </w:r>
      <w:r w:rsidR="00CF3930">
        <w:t xml:space="preserve"> </w:t>
      </w:r>
      <w:r w:rsidR="0025370A">
        <w:t>municipalities</w:t>
      </w:r>
      <w:r w:rsidR="00CF3930">
        <w:t xml:space="preserve"> </w:t>
      </w:r>
      <w:r w:rsidR="00D52B46">
        <w:t>within the framework of the Stabilization Facility</w:t>
      </w:r>
      <w:r>
        <w:t>, UNDP</w:t>
      </w:r>
      <w:r w:rsidR="00D52B46">
        <w:t xml:space="preserve"> </w:t>
      </w:r>
      <w:r w:rsidR="00067A62" w:rsidRPr="00A71F5E">
        <w:t xml:space="preserve">will </w:t>
      </w:r>
      <w:r w:rsidR="00067A62" w:rsidRPr="00E7592D">
        <w:t xml:space="preserve">develop dialogue initiatives </w:t>
      </w:r>
      <w:r w:rsidR="000D204D">
        <w:t>nationwide</w:t>
      </w:r>
      <w:r w:rsidR="00067A62" w:rsidRPr="00E7592D">
        <w:t xml:space="preserve"> to contribute to stabilizing </w:t>
      </w:r>
      <w:r w:rsidR="004607F1">
        <w:t>Libya</w:t>
      </w:r>
      <w:r w:rsidR="00067A62" w:rsidRPr="00E7592D">
        <w:t xml:space="preserve"> through a bottom-up approach to reconciliation</w:t>
      </w:r>
      <w:r w:rsidR="00054D69">
        <w:t xml:space="preserve">, involving </w:t>
      </w:r>
      <w:r w:rsidR="00924AD4" w:rsidRPr="00762BD3">
        <w:rPr>
          <w:iCs/>
          <w:lang w:val="en-GB"/>
        </w:rPr>
        <w:t xml:space="preserve">local authorities, religious and tribal leaders, </w:t>
      </w:r>
      <w:r w:rsidR="0011267D">
        <w:rPr>
          <w:iCs/>
          <w:lang w:val="en-GB"/>
        </w:rPr>
        <w:t>CSOs</w:t>
      </w:r>
      <w:r w:rsidR="00924AD4" w:rsidRPr="00762BD3">
        <w:rPr>
          <w:iCs/>
          <w:lang w:val="en-GB"/>
        </w:rPr>
        <w:t>, youth and women representatives, academics</w:t>
      </w:r>
      <w:r w:rsidR="0011267D">
        <w:rPr>
          <w:iCs/>
          <w:lang w:val="en-GB"/>
        </w:rPr>
        <w:t xml:space="preserve"> and</w:t>
      </w:r>
      <w:r w:rsidR="00924AD4" w:rsidRPr="00762BD3">
        <w:rPr>
          <w:iCs/>
          <w:lang w:val="en-GB"/>
        </w:rPr>
        <w:t xml:space="preserve"> private sector actors.</w:t>
      </w:r>
      <w:r w:rsidR="00924AD4">
        <w:rPr>
          <w:iCs/>
          <w:lang w:val="en-GB"/>
        </w:rPr>
        <w:t xml:space="preserve"> </w:t>
      </w:r>
      <w:r w:rsidR="006D786D">
        <w:rPr>
          <w:iCs/>
          <w:lang w:val="en-GB"/>
        </w:rPr>
        <w:t xml:space="preserve">These </w:t>
      </w:r>
      <w:r w:rsidR="006D786D" w:rsidRPr="00FC74F5">
        <w:rPr>
          <w:color w:val="000000"/>
        </w:rPr>
        <w:t xml:space="preserve">activities aim </w:t>
      </w:r>
      <w:r w:rsidR="006D786D">
        <w:rPr>
          <w:color w:val="000000"/>
        </w:rPr>
        <w:t>to support</w:t>
      </w:r>
      <w:r w:rsidR="006D786D" w:rsidRPr="00FC74F5">
        <w:rPr>
          <w:color w:val="000000"/>
        </w:rPr>
        <w:t xml:space="preserve"> th</w:t>
      </w:r>
      <w:r w:rsidR="006D786D">
        <w:rPr>
          <w:color w:val="000000"/>
        </w:rPr>
        <w:t>e political processes that lead</w:t>
      </w:r>
      <w:r w:rsidR="006D786D" w:rsidRPr="00FC74F5">
        <w:rPr>
          <w:color w:val="000000"/>
        </w:rPr>
        <w:t xml:space="preserve"> to more inclusive and legitimate governance </w:t>
      </w:r>
      <w:r w:rsidR="00836F71" w:rsidRPr="00FC74F5">
        <w:rPr>
          <w:color w:val="000000"/>
        </w:rPr>
        <w:t>structures and</w:t>
      </w:r>
      <w:r w:rsidR="001255FA">
        <w:rPr>
          <w:color w:val="000000"/>
        </w:rPr>
        <w:t xml:space="preserve"> are </w:t>
      </w:r>
      <w:r w:rsidR="0033023F">
        <w:rPr>
          <w:color w:val="000000"/>
        </w:rPr>
        <w:t>reinforced by</w:t>
      </w:r>
      <w:r w:rsidR="001255FA">
        <w:rPr>
          <w:color w:val="000000"/>
        </w:rPr>
        <w:t xml:space="preserve"> the concrete improvements and peace dividends </w:t>
      </w:r>
      <w:r w:rsidR="0033023F">
        <w:rPr>
          <w:color w:val="000000"/>
        </w:rPr>
        <w:t xml:space="preserve">to be delivered </w:t>
      </w:r>
      <w:r w:rsidR="001255FA">
        <w:rPr>
          <w:color w:val="000000"/>
        </w:rPr>
        <w:t xml:space="preserve">at community level, </w:t>
      </w:r>
      <w:r w:rsidR="006D786D" w:rsidRPr="00FC74F5">
        <w:rPr>
          <w:color w:val="000000"/>
        </w:rPr>
        <w:t xml:space="preserve">thus laying the groundwork for reconciliation </w:t>
      </w:r>
      <w:r w:rsidR="00D82860">
        <w:rPr>
          <w:color w:val="000000"/>
        </w:rPr>
        <w:t>and</w:t>
      </w:r>
      <w:r w:rsidR="006D786D" w:rsidRPr="00FC74F5">
        <w:rPr>
          <w:color w:val="000000"/>
        </w:rPr>
        <w:t xml:space="preserve"> sustained reconstruction and developmen</w:t>
      </w:r>
      <w:r w:rsidR="006D786D">
        <w:rPr>
          <w:color w:val="000000"/>
        </w:rPr>
        <w:t xml:space="preserve">t. </w:t>
      </w:r>
      <w:r w:rsidR="00E010CB" w:rsidRPr="006E065B">
        <w:rPr>
          <w:iCs/>
          <w:lang w:val="en-GB"/>
        </w:rPr>
        <w:t xml:space="preserve">In partnership </w:t>
      </w:r>
      <w:r w:rsidR="007E0BE2">
        <w:rPr>
          <w:iCs/>
          <w:lang w:val="en-GB"/>
        </w:rPr>
        <w:t>with the United Nations Education</w:t>
      </w:r>
      <w:r w:rsidR="00980707">
        <w:rPr>
          <w:iCs/>
          <w:lang w:val="en-GB"/>
        </w:rPr>
        <w:t>al</w:t>
      </w:r>
      <w:r w:rsidR="007E0BE2">
        <w:rPr>
          <w:iCs/>
          <w:lang w:val="en-GB"/>
        </w:rPr>
        <w:t>, Scientific and Cultural Organization (</w:t>
      </w:r>
      <w:r w:rsidR="00E010CB" w:rsidRPr="006E065B">
        <w:rPr>
          <w:iCs/>
          <w:lang w:val="en-GB"/>
        </w:rPr>
        <w:t>UNESCO</w:t>
      </w:r>
      <w:r w:rsidR="007E0BE2">
        <w:rPr>
          <w:iCs/>
          <w:lang w:val="en-GB"/>
        </w:rPr>
        <w:t>)</w:t>
      </w:r>
      <w:r w:rsidR="00E010CB" w:rsidRPr="006E065B">
        <w:rPr>
          <w:iCs/>
          <w:lang w:val="en-GB"/>
        </w:rPr>
        <w:t xml:space="preserve">, UNDP will build the capacity of media professionals in conflict-sensitive journalism to create an environment </w:t>
      </w:r>
      <w:r w:rsidR="00B751A9" w:rsidRPr="006E065B">
        <w:rPr>
          <w:iCs/>
          <w:lang w:val="en-GB"/>
        </w:rPr>
        <w:t>favourable</w:t>
      </w:r>
      <w:r w:rsidR="00E010CB" w:rsidRPr="006E065B">
        <w:rPr>
          <w:iCs/>
          <w:lang w:val="en-GB"/>
        </w:rPr>
        <w:t xml:space="preserve"> to the peaceful resolution of local conflict</w:t>
      </w:r>
      <w:r w:rsidR="00045270">
        <w:rPr>
          <w:iCs/>
          <w:lang w:val="en-GB"/>
        </w:rPr>
        <w:t>,</w:t>
      </w:r>
      <w:r w:rsidR="00E010CB" w:rsidRPr="006E065B">
        <w:rPr>
          <w:iCs/>
          <w:lang w:val="en-GB"/>
        </w:rPr>
        <w:t xml:space="preserve"> and offer communities options for civic </w:t>
      </w:r>
      <w:r w:rsidR="00E010CB" w:rsidRPr="00140481">
        <w:rPr>
          <w:iCs/>
          <w:lang w:val="en-GB"/>
        </w:rPr>
        <w:t xml:space="preserve">engagement. </w:t>
      </w:r>
      <w:r w:rsidR="00067A62" w:rsidRPr="00140481">
        <w:t>This approach to dialogue would facilitate linkage between peacebuilding and conflict-sensitive development</w:t>
      </w:r>
      <w:r w:rsidR="0025370A" w:rsidRPr="0025370A">
        <w:t xml:space="preserve"> and include</w:t>
      </w:r>
      <w:r w:rsidR="0025370A">
        <w:t xml:space="preserve"> engagement with </w:t>
      </w:r>
      <w:r w:rsidR="009919DD">
        <w:t>civil society to build their capacities in areas such as conflict</w:t>
      </w:r>
      <w:r w:rsidR="0011267D">
        <w:t>-</w:t>
      </w:r>
      <w:r w:rsidR="009919DD">
        <w:t>sensitiv</w:t>
      </w:r>
      <w:r w:rsidR="005C2974">
        <w:t>e</w:t>
      </w:r>
      <w:r w:rsidR="009919DD">
        <w:t xml:space="preserve"> </w:t>
      </w:r>
      <w:r w:rsidR="00836F71">
        <w:t>development and</w:t>
      </w:r>
      <w:r w:rsidR="009919DD">
        <w:t xml:space="preserve"> early recovery</w:t>
      </w:r>
      <w:r w:rsidR="00067A62">
        <w:t>.</w:t>
      </w:r>
    </w:p>
    <w:p w14:paraId="4A9FBA21" w14:textId="4A824E48" w:rsidR="008003E8" w:rsidRDefault="009B7C38" w:rsidP="002C038F">
      <w:pPr>
        <w:numPr>
          <w:ilvl w:val="0"/>
          <w:numId w:val="11"/>
        </w:numPr>
        <w:tabs>
          <w:tab w:val="left" w:pos="1440"/>
        </w:tabs>
        <w:spacing w:after="120" w:line="240" w:lineRule="exact"/>
        <w:ind w:left="1080" w:right="720" w:firstLine="0"/>
        <w:jc w:val="both"/>
      </w:pPr>
      <w:r>
        <w:t xml:space="preserve">Together with </w:t>
      </w:r>
      <w:r w:rsidR="00BF65CB">
        <w:t>the Ministry of Justice</w:t>
      </w:r>
      <w:r>
        <w:t>,</w:t>
      </w:r>
      <w:r w:rsidRPr="00140481">
        <w:t xml:space="preserve"> </w:t>
      </w:r>
      <w:r w:rsidR="000D204D" w:rsidRPr="00140481">
        <w:t xml:space="preserve">High </w:t>
      </w:r>
      <w:r w:rsidR="00D43C54" w:rsidRPr="00140481">
        <w:t>Judicial Institute</w:t>
      </w:r>
      <w:r w:rsidR="000D204D" w:rsidRPr="00140481">
        <w:t xml:space="preserve"> </w:t>
      </w:r>
      <w:r w:rsidRPr="00140481">
        <w:t xml:space="preserve">and Judicial Council, </w:t>
      </w:r>
      <w:r w:rsidR="008003E8" w:rsidRPr="00140481">
        <w:t xml:space="preserve">UNDP will strengthen transitional justice mechanisms with </w:t>
      </w:r>
      <w:r w:rsidR="00CC22A3" w:rsidRPr="00140481">
        <w:t xml:space="preserve">a </w:t>
      </w:r>
      <w:r w:rsidR="008003E8" w:rsidRPr="00140481">
        <w:t>focus on capacity</w:t>
      </w:r>
      <w:r w:rsidR="0011267D">
        <w:t>-</w:t>
      </w:r>
      <w:r w:rsidR="008003E8" w:rsidRPr="00140481">
        <w:t xml:space="preserve">building of the judiciary. UNDP will reinforce the role </w:t>
      </w:r>
      <w:r w:rsidR="00B751A9" w:rsidRPr="00140481">
        <w:t>of civil</w:t>
      </w:r>
      <w:r w:rsidR="008003E8" w:rsidRPr="00140481">
        <w:t xml:space="preserve"> </w:t>
      </w:r>
      <w:r w:rsidR="00510DBC" w:rsidRPr="00140481">
        <w:t>s</w:t>
      </w:r>
      <w:r w:rsidR="008003E8" w:rsidRPr="00140481">
        <w:t>ociety through capacity</w:t>
      </w:r>
      <w:r w:rsidR="00B751A9">
        <w:t>-</w:t>
      </w:r>
      <w:r w:rsidR="008003E8" w:rsidRPr="00140481">
        <w:t xml:space="preserve">building in monitoring local transitional justice processes </w:t>
      </w:r>
      <w:r w:rsidR="002B3ED9">
        <w:t>and</w:t>
      </w:r>
      <w:r w:rsidR="002B3ED9" w:rsidRPr="00140481">
        <w:t xml:space="preserve"> </w:t>
      </w:r>
      <w:r w:rsidR="001701C2" w:rsidRPr="00140481">
        <w:t xml:space="preserve">monitoring </w:t>
      </w:r>
      <w:r w:rsidR="008003E8" w:rsidRPr="00140481">
        <w:t>the return of IDPs</w:t>
      </w:r>
      <w:r w:rsidR="00A80DC0" w:rsidRPr="00140481">
        <w:t>.</w:t>
      </w:r>
      <w:r w:rsidRPr="00140481">
        <w:t xml:space="preserve"> </w:t>
      </w:r>
      <w:r w:rsidR="008003E8" w:rsidRPr="00140481">
        <w:t xml:space="preserve">UNDP will </w:t>
      </w:r>
      <w:r w:rsidR="00B751A9" w:rsidRPr="00140481">
        <w:t>support the</w:t>
      </w:r>
      <w:r w:rsidR="008003E8" w:rsidRPr="00140481">
        <w:t xml:space="preserve"> expansion of access to justice</w:t>
      </w:r>
      <w:r w:rsidR="00980707">
        <w:t xml:space="preserve"> </w:t>
      </w:r>
      <w:r w:rsidR="008003E8" w:rsidRPr="00A71F5E">
        <w:t xml:space="preserve">by </w:t>
      </w:r>
      <w:r w:rsidR="0063139E">
        <w:t>expanding</w:t>
      </w:r>
      <w:r w:rsidR="008003E8" w:rsidRPr="00A71F5E">
        <w:t xml:space="preserve"> formal justice </w:t>
      </w:r>
      <w:r w:rsidR="00D42563">
        <w:t xml:space="preserve">service </w:t>
      </w:r>
      <w:r w:rsidR="008003E8" w:rsidRPr="00A71F5E">
        <w:t>to the most remote areas, including training of judges</w:t>
      </w:r>
      <w:r w:rsidR="00841C52">
        <w:t xml:space="preserve">, judicial police from </w:t>
      </w:r>
      <w:r w:rsidR="0011267D">
        <w:t xml:space="preserve">the Ministries </w:t>
      </w:r>
      <w:r w:rsidR="00841C52">
        <w:t xml:space="preserve">of </w:t>
      </w:r>
      <w:r w:rsidR="0011267D">
        <w:t xml:space="preserve">the Interior </w:t>
      </w:r>
      <w:r w:rsidR="00841C52">
        <w:t xml:space="preserve">and </w:t>
      </w:r>
      <w:r w:rsidR="0011267D">
        <w:t>of J</w:t>
      </w:r>
      <w:r w:rsidR="00841C52">
        <w:t>ustice</w:t>
      </w:r>
      <w:r w:rsidR="008003E8" w:rsidRPr="00A71F5E">
        <w:t xml:space="preserve"> and other related professional</w:t>
      </w:r>
      <w:r w:rsidR="00725249">
        <w:t>s</w:t>
      </w:r>
      <w:r w:rsidR="0063139E">
        <w:t>,</w:t>
      </w:r>
      <w:r w:rsidR="008003E8" w:rsidRPr="00A71F5E">
        <w:t xml:space="preserve"> and promoting the reform of discrim</w:t>
      </w:r>
      <w:r w:rsidR="008003E8">
        <w:t>in</w:t>
      </w:r>
      <w:r w:rsidR="008003E8" w:rsidRPr="00A71F5E">
        <w:t xml:space="preserve">atory laws. </w:t>
      </w:r>
    </w:p>
    <w:p w14:paraId="6CB46D1C" w14:textId="69447F7D" w:rsidR="008003E8" w:rsidRDefault="00A9354C" w:rsidP="002C038F">
      <w:pPr>
        <w:pStyle w:val="ColorfulList-Accent11"/>
        <w:numPr>
          <w:ilvl w:val="0"/>
          <w:numId w:val="11"/>
        </w:numPr>
        <w:tabs>
          <w:tab w:val="left" w:pos="1440"/>
        </w:tabs>
        <w:spacing w:after="120" w:line="240" w:lineRule="exact"/>
        <w:ind w:left="1080" w:right="720" w:firstLine="0"/>
        <w:jc w:val="both"/>
      </w:pPr>
      <w:r>
        <w:t>T</w:t>
      </w:r>
      <w:r w:rsidR="008003E8" w:rsidRPr="00A71F5E">
        <w:t xml:space="preserve">o complement efforts </w:t>
      </w:r>
      <w:r w:rsidR="002E6481">
        <w:t xml:space="preserve">to </w:t>
      </w:r>
      <w:r w:rsidR="003B6D69">
        <w:t>increas</w:t>
      </w:r>
      <w:r w:rsidR="002E6481">
        <w:t>e</w:t>
      </w:r>
      <w:r w:rsidR="003B6D69" w:rsidRPr="00A71F5E">
        <w:t xml:space="preserve"> </w:t>
      </w:r>
      <w:r w:rsidR="00BC232E">
        <w:t xml:space="preserve">access to </w:t>
      </w:r>
      <w:r w:rsidR="008003E8" w:rsidRPr="00A71F5E">
        <w:t xml:space="preserve">justice, UNDP </w:t>
      </w:r>
      <w:r w:rsidR="00E2480E">
        <w:t xml:space="preserve">in partnership with UNSMIL </w:t>
      </w:r>
      <w:r w:rsidR="008003E8" w:rsidRPr="00A71F5E">
        <w:t xml:space="preserve">will </w:t>
      </w:r>
      <w:r w:rsidR="008003E8">
        <w:t>s</w:t>
      </w:r>
      <w:r w:rsidR="008003E8" w:rsidRPr="00A71F5E">
        <w:t xml:space="preserve">upport the reform of </w:t>
      </w:r>
      <w:r w:rsidR="00257743">
        <w:t xml:space="preserve">the Ministry of Interior and </w:t>
      </w:r>
      <w:r w:rsidR="008003E8" w:rsidRPr="00A71F5E">
        <w:t>security forces (police) to meet international operational standards and respect human rights</w:t>
      </w:r>
      <w:r w:rsidR="008003E8">
        <w:t xml:space="preserve"> by providing appropriate training, developing </w:t>
      </w:r>
      <w:r w:rsidR="00D43C54">
        <w:t>strategic planning capacities, improv</w:t>
      </w:r>
      <w:r w:rsidR="006B5336">
        <w:t>ing</w:t>
      </w:r>
      <w:r w:rsidR="00D43C54">
        <w:t xml:space="preserve"> budget development and implementation, human resources management and procurement systems</w:t>
      </w:r>
      <w:r w:rsidR="008003E8">
        <w:t xml:space="preserve">. </w:t>
      </w:r>
      <w:r w:rsidR="002042F8">
        <w:t xml:space="preserve">UNDP </w:t>
      </w:r>
      <w:r w:rsidR="00654B80">
        <w:t>aims to</w:t>
      </w:r>
      <w:r w:rsidR="002042F8">
        <w:t xml:space="preserve"> </w:t>
      </w:r>
      <w:r w:rsidR="00BC232E">
        <w:t xml:space="preserve">support the </w:t>
      </w:r>
      <w:r w:rsidR="002042F8">
        <w:t>develop</w:t>
      </w:r>
      <w:r w:rsidR="00BC232E">
        <w:t>ment</w:t>
      </w:r>
      <w:r w:rsidR="002042F8">
        <w:t xml:space="preserve"> </w:t>
      </w:r>
      <w:r w:rsidR="00925BF0">
        <w:t xml:space="preserve">of </w:t>
      </w:r>
      <w:r w:rsidR="002042F8">
        <w:t>a national strategy for the disarmament, demobilization and reintegration</w:t>
      </w:r>
      <w:r w:rsidR="00B32FF7">
        <w:t xml:space="preserve"> </w:t>
      </w:r>
      <w:r w:rsidR="00F62708">
        <w:t xml:space="preserve">(DDR) </w:t>
      </w:r>
      <w:r w:rsidR="005334F5">
        <w:t>of former combatants</w:t>
      </w:r>
      <w:r w:rsidR="002042F8">
        <w:t xml:space="preserve">. </w:t>
      </w:r>
      <w:r w:rsidR="008003E8">
        <w:t xml:space="preserve">Promotion of human rights through advocacy and education will be </w:t>
      </w:r>
      <w:r w:rsidR="00654B80">
        <w:t>central to</w:t>
      </w:r>
      <w:r w:rsidR="008003E8">
        <w:t xml:space="preserve"> interventions </w:t>
      </w:r>
      <w:r w:rsidR="00B23BED">
        <w:t xml:space="preserve">related to the </w:t>
      </w:r>
      <w:r w:rsidR="0011267D">
        <w:t xml:space="preserve">Ministries </w:t>
      </w:r>
      <w:r w:rsidR="00B23BED">
        <w:t xml:space="preserve">of </w:t>
      </w:r>
      <w:r w:rsidR="0011267D">
        <w:t xml:space="preserve">the Interior </w:t>
      </w:r>
      <w:r w:rsidR="00B23BED">
        <w:t xml:space="preserve">and </w:t>
      </w:r>
      <w:r w:rsidR="0011267D">
        <w:t xml:space="preserve">of </w:t>
      </w:r>
      <w:r w:rsidR="00836F71">
        <w:t>Justice and</w:t>
      </w:r>
      <w:r w:rsidR="0003023A">
        <w:t xml:space="preserve"> will be aligned with </w:t>
      </w:r>
      <w:r w:rsidR="002B0F3E">
        <w:rPr>
          <w:iCs/>
          <w:color w:val="000000"/>
        </w:rPr>
        <w:t xml:space="preserve">the Global Focal Point arrangement </w:t>
      </w:r>
      <w:r w:rsidR="005F5145">
        <w:rPr>
          <w:iCs/>
          <w:color w:val="000000"/>
        </w:rPr>
        <w:t>for Police, Justice and Corrections.</w:t>
      </w:r>
    </w:p>
    <w:p w14:paraId="60CAC54E" w14:textId="154A3AF4" w:rsidR="00E010CB" w:rsidRDefault="007B4A09" w:rsidP="002C038F">
      <w:pPr>
        <w:pStyle w:val="ColorfulList-Accent11"/>
        <w:numPr>
          <w:ilvl w:val="0"/>
          <w:numId w:val="11"/>
        </w:numPr>
        <w:tabs>
          <w:tab w:val="left" w:pos="1440"/>
        </w:tabs>
        <w:spacing w:after="120" w:line="240" w:lineRule="exact"/>
        <w:ind w:left="1080" w:right="720" w:firstLine="0"/>
        <w:jc w:val="both"/>
      </w:pPr>
      <w:r>
        <w:t>UNDP</w:t>
      </w:r>
      <w:r w:rsidR="00045270">
        <w:t>,</w:t>
      </w:r>
      <w:r>
        <w:t xml:space="preserve"> </w:t>
      </w:r>
      <w:r w:rsidR="00F8060B">
        <w:t xml:space="preserve">in partnership with </w:t>
      </w:r>
      <w:r w:rsidR="00DD0CC9">
        <w:t>the United Nations Office on Drugs and Crime (</w:t>
      </w:r>
      <w:r w:rsidR="001701C2">
        <w:t>UNODC</w:t>
      </w:r>
      <w:r w:rsidR="00DD0CC9">
        <w:t>)</w:t>
      </w:r>
      <w:r w:rsidR="00045270">
        <w:t>,</w:t>
      </w:r>
      <w:r w:rsidR="001701C2">
        <w:t xml:space="preserve"> </w:t>
      </w:r>
      <w:r>
        <w:t xml:space="preserve">will </w:t>
      </w:r>
      <w:r w:rsidR="006B5336">
        <w:t>provide</w:t>
      </w:r>
      <w:r>
        <w:t xml:space="preserve"> technical support </w:t>
      </w:r>
      <w:r w:rsidR="00D43C54">
        <w:t>to</w:t>
      </w:r>
      <w:r>
        <w:t xml:space="preserve"> the Office of Audit </w:t>
      </w:r>
      <w:r w:rsidR="006C0BD9">
        <w:t xml:space="preserve">and the National Anti-Corruption Commission </w:t>
      </w:r>
      <w:r>
        <w:t xml:space="preserve">to </w:t>
      </w:r>
      <w:r w:rsidR="006C0BD9">
        <w:t xml:space="preserve">improve </w:t>
      </w:r>
      <w:r w:rsidR="0003023A">
        <w:t xml:space="preserve">oversight </w:t>
      </w:r>
      <w:r w:rsidR="00D43C54">
        <w:t>capacities</w:t>
      </w:r>
      <w:r>
        <w:t xml:space="preserve">, as well as </w:t>
      </w:r>
      <w:r w:rsidR="000551EE">
        <w:t xml:space="preserve">advocate for </w:t>
      </w:r>
      <w:r>
        <w:t xml:space="preserve">the introduction of anti-corruption laws, rules and regulations in collaboration with judicial authorities to ensure their enforcement. </w:t>
      </w:r>
      <w:r w:rsidR="00D44448">
        <w:t xml:space="preserve">UNDP will also </w:t>
      </w:r>
      <w:r w:rsidR="008003E8">
        <w:t xml:space="preserve">work </w:t>
      </w:r>
      <w:r w:rsidR="008003E8" w:rsidRPr="005105EC">
        <w:t xml:space="preserve">towards increasing public participation in </w:t>
      </w:r>
      <w:r w:rsidR="00725249">
        <w:t xml:space="preserve">civic and </w:t>
      </w:r>
      <w:r w:rsidR="008003E8" w:rsidRPr="005105EC">
        <w:t xml:space="preserve">political processes and </w:t>
      </w:r>
      <w:r w:rsidR="00725249">
        <w:t xml:space="preserve">promoting </w:t>
      </w:r>
      <w:r w:rsidR="008003E8" w:rsidRPr="005105EC">
        <w:t>people</w:t>
      </w:r>
      <w:r w:rsidR="00DD0CC9">
        <w:t>’</w:t>
      </w:r>
      <w:r w:rsidR="008003E8" w:rsidRPr="005105EC">
        <w:t>s right</w:t>
      </w:r>
      <w:r w:rsidR="00F73009">
        <w:t>s</w:t>
      </w:r>
      <w:r w:rsidR="008003E8" w:rsidRPr="005105EC">
        <w:t xml:space="preserve"> </w:t>
      </w:r>
      <w:r w:rsidR="00725249">
        <w:t xml:space="preserve">to </w:t>
      </w:r>
      <w:r w:rsidR="008003E8" w:rsidRPr="005105EC">
        <w:t>information</w:t>
      </w:r>
      <w:r w:rsidR="00725249">
        <w:t xml:space="preserve"> </w:t>
      </w:r>
      <w:r w:rsidR="002433C5">
        <w:t>to enhance</w:t>
      </w:r>
      <w:r w:rsidR="00725249">
        <w:t xml:space="preserve"> </w:t>
      </w:r>
      <w:r w:rsidR="008003E8" w:rsidRPr="005105EC">
        <w:t>government accountability.</w:t>
      </w:r>
      <w:r w:rsidR="00E010CB" w:rsidRPr="00E010CB">
        <w:t xml:space="preserve"> </w:t>
      </w:r>
    </w:p>
    <w:p w14:paraId="5E001E2C" w14:textId="56CE2899" w:rsidR="00725249" w:rsidRPr="00A80DC0" w:rsidRDefault="00F73009" w:rsidP="002C038F">
      <w:pPr>
        <w:pStyle w:val="ColorfulList-Accent11"/>
        <w:numPr>
          <w:ilvl w:val="0"/>
          <w:numId w:val="11"/>
        </w:numPr>
        <w:tabs>
          <w:tab w:val="left" w:pos="1440"/>
        </w:tabs>
        <w:spacing w:after="120" w:line="240" w:lineRule="exact"/>
        <w:ind w:left="1080" w:right="720" w:firstLine="0"/>
        <w:jc w:val="both"/>
      </w:pPr>
      <w:r>
        <w:lastRenderedPageBreak/>
        <w:t>I</w:t>
      </w:r>
      <w:r w:rsidR="00E2480E">
        <w:t xml:space="preserve">n cooperation with </w:t>
      </w:r>
      <w:r w:rsidR="005B1DD7">
        <w:t xml:space="preserve">UNSMIL and </w:t>
      </w:r>
      <w:r w:rsidR="00E2480E">
        <w:t xml:space="preserve">the </w:t>
      </w:r>
      <w:r w:rsidR="00E2480E" w:rsidRPr="00723F26">
        <w:t>United Nations Entity for Gender Equality and the Empowerment of Women (UN-Women)</w:t>
      </w:r>
      <w:r>
        <w:t>, UNDP</w:t>
      </w:r>
      <w:r w:rsidR="00E2480E">
        <w:t xml:space="preserve"> </w:t>
      </w:r>
      <w:r w:rsidR="008003E8">
        <w:t xml:space="preserve">will </w:t>
      </w:r>
      <w:r w:rsidR="008003E8" w:rsidRPr="00A80DC0">
        <w:t>promot</w:t>
      </w:r>
      <w:r w:rsidR="00626994">
        <w:t>e</w:t>
      </w:r>
      <w:r w:rsidR="00556EC4" w:rsidRPr="00A80DC0">
        <w:t xml:space="preserve"> </w:t>
      </w:r>
      <w:r w:rsidR="008003E8" w:rsidRPr="00A80DC0">
        <w:t>women</w:t>
      </w:r>
      <w:r w:rsidR="00A80DC0" w:rsidRPr="00A80DC0">
        <w:t>’s</w:t>
      </w:r>
      <w:r w:rsidR="008003E8" w:rsidRPr="00A80DC0">
        <w:t xml:space="preserve"> participation in </w:t>
      </w:r>
      <w:r w:rsidR="00D43C54">
        <w:t xml:space="preserve">municipal councils and </w:t>
      </w:r>
      <w:r w:rsidR="00017631" w:rsidRPr="00A80DC0">
        <w:t>legislative bodies</w:t>
      </w:r>
      <w:r w:rsidR="00D43C54">
        <w:t>, including</w:t>
      </w:r>
      <w:r w:rsidR="008003E8" w:rsidRPr="00A80DC0">
        <w:t xml:space="preserve"> the </w:t>
      </w:r>
      <w:r w:rsidR="00A80DC0" w:rsidRPr="00A80DC0">
        <w:t xml:space="preserve">establishment </w:t>
      </w:r>
      <w:r w:rsidR="008003E8" w:rsidRPr="00A80DC0">
        <w:t xml:space="preserve">of </w:t>
      </w:r>
      <w:r w:rsidR="00A80DC0" w:rsidRPr="00A80DC0">
        <w:t xml:space="preserve">a </w:t>
      </w:r>
      <w:r w:rsidR="008003E8" w:rsidRPr="00A80DC0">
        <w:t>women</w:t>
      </w:r>
      <w:r w:rsidR="00A80DC0" w:rsidRPr="00A80DC0">
        <w:t>’</w:t>
      </w:r>
      <w:r w:rsidR="00E2480E" w:rsidRPr="00A80DC0">
        <w:t>s</w:t>
      </w:r>
      <w:r w:rsidR="008003E8" w:rsidRPr="00A80DC0">
        <w:t xml:space="preserve"> caucus</w:t>
      </w:r>
      <w:r w:rsidR="00A80DC0" w:rsidRPr="00A80DC0">
        <w:t xml:space="preserve"> </w:t>
      </w:r>
      <w:r w:rsidR="00A80DC0" w:rsidRPr="00A54387">
        <w:t xml:space="preserve">in the parliament to </w:t>
      </w:r>
      <w:r w:rsidR="00A80DC0">
        <w:t xml:space="preserve">advocate for </w:t>
      </w:r>
      <w:r w:rsidR="00A80DC0" w:rsidRPr="00A54387">
        <w:t>women’s rights</w:t>
      </w:r>
      <w:r w:rsidR="00A80DC0">
        <w:t>, gender-sensitive policies and more inclusive governance processes</w:t>
      </w:r>
      <w:r w:rsidR="008003E8" w:rsidRPr="00A80DC0">
        <w:t>.</w:t>
      </w:r>
      <w:r w:rsidR="00E2480E" w:rsidRPr="00A54387">
        <w:t xml:space="preserve"> </w:t>
      </w:r>
      <w:r w:rsidR="00C64465" w:rsidRPr="00E70A04">
        <w:t xml:space="preserve">UNDP will explore </w:t>
      </w:r>
      <w:r w:rsidR="00836F71" w:rsidRPr="00E70A04">
        <w:t>partnership</w:t>
      </w:r>
      <w:r w:rsidR="00836F71">
        <w:t>s</w:t>
      </w:r>
      <w:r w:rsidR="00C64465" w:rsidRPr="00E70A04">
        <w:t xml:space="preserve"> </w:t>
      </w:r>
      <w:r w:rsidR="00926B1E">
        <w:t>with local Women’s Networks for Peace to integrate gender-sensitive conflict analysis in programmes</w:t>
      </w:r>
      <w:r w:rsidR="00D86CD7">
        <w:t xml:space="preserve">. A UNDP Gender Task Force has been established to </w:t>
      </w:r>
      <w:r w:rsidR="00C64465" w:rsidRPr="00E70A04">
        <w:t>mainstream gender throughout programme interventions</w:t>
      </w:r>
      <w:r w:rsidR="00E94602">
        <w:t xml:space="preserve">.  </w:t>
      </w:r>
    </w:p>
    <w:p w14:paraId="459259D9" w14:textId="33DB7A0C" w:rsidR="00992800" w:rsidRPr="00DD0CC9" w:rsidRDefault="00992800" w:rsidP="002C038F">
      <w:pPr>
        <w:pStyle w:val="ColorfulList-Accent11"/>
        <w:tabs>
          <w:tab w:val="left" w:pos="1440"/>
        </w:tabs>
        <w:spacing w:after="120" w:line="240" w:lineRule="exact"/>
        <w:ind w:left="1080" w:right="720"/>
        <w:jc w:val="both"/>
        <w:rPr>
          <w:b/>
        </w:rPr>
      </w:pPr>
      <w:r w:rsidRPr="00DD0CC9">
        <w:rPr>
          <w:b/>
        </w:rPr>
        <w:t>Inclusive access to public services and economic opportunit</w:t>
      </w:r>
      <w:r w:rsidR="00E45278" w:rsidRPr="00DD0CC9">
        <w:rPr>
          <w:b/>
        </w:rPr>
        <w:t>ies</w:t>
      </w:r>
      <w:r w:rsidR="0057271B" w:rsidRPr="00DD0CC9">
        <w:rPr>
          <w:b/>
        </w:rPr>
        <w:t xml:space="preserve"> </w:t>
      </w:r>
    </w:p>
    <w:p w14:paraId="1A8DA7D6" w14:textId="6D316FFB" w:rsidR="00C43985" w:rsidRDefault="0003023A" w:rsidP="002C038F">
      <w:pPr>
        <w:pStyle w:val="ColorfulList-Accent11"/>
        <w:numPr>
          <w:ilvl w:val="0"/>
          <w:numId w:val="11"/>
        </w:numPr>
        <w:tabs>
          <w:tab w:val="left" w:pos="1440"/>
        </w:tabs>
        <w:spacing w:after="120" w:line="240" w:lineRule="exact"/>
        <w:ind w:left="1080" w:right="720" w:firstLine="0"/>
        <w:jc w:val="both"/>
      </w:pPr>
      <w:r>
        <w:t>To</w:t>
      </w:r>
      <w:r w:rsidR="00641653">
        <w:t xml:space="preserve"> address </w:t>
      </w:r>
      <w:r w:rsidR="00CB3AF0">
        <w:t>the basic needs of the population and build community and social cohesion, UNDP</w:t>
      </w:r>
      <w:r w:rsidR="005E7012">
        <w:t>,</w:t>
      </w:r>
      <w:r w:rsidR="00641653">
        <w:t xml:space="preserve"> </w:t>
      </w:r>
      <w:r w:rsidR="00CB3AF0">
        <w:t>i</w:t>
      </w:r>
      <w:r w:rsidR="00ED7E72">
        <w:t xml:space="preserve">n partnership with </w:t>
      </w:r>
      <w:r w:rsidR="00DD0CC9">
        <w:t>the United Nations Children’s Fund (</w:t>
      </w:r>
      <w:r w:rsidR="00EE28A3">
        <w:t>UNICEF</w:t>
      </w:r>
      <w:r w:rsidR="00DD0CC9">
        <w:t>)</w:t>
      </w:r>
      <w:r w:rsidR="000518CF">
        <w:t xml:space="preserve"> and</w:t>
      </w:r>
      <w:r w:rsidR="00EE28A3">
        <w:t xml:space="preserve"> </w:t>
      </w:r>
      <w:r w:rsidR="00047F9F">
        <w:t>World Health Organization (</w:t>
      </w:r>
      <w:r w:rsidR="00EE28A3">
        <w:t>WHO</w:t>
      </w:r>
      <w:r w:rsidR="00047F9F">
        <w:t>)</w:t>
      </w:r>
      <w:r w:rsidR="005E7012">
        <w:t>,</w:t>
      </w:r>
      <w:r w:rsidR="00A80DC0">
        <w:t xml:space="preserve"> </w:t>
      </w:r>
      <w:r w:rsidR="00A63ACA">
        <w:t>w</w:t>
      </w:r>
      <w:r w:rsidR="00510DBC">
        <w:t>i</w:t>
      </w:r>
      <w:r w:rsidR="00A63ACA">
        <w:t xml:space="preserve">ll </w:t>
      </w:r>
      <w:r w:rsidR="00D43C54">
        <w:t xml:space="preserve">build on its comparative advantage in </w:t>
      </w:r>
      <w:r w:rsidR="00A63ACA">
        <w:t xml:space="preserve">supporting the </w:t>
      </w:r>
      <w:r w:rsidR="00D43C54">
        <w:t xml:space="preserve">re-establishment of </w:t>
      </w:r>
      <w:r w:rsidR="00A63ACA">
        <w:t>public service delivery</w:t>
      </w:r>
      <w:r w:rsidR="00510DBC">
        <w:t>.</w:t>
      </w:r>
      <w:r w:rsidR="00A63ACA">
        <w:t xml:space="preserve"> </w:t>
      </w:r>
      <w:r w:rsidR="00D05192">
        <w:t>UNDP intervention</w:t>
      </w:r>
      <w:r w:rsidR="00ED7E72">
        <w:t>s</w:t>
      </w:r>
      <w:r w:rsidR="00D05192">
        <w:t xml:space="preserve"> </w:t>
      </w:r>
      <w:r w:rsidR="001255FA">
        <w:t xml:space="preserve">under the Stabilization Facility </w:t>
      </w:r>
      <w:r w:rsidR="00D05192">
        <w:t>will</w:t>
      </w:r>
      <w:r w:rsidR="00CE22D9">
        <w:t xml:space="preserve"> support the Government in</w:t>
      </w:r>
      <w:r w:rsidR="00D05192">
        <w:t xml:space="preserve"> delivering public goods and </w:t>
      </w:r>
      <w:r w:rsidR="007042C5">
        <w:t>sustainable benefits</w:t>
      </w:r>
      <w:r w:rsidR="001255FA">
        <w:t xml:space="preserve"> – a peace dividend </w:t>
      </w:r>
      <w:r w:rsidR="00F73009">
        <w:t>–</w:t>
      </w:r>
      <w:r w:rsidR="00CE22D9">
        <w:t xml:space="preserve"> through</w:t>
      </w:r>
      <w:r w:rsidR="00D05192">
        <w:t xml:space="preserve"> </w:t>
      </w:r>
      <w:r w:rsidR="00ED7E72">
        <w:t>rehabilitation</w:t>
      </w:r>
      <w:r w:rsidR="00D05192">
        <w:t xml:space="preserve"> of social infrastructure</w:t>
      </w:r>
      <w:r w:rsidR="00ED7E72">
        <w:t xml:space="preserve"> for improved access</w:t>
      </w:r>
      <w:r w:rsidR="00D05192">
        <w:t xml:space="preserve">, mainly in </w:t>
      </w:r>
      <w:r w:rsidR="00DD0CC9">
        <w:t xml:space="preserve">the </w:t>
      </w:r>
      <w:r w:rsidR="00C34EFE">
        <w:t>health</w:t>
      </w:r>
      <w:r w:rsidR="00CE22D9">
        <w:t>,</w:t>
      </w:r>
      <w:r w:rsidR="00D05192">
        <w:t xml:space="preserve"> education </w:t>
      </w:r>
      <w:r w:rsidR="00CE22D9">
        <w:t xml:space="preserve">and water and waste </w:t>
      </w:r>
      <w:r w:rsidR="00D05192">
        <w:t xml:space="preserve">sectors. </w:t>
      </w:r>
      <w:r w:rsidR="005B1DD7">
        <w:t xml:space="preserve">This will be linked </w:t>
      </w:r>
      <w:r w:rsidR="00AA179A">
        <w:t xml:space="preserve">to </w:t>
      </w:r>
      <w:r w:rsidR="009B6CBA">
        <w:t>UNDP support</w:t>
      </w:r>
      <w:r w:rsidR="00DB162D">
        <w:t xml:space="preserve"> </w:t>
      </w:r>
      <w:r w:rsidR="001255FA">
        <w:t>to</w:t>
      </w:r>
      <w:r w:rsidR="00DB162D">
        <w:t xml:space="preserve"> </w:t>
      </w:r>
      <w:r w:rsidR="001255FA">
        <w:t xml:space="preserve">both </w:t>
      </w:r>
      <w:r w:rsidR="001255FA" w:rsidRPr="007A6BD6">
        <w:rPr>
          <w:color w:val="000000"/>
        </w:rPr>
        <w:t>the national political proc</w:t>
      </w:r>
      <w:r w:rsidR="001255FA">
        <w:rPr>
          <w:color w:val="000000"/>
        </w:rPr>
        <w:t xml:space="preserve">ess and </w:t>
      </w:r>
      <w:r w:rsidR="00DB162D">
        <w:t>inclusive local planning and the development of local conflict reduction and social peace program</w:t>
      </w:r>
      <w:r w:rsidR="001255FA">
        <w:t xml:space="preserve">mes, </w:t>
      </w:r>
      <w:r w:rsidR="001255FA" w:rsidRPr="007A6BD6">
        <w:rPr>
          <w:color w:val="000000"/>
        </w:rPr>
        <w:t>thereby increasing the legitimacy of the national authorities and their capability to lead Libya to sustained peace</w:t>
      </w:r>
      <w:r w:rsidR="00DB162D">
        <w:t xml:space="preserve">. </w:t>
      </w:r>
      <w:r>
        <w:t>This will</w:t>
      </w:r>
      <w:r w:rsidR="00DB162D">
        <w:t xml:space="preserve"> </w:t>
      </w:r>
      <w:r w:rsidR="00F95140">
        <w:t xml:space="preserve">include </w:t>
      </w:r>
      <w:r w:rsidR="00D05192">
        <w:t xml:space="preserve">support </w:t>
      </w:r>
      <w:r w:rsidR="003A7FD3">
        <w:t xml:space="preserve">for </w:t>
      </w:r>
      <w:r w:rsidR="00F95140">
        <w:t xml:space="preserve">the </w:t>
      </w:r>
      <w:r w:rsidR="00D05192">
        <w:t>moderniz</w:t>
      </w:r>
      <w:r w:rsidR="00F95140">
        <w:t>ation of</w:t>
      </w:r>
      <w:r w:rsidR="00D05192">
        <w:t xml:space="preserve"> public administration </w:t>
      </w:r>
      <w:r w:rsidR="005105EC">
        <w:t xml:space="preserve">with </w:t>
      </w:r>
      <w:r w:rsidR="00F95140">
        <w:t>a f</w:t>
      </w:r>
      <w:r w:rsidR="005105EC">
        <w:t xml:space="preserve">ocus </w:t>
      </w:r>
      <w:r w:rsidR="005105EC" w:rsidRPr="005105EC">
        <w:t>on human resources management</w:t>
      </w:r>
      <w:r w:rsidR="00F73009">
        <w:t xml:space="preserve"> and</w:t>
      </w:r>
      <w:r w:rsidR="003A7FD3">
        <w:t xml:space="preserve"> </w:t>
      </w:r>
      <w:r w:rsidR="005105EC" w:rsidRPr="005105EC">
        <w:t>norms and procedures that comply with international standards.</w:t>
      </w:r>
      <w:r w:rsidR="00D05192">
        <w:t xml:space="preserve"> </w:t>
      </w:r>
      <w:r w:rsidR="001D1795">
        <w:t xml:space="preserve">UNDP will work with the Ministry of Planning and other </w:t>
      </w:r>
      <w:r w:rsidR="00AB1FC5">
        <w:t>g</w:t>
      </w:r>
      <w:r w:rsidR="001D1795">
        <w:t xml:space="preserve">overnment partners to improve coordination between local and national planning mechanisms </w:t>
      </w:r>
      <w:r w:rsidR="003A7FD3">
        <w:t>for</w:t>
      </w:r>
      <w:r w:rsidR="001D1795">
        <w:t xml:space="preserve"> </w:t>
      </w:r>
      <w:r w:rsidR="00AB1FC5">
        <w:t xml:space="preserve">more effective </w:t>
      </w:r>
      <w:r w:rsidR="001D1795">
        <w:t xml:space="preserve">use of </w:t>
      </w:r>
      <w:r w:rsidR="00A80DC0">
        <w:t>budget</w:t>
      </w:r>
      <w:r w:rsidR="00F73009">
        <w:t>ary</w:t>
      </w:r>
      <w:r w:rsidR="00A80DC0">
        <w:t xml:space="preserve"> </w:t>
      </w:r>
      <w:r w:rsidR="001D1795">
        <w:t>resources</w:t>
      </w:r>
      <w:r w:rsidR="00D05192">
        <w:t xml:space="preserve">. </w:t>
      </w:r>
    </w:p>
    <w:p w14:paraId="476C7397" w14:textId="07ECE5C0" w:rsidR="005105EC" w:rsidRDefault="002F3B74" w:rsidP="002C038F">
      <w:pPr>
        <w:pStyle w:val="ColorfulList-Accent11"/>
        <w:numPr>
          <w:ilvl w:val="0"/>
          <w:numId w:val="11"/>
        </w:numPr>
        <w:tabs>
          <w:tab w:val="left" w:pos="1440"/>
        </w:tabs>
        <w:spacing w:after="120" w:line="240" w:lineRule="exact"/>
        <w:ind w:left="1080" w:right="720" w:firstLine="0"/>
        <w:jc w:val="both"/>
      </w:pPr>
      <w:r>
        <w:rPr>
          <w:lang w:val="en-GB"/>
        </w:rPr>
        <w:t xml:space="preserve">To improve the </w:t>
      </w:r>
      <w:r w:rsidR="008F3D9B">
        <w:rPr>
          <w:lang w:val="en-GB"/>
        </w:rPr>
        <w:t xml:space="preserve">accessibility </w:t>
      </w:r>
      <w:r w:rsidR="00510DBC" w:rsidRPr="001D3DC6">
        <w:rPr>
          <w:lang w:val="en-GB"/>
        </w:rPr>
        <w:t>of local public service</w:t>
      </w:r>
      <w:r w:rsidR="000E0334">
        <w:rPr>
          <w:lang w:val="en-GB"/>
        </w:rPr>
        <w:t xml:space="preserve">s </w:t>
      </w:r>
      <w:r w:rsidR="0003023A">
        <w:rPr>
          <w:lang w:val="en-GB"/>
        </w:rPr>
        <w:t xml:space="preserve">and </w:t>
      </w:r>
      <w:r w:rsidR="000E0334">
        <w:rPr>
          <w:lang w:val="en-GB"/>
        </w:rPr>
        <w:t>address the needs of those “furthest behind”</w:t>
      </w:r>
      <w:r w:rsidR="005E7012">
        <w:rPr>
          <w:lang w:val="en-GB"/>
        </w:rPr>
        <w:t>,</w:t>
      </w:r>
      <w:r w:rsidR="00510DBC" w:rsidRPr="001D3DC6">
        <w:rPr>
          <w:lang w:val="en-GB"/>
        </w:rPr>
        <w:t xml:space="preserve"> UNDP will strengthen local government capacit</w:t>
      </w:r>
      <w:r w:rsidR="00510DBC">
        <w:rPr>
          <w:lang w:val="en-GB"/>
        </w:rPr>
        <w:t>ies</w:t>
      </w:r>
      <w:r w:rsidR="00510DBC" w:rsidRPr="001D3DC6">
        <w:rPr>
          <w:lang w:val="en-GB"/>
        </w:rPr>
        <w:t xml:space="preserve"> to engage</w:t>
      </w:r>
      <w:r w:rsidR="00510DBC">
        <w:rPr>
          <w:lang w:val="en-GB"/>
        </w:rPr>
        <w:t xml:space="preserve"> </w:t>
      </w:r>
      <w:r w:rsidR="00DF587A">
        <w:rPr>
          <w:lang w:val="en-GB"/>
        </w:rPr>
        <w:t xml:space="preserve">key </w:t>
      </w:r>
      <w:r w:rsidR="00510DBC">
        <w:rPr>
          <w:lang w:val="en-GB"/>
        </w:rPr>
        <w:t>groups and</w:t>
      </w:r>
      <w:r w:rsidR="00510DBC" w:rsidRPr="001D3DC6">
        <w:rPr>
          <w:lang w:val="en-GB"/>
        </w:rPr>
        <w:t xml:space="preserve"> community members in the planning, delivery and monitoring of services. </w:t>
      </w:r>
      <w:r w:rsidR="00D43C54">
        <w:rPr>
          <w:lang w:val="en-GB"/>
        </w:rPr>
        <w:t xml:space="preserve">UNDP will focus efforts </w:t>
      </w:r>
      <w:r w:rsidR="00F94C72">
        <w:rPr>
          <w:lang w:val="en-GB"/>
        </w:rPr>
        <w:t xml:space="preserve">on </w:t>
      </w:r>
      <w:r w:rsidR="000D44FA">
        <w:rPr>
          <w:lang w:val="en-GB"/>
        </w:rPr>
        <w:t>population groups</w:t>
      </w:r>
      <w:r w:rsidR="000D44FA">
        <w:rPr>
          <w:rStyle w:val="FootnoteReference"/>
          <w:lang w:val="en-GB"/>
        </w:rPr>
        <w:footnoteReference w:id="25"/>
      </w:r>
      <w:r w:rsidR="000D44FA">
        <w:rPr>
          <w:lang w:val="en-GB"/>
        </w:rPr>
        <w:t xml:space="preserve"> and</w:t>
      </w:r>
      <w:r w:rsidR="00D43C54">
        <w:rPr>
          <w:lang w:val="en-GB"/>
        </w:rPr>
        <w:t xml:space="preserve"> areas most affected by conflict</w:t>
      </w:r>
      <w:r w:rsidR="001D7920">
        <w:rPr>
          <w:lang w:val="en-GB"/>
        </w:rPr>
        <w:t xml:space="preserve">. </w:t>
      </w:r>
      <w:r w:rsidR="00E5374C" w:rsidRPr="00AC551D">
        <w:rPr>
          <w:color w:val="000000"/>
          <w:spacing w:val="-4"/>
        </w:rPr>
        <w:t xml:space="preserve">UNDP </w:t>
      </w:r>
      <w:r w:rsidR="00E5374C">
        <w:rPr>
          <w:color w:val="000000"/>
          <w:spacing w:val="-4"/>
        </w:rPr>
        <w:t xml:space="preserve">will continue to work </w:t>
      </w:r>
      <w:r w:rsidR="00E5374C" w:rsidRPr="00AC551D">
        <w:rPr>
          <w:color w:val="000000"/>
          <w:spacing w:val="-4"/>
        </w:rPr>
        <w:t xml:space="preserve">in communities on </w:t>
      </w:r>
      <w:r w:rsidR="00054EA5">
        <w:rPr>
          <w:color w:val="000000"/>
          <w:spacing w:val="-4"/>
        </w:rPr>
        <w:t>key</w:t>
      </w:r>
      <w:r w:rsidR="00054EA5" w:rsidRPr="00AC551D">
        <w:rPr>
          <w:color w:val="000000"/>
          <w:spacing w:val="-4"/>
        </w:rPr>
        <w:t xml:space="preserve"> </w:t>
      </w:r>
      <w:r w:rsidR="00E5374C" w:rsidRPr="00AC551D">
        <w:rPr>
          <w:color w:val="000000"/>
          <w:spacing w:val="-4"/>
        </w:rPr>
        <w:t xml:space="preserve">migration routes – from Sabha and Murzuq, to Kufra and Sabratha, not least Benghazi and Tripoli </w:t>
      </w:r>
      <w:r w:rsidR="00DD0CC9" w:rsidRPr="00AC551D">
        <w:rPr>
          <w:color w:val="000000"/>
          <w:spacing w:val="-4"/>
        </w:rPr>
        <w:t>–</w:t>
      </w:r>
      <w:r w:rsidR="00E5374C" w:rsidRPr="00AC551D">
        <w:rPr>
          <w:color w:val="000000"/>
          <w:spacing w:val="-4"/>
        </w:rPr>
        <w:t xml:space="preserve"> engaging local municipalities, identifying entry points to integrate key community members, enhancing local stability and community security, advancing municipal socioeconomic development and providing income</w:t>
      </w:r>
      <w:r w:rsidR="00DD0CC9">
        <w:rPr>
          <w:color w:val="000000"/>
          <w:spacing w:val="-4"/>
        </w:rPr>
        <w:t>-</w:t>
      </w:r>
      <w:r w:rsidR="00E5374C" w:rsidRPr="00AC551D">
        <w:rPr>
          <w:color w:val="000000"/>
          <w:spacing w:val="-4"/>
        </w:rPr>
        <w:t>generat</w:t>
      </w:r>
      <w:r w:rsidR="00054EA5">
        <w:rPr>
          <w:color w:val="000000"/>
          <w:spacing w:val="-4"/>
        </w:rPr>
        <w:t>ing</w:t>
      </w:r>
      <w:r w:rsidR="00E5374C" w:rsidRPr="00AC551D">
        <w:rPr>
          <w:color w:val="000000"/>
          <w:spacing w:val="-4"/>
        </w:rPr>
        <w:t xml:space="preserve"> opportunities for communities</w:t>
      </w:r>
      <w:r w:rsidR="00E5374C">
        <w:rPr>
          <w:color w:val="000000"/>
          <w:spacing w:val="-4"/>
        </w:rPr>
        <w:t xml:space="preserve">. </w:t>
      </w:r>
      <w:r w:rsidR="00510DBC">
        <w:rPr>
          <w:lang w:val="en-GB"/>
        </w:rPr>
        <w:t>C</w:t>
      </w:r>
      <w:r w:rsidR="00510DBC" w:rsidRPr="001D3DC6">
        <w:rPr>
          <w:lang w:val="en-GB"/>
        </w:rPr>
        <w:t xml:space="preserve">ommunity empowerment, </w:t>
      </w:r>
      <w:r w:rsidR="00510DBC">
        <w:rPr>
          <w:lang w:val="en-GB"/>
        </w:rPr>
        <w:t xml:space="preserve">focusing </w:t>
      </w:r>
      <w:r w:rsidR="00836F71">
        <w:rPr>
          <w:lang w:val="en-GB"/>
        </w:rPr>
        <w:t>on</w:t>
      </w:r>
      <w:r w:rsidR="00836F71" w:rsidRPr="001D3DC6">
        <w:rPr>
          <w:lang w:val="en-GB"/>
        </w:rPr>
        <w:t xml:space="preserve"> marginalized</w:t>
      </w:r>
      <w:r w:rsidR="00510DBC" w:rsidRPr="001D3DC6">
        <w:rPr>
          <w:lang w:val="en-GB"/>
        </w:rPr>
        <w:t xml:space="preserve"> groups</w:t>
      </w:r>
      <w:r w:rsidR="00510DBC">
        <w:rPr>
          <w:lang w:val="en-GB"/>
        </w:rPr>
        <w:t>,</w:t>
      </w:r>
      <w:r w:rsidR="00510DBC" w:rsidRPr="001D3DC6">
        <w:rPr>
          <w:lang w:val="en-GB"/>
        </w:rPr>
        <w:t xml:space="preserve"> will be prioritized</w:t>
      </w:r>
      <w:r w:rsidR="00DC3584">
        <w:rPr>
          <w:lang w:val="en-GB"/>
        </w:rPr>
        <w:t xml:space="preserve"> along with </w:t>
      </w:r>
      <w:r w:rsidR="00926B1E">
        <w:rPr>
          <w:lang w:val="en-GB"/>
        </w:rPr>
        <w:t>an emphasis on including survivors of gender-based violence in livelihood activities</w:t>
      </w:r>
      <w:r w:rsidR="00510DBC" w:rsidRPr="001D3DC6">
        <w:rPr>
          <w:lang w:val="en-GB"/>
        </w:rPr>
        <w:t xml:space="preserve">. </w:t>
      </w:r>
      <w:r w:rsidR="00510DBC">
        <w:rPr>
          <w:lang w:val="en-GB"/>
        </w:rPr>
        <w:t>UNDP will build on its comparative advantage</w:t>
      </w:r>
      <w:r w:rsidR="001D7920">
        <w:rPr>
          <w:lang w:val="en-GB"/>
        </w:rPr>
        <w:t xml:space="preserve"> of linking service provision with</w:t>
      </w:r>
      <w:r w:rsidR="00510DBC">
        <w:rPr>
          <w:lang w:val="en-GB"/>
        </w:rPr>
        <w:t xml:space="preserve"> </w:t>
      </w:r>
      <w:r w:rsidR="00510DBC" w:rsidRPr="001D3DC6">
        <w:rPr>
          <w:lang w:val="en-GB"/>
        </w:rPr>
        <w:t>multisectoral, conflict-sensitive and risk-informed development interventions</w:t>
      </w:r>
      <w:r w:rsidR="003717D7">
        <w:rPr>
          <w:lang w:val="en-GB"/>
        </w:rPr>
        <w:t xml:space="preserve"> </w:t>
      </w:r>
      <w:r w:rsidR="0023282F">
        <w:rPr>
          <w:lang w:val="en-GB"/>
        </w:rPr>
        <w:t xml:space="preserve">for more </w:t>
      </w:r>
      <w:r w:rsidR="00CE22D9">
        <w:rPr>
          <w:lang w:val="en-GB"/>
        </w:rPr>
        <w:t>sustainable community-based stabilization and peacebuilding structures.</w:t>
      </w:r>
    </w:p>
    <w:p w14:paraId="269B4033" w14:textId="38CC2DF4" w:rsidR="00DF61C5" w:rsidRDefault="00DF61C5" w:rsidP="002C038F">
      <w:pPr>
        <w:numPr>
          <w:ilvl w:val="0"/>
          <w:numId w:val="11"/>
        </w:numPr>
        <w:tabs>
          <w:tab w:val="left" w:pos="1440"/>
        </w:tabs>
        <w:spacing w:after="120" w:line="240" w:lineRule="exact"/>
        <w:ind w:left="1080" w:right="720" w:firstLine="0"/>
        <w:jc w:val="both"/>
      </w:pPr>
      <w:r w:rsidRPr="00A54387">
        <w:t>UNDP</w:t>
      </w:r>
      <w:r w:rsidR="009D24BC">
        <w:t xml:space="preserve"> will continue its innovative </w:t>
      </w:r>
      <w:r w:rsidRPr="00A54387">
        <w:t xml:space="preserve">partnership with </w:t>
      </w:r>
      <w:r w:rsidR="008341D5">
        <w:t xml:space="preserve">the </w:t>
      </w:r>
      <w:r w:rsidR="009B6CBA">
        <w:t>Ministry</w:t>
      </w:r>
      <w:r w:rsidR="008341D5">
        <w:t xml:space="preserve"> of Health, the </w:t>
      </w:r>
      <w:r w:rsidR="00BF3724" w:rsidRPr="00BF3724">
        <w:t>General Electric</w:t>
      </w:r>
      <w:r w:rsidR="002B2CED" w:rsidRPr="00A54387">
        <w:t xml:space="preserve"> </w:t>
      </w:r>
      <w:r w:rsidR="00BF3724">
        <w:t xml:space="preserve">Company </w:t>
      </w:r>
      <w:r w:rsidR="002B2CED" w:rsidRPr="00A54387">
        <w:t>of Libya (</w:t>
      </w:r>
      <w:r w:rsidRPr="00A54387">
        <w:t>GECOL</w:t>
      </w:r>
      <w:r w:rsidR="002B2CED" w:rsidRPr="00A54387">
        <w:t>) and Renew</w:t>
      </w:r>
      <w:r w:rsidR="00DB162D">
        <w:t>able</w:t>
      </w:r>
      <w:r w:rsidR="002B2CED" w:rsidRPr="00A54387">
        <w:t xml:space="preserve"> Energy Authority of Libya (REAOL)</w:t>
      </w:r>
      <w:r w:rsidR="009D24BC">
        <w:t xml:space="preserve"> </w:t>
      </w:r>
      <w:r w:rsidR="00BF3724">
        <w:t>to build the resilience of public services</w:t>
      </w:r>
      <w:r w:rsidRPr="00A54387">
        <w:t xml:space="preserve"> </w:t>
      </w:r>
      <w:r w:rsidR="00470BD6" w:rsidRPr="005867B5">
        <w:rPr>
          <w:color w:val="000000"/>
        </w:rPr>
        <w:t>through utilization of solar energy</w:t>
      </w:r>
      <w:r w:rsidR="00470BD6">
        <w:rPr>
          <w:color w:val="000000"/>
        </w:rPr>
        <w:t xml:space="preserve"> </w:t>
      </w:r>
      <w:r w:rsidR="001031A0">
        <w:rPr>
          <w:color w:val="000000"/>
        </w:rPr>
        <w:t xml:space="preserve">in </w:t>
      </w:r>
      <w:r w:rsidRPr="00A54387">
        <w:rPr>
          <w:color w:val="000000"/>
        </w:rPr>
        <w:t>a number of primary health care facilities, hospitals</w:t>
      </w:r>
      <w:r w:rsidR="00BF3724" w:rsidRPr="00BF3724">
        <w:rPr>
          <w:color w:val="000000"/>
        </w:rPr>
        <w:t xml:space="preserve"> and other medical cent</w:t>
      </w:r>
      <w:r w:rsidR="00F73009">
        <w:rPr>
          <w:color w:val="000000"/>
        </w:rPr>
        <w:t>res</w:t>
      </w:r>
      <w:r w:rsidRPr="00A54387">
        <w:rPr>
          <w:color w:val="000000"/>
        </w:rPr>
        <w:t xml:space="preserve">. </w:t>
      </w:r>
      <w:r w:rsidR="001D7920">
        <w:rPr>
          <w:color w:val="000000"/>
        </w:rPr>
        <w:t xml:space="preserve">Coordination with the Ministry of Health will be critical for selection and prioritization of facilities for rehabilitation </w:t>
      </w:r>
      <w:r w:rsidR="006533B1">
        <w:rPr>
          <w:color w:val="000000"/>
        </w:rPr>
        <w:t>and</w:t>
      </w:r>
      <w:r w:rsidR="001D7920">
        <w:rPr>
          <w:color w:val="000000"/>
        </w:rPr>
        <w:t xml:space="preserve"> to ensure sustainability through </w:t>
      </w:r>
      <w:r w:rsidR="001031A0">
        <w:rPr>
          <w:color w:val="000000"/>
        </w:rPr>
        <w:t>training</w:t>
      </w:r>
      <w:r w:rsidR="001D7920">
        <w:rPr>
          <w:color w:val="000000"/>
        </w:rPr>
        <w:t xml:space="preserve"> for operation and maintenance of the facilities. </w:t>
      </w:r>
      <w:r w:rsidRPr="00A54387">
        <w:rPr>
          <w:color w:val="000000"/>
        </w:rPr>
        <w:t xml:space="preserve">This will </w:t>
      </w:r>
      <w:r w:rsidR="001031A0">
        <w:rPr>
          <w:color w:val="000000"/>
        </w:rPr>
        <w:t>provide</w:t>
      </w:r>
      <w:r w:rsidR="009D24BC">
        <w:t xml:space="preserve"> </w:t>
      </w:r>
      <w:r w:rsidR="00BF3724">
        <w:t xml:space="preserve">a more sustainable power source in the context of </w:t>
      </w:r>
      <w:r w:rsidR="00F4441C">
        <w:t>intermittent electricity supply nationwide</w:t>
      </w:r>
      <w:r w:rsidR="001F0E77">
        <w:t xml:space="preserve"> and provide experience </w:t>
      </w:r>
      <w:r w:rsidR="00B2058B">
        <w:t xml:space="preserve">on which </w:t>
      </w:r>
      <w:r w:rsidR="001F0E77">
        <w:t>to draw in considering further solar-based solutions</w:t>
      </w:r>
      <w:r w:rsidRPr="008A5FCD">
        <w:t>.</w:t>
      </w:r>
    </w:p>
    <w:p w14:paraId="2CFA9DED" w14:textId="66ABEF1E" w:rsidR="008A5FCD" w:rsidRPr="008A5FCD" w:rsidRDefault="008A5FCD" w:rsidP="002C038F">
      <w:pPr>
        <w:numPr>
          <w:ilvl w:val="0"/>
          <w:numId w:val="11"/>
        </w:numPr>
        <w:tabs>
          <w:tab w:val="left" w:pos="1440"/>
        </w:tabs>
        <w:spacing w:line="240" w:lineRule="exact"/>
        <w:ind w:left="1080" w:right="720" w:firstLine="0"/>
        <w:jc w:val="both"/>
      </w:pPr>
      <w:r>
        <w:rPr>
          <w:color w:val="000000"/>
        </w:rPr>
        <w:t>UN</w:t>
      </w:r>
      <w:r w:rsidRPr="008A5FCD">
        <w:rPr>
          <w:color w:val="000000"/>
        </w:rPr>
        <w:t>DP will support </w:t>
      </w:r>
      <w:r w:rsidRPr="008A5FCD">
        <w:rPr>
          <w:bCs/>
          <w:color w:val="000000"/>
        </w:rPr>
        <w:t>economic growth and recovery strategies</w:t>
      </w:r>
      <w:r w:rsidRPr="008A5FCD">
        <w:rPr>
          <w:color w:val="000000"/>
        </w:rPr>
        <w:t> to promote income generation</w:t>
      </w:r>
      <w:r w:rsidR="00B2058B">
        <w:rPr>
          <w:color w:val="000000"/>
        </w:rPr>
        <w:t xml:space="preserve"> and</w:t>
      </w:r>
      <w:r w:rsidR="00B2058B" w:rsidRPr="008A5FCD">
        <w:rPr>
          <w:color w:val="000000"/>
        </w:rPr>
        <w:t xml:space="preserve"> </w:t>
      </w:r>
      <w:r w:rsidRPr="008A5FCD">
        <w:rPr>
          <w:color w:val="000000"/>
        </w:rPr>
        <w:t>emergency employment and create sustainable and decent jobs. UNDP and its local partner</w:t>
      </w:r>
      <w:r w:rsidR="00E319AF">
        <w:rPr>
          <w:color w:val="000000"/>
        </w:rPr>
        <w:t xml:space="preserve"> Tatweer Research</w:t>
      </w:r>
      <w:r w:rsidRPr="008A5FCD">
        <w:rPr>
          <w:color w:val="000000"/>
        </w:rPr>
        <w:t xml:space="preserve"> will </w:t>
      </w:r>
      <w:r w:rsidR="00B2058B">
        <w:rPr>
          <w:color w:val="000000"/>
        </w:rPr>
        <w:t>establish</w:t>
      </w:r>
      <w:r w:rsidRPr="008A5FCD">
        <w:rPr>
          <w:color w:val="000000"/>
        </w:rPr>
        <w:t xml:space="preserve"> start-up incubators in Benghazi, Sabha and Tripoli, </w:t>
      </w:r>
      <w:r w:rsidR="00340ADC">
        <w:rPr>
          <w:bCs/>
          <w:color w:val="000000"/>
        </w:rPr>
        <w:t xml:space="preserve">specifically targeting </w:t>
      </w:r>
      <w:r w:rsidR="00AD4758">
        <w:rPr>
          <w:bCs/>
          <w:color w:val="000000"/>
        </w:rPr>
        <w:t xml:space="preserve">women and </w:t>
      </w:r>
      <w:r w:rsidR="003F2A3B">
        <w:rPr>
          <w:bCs/>
          <w:color w:val="000000"/>
        </w:rPr>
        <w:t>unemployed you</w:t>
      </w:r>
      <w:r w:rsidR="00C734AA">
        <w:rPr>
          <w:bCs/>
          <w:color w:val="000000"/>
        </w:rPr>
        <w:t xml:space="preserve">th </w:t>
      </w:r>
      <w:r w:rsidR="00236205">
        <w:rPr>
          <w:bCs/>
          <w:color w:val="000000"/>
        </w:rPr>
        <w:t>to provide</w:t>
      </w:r>
      <w:r w:rsidR="00092426">
        <w:rPr>
          <w:bCs/>
          <w:color w:val="000000"/>
        </w:rPr>
        <w:t xml:space="preserve"> a means of economic empowerment</w:t>
      </w:r>
      <w:r w:rsidRPr="008A5FCD">
        <w:rPr>
          <w:color w:val="000000"/>
        </w:rPr>
        <w:t xml:space="preserve">. In parallel, </w:t>
      </w:r>
      <w:r w:rsidR="008609F5">
        <w:rPr>
          <w:color w:val="000000"/>
        </w:rPr>
        <w:t>UNDP in partnership with Toyota</w:t>
      </w:r>
      <w:r w:rsidR="0043152D">
        <w:rPr>
          <w:color w:val="000000"/>
        </w:rPr>
        <w:t xml:space="preserve"> </w:t>
      </w:r>
      <w:r w:rsidRPr="008A5FCD">
        <w:rPr>
          <w:color w:val="000000"/>
        </w:rPr>
        <w:t xml:space="preserve">will explore establishing vocational training programmes and helping with </w:t>
      </w:r>
      <w:r w:rsidRPr="008A5FCD">
        <w:rPr>
          <w:color w:val="000000"/>
        </w:rPr>
        <w:lastRenderedPageBreak/>
        <w:t xml:space="preserve">employment for </w:t>
      </w:r>
      <w:r w:rsidR="00340ADC">
        <w:rPr>
          <w:color w:val="000000"/>
        </w:rPr>
        <w:t xml:space="preserve">youth among the </w:t>
      </w:r>
      <w:r w:rsidRPr="008A5FCD">
        <w:rPr>
          <w:color w:val="000000"/>
        </w:rPr>
        <w:t>IDP and returnee</w:t>
      </w:r>
      <w:r w:rsidR="00340ADC">
        <w:rPr>
          <w:color w:val="000000"/>
        </w:rPr>
        <w:t xml:space="preserve"> population</w:t>
      </w:r>
      <w:r w:rsidR="00B2058B">
        <w:rPr>
          <w:color w:val="000000"/>
        </w:rPr>
        <w:t>s</w:t>
      </w:r>
      <w:r w:rsidRPr="008A5FCD">
        <w:rPr>
          <w:color w:val="000000"/>
        </w:rPr>
        <w:t xml:space="preserve"> in selected localities</w:t>
      </w:r>
      <w:r w:rsidR="005E7012">
        <w:rPr>
          <w:color w:val="000000"/>
        </w:rPr>
        <w:t>,</w:t>
      </w:r>
      <w:r w:rsidR="006F1596">
        <w:rPr>
          <w:color w:val="000000"/>
        </w:rPr>
        <w:t xml:space="preserve"> to promote durable solutions and resilience</w:t>
      </w:r>
      <w:r>
        <w:rPr>
          <w:color w:val="000000"/>
        </w:rPr>
        <w:t>.</w:t>
      </w:r>
      <w:r w:rsidR="00066C34">
        <w:rPr>
          <w:color w:val="000000"/>
        </w:rPr>
        <w:t xml:space="preserve"> </w:t>
      </w:r>
    </w:p>
    <w:p w14:paraId="258945D2" w14:textId="77777777" w:rsidR="004736BE" w:rsidRPr="003C26C1" w:rsidRDefault="004736BE" w:rsidP="00707E0E">
      <w:pPr>
        <w:spacing w:line="240" w:lineRule="exact"/>
        <w:ind w:left="1080" w:right="720"/>
        <w:jc w:val="both"/>
        <w:rPr>
          <w:color w:val="000000"/>
        </w:rPr>
      </w:pPr>
    </w:p>
    <w:p w14:paraId="1E485006" w14:textId="77777777" w:rsidR="0063402B" w:rsidRDefault="0063402B" w:rsidP="004D64F5">
      <w:pPr>
        <w:pStyle w:val="Heading1"/>
        <w:tabs>
          <w:tab w:val="left" w:pos="1800"/>
        </w:tabs>
        <w:spacing w:line="240" w:lineRule="exact"/>
        <w:ind w:left="1080" w:right="720" w:hanging="540"/>
        <w:jc w:val="both"/>
        <w:rPr>
          <w:rFonts w:ascii="Times New Roman" w:hAnsi="Times New Roman"/>
          <w:color w:val="000000"/>
          <w:sz w:val="24"/>
          <w:szCs w:val="24"/>
        </w:rPr>
      </w:pPr>
      <w:r w:rsidRPr="003C26C1">
        <w:rPr>
          <w:rFonts w:ascii="Times New Roman" w:hAnsi="Times New Roman"/>
          <w:color w:val="000000"/>
          <w:sz w:val="24"/>
          <w:szCs w:val="24"/>
        </w:rPr>
        <w:t>I</w:t>
      </w:r>
      <w:r w:rsidRPr="003C26C1">
        <w:rPr>
          <w:rFonts w:ascii="Times New Roman" w:hAnsi="Times New Roman"/>
          <w:color w:val="000000"/>
          <w:sz w:val="24"/>
          <w:szCs w:val="24"/>
          <w:lang w:val="en-US"/>
        </w:rPr>
        <w:t>II</w:t>
      </w:r>
      <w:r w:rsidRPr="003C26C1">
        <w:rPr>
          <w:rFonts w:ascii="Times New Roman" w:hAnsi="Times New Roman"/>
          <w:color w:val="000000"/>
          <w:sz w:val="24"/>
          <w:szCs w:val="24"/>
        </w:rPr>
        <w:t>.</w:t>
      </w:r>
      <w:r w:rsidR="004D64F5">
        <w:rPr>
          <w:rFonts w:ascii="Times New Roman" w:hAnsi="Times New Roman"/>
          <w:color w:val="000000"/>
          <w:sz w:val="24"/>
          <w:szCs w:val="24"/>
        </w:rPr>
        <w:tab/>
      </w:r>
      <w:r w:rsidRPr="003C26C1">
        <w:rPr>
          <w:rFonts w:ascii="Times New Roman" w:hAnsi="Times New Roman"/>
          <w:color w:val="000000"/>
          <w:sz w:val="24"/>
          <w:szCs w:val="24"/>
          <w:lang w:val="en-US"/>
        </w:rPr>
        <w:t xml:space="preserve">Programme and </w:t>
      </w:r>
      <w:r w:rsidR="004D64F5">
        <w:rPr>
          <w:rFonts w:ascii="Times New Roman" w:hAnsi="Times New Roman"/>
          <w:color w:val="000000"/>
          <w:sz w:val="24"/>
          <w:szCs w:val="24"/>
          <w:lang w:val="en-US"/>
        </w:rPr>
        <w:t>r</w:t>
      </w:r>
      <w:r w:rsidRPr="003C26C1">
        <w:rPr>
          <w:rFonts w:ascii="Times New Roman" w:hAnsi="Times New Roman"/>
          <w:color w:val="000000"/>
          <w:sz w:val="24"/>
          <w:szCs w:val="24"/>
          <w:lang w:val="en-US"/>
        </w:rPr>
        <w:t>isk</w:t>
      </w:r>
      <w:r w:rsidR="00AC1BE7" w:rsidRPr="003C26C1">
        <w:rPr>
          <w:rFonts w:ascii="Times New Roman" w:hAnsi="Times New Roman"/>
          <w:color w:val="000000"/>
          <w:sz w:val="24"/>
          <w:szCs w:val="24"/>
          <w:lang w:val="en-US"/>
        </w:rPr>
        <w:t xml:space="preserve"> </w:t>
      </w:r>
      <w:r w:rsidR="004D64F5">
        <w:rPr>
          <w:rFonts w:ascii="Times New Roman" w:hAnsi="Times New Roman"/>
          <w:color w:val="000000"/>
          <w:sz w:val="24"/>
          <w:szCs w:val="24"/>
          <w:lang w:val="en-US"/>
        </w:rPr>
        <w:t>m</w:t>
      </w:r>
      <w:r w:rsidR="001C6C08" w:rsidRPr="003C26C1">
        <w:rPr>
          <w:rFonts w:ascii="Times New Roman" w:hAnsi="Times New Roman"/>
          <w:color w:val="000000"/>
          <w:sz w:val="24"/>
          <w:szCs w:val="24"/>
          <w:lang w:val="en-US"/>
        </w:rPr>
        <w:t>anagement</w:t>
      </w:r>
      <w:r w:rsidRPr="003C26C1">
        <w:rPr>
          <w:rFonts w:ascii="Times New Roman" w:hAnsi="Times New Roman"/>
          <w:color w:val="000000"/>
          <w:sz w:val="24"/>
          <w:szCs w:val="24"/>
        </w:rPr>
        <w:t xml:space="preserve"> </w:t>
      </w:r>
    </w:p>
    <w:p w14:paraId="5732BBA3" w14:textId="77777777" w:rsidR="007169C4" w:rsidRDefault="007169C4" w:rsidP="00707E0E">
      <w:pPr>
        <w:spacing w:line="240" w:lineRule="exact"/>
        <w:ind w:left="1080" w:right="720"/>
        <w:jc w:val="both"/>
      </w:pPr>
    </w:p>
    <w:p w14:paraId="505544AA" w14:textId="07D1A298" w:rsidR="007169C4" w:rsidRPr="00592333" w:rsidRDefault="007169C4" w:rsidP="002C038F">
      <w:pPr>
        <w:numPr>
          <w:ilvl w:val="0"/>
          <w:numId w:val="11"/>
        </w:numPr>
        <w:spacing w:after="120" w:line="240" w:lineRule="exact"/>
        <w:ind w:left="1080" w:right="720" w:firstLine="0"/>
        <w:jc w:val="both"/>
      </w:pPr>
      <w:r w:rsidRPr="00576337">
        <w:rPr>
          <w:color w:val="000000"/>
        </w:rPr>
        <w:t xml:space="preserve">This </w:t>
      </w:r>
      <w:r w:rsidR="002228B9">
        <w:rPr>
          <w:color w:val="000000"/>
        </w:rPr>
        <w:t>country programme document</w:t>
      </w:r>
      <w:r w:rsidRPr="00576337">
        <w:rPr>
          <w:color w:val="000000"/>
        </w:rPr>
        <w:t xml:space="preserve"> outlines UNDP contributions to national results and serves as the primary unit of accountability to the Executive Board for results alignment and resources assigned to the programme at the country level. Accountabilities of managers at the country, regional and headquarters levels with respect to country programmes are prescribed in the </w:t>
      </w:r>
      <w:r w:rsidR="00B2058B">
        <w:rPr>
          <w:color w:val="000000"/>
        </w:rPr>
        <w:t>p</w:t>
      </w:r>
      <w:r w:rsidR="00B2058B" w:rsidRPr="00576337">
        <w:rPr>
          <w:color w:val="000000"/>
        </w:rPr>
        <w:t xml:space="preserve">rogramme </w:t>
      </w:r>
      <w:r w:rsidRPr="00576337">
        <w:rPr>
          <w:color w:val="000000"/>
        </w:rPr>
        <w:t xml:space="preserve">and </w:t>
      </w:r>
      <w:r w:rsidR="00B2058B">
        <w:rPr>
          <w:color w:val="000000"/>
        </w:rPr>
        <w:t>o</w:t>
      </w:r>
      <w:r w:rsidR="00B2058B" w:rsidRPr="00576337">
        <w:rPr>
          <w:color w:val="000000"/>
        </w:rPr>
        <w:t xml:space="preserve">perations </w:t>
      </w:r>
      <w:r w:rsidR="00B2058B">
        <w:rPr>
          <w:color w:val="000000"/>
        </w:rPr>
        <w:t>p</w:t>
      </w:r>
      <w:r w:rsidR="00B2058B" w:rsidRPr="00576337">
        <w:rPr>
          <w:color w:val="000000"/>
        </w:rPr>
        <w:t xml:space="preserve">olicies </w:t>
      </w:r>
      <w:r w:rsidRPr="00576337">
        <w:rPr>
          <w:color w:val="000000"/>
        </w:rPr>
        <w:t xml:space="preserve">and </w:t>
      </w:r>
      <w:r w:rsidR="00B2058B">
        <w:rPr>
          <w:color w:val="000000"/>
        </w:rPr>
        <w:t>p</w:t>
      </w:r>
      <w:r w:rsidR="00B2058B" w:rsidRPr="00576337">
        <w:rPr>
          <w:color w:val="000000"/>
        </w:rPr>
        <w:t xml:space="preserve">rocedures </w:t>
      </w:r>
      <w:r w:rsidRPr="00576337">
        <w:rPr>
          <w:color w:val="000000"/>
        </w:rPr>
        <w:t xml:space="preserve">and the </w:t>
      </w:r>
      <w:r w:rsidR="00B2058B">
        <w:rPr>
          <w:color w:val="000000"/>
        </w:rPr>
        <w:t>i</w:t>
      </w:r>
      <w:r w:rsidR="00B2058B" w:rsidRPr="00576337">
        <w:rPr>
          <w:color w:val="000000"/>
        </w:rPr>
        <w:t xml:space="preserve">nternal </w:t>
      </w:r>
      <w:r w:rsidR="00B2058B">
        <w:rPr>
          <w:color w:val="000000"/>
        </w:rPr>
        <w:t>c</w:t>
      </w:r>
      <w:r w:rsidR="00B2058B" w:rsidRPr="00576337">
        <w:rPr>
          <w:color w:val="000000"/>
        </w:rPr>
        <w:t xml:space="preserve">ontrol </w:t>
      </w:r>
      <w:r w:rsidR="00B2058B">
        <w:rPr>
          <w:color w:val="000000"/>
        </w:rPr>
        <w:t>f</w:t>
      </w:r>
      <w:r w:rsidR="00B2058B" w:rsidRPr="00576337">
        <w:rPr>
          <w:color w:val="000000"/>
        </w:rPr>
        <w:t>ramework</w:t>
      </w:r>
      <w:r w:rsidRPr="00576337">
        <w:rPr>
          <w:color w:val="000000"/>
        </w:rPr>
        <w:t xml:space="preserve">. In accordance with Executive Board decision </w:t>
      </w:r>
      <w:r w:rsidR="004D64F5">
        <w:rPr>
          <w:color w:val="000000"/>
        </w:rPr>
        <w:t>2013/9</w:t>
      </w:r>
      <w:r w:rsidRPr="00576337">
        <w:rPr>
          <w:color w:val="000000"/>
        </w:rPr>
        <w:t>, all direct costs associated with project implementation should be charged to the concerned projects</w:t>
      </w:r>
      <w:r>
        <w:rPr>
          <w:color w:val="000000"/>
        </w:rPr>
        <w:t>.</w:t>
      </w:r>
    </w:p>
    <w:p w14:paraId="72380F89" w14:textId="1B2FF91B" w:rsidR="00320E05" w:rsidRPr="00FC167B" w:rsidRDefault="00152889" w:rsidP="002C038F">
      <w:pPr>
        <w:pStyle w:val="ColorfulList-Accent11"/>
        <w:numPr>
          <w:ilvl w:val="0"/>
          <w:numId w:val="11"/>
        </w:numPr>
        <w:spacing w:after="120" w:line="240" w:lineRule="exact"/>
        <w:ind w:left="1080" w:right="720" w:firstLine="0"/>
        <w:jc w:val="both"/>
        <w:rPr>
          <w:color w:val="000000"/>
        </w:rPr>
      </w:pPr>
      <w:r>
        <w:t>The country programme will be nationally executed by</w:t>
      </w:r>
      <w:r w:rsidR="001E4010">
        <w:t xml:space="preserve"> the Ministry of </w:t>
      </w:r>
      <w:r w:rsidR="001E4010" w:rsidRPr="00DF61C5">
        <w:t>Planning</w:t>
      </w:r>
      <w:r w:rsidR="00DF61C5" w:rsidRPr="00A54387">
        <w:t>.</w:t>
      </w:r>
      <w:r>
        <w:t xml:space="preserve">  However, g</w:t>
      </w:r>
      <w:r w:rsidR="00C34EFE">
        <w:t>iven the</w:t>
      </w:r>
      <w:r w:rsidR="0032746D">
        <w:t xml:space="preserve"> </w:t>
      </w:r>
      <w:r w:rsidR="00AA4AEB">
        <w:t xml:space="preserve">volatile context and the </w:t>
      </w:r>
      <w:r w:rsidR="0095074D">
        <w:t xml:space="preserve">capacity gaps </w:t>
      </w:r>
      <w:r w:rsidR="0032746D">
        <w:t xml:space="preserve">of national partners that may </w:t>
      </w:r>
      <w:r w:rsidR="008E399E">
        <w:t xml:space="preserve">pose </w:t>
      </w:r>
      <w:r w:rsidR="0032746D">
        <w:t>delivery</w:t>
      </w:r>
      <w:r w:rsidR="008E399E">
        <w:t xml:space="preserve"> </w:t>
      </w:r>
      <w:r w:rsidR="0032746D">
        <w:t>and</w:t>
      </w:r>
      <w:r w:rsidR="008E399E">
        <w:t xml:space="preserve"> </w:t>
      </w:r>
      <w:r w:rsidR="0032746D">
        <w:t xml:space="preserve">fiduciary risks, UNDP will implement this programme </w:t>
      </w:r>
      <w:r w:rsidR="00C34EFE">
        <w:t>through</w:t>
      </w:r>
      <w:r w:rsidR="0032746D">
        <w:t xml:space="preserve"> </w:t>
      </w:r>
      <w:r w:rsidR="00164513">
        <w:t>d</w:t>
      </w:r>
      <w:r w:rsidR="0032746D">
        <w:t xml:space="preserve">irect </w:t>
      </w:r>
      <w:r w:rsidR="00164513">
        <w:t>i</w:t>
      </w:r>
      <w:r w:rsidR="0032746D">
        <w:t xml:space="preserve">mplementation </w:t>
      </w:r>
      <w:r w:rsidR="00164513">
        <w:t>m</w:t>
      </w:r>
      <w:r w:rsidR="0032746D">
        <w:t>odality</w:t>
      </w:r>
      <w:r>
        <w:t xml:space="preserve">, </w:t>
      </w:r>
      <w:r w:rsidR="00AA4AEB">
        <w:t xml:space="preserve">as well as through third-party implementation with vetted partners already acting in the affected geographical areas </w:t>
      </w:r>
      <w:r w:rsidR="00E80670">
        <w:t>(where UNDP may not have direct access)</w:t>
      </w:r>
      <w:r w:rsidR="00AA4AEB">
        <w:t xml:space="preserve">. </w:t>
      </w:r>
      <w:r w:rsidR="00B2058B">
        <w:t xml:space="preserve">The </w:t>
      </w:r>
      <w:r w:rsidR="00FE3124">
        <w:t xml:space="preserve">UNDP </w:t>
      </w:r>
      <w:r w:rsidR="007C3B03">
        <w:t xml:space="preserve">response, monitoring, and validation </w:t>
      </w:r>
      <w:r w:rsidR="00836F71">
        <w:t>mechanism will</w:t>
      </w:r>
      <w:r w:rsidR="007C3B03">
        <w:t xml:space="preserve"> provide quality control and risk mitigation </w:t>
      </w:r>
      <w:r w:rsidR="00F1323A">
        <w:t xml:space="preserve">for civil works </w:t>
      </w:r>
      <w:r w:rsidR="007C3B03">
        <w:t xml:space="preserve">through a process of </w:t>
      </w:r>
      <w:r w:rsidR="00F1323A">
        <w:t>field monitoring (including by third</w:t>
      </w:r>
      <w:r w:rsidR="00B2058B">
        <w:t xml:space="preserve"> </w:t>
      </w:r>
      <w:r w:rsidR="00F1323A">
        <w:t xml:space="preserve">parties) and multi-layered verification. </w:t>
      </w:r>
      <w:r w:rsidR="00AA4AEB">
        <w:t>UNDP will also contribute</w:t>
      </w:r>
      <w:r w:rsidR="00236205">
        <w:t xml:space="preserve"> to broader UNCT </w:t>
      </w:r>
      <w:r w:rsidR="00383EEC">
        <w:t xml:space="preserve">efforts to build the capacity of selected partners to ensure that </w:t>
      </w:r>
      <w:r>
        <w:t>U</w:t>
      </w:r>
      <w:r w:rsidR="00B2058B">
        <w:t xml:space="preserve">nited </w:t>
      </w:r>
      <w:r>
        <w:t>N</w:t>
      </w:r>
      <w:r w:rsidR="00B2058B">
        <w:t>ations</w:t>
      </w:r>
      <w:r>
        <w:t xml:space="preserve"> programming </w:t>
      </w:r>
      <w:r w:rsidR="00383EEC">
        <w:t xml:space="preserve">can move </w:t>
      </w:r>
      <w:r w:rsidR="008E399E">
        <w:t>toward</w:t>
      </w:r>
      <w:r w:rsidR="00B2058B">
        <w:t>s</w:t>
      </w:r>
      <w:r w:rsidR="00383EEC">
        <w:t xml:space="preserve"> full </w:t>
      </w:r>
      <w:r w:rsidR="00164513">
        <w:t>n</w:t>
      </w:r>
      <w:r w:rsidR="00383EEC">
        <w:t xml:space="preserve">ational </w:t>
      </w:r>
      <w:r w:rsidR="00164513">
        <w:t>i</w:t>
      </w:r>
      <w:r w:rsidR="00383EEC">
        <w:t xml:space="preserve">mplementation </w:t>
      </w:r>
      <w:r w:rsidR="00164513">
        <w:t>m</w:t>
      </w:r>
      <w:r w:rsidR="00383EEC">
        <w:t xml:space="preserve">odality </w:t>
      </w:r>
      <w:r w:rsidR="009B6CBA">
        <w:t>with partners</w:t>
      </w:r>
      <w:r w:rsidR="00383EEC">
        <w:t xml:space="preserve"> that demonstrate capacity improvements.</w:t>
      </w:r>
      <w:r w:rsidR="007169C4">
        <w:t xml:space="preserve"> </w:t>
      </w:r>
      <w:r w:rsidR="007169C4" w:rsidRPr="00B14011">
        <w:t xml:space="preserve">A </w:t>
      </w:r>
      <w:r w:rsidR="00B2058B">
        <w:t>c</w:t>
      </w:r>
      <w:r w:rsidR="00B2058B" w:rsidRPr="00B14011">
        <w:t xml:space="preserve">ountry </w:t>
      </w:r>
      <w:r w:rsidR="00B2058B">
        <w:t>p</w:t>
      </w:r>
      <w:r w:rsidR="00B2058B" w:rsidRPr="00B14011">
        <w:t xml:space="preserve">rogramme </w:t>
      </w:r>
      <w:r w:rsidR="00B2058B">
        <w:t>b</w:t>
      </w:r>
      <w:r w:rsidR="00B2058B" w:rsidRPr="00B14011">
        <w:t xml:space="preserve">oard </w:t>
      </w:r>
      <w:r w:rsidR="007169C4" w:rsidRPr="00B14011">
        <w:t xml:space="preserve">will be established </w:t>
      </w:r>
      <w:r w:rsidR="007169C4">
        <w:t xml:space="preserve">with national counterparts </w:t>
      </w:r>
      <w:r w:rsidR="007169C4" w:rsidRPr="00B14011">
        <w:t>as the primary governance mechanism for the country programme.</w:t>
      </w:r>
      <w:r w:rsidR="00383EEC">
        <w:t xml:space="preserve"> </w:t>
      </w:r>
      <w:r w:rsidR="005B5FB4">
        <w:t xml:space="preserve">UNDP will work in partnership with UNSMIL </w:t>
      </w:r>
      <w:r w:rsidR="004A1FE9">
        <w:t xml:space="preserve">to tap the </w:t>
      </w:r>
      <w:r w:rsidR="002B7022">
        <w:t>M</w:t>
      </w:r>
      <w:r w:rsidR="004A1FE9">
        <w:t xml:space="preserve">ission’s </w:t>
      </w:r>
      <w:r w:rsidR="005B5FB4">
        <w:t xml:space="preserve">assets and mechanisms </w:t>
      </w:r>
      <w:r w:rsidR="00FC167B">
        <w:t>to support programme implementation and staff security</w:t>
      </w:r>
      <w:r w:rsidR="005B5FB4">
        <w:t>.</w:t>
      </w:r>
      <w:r w:rsidR="00320E05">
        <w:t xml:space="preserve"> Lastly, UNDP will preserve existing and introduce new communication channels, both formal and </w:t>
      </w:r>
      <w:r w:rsidR="009B6CBA">
        <w:t>informal, to</w:t>
      </w:r>
      <w:r w:rsidR="00320E05">
        <w:t xml:space="preserve"> make sure its donors and partners are briefed on the risks and challe</w:t>
      </w:r>
      <w:r w:rsidR="00AF583F">
        <w:t>ng</w:t>
      </w:r>
      <w:r w:rsidR="00320E05">
        <w:t xml:space="preserve">es </w:t>
      </w:r>
      <w:r w:rsidR="00AF583F">
        <w:t xml:space="preserve">of operating in </w:t>
      </w:r>
      <w:r w:rsidR="00320E05">
        <w:t>a complex environment</w:t>
      </w:r>
      <w:r w:rsidR="0094622B">
        <w:t>.</w:t>
      </w:r>
      <w:r w:rsidR="00320E05">
        <w:t xml:space="preserve"> </w:t>
      </w:r>
    </w:p>
    <w:p w14:paraId="6BB8FC8B" w14:textId="6B86D1A5" w:rsidR="00E50F50" w:rsidRDefault="00E50F50" w:rsidP="002C038F">
      <w:pPr>
        <w:pStyle w:val="ColorfulList-Accent11"/>
        <w:numPr>
          <w:ilvl w:val="0"/>
          <w:numId w:val="11"/>
        </w:numPr>
        <w:spacing w:after="120" w:line="240" w:lineRule="exact"/>
        <w:ind w:left="1080" w:right="720" w:firstLine="0"/>
        <w:jc w:val="both"/>
      </w:pPr>
      <w:r>
        <w:t xml:space="preserve">UNDP will </w:t>
      </w:r>
      <w:r w:rsidR="008E399E">
        <w:t>increase</w:t>
      </w:r>
      <w:r>
        <w:t xml:space="preserve"> international staff presence in </w:t>
      </w:r>
      <w:r w:rsidR="00626994">
        <w:t>Libya</w:t>
      </w:r>
      <w:r>
        <w:t xml:space="preserve"> to normalize programme and operations</w:t>
      </w:r>
      <w:r w:rsidR="00B2058B">
        <w:t xml:space="preserve"> functions</w:t>
      </w:r>
      <w:r>
        <w:t xml:space="preserve">, which have been split between Tripoli and Tunis since 2014. Staff will return </w:t>
      </w:r>
      <w:r w:rsidR="00B2058B">
        <w:t xml:space="preserve">first </w:t>
      </w:r>
      <w:r>
        <w:t xml:space="preserve">to Tripoli and later to Benghazi, </w:t>
      </w:r>
      <w:r w:rsidR="00CF336A">
        <w:t xml:space="preserve">while </w:t>
      </w:r>
      <w:r>
        <w:t xml:space="preserve">exploring options </w:t>
      </w:r>
      <w:r w:rsidR="009B6CBA">
        <w:t>to expand</w:t>
      </w:r>
      <w:r w:rsidR="008E399E">
        <w:t xml:space="preserve"> further</w:t>
      </w:r>
      <w:r>
        <w:t xml:space="preserve">. This implies the need to retain programmatic and operational flexibility based on sound risk assessment for UNDP to scale up (or down) activities as conditions allow in line with the evolving situation. UNDP will carry out an organizational review to ensure that the country office has adequate </w:t>
      </w:r>
      <w:r w:rsidR="002B7022">
        <w:t xml:space="preserve">staff </w:t>
      </w:r>
      <w:r>
        <w:t>capacity, structures and management systems.</w:t>
      </w:r>
    </w:p>
    <w:p w14:paraId="32BD516A" w14:textId="3EE935C2" w:rsidR="00FA1E86" w:rsidRPr="00140481" w:rsidRDefault="00B65BEF" w:rsidP="002C038F">
      <w:pPr>
        <w:pStyle w:val="ColorfulList-Accent11"/>
        <w:numPr>
          <w:ilvl w:val="0"/>
          <w:numId w:val="11"/>
        </w:numPr>
        <w:spacing w:after="120" w:line="240" w:lineRule="exact"/>
        <w:ind w:left="1080" w:right="720" w:firstLine="0"/>
        <w:jc w:val="both"/>
        <w:rPr>
          <w:color w:val="000000"/>
        </w:rPr>
      </w:pPr>
      <w:r w:rsidRPr="00140481">
        <w:rPr>
          <w:color w:val="000000"/>
        </w:rPr>
        <w:t xml:space="preserve">The </w:t>
      </w:r>
      <w:r w:rsidR="00107A51" w:rsidRPr="00140481">
        <w:rPr>
          <w:color w:val="000000"/>
        </w:rPr>
        <w:t xml:space="preserve">successful implementation of </w:t>
      </w:r>
      <w:r w:rsidRPr="00140481">
        <w:rPr>
          <w:color w:val="000000"/>
        </w:rPr>
        <w:t xml:space="preserve">the programme </w:t>
      </w:r>
      <w:r w:rsidR="00C27165" w:rsidRPr="00140481">
        <w:rPr>
          <w:color w:val="000000"/>
        </w:rPr>
        <w:t xml:space="preserve">is dependent upon management of </w:t>
      </w:r>
      <w:r w:rsidR="00D23727">
        <w:rPr>
          <w:color w:val="000000"/>
        </w:rPr>
        <w:t>four</w:t>
      </w:r>
      <w:r w:rsidR="00D23727" w:rsidRPr="00140481">
        <w:rPr>
          <w:color w:val="000000"/>
        </w:rPr>
        <w:t xml:space="preserve"> </w:t>
      </w:r>
      <w:r w:rsidR="00C27165" w:rsidRPr="00140481">
        <w:rPr>
          <w:color w:val="000000"/>
        </w:rPr>
        <w:t xml:space="preserve">interrelated risks. The first risk is the </w:t>
      </w:r>
      <w:r w:rsidR="005B468D" w:rsidRPr="00140481">
        <w:rPr>
          <w:color w:val="000000"/>
        </w:rPr>
        <w:t xml:space="preserve">continued </w:t>
      </w:r>
      <w:r w:rsidR="00AB558A" w:rsidRPr="00140481">
        <w:rPr>
          <w:color w:val="000000"/>
        </w:rPr>
        <w:t xml:space="preserve">institutional fragmentation and </w:t>
      </w:r>
      <w:r w:rsidR="003D61EC" w:rsidRPr="00140481">
        <w:rPr>
          <w:color w:val="000000"/>
        </w:rPr>
        <w:t xml:space="preserve">non-resolution of the </w:t>
      </w:r>
      <w:r w:rsidR="005B468D" w:rsidRPr="00140481">
        <w:rPr>
          <w:color w:val="000000"/>
        </w:rPr>
        <w:t>national political arrangement</w:t>
      </w:r>
      <w:r w:rsidR="00C27165" w:rsidRPr="00140481">
        <w:rPr>
          <w:color w:val="000000"/>
        </w:rPr>
        <w:t>. Given the</w:t>
      </w:r>
      <w:r w:rsidR="00DA1311">
        <w:rPr>
          <w:color w:val="000000"/>
        </w:rPr>
        <w:t xml:space="preserve"> competing</w:t>
      </w:r>
      <w:r w:rsidR="00C27165" w:rsidRPr="00140481">
        <w:rPr>
          <w:color w:val="000000"/>
        </w:rPr>
        <w:t xml:space="preserve"> claims </w:t>
      </w:r>
      <w:r w:rsidR="00DA1311">
        <w:rPr>
          <w:color w:val="000000"/>
        </w:rPr>
        <w:t>to</w:t>
      </w:r>
      <w:r w:rsidR="00C27165" w:rsidRPr="00140481">
        <w:rPr>
          <w:color w:val="000000"/>
        </w:rPr>
        <w:t xml:space="preserve"> authority in different parts of the country,</w:t>
      </w:r>
      <w:r w:rsidR="001C45A9" w:rsidRPr="00140481">
        <w:rPr>
          <w:color w:val="000000"/>
        </w:rPr>
        <w:t xml:space="preserve"> </w:t>
      </w:r>
      <w:r w:rsidR="00D23727">
        <w:rPr>
          <w:color w:val="000000"/>
        </w:rPr>
        <w:t>this risk will be mitigated through</w:t>
      </w:r>
      <w:r w:rsidR="00E56272" w:rsidRPr="00140481">
        <w:rPr>
          <w:color w:val="000000"/>
        </w:rPr>
        <w:t xml:space="preserve"> carefully considered engagement and communication with local actors to reinforce </w:t>
      </w:r>
      <w:r w:rsidR="00C03C5A">
        <w:rPr>
          <w:color w:val="000000"/>
        </w:rPr>
        <w:t xml:space="preserve">the </w:t>
      </w:r>
      <w:r w:rsidR="00E56272" w:rsidRPr="00140481">
        <w:rPr>
          <w:color w:val="000000"/>
        </w:rPr>
        <w:t xml:space="preserve">UNDP objective </w:t>
      </w:r>
      <w:r w:rsidR="00C03C5A">
        <w:rPr>
          <w:color w:val="000000"/>
        </w:rPr>
        <w:t>of</w:t>
      </w:r>
      <w:r w:rsidR="00C03C5A" w:rsidRPr="00140481">
        <w:rPr>
          <w:color w:val="000000"/>
        </w:rPr>
        <w:t xml:space="preserve"> </w:t>
      </w:r>
      <w:r w:rsidR="00E56272" w:rsidRPr="00140481">
        <w:rPr>
          <w:color w:val="000000"/>
        </w:rPr>
        <w:t xml:space="preserve">providing assistance to people and communities in need. </w:t>
      </w:r>
      <w:r w:rsidR="002F0550" w:rsidRPr="00140481">
        <w:rPr>
          <w:color w:val="000000"/>
        </w:rPr>
        <w:t xml:space="preserve">UNDP will </w:t>
      </w:r>
      <w:r w:rsidR="00E96351" w:rsidRPr="00140481">
        <w:rPr>
          <w:color w:val="000000"/>
        </w:rPr>
        <w:t xml:space="preserve">emphasize conflict-sensitivity in project </w:t>
      </w:r>
      <w:r w:rsidR="002F0550" w:rsidRPr="00140481">
        <w:rPr>
          <w:color w:val="000000"/>
        </w:rPr>
        <w:t xml:space="preserve">design </w:t>
      </w:r>
      <w:r w:rsidR="00EA2538" w:rsidRPr="00140481">
        <w:rPr>
          <w:color w:val="000000"/>
        </w:rPr>
        <w:t>to safeguard</w:t>
      </w:r>
      <w:r w:rsidR="002F0550" w:rsidRPr="00140481">
        <w:rPr>
          <w:color w:val="000000"/>
        </w:rPr>
        <w:t xml:space="preserve"> transactional gains </w:t>
      </w:r>
      <w:r w:rsidR="00D86CD7">
        <w:rPr>
          <w:color w:val="000000"/>
        </w:rPr>
        <w:t xml:space="preserve">at project level </w:t>
      </w:r>
      <w:r w:rsidR="00EA2538" w:rsidRPr="00140481">
        <w:rPr>
          <w:color w:val="000000"/>
        </w:rPr>
        <w:t>in the event</w:t>
      </w:r>
      <w:r w:rsidR="00107A51" w:rsidRPr="00140481">
        <w:rPr>
          <w:color w:val="000000"/>
        </w:rPr>
        <w:t xml:space="preserve"> of </w:t>
      </w:r>
      <w:r w:rsidR="002F0550" w:rsidRPr="00140481">
        <w:rPr>
          <w:color w:val="000000"/>
        </w:rPr>
        <w:t xml:space="preserve">political </w:t>
      </w:r>
      <w:r w:rsidR="00836F71" w:rsidRPr="00140481">
        <w:rPr>
          <w:color w:val="000000"/>
        </w:rPr>
        <w:t>instability</w:t>
      </w:r>
      <w:r w:rsidR="00836F71">
        <w:rPr>
          <w:color w:val="000000"/>
        </w:rPr>
        <w:t xml:space="preserve"> and</w:t>
      </w:r>
      <w:r w:rsidR="0033020F" w:rsidRPr="00140481">
        <w:t xml:space="preserve"> use its convening role to engage partners in sustaining focus on peacebuilding priorities</w:t>
      </w:r>
      <w:r w:rsidR="00D86CD7">
        <w:t xml:space="preserve"> to help prevent </w:t>
      </w:r>
      <w:r w:rsidR="00E44DB7">
        <w:t>further human development losses</w:t>
      </w:r>
      <w:r w:rsidR="00107A51" w:rsidRPr="00140481">
        <w:rPr>
          <w:color w:val="000000"/>
        </w:rPr>
        <w:t>.</w:t>
      </w:r>
      <w:r w:rsidR="002F0550" w:rsidRPr="00140481">
        <w:rPr>
          <w:color w:val="000000"/>
        </w:rPr>
        <w:t xml:space="preserve"> </w:t>
      </w:r>
    </w:p>
    <w:p w14:paraId="23E91F29" w14:textId="75564A83" w:rsidR="00342B13" w:rsidRPr="00CF37F0" w:rsidRDefault="00603F1C" w:rsidP="002C038F">
      <w:pPr>
        <w:pStyle w:val="ColorfulList-Accent11"/>
        <w:numPr>
          <w:ilvl w:val="0"/>
          <w:numId w:val="11"/>
        </w:numPr>
        <w:spacing w:after="120" w:line="240" w:lineRule="exact"/>
        <w:ind w:left="1080" w:right="720" w:firstLine="0"/>
        <w:jc w:val="both"/>
        <w:rPr>
          <w:color w:val="000000"/>
        </w:rPr>
      </w:pPr>
      <w:r w:rsidRPr="00576337">
        <w:rPr>
          <w:color w:val="000000"/>
        </w:rPr>
        <w:t>A</w:t>
      </w:r>
      <w:r>
        <w:rPr>
          <w:color w:val="000000"/>
        </w:rPr>
        <w:t xml:space="preserve"> second</w:t>
      </w:r>
      <w:r w:rsidRPr="00576337">
        <w:rPr>
          <w:color w:val="000000"/>
        </w:rPr>
        <w:t xml:space="preserve"> </w:t>
      </w:r>
      <w:r w:rsidRPr="00244812">
        <w:rPr>
          <w:color w:val="000000"/>
        </w:rPr>
        <w:t>risk is</w:t>
      </w:r>
      <w:r>
        <w:t xml:space="preserve"> the tenuous security situation throughout the country</w:t>
      </w:r>
      <w:r w:rsidR="005E7012">
        <w:t>,</w:t>
      </w:r>
      <w:r>
        <w:t xml:space="preserve"> which may affect access to areas intended for UNDP assistance</w:t>
      </w:r>
      <w:r w:rsidR="003224C1">
        <w:t xml:space="preserve"> and </w:t>
      </w:r>
      <w:r w:rsidR="00C03C5A">
        <w:t xml:space="preserve">the ability of </w:t>
      </w:r>
      <w:r w:rsidR="003224C1">
        <w:t xml:space="preserve">UNDP to oversee programme implementation. Whilst </w:t>
      </w:r>
      <w:r w:rsidR="00E079ED">
        <w:t>the return of programme management capacities to Tripoli will improve engagement with national counterparts</w:t>
      </w:r>
      <w:r w:rsidR="00FC167B">
        <w:t xml:space="preserve">, </w:t>
      </w:r>
      <w:r w:rsidR="00E079ED">
        <w:t xml:space="preserve">it will </w:t>
      </w:r>
      <w:r w:rsidR="003E32B8">
        <w:t xml:space="preserve">also </w:t>
      </w:r>
      <w:r w:rsidR="00E079ED">
        <w:t>increase security risks to staff. UNDP will address this risk through strict implementation of U</w:t>
      </w:r>
      <w:r w:rsidR="00C03C5A">
        <w:t xml:space="preserve">nited </w:t>
      </w:r>
      <w:r w:rsidR="00E079ED">
        <w:t>N</w:t>
      </w:r>
      <w:r w:rsidR="00C03C5A">
        <w:t>ations</w:t>
      </w:r>
      <w:r w:rsidR="00E079ED">
        <w:t xml:space="preserve"> security protocols</w:t>
      </w:r>
      <w:r w:rsidR="005E7012">
        <w:t>,</w:t>
      </w:r>
      <w:r w:rsidR="00E079ED">
        <w:t xml:space="preserve"> in coordination with UNSMIL</w:t>
      </w:r>
      <w:r w:rsidR="005E7012">
        <w:t>,</w:t>
      </w:r>
      <w:r w:rsidR="0041162B">
        <w:t xml:space="preserve"> </w:t>
      </w:r>
      <w:r w:rsidR="00E079ED">
        <w:t>continue</w:t>
      </w:r>
      <w:r w:rsidR="006A0000">
        <w:t>d</w:t>
      </w:r>
      <w:r w:rsidR="00E079ED">
        <w:t xml:space="preserve"> </w:t>
      </w:r>
      <w:r w:rsidR="004A7F2D">
        <w:t>use of third-party implementation</w:t>
      </w:r>
      <w:r w:rsidR="00742744">
        <w:t xml:space="preserve"> and use of local partners (municipal and tribal leaders) for programme monitoring</w:t>
      </w:r>
      <w:r w:rsidR="00AA4AEB">
        <w:t>.</w:t>
      </w:r>
      <w:r w:rsidR="004A7F2D">
        <w:t xml:space="preserve"> </w:t>
      </w:r>
      <w:r w:rsidR="00915623" w:rsidRPr="00140481">
        <w:rPr>
          <w:color w:val="000000"/>
        </w:rPr>
        <w:t xml:space="preserve">UNDP will work closely with UNSMIL to monitor the political and security situation </w:t>
      </w:r>
      <w:r w:rsidR="00915623">
        <w:rPr>
          <w:color w:val="000000"/>
        </w:rPr>
        <w:t xml:space="preserve">through existing early-warning mechanisms </w:t>
      </w:r>
      <w:r w:rsidR="00342B13">
        <w:rPr>
          <w:color w:val="000000"/>
        </w:rPr>
        <w:t xml:space="preserve">and utilize every option to access </w:t>
      </w:r>
      <w:r w:rsidR="00FC167B">
        <w:rPr>
          <w:color w:val="000000"/>
        </w:rPr>
        <w:lastRenderedPageBreak/>
        <w:t xml:space="preserve">operationally challenging areas. </w:t>
      </w:r>
      <w:r w:rsidR="00A30448">
        <w:rPr>
          <w:color w:val="000000"/>
        </w:rPr>
        <w:t xml:space="preserve">UNDP will also undertake regular programme criticality reviews </w:t>
      </w:r>
      <w:r w:rsidR="00003835">
        <w:rPr>
          <w:color w:val="000000"/>
        </w:rPr>
        <w:t xml:space="preserve">to develop </w:t>
      </w:r>
      <w:r w:rsidR="00A30448">
        <w:rPr>
          <w:color w:val="000000"/>
        </w:rPr>
        <w:t xml:space="preserve">appropriate </w:t>
      </w:r>
      <w:r w:rsidR="00FC167B">
        <w:rPr>
          <w:color w:val="000000"/>
        </w:rPr>
        <w:t>responses</w:t>
      </w:r>
      <w:r w:rsidR="00A30448">
        <w:rPr>
          <w:color w:val="000000"/>
        </w:rPr>
        <w:t xml:space="preserve">.  </w:t>
      </w:r>
    </w:p>
    <w:p w14:paraId="415D1E98" w14:textId="743E1E40" w:rsidR="007C05E9" w:rsidRDefault="007C05E9" w:rsidP="002C038F">
      <w:pPr>
        <w:pStyle w:val="ColorfulList-Accent11"/>
        <w:numPr>
          <w:ilvl w:val="0"/>
          <w:numId w:val="11"/>
        </w:numPr>
        <w:spacing w:after="120" w:line="240" w:lineRule="exact"/>
        <w:ind w:left="1080" w:right="720" w:firstLine="0"/>
        <w:jc w:val="both"/>
        <w:rPr>
          <w:color w:val="000000"/>
        </w:rPr>
      </w:pPr>
      <w:r>
        <w:rPr>
          <w:color w:val="000000"/>
        </w:rPr>
        <w:t xml:space="preserve">A third risk </w:t>
      </w:r>
      <w:r w:rsidR="00E079ED">
        <w:rPr>
          <w:color w:val="000000"/>
        </w:rPr>
        <w:t>is the extreme logistical challenge posed by the operating environment in Libya</w:t>
      </w:r>
      <w:r w:rsidR="005E7012">
        <w:rPr>
          <w:color w:val="000000"/>
        </w:rPr>
        <w:t>,</w:t>
      </w:r>
      <w:r w:rsidR="00E079ED">
        <w:rPr>
          <w:color w:val="000000"/>
        </w:rPr>
        <w:t xml:space="preserve"> </w:t>
      </w:r>
      <w:r w:rsidR="0033328E">
        <w:rPr>
          <w:color w:val="000000"/>
        </w:rPr>
        <w:t xml:space="preserve">which will require </w:t>
      </w:r>
      <w:r w:rsidR="004E1484">
        <w:rPr>
          <w:color w:val="000000"/>
        </w:rPr>
        <w:t xml:space="preserve">the country office </w:t>
      </w:r>
      <w:r w:rsidR="0033328E">
        <w:rPr>
          <w:color w:val="000000"/>
        </w:rPr>
        <w:t xml:space="preserve">to retain </w:t>
      </w:r>
      <w:r w:rsidR="00C21D17">
        <w:rPr>
          <w:color w:val="000000"/>
        </w:rPr>
        <w:t>some operations management</w:t>
      </w:r>
      <w:r w:rsidR="0033328E">
        <w:rPr>
          <w:color w:val="000000"/>
        </w:rPr>
        <w:t xml:space="preserve"> in Tunis, particularly banking</w:t>
      </w:r>
      <w:r w:rsidR="00742744">
        <w:rPr>
          <w:color w:val="000000"/>
        </w:rPr>
        <w:t>,</w:t>
      </w:r>
      <w:r w:rsidR="0033328E">
        <w:rPr>
          <w:color w:val="000000"/>
        </w:rPr>
        <w:t xml:space="preserve"> </w:t>
      </w:r>
      <w:r w:rsidR="00E079ED">
        <w:rPr>
          <w:color w:val="000000"/>
        </w:rPr>
        <w:t>to ensure programme deliver</w:t>
      </w:r>
      <w:r w:rsidR="0033328E">
        <w:rPr>
          <w:color w:val="000000"/>
        </w:rPr>
        <w:t>y</w:t>
      </w:r>
      <w:r w:rsidR="00361D28">
        <w:rPr>
          <w:color w:val="000000"/>
        </w:rPr>
        <w:t>.</w:t>
      </w:r>
      <w:r w:rsidR="006B24A9">
        <w:rPr>
          <w:color w:val="000000"/>
        </w:rPr>
        <w:t xml:space="preserve"> </w:t>
      </w:r>
      <w:r w:rsidR="00D23727">
        <w:rPr>
          <w:color w:val="000000"/>
        </w:rPr>
        <w:t>To mitigate this risk</w:t>
      </w:r>
      <w:r w:rsidR="007A5BEF">
        <w:rPr>
          <w:color w:val="000000"/>
        </w:rPr>
        <w:t>,</w:t>
      </w:r>
      <w:r w:rsidR="00D23727">
        <w:rPr>
          <w:color w:val="000000"/>
        </w:rPr>
        <w:t xml:space="preserve"> </w:t>
      </w:r>
      <w:r w:rsidR="000C6201">
        <w:rPr>
          <w:color w:val="000000"/>
        </w:rPr>
        <w:t xml:space="preserve">UNDP will </w:t>
      </w:r>
      <w:r w:rsidR="009274AA">
        <w:rPr>
          <w:color w:val="000000"/>
        </w:rPr>
        <w:t>carefully consider business continuity</w:t>
      </w:r>
      <w:r w:rsidR="000C6201">
        <w:rPr>
          <w:color w:val="000000"/>
        </w:rPr>
        <w:t xml:space="preserve"> </w:t>
      </w:r>
      <w:r w:rsidR="009274AA">
        <w:rPr>
          <w:color w:val="000000"/>
        </w:rPr>
        <w:t xml:space="preserve">plans, establish reliable communications links and redundancies to ensure goods and materials may be procured and delivered where required. </w:t>
      </w:r>
      <w:r w:rsidR="004E1484">
        <w:rPr>
          <w:color w:val="000000"/>
        </w:rPr>
        <w:t>The UNDP office in Tripoli</w:t>
      </w:r>
      <w:r w:rsidR="009274AA">
        <w:rPr>
          <w:color w:val="000000"/>
        </w:rPr>
        <w:t xml:space="preserve"> will </w:t>
      </w:r>
      <w:r w:rsidR="004E1484">
        <w:rPr>
          <w:color w:val="000000"/>
        </w:rPr>
        <w:t xml:space="preserve">lead </w:t>
      </w:r>
      <w:r w:rsidR="009274AA">
        <w:rPr>
          <w:color w:val="000000"/>
        </w:rPr>
        <w:t>coordinat</w:t>
      </w:r>
      <w:r w:rsidR="004E1484">
        <w:rPr>
          <w:color w:val="000000"/>
        </w:rPr>
        <w:t>ion efforts</w:t>
      </w:r>
      <w:r w:rsidR="009274AA">
        <w:rPr>
          <w:color w:val="000000"/>
        </w:rPr>
        <w:t xml:space="preserve"> with UNSMIL</w:t>
      </w:r>
      <w:r w:rsidR="00626D26">
        <w:rPr>
          <w:color w:val="000000"/>
        </w:rPr>
        <w:t xml:space="preserve"> and </w:t>
      </w:r>
      <w:r w:rsidR="004E1484">
        <w:rPr>
          <w:color w:val="000000"/>
        </w:rPr>
        <w:t xml:space="preserve">the </w:t>
      </w:r>
      <w:r w:rsidR="00626D26">
        <w:rPr>
          <w:color w:val="000000"/>
        </w:rPr>
        <w:t xml:space="preserve">UNCT </w:t>
      </w:r>
      <w:r w:rsidR="009274AA">
        <w:rPr>
          <w:color w:val="000000"/>
        </w:rPr>
        <w:t>to ensure most effective use of U</w:t>
      </w:r>
      <w:r w:rsidR="00C03C5A">
        <w:rPr>
          <w:color w:val="000000"/>
        </w:rPr>
        <w:t xml:space="preserve">nited </w:t>
      </w:r>
      <w:r w:rsidR="009B6CBA">
        <w:rPr>
          <w:color w:val="000000"/>
        </w:rPr>
        <w:t>Nations communications</w:t>
      </w:r>
      <w:r w:rsidR="009274AA">
        <w:rPr>
          <w:color w:val="000000"/>
        </w:rPr>
        <w:t xml:space="preserve"> and transportation</w:t>
      </w:r>
      <w:r w:rsidR="00C03C5A">
        <w:rPr>
          <w:color w:val="000000"/>
        </w:rPr>
        <w:t xml:space="preserve"> arrangements</w:t>
      </w:r>
      <w:r w:rsidR="009274AA">
        <w:rPr>
          <w:color w:val="000000"/>
        </w:rPr>
        <w:t>.</w:t>
      </w:r>
    </w:p>
    <w:p w14:paraId="2C6B77A0" w14:textId="1CB020E5" w:rsidR="00D23727" w:rsidRDefault="00342B13" w:rsidP="002C038F">
      <w:pPr>
        <w:pStyle w:val="ColorfulList-Accent11"/>
        <w:numPr>
          <w:ilvl w:val="0"/>
          <w:numId w:val="11"/>
        </w:numPr>
        <w:spacing w:after="120" w:line="240" w:lineRule="exact"/>
        <w:ind w:left="1080" w:right="720" w:firstLine="0"/>
        <w:jc w:val="both"/>
        <w:rPr>
          <w:color w:val="000000"/>
        </w:rPr>
      </w:pPr>
      <w:r w:rsidRPr="00342B13">
        <w:rPr>
          <w:color w:val="000000"/>
        </w:rPr>
        <w:t>To address the fourth risk</w:t>
      </w:r>
      <w:r w:rsidR="00C03C5A">
        <w:rPr>
          <w:color w:val="000000"/>
        </w:rPr>
        <w:t xml:space="preserve"> </w:t>
      </w:r>
      <w:r w:rsidR="00C03C5A" w:rsidRPr="00AC551D">
        <w:rPr>
          <w:color w:val="000000"/>
          <w:spacing w:val="-4"/>
        </w:rPr>
        <w:t>–</w:t>
      </w:r>
      <w:r w:rsidRPr="00342B13">
        <w:rPr>
          <w:color w:val="000000"/>
        </w:rPr>
        <w:t xml:space="preserve"> mobilizing insufficient resources for the programme due to continued instability</w:t>
      </w:r>
      <w:r w:rsidR="00C03C5A">
        <w:rPr>
          <w:color w:val="000000"/>
        </w:rPr>
        <w:t xml:space="preserve"> </w:t>
      </w:r>
      <w:r w:rsidR="00C03C5A" w:rsidRPr="00AC551D">
        <w:rPr>
          <w:color w:val="000000"/>
          <w:spacing w:val="-4"/>
        </w:rPr>
        <w:t>–</w:t>
      </w:r>
      <w:r w:rsidR="00C03C5A">
        <w:rPr>
          <w:color w:val="000000"/>
        </w:rPr>
        <w:t xml:space="preserve"> </w:t>
      </w:r>
      <w:r w:rsidRPr="00342B13">
        <w:rPr>
          <w:color w:val="000000"/>
        </w:rPr>
        <w:t xml:space="preserve">UNDP will develop resource mobilization and partnership strategies to strengthen relationships with existing bilateral and multilateral development partners, including the </w:t>
      </w:r>
      <w:r w:rsidR="00C03C5A">
        <w:rPr>
          <w:color w:val="000000"/>
        </w:rPr>
        <w:t>G</w:t>
      </w:r>
      <w:r w:rsidR="00C03C5A" w:rsidRPr="00342B13">
        <w:rPr>
          <w:color w:val="000000"/>
        </w:rPr>
        <w:t>overnment</w:t>
      </w:r>
      <w:r w:rsidRPr="00342B13">
        <w:rPr>
          <w:color w:val="000000"/>
        </w:rPr>
        <w:t xml:space="preserve">. It is estimated that </w:t>
      </w:r>
      <w:r w:rsidR="00D61BB2">
        <w:rPr>
          <w:color w:val="000000"/>
        </w:rPr>
        <w:t>g</w:t>
      </w:r>
      <w:r w:rsidRPr="00342B13">
        <w:rPr>
          <w:color w:val="000000"/>
        </w:rPr>
        <w:t>overnment resources will also be available</w:t>
      </w:r>
      <w:r>
        <w:rPr>
          <w:color w:val="000000"/>
        </w:rPr>
        <w:t xml:space="preserve"> despite </w:t>
      </w:r>
      <w:r w:rsidRPr="00342B13">
        <w:rPr>
          <w:color w:val="000000"/>
        </w:rPr>
        <w:t>the recent crises as the country possesses significant resources to be assigned to development initiatives. UNDP will also diversify its resource base, exploring opportunities for innovative partnerships, particularly South-South, triangular and private sector cooperation.</w:t>
      </w:r>
    </w:p>
    <w:p w14:paraId="31D8F6C3" w14:textId="2BEAB1B5" w:rsidR="00576337" w:rsidRPr="00576337" w:rsidRDefault="00844A82" w:rsidP="002C038F">
      <w:pPr>
        <w:pStyle w:val="ColorfulList-Accent11"/>
        <w:numPr>
          <w:ilvl w:val="0"/>
          <w:numId w:val="11"/>
        </w:numPr>
        <w:spacing w:line="240" w:lineRule="exact"/>
        <w:ind w:left="1080" w:right="720" w:firstLine="0"/>
        <w:jc w:val="both"/>
        <w:rPr>
          <w:color w:val="000000"/>
        </w:rPr>
      </w:pPr>
      <w:r w:rsidRPr="00B14011">
        <w:t xml:space="preserve">The </w:t>
      </w:r>
      <w:r>
        <w:t xml:space="preserve">programme will expand </w:t>
      </w:r>
      <w:r w:rsidRPr="00B14011">
        <w:t xml:space="preserve">use of corporate project quality assurance standards and tools to ensure linkages to the </w:t>
      </w:r>
      <w:r>
        <w:t>UNSF</w:t>
      </w:r>
      <w:r w:rsidRPr="00B14011">
        <w:t xml:space="preserve"> and </w:t>
      </w:r>
      <w:r>
        <w:t xml:space="preserve">the principle of </w:t>
      </w:r>
      <w:r w:rsidRPr="00B14011">
        <w:t>“reaching the furthest behind first” are embedded in project design</w:t>
      </w:r>
      <w:r w:rsidR="008D290A">
        <w:t>, especially the inclusion target groups in the design, implementation, monitoring and evaluation of projects</w:t>
      </w:r>
      <w:r w:rsidRPr="00B14011">
        <w:t xml:space="preserve">. </w:t>
      </w:r>
      <w:r w:rsidR="00C21D17">
        <w:t xml:space="preserve">UNDP </w:t>
      </w:r>
      <w:r w:rsidRPr="00B14011">
        <w:t xml:space="preserve">will train staff and inform national counterparts regarding the application of </w:t>
      </w:r>
      <w:r>
        <w:t>s</w:t>
      </w:r>
      <w:r w:rsidRPr="00B14011">
        <w:t xml:space="preserve">ocial and </w:t>
      </w:r>
      <w:r>
        <w:t>e</w:t>
      </w:r>
      <w:r w:rsidRPr="00B14011">
        <w:t xml:space="preserve">nvironmental </w:t>
      </w:r>
      <w:r>
        <w:t>s</w:t>
      </w:r>
      <w:r w:rsidRPr="00B14011">
        <w:t xml:space="preserve">tandards and </w:t>
      </w:r>
      <w:r>
        <w:t>a</w:t>
      </w:r>
      <w:r w:rsidRPr="00B14011">
        <w:t xml:space="preserve">ccountability </w:t>
      </w:r>
      <w:r>
        <w:t>m</w:t>
      </w:r>
      <w:r w:rsidRPr="00B14011">
        <w:t>echanism</w:t>
      </w:r>
      <w:r w:rsidR="002228B9">
        <w:t>s</w:t>
      </w:r>
      <w:r w:rsidRPr="00B14011">
        <w:t>, as required</w:t>
      </w:r>
      <w:r w:rsidR="002051F5" w:rsidRPr="00576337">
        <w:rPr>
          <w:color w:val="000000"/>
        </w:rPr>
        <w:t>.</w:t>
      </w:r>
      <w:r w:rsidR="00576337" w:rsidRPr="00576337">
        <w:t xml:space="preserve"> </w:t>
      </w:r>
    </w:p>
    <w:p w14:paraId="6B7F752C" w14:textId="77777777" w:rsidR="002051F5" w:rsidRPr="003C26C1" w:rsidRDefault="002051F5" w:rsidP="00707E0E">
      <w:pPr>
        <w:spacing w:line="240" w:lineRule="exact"/>
        <w:ind w:left="1080" w:right="720"/>
        <w:jc w:val="both"/>
        <w:rPr>
          <w:color w:val="000000"/>
        </w:rPr>
      </w:pPr>
    </w:p>
    <w:p w14:paraId="13BF0D20" w14:textId="77777777" w:rsidR="00701B6B" w:rsidRPr="003C26C1" w:rsidRDefault="001B3F87" w:rsidP="004D64F5">
      <w:pPr>
        <w:pStyle w:val="Heading1"/>
        <w:tabs>
          <w:tab w:val="left" w:pos="1800"/>
        </w:tabs>
        <w:spacing w:line="240" w:lineRule="exact"/>
        <w:ind w:left="1080" w:right="720" w:hanging="450"/>
        <w:jc w:val="both"/>
        <w:rPr>
          <w:rFonts w:ascii="Times New Roman" w:hAnsi="Times New Roman"/>
          <w:color w:val="000000"/>
          <w:sz w:val="24"/>
          <w:szCs w:val="24"/>
          <w:lang w:val="en-US"/>
        </w:rPr>
      </w:pPr>
      <w:r w:rsidRPr="003C26C1">
        <w:rPr>
          <w:rFonts w:ascii="Times New Roman" w:hAnsi="Times New Roman"/>
          <w:color w:val="000000"/>
          <w:sz w:val="24"/>
          <w:szCs w:val="24"/>
        </w:rPr>
        <w:t>I</w:t>
      </w:r>
      <w:r w:rsidRPr="003C26C1">
        <w:rPr>
          <w:rFonts w:ascii="Times New Roman" w:hAnsi="Times New Roman"/>
          <w:color w:val="000000"/>
          <w:sz w:val="24"/>
          <w:szCs w:val="24"/>
          <w:lang w:val="en-US"/>
        </w:rPr>
        <w:t>V</w:t>
      </w:r>
      <w:r w:rsidR="001D42D1" w:rsidRPr="003C26C1">
        <w:rPr>
          <w:rFonts w:ascii="Times New Roman" w:hAnsi="Times New Roman"/>
          <w:color w:val="000000"/>
          <w:sz w:val="24"/>
          <w:szCs w:val="24"/>
        </w:rPr>
        <w:t>.</w:t>
      </w:r>
      <w:r w:rsidR="004D64F5">
        <w:rPr>
          <w:rFonts w:ascii="Times New Roman" w:hAnsi="Times New Roman"/>
          <w:color w:val="000000"/>
          <w:sz w:val="24"/>
          <w:szCs w:val="24"/>
        </w:rPr>
        <w:tab/>
      </w:r>
      <w:r w:rsidR="001D42D1" w:rsidRPr="003C26C1">
        <w:rPr>
          <w:rFonts w:ascii="Times New Roman" w:hAnsi="Times New Roman"/>
          <w:color w:val="000000"/>
          <w:sz w:val="24"/>
          <w:szCs w:val="24"/>
        </w:rPr>
        <w:t xml:space="preserve">Monitoring and </w:t>
      </w:r>
      <w:r w:rsidR="004D64F5">
        <w:rPr>
          <w:rFonts w:ascii="Times New Roman" w:hAnsi="Times New Roman"/>
          <w:color w:val="000000"/>
          <w:sz w:val="24"/>
          <w:szCs w:val="24"/>
          <w:lang w:val="en-US"/>
        </w:rPr>
        <w:t>e</w:t>
      </w:r>
      <w:r w:rsidRPr="003C26C1">
        <w:rPr>
          <w:rFonts w:ascii="Times New Roman" w:hAnsi="Times New Roman"/>
          <w:color w:val="000000"/>
          <w:sz w:val="24"/>
          <w:szCs w:val="24"/>
          <w:lang w:val="en-US"/>
        </w:rPr>
        <w:t>valuation</w:t>
      </w:r>
    </w:p>
    <w:p w14:paraId="23674D15" w14:textId="77777777" w:rsidR="001D42D1" w:rsidRDefault="001D42D1" w:rsidP="00707E0E">
      <w:pPr>
        <w:pStyle w:val="Heading1"/>
        <w:tabs>
          <w:tab w:val="left" w:pos="1800"/>
        </w:tabs>
        <w:spacing w:line="240" w:lineRule="exact"/>
        <w:ind w:left="1080" w:right="720"/>
        <w:jc w:val="both"/>
        <w:rPr>
          <w:rFonts w:ascii="Times New Roman" w:hAnsi="Times New Roman"/>
          <w:color w:val="000000"/>
          <w:sz w:val="24"/>
          <w:szCs w:val="24"/>
          <w:lang w:val="en-US"/>
        </w:rPr>
      </w:pPr>
    </w:p>
    <w:p w14:paraId="4D04EAE8" w14:textId="0C288F75" w:rsidR="0087255A" w:rsidRDefault="00A22363" w:rsidP="002C038F">
      <w:pPr>
        <w:pStyle w:val="ColorfulList-Accent11"/>
        <w:numPr>
          <w:ilvl w:val="0"/>
          <w:numId w:val="11"/>
        </w:numPr>
        <w:spacing w:after="120" w:line="240" w:lineRule="exact"/>
        <w:ind w:left="1080" w:right="720" w:firstLine="0"/>
        <w:jc w:val="both"/>
        <w:rPr>
          <w:color w:val="000000"/>
        </w:rPr>
      </w:pPr>
      <w:r w:rsidRPr="00AB2EDF">
        <w:t>The lack</w:t>
      </w:r>
      <w:r w:rsidR="004A7921">
        <w:t xml:space="preserve"> </w:t>
      </w:r>
      <w:r w:rsidRPr="00AB2EDF">
        <w:t xml:space="preserve">of reliable statistical data constitutes a major constraint to formulating, monitoring and evaluating development policies and strategies </w:t>
      </w:r>
      <w:r>
        <w:t xml:space="preserve">given the weak capacity of </w:t>
      </w:r>
      <w:r w:rsidR="007A5BEF">
        <w:t xml:space="preserve">the </w:t>
      </w:r>
      <w:r>
        <w:t xml:space="preserve">national statistics authority to collect, process and </w:t>
      </w:r>
      <w:r w:rsidR="00836F71">
        <w:t>analyse data</w:t>
      </w:r>
      <w:r>
        <w:t xml:space="preserve">. </w:t>
      </w:r>
      <w:r w:rsidR="009B6CBA" w:rsidRPr="00383EEC">
        <w:rPr>
          <w:color w:val="000000"/>
        </w:rPr>
        <w:t>Given the</w:t>
      </w:r>
      <w:r w:rsidR="0087255A">
        <w:rPr>
          <w:color w:val="000000"/>
        </w:rPr>
        <w:t xml:space="preserve"> inadequacies</w:t>
      </w:r>
      <w:r w:rsidRPr="00383EEC">
        <w:rPr>
          <w:color w:val="000000"/>
        </w:rPr>
        <w:t xml:space="preserve"> </w:t>
      </w:r>
      <w:r>
        <w:rPr>
          <w:color w:val="000000"/>
        </w:rPr>
        <w:t xml:space="preserve">of </w:t>
      </w:r>
      <w:r w:rsidRPr="00383EEC">
        <w:rPr>
          <w:color w:val="000000"/>
        </w:rPr>
        <w:t xml:space="preserve">national </w:t>
      </w:r>
      <w:r w:rsidR="0087255A">
        <w:rPr>
          <w:color w:val="000000"/>
        </w:rPr>
        <w:t>statistical systems</w:t>
      </w:r>
      <w:r>
        <w:rPr>
          <w:color w:val="000000"/>
        </w:rPr>
        <w:t>, the UNSF</w:t>
      </w:r>
      <w:r w:rsidR="00576337" w:rsidRPr="00383EEC">
        <w:rPr>
          <w:color w:val="000000"/>
        </w:rPr>
        <w:t xml:space="preserve"> </w:t>
      </w:r>
      <w:r>
        <w:rPr>
          <w:color w:val="000000"/>
        </w:rPr>
        <w:t>o</w:t>
      </w:r>
      <w:r w:rsidR="00576337" w:rsidRPr="00383EEC">
        <w:rPr>
          <w:color w:val="000000"/>
        </w:rPr>
        <w:t xml:space="preserve">utcomes </w:t>
      </w:r>
      <w:bookmarkStart w:id="2" w:name="_GoBack"/>
      <w:bookmarkEnd w:id="2"/>
      <w:r w:rsidR="00576337" w:rsidRPr="00383EEC">
        <w:rPr>
          <w:color w:val="000000"/>
        </w:rPr>
        <w:t>do not contain specific indicators</w:t>
      </w:r>
      <w:r>
        <w:rPr>
          <w:color w:val="000000"/>
        </w:rPr>
        <w:t xml:space="preserve">. </w:t>
      </w:r>
    </w:p>
    <w:p w14:paraId="50B49CAC" w14:textId="214F79DD" w:rsidR="0087255A" w:rsidRDefault="00A22363" w:rsidP="002C038F">
      <w:pPr>
        <w:pStyle w:val="ColorfulList-Accent11"/>
        <w:numPr>
          <w:ilvl w:val="0"/>
          <w:numId w:val="11"/>
        </w:numPr>
        <w:spacing w:after="120" w:line="240" w:lineRule="exact"/>
        <w:ind w:left="1080" w:right="720" w:firstLine="0"/>
        <w:jc w:val="both"/>
        <w:rPr>
          <w:color w:val="000000"/>
        </w:rPr>
      </w:pPr>
      <w:r>
        <w:rPr>
          <w:color w:val="000000"/>
        </w:rPr>
        <w:t>Consequently,</w:t>
      </w:r>
      <w:r w:rsidR="00383EEC" w:rsidRPr="00383EEC">
        <w:rPr>
          <w:color w:val="000000"/>
        </w:rPr>
        <w:t xml:space="preserve"> </w:t>
      </w:r>
      <w:r w:rsidR="00576337" w:rsidRPr="00383EEC">
        <w:rPr>
          <w:color w:val="000000"/>
        </w:rPr>
        <w:t xml:space="preserve">the </w:t>
      </w:r>
      <w:r w:rsidR="00152889">
        <w:rPr>
          <w:color w:val="000000"/>
        </w:rPr>
        <w:t>country programme</w:t>
      </w:r>
      <w:r w:rsidR="00152889" w:rsidRPr="00383EEC">
        <w:rPr>
          <w:color w:val="000000"/>
        </w:rPr>
        <w:t xml:space="preserve"> </w:t>
      </w:r>
      <w:r w:rsidR="00576337" w:rsidRPr="00383EEC">
        <w:rPr>
          <w:color w:val="000000"/>
        </w:rPr>
        <w:t xml:space="preserve">will be monitored </w:t>
      </w:r>
      <w:r w:rsidR="00FC167B">
        <w:rPr>
          <w:color w:val="000000"/>
        </w:rPr>
        <w:t>primarily</w:t>
      </w:r>
      <w:r>
        <w:rPr>
          <w:color w:val="000000"/>
        </w:rPr>
        <w:t xml:space="preserve"> </w:t>
      </w:r>
      <w:r w:rsidR="00576337" w:rsidRPr="00383EEC">
        <w:rPr>
          <w:color w:val="000000"/>
        </w:rPr>
        <w:t>through data generate</w:t>
      </w:r>
      <w:r w:rsidR="000D4981" w:rsidRPr="00383EEC">
        <w:rPr>
          <w:color w:val="000000"/>
        </w:rPr>
        <w:t>d</w:t>
      </w:r>
      <w:r w:rsidR="00576337" w:rsidRPr="00383EEC">
        <w:rPr>
          <w:color w:val="000000"/>
        </w:rPr>
        <w:t xml:space="preserve"> </w:t>
      </w:r>
      <w:r w:rsidR="00C34EFE" w:rsidRPr="00383EEC">
        <w:rPr>
          <w:color w:val="000000"/>
        </w:rPr>
        <w:t>internally</w:t>
      </w:r>
      <w:r w:rsidR="00576337" w:rsidRPr="00383EEC">
        <w:rPr>
          <w:color w:val="000000"/>
        </w:rPr>
        <w:t xml:space="preserve"> by UNDP</w:t>
      </w:r>
      <w:r>
        <w:rPr>
          <w:color w:val="000000"/>
        </w:rPr>
        <w:t>.</w:t>
      </w:r>
      <w:r w:rsidR="00383EEC" w:rsidRPr="00383EEC">
        <w:rPr>
          <w:color w:val="000000"/>
        </w:rPr>
        <w:t xml:space="preserve"> </w:t>
      </w:r>
      <w:r>
        <w:rPr>
          <w:color w:val="000000"/>
        </w:rPr>
        <w:t xml:space="preserve">Priority will be given, however, to </w:t>
      </w:r>
      <w:r w:rsidR="007169C4">
        <w:rPr>
          <w:color w:val="000000"/>
        </w:rPr>
        <w:t>allocating resources to ensure</w:t>
      </w:r>
      <w:r>
        <w:rPr>
          <w:color w:val="000000"/>
        </w:rPr>
        <w:t xml:space="preserve"> </w:t>
      </w:r>
      <w:r w:rsidR="007A5BEF">
        <w:rPr>
          <w:color w:val="000000"/>
        </w:rPr>
        <w:t xml:space="preserve">that </w:t>
      </w:r>
      <w:r w:rsidR="007169C4">
        <w:t>p</w:t>
      </w:r>
      <w:r w:rsidR="007169C4" w:rsidRPr="00B14011">
        <w:t xml:space="preserve">roject design </w:t>
      </w:r>
      <w:r w:rsidR="007169C4">
        <w:t>and results frameworks include</w:t>
      </w:r>
      <w:r w:rsidR="007169C4" w:rsidRPr="00B14011">
        <w:t xml:space="preserve"> indicators disaggregated by sex and other variables where </w:t>
      </w:r>
      <w:r w:rsidR="00836F71" w:rsidRPr="00B14011">
        <w:t>possible and</w:t>
      </w:r>
      <w:r w:rsidR="007169C4" w:rsidRPr="00B14011">
        <w:t xml:space="preserve"> identify data gaps to be addressed for quality monitoring of results</w:t>
      </w:r>
      <w:r w:rsidR="007169C4">
        <w:t xml:space="preserve"> and to identify opportunities to establish </w:t>
      </w:r>
      <w:r w:rsidR="007169C4" w:rsidRPr="00383EEC">
        <w:rPr>
          <w:color w:val="000000"/>
        </w:rPr>
        <w:t xml:space="preserve">baseline data </w:t>
      </w:r>
      <w:r w:rsidR="007169C4">
        <w:rPr>
          <w:color w:val="000000"/>
        </w:rPr>
        <w:t>to help monitor progress in future years</w:t>
      </w:r>
      <w:r w:rsidR="007169C4" w:rsidRPr="00383EEC">
        <w:rPr>
          <w:color w:val="000000"/>
        </w:rPr>
        <w:t>.</w:t>
      </w:r>
      <w:r w:rsidR="007169C4">
        <w:rPr>
          <w:color w:val="000000"/>
        </w:rPr>
        <w:t xml:space="preserve"> </w:t>
      </w:r>
      <w:r w:rsidR="00673F2D">
        <w:rPr>
          <w:color w:val="000000"/>
        </w:rPr>
        <w:t>UNDP will use innovative p</w:t>
      </w:r>
      <w:r w:rsidR="000D5E1E">
        <w:rPr>
          <w:color w:val="000000"/>
        </w:rPr>
        <w:t xml:space="preserve">roject monitoring </w:t>
      </w:r>
      <w:r w:rsidR="00673F2D">
        <w:rPr>
          <w:color w:val="000000"/>
        </w:rPr>
        <w:t>mechanisms</w:t>
      </w:r>
      <w:r w:rsidR="000D5E1E">
        <w:rPr>
          <w:color w:val="000000"/>
        </w:rPr>
        <w:t xml:space="preserve"> in partnership with municipal councils, tribal leaders and civil society to ensure downward accountability toward beneficiaries</w:t>
      </w:r>
      <w:r w:rsidR="007169C4">
        <w:t xml:space="preserve">. </w:t>
      </w:r>
      <w:r w:rsidR="00F1323A">
        <w:t>These include geo-tagged photography of UNDP civil works projects to map and monitor progress and increased monitoring of local social media commentary about UNDP projects.</w:t>
      </w:r>
    </w:p>
    <w:p w14:paraId="3BEB5CE2" w14:textId="77777777" w:rsidR="00A22363" w:rsidRDefault="000D5E1E" w:rsidP="002C038F">
      <w:pPr>
        <w:pStyle w:val="ColorfulList-Accent11"/>
        <w:numPr>
          <w:ilvl w:val="0"/>
          <w:numId w:val="11"/>
        </w:numPr>
        <w:spacing w:after="120" w:line="240" w:lineRule="exact"/>
        <w:ind w:left="1080" w:right="720" w:firstLine="0"/>
        <w:jc w:val="both"/>
        <w:rPr>
          <w:color w:val="000000"/>
        </w:rPr>
      </w:pPr>
      <w:r>
        <w:rPr>
          <w:color w:val="000000"/>
        </w:rPr>
        <w:t>UNDP</w:t>
      </w:r>
      <w:r w:rsidRPr="00CA3084">
        <w:rPr>
          <w:color w:val="000000"/>
        </w:rPr>
        <w:t xml:space="preserve"> will </w:t>
      </w:r>
      <w:r>
        <w:rPr>
          <w:color w:val="000000"/>
        </w:rPr>
        <w:t xml:space="preserve">invest in building </w:t>
      </w:r>
      <w:r w:rsidRPr="00CA3084">
        <w:rPr>
          <w:color w:val="000000"/>
        </w:rPr>
        <w:t>in-house</w:t>
      </w:r>
      <w:r>
        <w:rPr>
          <w:color w:val="000000"/>
        </w:rPr>
        <w:t xml:space="preserve"> capacity </w:t>
      </w:r>
      <w:r w:rsidR="005E7012">
        <w:rPr>
          <w:color w:val="000000"/>
        </w:rPr>
        <w:t>and will</w:t>
      </w:r>
      <w:r>
        <w:rPr>
          <w:color w:val="000000"/>
        </w:rPr>
        <w:t xml:space="preserve"> explore possibilities to build national counterparts’ capabilities for data collection. </w:t>
      </w:r>
      <w:r w:rsidR="0087255A">
        <w:rPr>
          <w:color w:val="000000"/>
        </w:rPr>
        <w:t>UNDP will build on its past cooperation with government and international partners in undertaking sectoral assessments</w:t>
      </w:r>
      <w:r w:rsidR="0087255A">
        <w:rPr>
          <w:rStyle w:val="FootnoteReference"/>
          <w:color w:val="000000"/>
        </w:rPr>
        <w:footnoteReference w:id="26"/>
      </w:r>
      <w:r w:rsidR="0087255A">
        <w:rPr>
          <w:color w:val="000000"/>
        </w:rPr>
        <w:t xml:space="preserve"> to help build the knowledge base in the country for the benefit of all partners. </w:t>
      </w:r>
    </w:p>
    <w:p w14:paraId="4F57213E" w14:textId="38782B10" w:rsidR="00CA3084" w:rsidRPr="0036162D" w:rsidRDefault="004A7921" w:rsidP="002C038F">
      <w:pPr>
        <w:pStyle w:val="ColorfulList-Accent11"/>
        <w:numPr>
          <w:ilvl w:val="0"/>
          <w:numId w:val="11"/>
        </w:numPr>
        <w:spacing w:after="120" w:line="240" w:lineRule="exact"/>
        <w:ind w:left="1080" w:right="720" w:firstLine="0"/>
        <w:jc w:val="both"/>
        <w:rPr>
          <w:color w:val="000000"/>
        </w:rPr>
      </w:pPr>
      <w:r>
        <w:t>UNDP</w:t>
      </w:r>
      <w:r w:rsidR="00124F60">
        <w:t xml:space="preserve"> will ensure review of project evaluations to draw appropriate lessons from interventions, test the underlying programme strategy and inform future programming. Similarly, the country office </w:t>
      </w:r>
      <w:r w:rsidR="009B6CBA" w:rsidRPr="009D7AE5">
        <w:t xml:space="preserve">will </w:t>
      </w:r>
      <w:r w:rsidR="009B6CBA" w:rsidRPr="007409B3">
        <w:t>improve</w:t>
      </w:r>
      <w:r w:rsidR="00FC167B" w:rsidRPr="007409B3">
        <w:t xml:space="preserve"> </w:t>
      </w:r>
      <w:r w:rsidR="0036162D" w:rsidRPr="007409B3">
        <w:t>gender analysis within the project</w:t>
      </w:r>
      <w:r w:rsidR="00FC167B">
        <w:t>s</w:t>
      </w:r>
      <w:r w:rsidR="0036162D" w:rsidRPr="007409B3">
        <w:t xml:space="preserve"> to better target women beneficiaries</w:t>
      </w:r>
      <w:r w:rsidR="00FC167B">
        <w:t xml:space="preserve"> and utilize the</w:t>
      </w:r>
      <w:r w:rsidR="0036162D" w:rsidRPr="007409B3">
        <w:t xml:space="preserve"> UNDP gender marker to monitor expenditure</w:t>
      </w:r>
      <w:r w:rsidR="0036162D">
        <w:rPr>
          <w:color w:val="000000"/>
        </w:rPr>
        <w:t xml:space="preserve"> </w:t>
      </w:r>
      <w:r w:rsidR="00007E26" w:rsidRPr="009D7AE5">
        <w:t>and improve gender-based planning and decision-making</w:t>
      </w:r>
      <w:r w:rsidR="000D5E1E">
        <w:t xml:space="preserve">. Monitoring and evaluation costs will be covered from project budgets. </w:t>
      </w:r>
    </w:p>
    <w:p w14:paraId="5CA32AE0" w14:textId="526B0925" w:rsidR="00E5067C" w:rsidRPr="00592333" w:rsidRDefault="00FA1E86" w:rsidP="002C038F">
      <w:pPr>
        <w:pStyle w:val="ColorfulList-Accent11"/>
        <w:numPr>
          <w:ilvl w:val="0"/>
          <w:numId w:val="11"/>
        </w:numPr>
        <w:spacing w:after="120" w:line="240" w:lineRule="exact"/>
        <w:ind w:left="1080" w:right="720" w:firstLine="0"/>
        <w:jc w:val="both"/>
        <w:rPr>
          <w:color w:val="000000"/>
        </w:rPr>
      </w:pPr>
      <w:r>
        <w:lastRenderedPageBreak/>
        <w:t>UNDP will supplement</w:t>
      </w:r>
      <w:r w:rsidRPr="00B14011">
        <w:t xml:space="preserve"> project board meetings and annual project reviews with systems for continuous dynamic programme oversight through project monitoring visits (with increased participation of donors, civil society and beneficiaries), financial spot-checks and informal engagement with project and counterpart staff and civil society to identify substantive or operational risks to project implementation.</w:t>
      </w:r>
      <w:r w:rsidR="009832AB">
        <w:t xml:space="preserve">  </w:t>
      </w:r>
    </w:p>
    <w:p w14:paraId="7AB0CE08" w14:textId="677DDFBC" w:rsidR="00007E26" w:rsidRDefault="0073672E" w:rsidP="002C038F">
      <w:pPr>
        <w:pStyle w:val="ColorfulList-Accent11"/>
        <w:numPr>
          <w:ilvl w:val="0"/>
          <w:numId w:val="11"/>
        </w:numPr>
        <w:spacing w:line="240" w:lineRule="exact"/>
        <w:ind w:left="1080" w:right="720" w:firstLine="0"/>
        <w:jc w:val="both"/>
        <w:rPr>
          <w:color w:val="000000"/>
        </w:rPr>
      </w:pPr>
      <w:r>
        <w:t>To</w:t>
      </w:r>
      <w:r w:rsidR="00E5067C" w:rsidRPr="009D7AE5">
        <w:t xml:space="preserve"> increase </w:t>
      </w:r>
      <w:r w:rsidR="007A5BEF">
        <w:t xml:space="preserve">the </w:t>
      </w:r>
      <w:r w:rsidR="00E5067C" w:rsidRPr="009D7AE5">
        <w:t xml:space="preserve">transparency, visibility and impact of UNDP interventions, UNDP will intensify efforts to </w:t>
      </w:r>
      <w:r w:rsidR="00836F71" w:rsidRPr="009D7AE5">
        <w:t>communicate development</w:t>
      </w:r>
      <w:r w:rsidR="00E5067C" w:rsidRPr="009D7AE5">
        <w:t xml:space="preserve"> results to stakeholders, beneficiaries and partners</w:t>
      </w:r>
      <w:r w:rsidR="00A87600" w:rsidRPr="00CA3084">
        <w:rPr>
          <w:color w:val="000000"/>
        </w:rPr>
        <w:t>.</w:t>
      </w:r>
    </w:p>
    <w:p w14:paraId="6BDCF001" w14:textId="77777777" w:rsidR="00007E26" w:rsidRDefault="00007E26" w:rsidP="00592333">
      <w:pPr>
        <w:pStyle w:val="ColorfulList-Accent11"/>
        <w:spacing w:line="240" w:lineRule="exact"/>
        <w:ind w:left="0" w:right="720"/>
        <w:jc w:val="both"/>
        <w:rPr>
          <w:color w:val="000000"/>
        </w:rPr>
      </w:pPr>
    </w:p>
    <w:p w14:paraId="15F0542C" w14:textId="77777777" w:rsidR="00007E26" w:rsidRDefault="00007E26" w:rsidP="00592333">
      <w:pPr>
        <w:spacing w:line="240" w:lineRule="exact"/>
        <w:ind w:left="1282" w:right="720"/>
        <w:jc w:val="both"/>
        <w:rPr>
          <w:color w:val="000000"/>
        </w:rPr>
      </w:pPr>
    </w:p>
    <w:p w14:paraId="3FD9CE90" w14:textId="77777777" w:rsidR="00007E26" w:rsidRPr="003C26C1" w:rsidRDefault="00007E26" w:rsidP="00592333">
      <w:pPr>
        <w:spacing w:line="240" w:lineRule="exact"/>
        <w:ind w:left="1282" w:right="720"/>
        <w:jc w:val="both"/>
        <w:rPr>
          <w:color w:val="000000"/>
        </w:rPr>
        <w:sectPr w:rsidR="00007E26" w:rsidRPr="003C26C1" w:rsidSect="00592333">
          <w:headerReference w:type="even" r:id="rId13"/>
          <w:headerReference w:type="default" r:id="rId14"/>
          <w:footerReference w:type="even" r:id="rId15"/>
          <w:footerReference w:type="default" r:id="rId16"/>
          <w:headerReference w:type="first" r:id="rId17"/>
          <w:footnotePr>
            <w:numRestart w:val="eachSect"/>
          </w:footnotePr>
          <w:endnotePr>
            <w:numFmt w:val="decimal"/>
            <w:numStart w:val="7"/>
          </w:endnotePr>
          <w:pgSz w:w="12240" w:h="15840" w:code="1"/>
          <w:pgMar w:top="1166" w:right="1195" w:bottom="1440" w:left="1195" w:header="576" w:footer="1037" w:gutter="0"/>
          <w:cols w:space="720"/>
          <w:noEndnote/>
          <w:titlePg/>
          <w:docGrid w:linePitch="272"/>
        </w:sectPr>
      </w:pPr>
    </w:p>
    <w:p w14:paraId="21D63518" w14:textId="77777777" w:rsidR="009B4D20" w:rsidRPr="00CD1989" w:rsidRDefault="00B2315A" w:rsidP="009B4D20">
      <w:pPr>
        <w:spacing w:after="60"/>
        <w:ind w:left="1253" w:right="792" w:hanging="1253"/>
        <w:jc w:val="both"/>
        <w:rPr>
          <w:b/>
          <w:sz w:val="24"/>
          <w:szCs w:val="24"/>
          <w:lang w:val="en-GB"/>
        </w:rPr>
      </w:pPr>
      <w:r>
        <w:rPr>
          <w:b/>
          <w:bCs/>
          <w:sz w:val="24"/>
          <w:szCs w:val="24"/>
          <w:lang w:val="en-GB"/>
        </w:rPr>
        <w:lastRenderedPageBreak/>
        <w:t xml:space="preserve">Annex. </w:t>
      </w:r>
      <w:r w:rsidR="009B4D20" w:rsidRPr="00CD1989">
        <w:rPr>
          <w:b/>
          <w:bCs/>
          <w:sz w:val="24"/>
          <w:szCs w:val="24"/>
          <w:lang w:val="en-GB"/>
        </w:rPr>
        <w:t xml:space="preserve">Results and resources framework </w:t>
      </w:r>
      <w:r>
        <w:rPr>
          <w:b/>
          <w:bCs/>
          <w:sz w:val="24"/>
          <w:szCs w:val="24"/>
          <w:lang w:val="en-GB"/>
        </w:rPr>
        <w:t>for Libya (</w:t>
      </w:r>
      <w:r w:rsidR="009B4D20" w:rsidRPr="00CD1989">
        <w:rPr>
          <w:b/>
          <w:bCs/>
          <w:sz w:val="24"/>
          <w:szCs w:val="24"/>
          <w:lang w:val="en-GB"/>
        </w:rPr>
        <w:t>2019-2020</w:t>
      </w:r>
      <w:r>
        <w:rPr>
          <w:b/>
          <w:bCs/>
          <w:sz w:val="24"/>
          <w:szCs w:val="24"/>
          <w:lang w:val="en-GB"/>
        </w:rPr>
        <w:t>)</w:t>
      </w: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1837"/>
        <w:gridCol w:w="1845"/>
        <w:gridCol w:w="6095"/>
        <w:gridCol w:w="1701"/>
        <w:gridCol w:w="1607"/>
      </w:tblGrid>
      <w:tr w:rsidR="00520626" w:rsidRPr="00520626" w14:paraId="1E30B679" w14:textId="77777777" w:rsidTr="008C5F0F">
        <w:tc>
          <w:tcPr>
            <w:tcW w:w="5000" w:type="pct"/>
            <w:gridSpan w:val="5"/>
            <w:shd w:val="clear" w:color="auto" w:fill="auto"/>
            <w:tcMar>
              <w:top w:w="72" w:type="dxa"/>
              <w:left w:w="144" w:type="dxa"/>
              <w:bottom w:w="72" w:type="dxa"/>
              <w:right w:w="144" w:type="dxa"/>
            </w:tcMar>
          </w:tcPr>
          <w:p w14:paraId="31BF97D6" w14:textId="77777777" w:rsidR="00520626" w:rsidRPr="00520626" w:rsidRDefault="00520626" w:rsidP="00520626">
            <w:pPr>
              <w:rPr>
                <w:color w:val="000000"/>
                <w:sz w:val="16"/>
                <w:szCs w:val="16"/>
              </w:rPr>
            </w:pPr>
            <w:r w:rsidRPr="00520626">
              <w:rPr>
                <w:b/>
                <w:bCs/>
                <w:color w:val="000000"/>
                <w:sz w:val="16"/>
                <w:szCs w:val="16"/>
                <w:lang w:val="en-GB"/>
              </w:rPr>
              <w:t>NATIONAL PRIORITY OR GOAL: N</w:t>
            </w:r>
            <w:r w:rsidR="00C03C5A" w:rsidRPr="00520626">
              <w:rPr>
                <w:b/>
                <w:bCs/>
                <w:color w:val="000000"/>
                <w:sz w:val="16"/>
                <w:szCs w:val="16"/>
                <w:lang w:val="en-GB"/>
              </w:rPr>
              <w:t>ot available</w:t>
            </w:r>
          </w:p>
        </w:tc>
      </w:tr>
      <w:tr w:rsidR="00520626" w:rsidRPr="00520626" w14:paraId="01C48A60" w14:textId="77777777" w:rsidTr="008C5F0F">
        <w:tc>
          <w:tcPr>
            <w:tcW w:w="5000" w:type="pct"/>
            <w:gridSpan w:val="5"/>
            <w:shd w:val="clear" w:color="auto" w:fill="auto"/>
            <w:tcMar>
              <w:top w:w="72" w:type="dxa"/>
              <w:left w:w="144" w:type="dxa"/>
              <w:bottom w:w="72" w:type="dxa"/>
              <w:right w:w="144" w:type="dxa"/>
            </w:tcMar>
          </w:tcPr>
          <w:p w14:paraId="4DD50F9B" w14:textId="41E8759D" w:rsidR="00520626" w:rsidRPr="00520626" w:rsidRDefault="00C03C5A" w:rsidP="00520626">
            <w:pPr>
              <w:rPr>
                <w:b/>
                <w:bCs/>
                <w:color w:val="000000"/>
                <w:sz w:val="16"/>
                <w:szCs w:val="16"/>
                <w:lang w:val="en-GB"/>
              </w:rPr>
            </w:pPr>
            <w:r>
              <w:rPr>
                <w:b/>
                <w:bCs/>
                <w:color w:val="000000"/>
                <w:sz w:val="16"/>
                <w:szCs w:val="16"/>
                <w:lang w:val="en-GB"/>
              </w:rPr>
              <w:t>Sustainable Development Goals</w:t>
            </w:r>
            <w:r w:rsidR="00520626" w:rsidRPr="00520626">
              <w:rPr>
                <w:b/>
                <w:bCs/>
                <w:color w:val="000000"/>
                <w:sz w:val="16"/>
                <w:szCs w:val="16"/>
                <w:lang w:val="en-GB"/>
              </w:rPr>
              <w:t xml:space="preserve">: 16, 10 and 5  </w:t>
            </w:r>
          </w:p>
        </w:tc>
      </w:tr>
      <w:tr w:rsidR="00520626" w:rsidRPr="00520626" w14:paraId="6A178102" w14:textId="77777777" w:rsidTr="008C5F0F">
        <w:tc>
          <w:tcPr>
            <w:tcW w:w="5000" w:type="pct"/>
            <w:gridSpan w:val="5"/>
            <w:shd w:val="clear" w:color="auto" w:fill="auto"/>
            <w:tcMar>
              <w:top w:w="72" w:type="dxa"/>
              <w:left w:w="144" w:type="dxa"/>
              <w:bottom w:w="72" w:type="dxa"/>
              <w:right w:w="144" w:type="dxa"/>
            </w:tcMar>
          </w:tcPr>
          <w:p w14:paraId="6BFD28EA" w14:textId="6F4ABF42" w:rsidR="00520626" w:rsidRPr="00520626" w:rsidRDefault="00520626" w:rsidP="00520626">
            <w:pPr>
              <w:rPr>
                <w:b/>
                <w:sz w:val="16"/>
                <w:szCs w:val="16"/>
                <w:lang w:val="en-GB"/>
              </w:rPr>
            </w:pPr>
            <w:r w:rsidRPr="00520626">
              <w:rPr>
                <w:b/>
                <w:bCs/>
                <w:color w:val="000000"/>
                <w:sz w:val="16"/>
                <w:szCs w:val="16"/>
                <w:lang w:val="en-GB"/>
              </w:rPr>
              <w:t>UNSF outcome involving UNDP No. 1:</w:t>
            </w:r>
            <w:r w:rsidRPr="00520626">
              <w:rPr>
                <w:color w:val="000000"/>
                <w:sz w:val="16"/>
                <w:szCs w:val="16"/>
                <w:lang w:val="en-GB"/>
              </w:rPr>
              <w:t xml:space="preserve"> </w:t>
            </w:r>
            <w:r w:rsidRPr="00520626">
              <w:rPr>
                <w:b/>
                <w:sz w:val="16"/>
                <w:szCs w:val="16"/>
              </w:rPr>
              <w:t xml:space="preserve">By late 2020, core government functions will be strengthened and Libyan institutions and </w:t>
            </w:r>
            <w:r w:rsidR="00C03C5A">
              <w:rPr>
                <w:b/>
                <w:sz w:val="16"/>
                <w:szCs w:val="16"/>
              </w:rPr>
              <w:t>c</w:t>
            </w:r>
            <w:r w:rsidR="00C03C5A" w:rsidRPr="00520626">
              <w:rPr>
                <w:b/>
                <w:sz w:val="16"/>
                <w:szCs w:val="16"/>
              </w:rPr>
              <w:t xml:space="preserve">ivil </w:t>
            </w:r>
            <w:r w:rsidR="00C03C5A">
              <w:rPr>
                <w:b/>
                <w:sz w:val="16"/>
                <w:szCs w:val="16"/>
              </w:rPr>
              <w:t>s</w:t>
            </w:r>
            <w:r w:rsidR="00C03C5A" w:rsidRPr="00520626">
              <w:rPr>
                <w:b/>
                <w:sz w:val="16"/>
                <w:szCs w:val="16"/>
              </w:rPr>
              <w:t>ociety</w:t>
            </w:r>
            <w:r w:rsidRPr="00520626">
              <w:rPr>
                <w:b/>
                <w:sz w:val="16"/>
                <w:szCs w:val="16"/>
              </w:rPr>
              <w:t>, at all levels, will be better able to respond to the needs of the people (Libyans, migrants and refugees) through transparent, inclusive gender</w:t>
            </w:r>
            <w:r w:rsidR="007A5BEF">
              <w:rPr>
                <w:b/>
                <w:sz w:val="16"/>
                <w:szCs w:val="16"/>
              </w:rPr>
              <w:t>-</w:t>
            </w:r>
            <w:r w:rsidRPr="00520626">
              <w:rPr>
                <w:b/>
                <w:sz w:val="16"/>
                <w:szCs w:val="16"/>
              </w:rPr>
              <w:t>sensitive decision-making processes abiding by the democratic principles of division of power and rule of law</w:t>
            </w:r>
          </w:p>
        </w:tc>
      </w:tr>
      <w:tr w:rsidR="00520626" w:rsidRPr="00520626" w14:paraId="4C6073C1" w14:textId="77777777" w:rsidTr="008C5F0F">
        <w:tc>
          <w:tcPr>
            <w:tcW w:w="5000" w:type="pct"/>
            <w:gridSpan w:val="5"/>
            <w:shd w:val="clear" w:color="auto" w:fill="auto"/>
            <w:tcMar>
              <w:top w:w="72" w:type="dxa"/>
              <w:left w:w="144" w:type="dxa"/>
              <w:bottom w:w="72" w:type="dxa"/>
              <w:right w:w="144" w:type="dxa"/>
            </w:tcMar>
          </w:tcPr>
          <w:p w14:paraId="22BD1F24" w14:textId="77777777" w:rsidR="00520626" w:rsidRPr="00520626" w:rsidRDefault="00520626" w:rsidP="00F154DD">
            <w:pPr>
              <w:rPr>
                <w:bCs/>
                <w:sz w:val="16"/>
                <w:szCs w:val="16"/>
                <w:lang w:val="en-GB"/>
              </w:rPr>
            </w:pPr>
            <w:r w:rsidRPr="00520626">
              <w:rPr>
                <w:b/>
                <w:bCs/>
                <w:color w:val="000000"/>
                <w:sz w:val="16"/>
                <w:szCs w:val="16"/>
                <w:lang w:val="en-GB"/>
              </w:rPr>
              <w:t xml:space="preserve">RELATED STRATEGIC </w:t>
            </w:r>
            <w:r w:rsidR="00F154DD">
              <w:rPr>
                <w:b/>
                <w:bCs/>
                <w:color w:val="000000"/>
                <w:sz w:val="16"/>
                <w:szCs w:val="16"/>
                <w:lang w:val="en-GB"/>
              </w:rPr>
              <w:t>OUTCOME</w:t>
            </w:r>
            <w:r w:rsidRPr="00520626">
              <w:rPr>
                <w:b/>
                <w:bCs/>
                <w:color w:val="000000"/>
                <w:sz w:val="16"/>
                <w:szCs w:val="16"/>
                <w:lang w:val="en-GB"/>
              </w:rPr>
              <w:t xml:space="preserve">:  </w:t>
            </w:r>
            <w:r w:rsidR="00F154DD">
              <w:rPr>
                <w:bCs/>
                <w:sz w:val="16"/>
                <w:szCs w:val="16"/>
                <w:lang w:val="en-GB"/>
              </w:rPr>
              <w:t>Strengthening resilience to shocks and crises</w:t>
            </w:r>
          </w:p>
        </w:tc>
      </w:tr>
      <w:tr w:rsidR="00520626" w:rsidRPr="00520626" w14:paraId="13DFB038" w14:textId="77777777" w:rsidTr="008C5F0F">
        <w:tc>
          <w:tcPr>
            <w:tcW w:w="702" w:type="pct"/>
            <w:shd w:val="clear" w:color="auto" w:fill="auto"/>
            <w:tcMar>
              <w:top w:w="72" w:type="dxa"/>
              <w:left w:w="144" w:type="dxa"/>
              <w:bottom w:w="72" w:type="dxa"/>
              <w:right w:w="144" w:type="dxa"/>
            </w:tcMar>
            <w:vAlign w:val="center"/>
          </w:tcPr>
          <w:p w14:paraId="2B459E7D" w14:textId="2198399E" w:rsidR="00520626" w:rsidRPr="00520626" w:rsidRDefault="007A5BEF" w:rsidP="00520626">
            <w:pPr>
              <w:jc w:val="center"/>
              <w:rPr>
                <w:color w:val="000000"/>
                <w:sz w:val="16"/>
                <w:szCs w:val="16"/>
              </w:rPr>
            </w:pPr>
            <w:r w:rsidRPr="00520626">
              <w:rPr>
                <w:b/>
                <w:bCs/>
                <w:color w:val="000000"/>
                <w:sz w:val="16"/>
                <w:szCs w:val="16"/>
                <w:lang w:val="en-GB"/>
              </w:rPr>
              <w:t>UN</w:t>
            </w:r>
            <w:r>
              <w:rPr>
                <w:b/>
                <w:bCs/>
                <w:color w:val="000000"/>
                <w:sz w:val="16"/>
                <w:szCs w:val="16"/>
                <w:lang w:val="en-GB"/>
              </w:rPr>
              <w:t>S</w:t>
            </w:r>
            <w:r w:rsidRPr="00520626">
              <w:rPr>
                <w:b/>
                <w:bCs/>
                <w:color w:val="000000"/>
                <w:sz w:val="16"/>
                <w:szCs w:val="16"/>
                <w:lang w:val="en-GB"/>
              </w:rPr>
              <w:t xml:space="preserve">F </w:t>
            </w:r>
            <w:r w:rsidR="00520626" w:rsidRPr="00520626">
              <w:rPr>
                <w:b/>
                <w:bCs/>
                <w:color w:val="000000"/>
                <w:sz w:val="16"/>
                <w:szCs w:val="16"/>
                <w:lang w:val="en-GB"/>
              </w:rPr>
              <w:t>outcome indicators, baselines, and targets</w:t>
            </w:r>
          </w:p>
        </w:tc>
        <w:tc>
          <w:tcPr>
            <w:tcW w:w="705" w:type="pct"/>
            <w:shd w:val="clear" w:color="auto" w:fill="auto"/>
            <w:vAlign w:val="center"/>
          </w:tcPr>
          <w:p w14:paraId="28DDE00D" w14:textId="77777777" w:rsidR="00520626" w:rsidRPr="00520626" w:rsidRDefault="00520626" w:rsidP="00520626">
            <w:pPr>
              <w:jc w:val="center"/>
              <w:rPr>
                <w:b/>
                <w:color w:val="000000"/>
                <w:sz w:val="16"/>
                <w:szCs w:val="16"/>
              </w:rPr>
            </w:pPr>
            <w:r w:rsidRPr="00520626">
              <w:rPr>
                <w:b/>
                <w:color w:val="000000"/>
                <w:sz w:val="16"/>
                <w:szCs w:val="16"/>
              </w:rPr>
              <w:t>Data source and frequency of data collection, and responsibilities</w:t>
            </w:r>
          </w:p>
        </w:tc>
        <w:tc>
          <w:tcPr>
            <w:tcW w:w="2329" w:type="pct"/>
            <w:shd w:val="clear" w:color="auto" w:fill="auto"/>
            <w:tcMar>
              <w:top w:w="72" w:type="dxa"/>
              <w:left w:w="144" w:type="dxa"/>
              <w:bottom w:w="72" w:type="dxa"/>
              <w:right w:w="144" w:type="dxa"/>
            </w:tcMar>
            <w:vAlign w:val="center"/>
          </w:tcPr>
          <w:p w14:paraId="62E926DE" w14:textId="77777777" w:rsidR="00520626" w:rsidRPr="00520626" w:rsidRDefault="00520626" w:rsidP="00520626">
            <w:pPr>
              <w:jc w:val="center"/>
              <w:rPr>
                <w:color w:val="000000"/>
                <w:sz w:val="16"/>
                <w:szCs w:val="16"/>
              </w:rPr>
            </w:pPr>
            <w:r w:rsidRPr="00520626">
              <w:rPr>
                <w:b/>
                <w:bCs/>
                <w:color w:val="000000"/>
                <w:sz w:val="16"/>
                <w:szCs w:val="16"/>
                <w:lang w:val="en-GB"/>
              </w:rPr>
              <w:t xml:space="preserve">Indicative country programme outputs </w:t>
            </w:r>
            <w:r w:rsidRPr="00520626">
              <w:rPr>
                <w:b/>
                <w:bCs/>
                <w:i/>
                <w:color w:val="000000"/>
                <w:sz w:val="16"/>
                <w:szCs w:val="16"/>
                <w:lang w:val="en-GB"/>
              </w:rPr>
              <w:t>(including indicators, baselines and targets)</w:t>
            </w:r>
          </w:p>
        </w:tc>
        <w:tc>
          <w:tcPr>
            <w:tcW w:w="650" w:type="pct"/>
            <w:shd w:val="clear" w:color="auto" w:fill="auto"/>
            <w:vAlign w:val="center"/>
          </w:tcPr>
          <w:p w14:paraId="2584EBD1" w14:textId="77777777" w:rsidR="00520626" w:rsidRPr="00520626" w:rsidRDefault="00520626" w:rsidP="00520626">
            <w:pPr>
              <w:jc w:val="center"/>
              <w:rPr>
                <w:b/>
                <w:bCs/>
                <w:color w:val="000000"/>
                <w:sz w:val="16"/>
                <w:szCs w:val="16"/>
                <w:lang w:val="en-GB"/>
              </w:rPr>
            </w:pPr>
            <w:r w:rsidRPr="00520626">
              <w:rPr>
                <w:b/>
                <w:bCs/>
                <w:color w:val="000000"/>
                <w:sz w:val="16"/>
                <w:szCs w:val="16"/>
                <w:lang w:val="en-GB"/>
              </w:rPr>
              <w:t>Major partners/ partnerships</w:t>
            </w:r>
          </w:p>
          <w:p w14:paraId="77576A3E" w14:textId="77777777" w:rsidR="00520626" w:rsidRPr="00520626" w:rsidRDefault="00520626" w:rsidP="00520626">
            <w:pPr>
              <w:jc w:val="center"/>
              <w:rPr>
                <w:b/>
                <w:bCs/>
                <w:color w:val="000000"/>
                <w:sz w:val="16"/>
                <w:szCs w:val="16"/>
                <w:lang w:val="en-GB"/>
              </w:rPr>
            </w:pPr>
          </w:p>
        </w:tc>
        <w:tc>
          <w:tcPr>
            <w:tcW w:w="614" w:type="pct"/>
            <w:shd w:val="clear" w:color="auto" w:fill="auto"/>
            <w:tcMar>
              <w:top w:w="15" w:type="dxa"/>
              <w:left w:w="108" w:type="dxa"/>
              <w:bottom w:w="0" w:type="dxa"/>
              <w:right w:w="108" w:type="dxa"/>
            </w:tcMar>
            <w:vAlign w:val="center"/>
          </w:tcPr>
          <w:p w14:paraId="6F93CB00" w14:textId="72FA2819" w:rsidR="00520626" w:rsidRPr="00520626" w:rsidRDefault="00520626" w:rsidP="00520626">
            <w:pPr>
              <w:jc w:val="center"/>
              <w:rPr>
                <w:b/>
                <w:bCs/>
                <w:color w:val="000000"/>
                <w:sz w:val="16"/>
                <w:szCs w:val="16"/>
                <w:lang w:val="en-GB"/>
              </w:rPr>
            </w:pPr>
            <w:r w:rsidRPr="00520626">
              <w:rPr>
                <w:b/>
                <w:bCs/>
                <w:color w:val="000000"/>
                <w:sz w:val="16"/>
                <w:szCs w:val="16"/>
                <w:lang w:val="en-GB"/>
              </w:rPr>
              <w:t xml:space="preserve">Indicative resources by </w:t>
            </w:r>
            <w:r w:rsidR="00836F71" w:rsidRPr="00520626">
              <w:rPr>
                <w:b/>
                <w:bCs/>
                <w:color w:val="000000"/>
                <w:sz w:val="16"/>
                <w:szCs w:val="16"/>
                <w:lang w:val="en-GB"/>
              </w:rPr>
              <w:t xml:space="preserve">outcome </w:t>
            </w:r>
            <w:r w:rsidR="00836F71">
              <w:rPr>
                <w:b/>
                <w:bCs/>
                <w:color w:val="000000"/>
                <w:sz w:val="16"/>
                <w:szCs w:val="16"/>
                <w:lang w:val="en-GB"/>
              </w:rPr>
              <w:t>(</w:t>
            </w:r>
            <w:r w:rsidR="007B1BBC">
              <w:rPr>
                <w:b/>
                <w:bCs/>
                <w:color w:val="000000"/>
                <w:sz w:val="16"/>
                <w:szCs w:val="16"/>
                <w:lang w:val="en-GB"/>
              </w:rPr>
              <w:t>$)</w:t>
            </w:r>
          </w:p>
        </w:tc>
      </w:tr>
      <w:tr w:rsidR="00520626" w:rsidRPr="00520626" w14:paraId="7E19444F" w14:textId="77777777" w:rsidTr="001E3495">
        <w:tc>
          <w:tcPr>
            <w:tcW w:w="702" w:type="pct"/>
            <w:tcMar>
              <w:top w:w="72" w:type="dxa"/>
              <w:left w:w="144" w:type="dxa"/>
              <w:bottom w:w="72" w:type="dxa"/>
              <w:right w:w="144" w:type="dxa"/>
            </w:tcMar>
          </w:tcPr>
          <w:p w14:paraId="07781982" w14:textId="77777777" w:rsidR="00520626" w:rsidRPr="00C03C5A" w:rsidRDefault="00520626" w:rsidP="00520626">
            <w:pPr>
              <w:rPr>
                <w:sz w:val="16"/>
                <w:szCs w:val="16"/>
                <w:lang w:val="en-GB"/>
              </w:rPr>
            </w:pPr>
            <w:r w:rsidRPr="00C03C5A">
              <w:rPr>
                <w:sz w:val="16"/>
                <w:szCs w:val="16"/>
                <w:lang w:val="en-GB"/>
              </w:rPr>
              <w:t xml:space="preserve">Indicators are being developed as part of the UNSF </w:t>
            </w:r>
          </w:p>
          <w:p w14:paraId="25773671" w14:textId="77777777" w:rsidR="00520626" w:rsidRPr="00C03C5A" w:rsidRDefault="00520626" w:rsidP="00520626">
            <w:pPr>
              <w:rPr>
                <w:sz w:val="16"/>
                <w:szCs w:val="16"/>
                <w:lang w:val="en-GB"/>
              </w:rPr>
            </w:pPr>
          </w:p>
          <w:p w14:paraId="697058F3" w14:textId="77777777" w:rsidR="00520626" w:rsidRPr="00C03C5A" w:rsidRDefault="00520626" w:rsidP="007B1BBC">
            <w:pPr>
              <w:rPr>
                <w:bCs/>
                <w:color w:val="000000"/>
                <w:sz w:val="16"/>
                <w:szCs w:val="16"/>
                <w:lang w:val="en-GB"/>
              </w:rPr>
            </w:pPr>
          </w:p>
        </w:tc>
        <w:tc>
          <w:tcPr>
            <w:tcW w:w="705" w:type="pct"/>
            <w:vMerge w:val="restart"/>
          </w:tcPr>
          <w:p w14:paraId="1611628F" w14:textId="5663FB40" w:rsidR="00520626" w:rsidRPr="00C03C5A" w:rsidRDefault="00520626" w:rsidP="00520626">
            <w:pPr>
              <w:spacing w:after="120"/>
              <w:ind w:left="253"/>
              <w:rPr>
                <w:bCs/>
                <w:color w:val="000000"/>
                <w:sz w:val="16"/>
                <w:szCs w:val="16"/>
                <w:lang w:val="en-GB"/>
              </w:rPr>
            </w:pPr>
            <w:r w:rsidRPr="00C03C5A">
              <w:rPr>
                <w:bCs/>
                <w:color w:val="000000"/>
                <w:sz w:val="16"/>
                <w:szCs w:val="16"/>
                <w:lang w:val="en-GB"/>
              </w:rPr>
              <w:t xml:space="preserve">In house, varies according to </w:t>
            </w:r>
            <w:r w:rsidR="00C03C5A">
              <w:rPr>
                <w:bCs/>
                <w:color w:val="000000"/>
                <w:sz w:val="16"/>
                <w:szCs w:val="16"/>
                <w:lang w:val="en-GB"/>
              </w:rPr>
              <w:t>annua</w:t>
            </w:r>
            <w:r w:rsidR="009B6CBA">
              <w:rPr>
                <w:bCs/>
                <w:color w:val="000000"/>
                <w:sz w:val="16"/>
                <w:szCs w:val="16"/>
                <w:lang w:val="en-GB"/>
              </w:rPr>
              <w:t>l</w:t>
            </w:r>
            <w:r w:rsidR="00C03C5A">
              <w:rPr>
                <w:bCs/>
                <w:color w:val="000000"/>
                <w:sz w:val="16"/>
                <w:szCs w:val="16"/>
                <w:lang w:val="en-GB"/>
              </w:rPr>
              <w:t xml:space="preserve"> workplans</w:t>
            </w:r>
            <w:r w:rsidRPr="00C03C5A">
              <w:rPr>
                <w:bCs/>
                <w:color w:val="000000"/>
                <w:sz w:val="16"/>
                <w:szCs w:val="16"/>
                <w:lang w:val="en-GB"/>
              </w:rPr>
              <w:t>, project team</w:t>
            </w:r>
          </w:p>
        </w:tc>
        <w:tc>
          <w:tcPr>
            <w:tcW w:w="2329" w:type="pct"/>
            <w:tcMar>
              <w:top w:w="72" w:type="dxa"/>
              <w:left w:w="144" w:type="dxa"/>
              <w:bottom w:w="72" w:type="dxa"/>
              <w:right w:w="144" w:type="dxa"/>
            </w:tcMar>
          </w:tcPr>
          <w:p w14:paraId="33FEBA3A" w14:textId="77777777" w:rsidR="00520626" w:rsidRPr="00520626" w:rsidRDefault="00520626" w:rsidP="00520626">
            <w:pPr>
              <w:rPr>
                <w:b/>
                <w:sz w:val="16"/>
                <w:szCs w:val="16"/>
                <w:lang w:val="en-GB"/>
              </w:rPr>
            </w:pPr>
            <w:r w:rsidRPr="00520626">
              <w:rPr>
                <w:b/>
                <w:sz w:val="16"/>
                <w:szCs w:val="16"/>
                <w:lang w:val="en-GB"/>
              </w:rPr>
              <w:t xml:space="preserve">Output 1.1 Space for national reconciliation is created addressing community needs and mutual interests   </w:t>
            </w:r>
          </w:p>
          <w:p w14:paraId="4E3B1857" w14:textId="77777777" w:rsidR="00520626" w:rsidRPr="00520626" w:rsidRDefault="00520626" w:rsidP="00520626">
            <w:pPr>
              <w:rPr>
                <w:b/>
                <w:i/>
                <w:sz w:val="16"/>
                <w:szCs w:val="16"/>
                <w:lang w:val="en-GB"/>
              </w:rPr>
            </w:pPr>
          </w:p>
          <w:p w14:paraId="4C219034" w14:textId="77777777" w:rsidR="00520626" w:rsidRPr="00520626" w:rsidRDefault="00520626" w:rsidP="00520626">
            <w:pPr>
              <w:rPr>
                <w:b/>
                <w:i/>
                <w:sz w:val="16"/>
                <w:szCs w:val="16"/>
                <w:lang w:val="en-GB"/>
              </w:rPr>
            </w:pPr>
            <w:r w:rsidRPr="00520626">
              <w:rPr>
                <w:b/>
                <w:i/>
                <w:sz w:val="16"/>
                <w:szCs w:val="16"/>
                <w:lang w:val="en-GB"/>
              </w:rPr>
              <w:t xml:space="preserve">Indicator 1.1.1. Number of reconciliation dialogues created at the national level  </w:t>
            </w:r>
          </w:p>
          <w:p w14:paraId="3EA6097C" w14:textId="717BBEED" w:rsidR="00520626" w:rsidRPr="00520626" w:rsidRDefault="00520626" w:rsidP="00520626">
            <w:pPr>
              <w:ind w:left="709"/>
              <w:rPr>
                <w:iCs/>
                <w:sz w:val="16"/>
                <w:szCs w:val="16"/>
                <w:lang w:val="en-GB"/>
              </w:rPr>
            </w:pPr>
            <w:r w:rsidRPr="00520626">
              <w:rPr>
                <w:iCs/>
                <w:sz w:val="16"/>
                <w:szCs w:val="16"/>
                <w:lang w:val="en-GB"/>
              </w:rPr>
              <w:t>Baseline:  1 (East), 1 (West</w:t>
            </w:r>
            <w:r w:rsidR="00836F71" w:rsidRPr="00520626">
              <w:rPr>
                <w:iCs/>
                <w:sz w:val="16"/>
                <w:szCs w:val="16"/>
                <w:lang w:val="en-GB"/>
              </w:rPr>
              <w:t>), 2 (</w:t>
            </w:r>
            <w:r w:rsidRPr="00520626">
              <w:rPr>
                <w:iCs/>
                <w:sz w:val="16"/>
                <w:szCs w:val="16"/>
                <w:lang w:val="en-GB"/>
              </w:rPr>
              <w:t>South)</w:t>
            </w:r>
          </w:p>
          <w:p w14:paraId="02C6B7C9" w14:textId="67961418" w:rsidR="00520626" w:rsidRPr="00520626" w:rsidRDefault="00520626" w:rsidP="00520626">
            <w:pPr>
              <w:ind w:left="720"/>
              <w:rPr>
                <w:iCs/>
                <w:sz w:val="16"/>
                <w:szCs w:val="16"/>
                <w:lang w:val="en-GB"/>
              </w:rPr>
            </w:pPr>
            <w:r w:rsidRPr="00520626">
              <w:rPr>
                <w:iCs/>
                <w:sz w:val="16"/>
                <w:szCs w:val="16"/>
                <w:lang w:val="en-GB"/>
              </w:rPr>
              <w:t>Target:  8 (East), 8 (West</w:t>
            </w:r>
            <w:r w:rsidR="00836F71" w:rsidRPr="00520626">
              <w:rPr>
                <w:iCs/>
                <w:sz w:val="16"/>
                <w:szCs w:val="16"/>
                <w:lang w:val="en-GB"/>
              </w:rPr>
              <w:t>), 8</w:t>
            </w:r>
            <w:r w:rsidRPr="00520626">
              <w:rPr>
                <w:iCs/>
                <w:sz w:val="16"/>
                <w:szCs w:val="16"/>
                <w:lang w:val="en-GB"/>
              </w:rPr>
              <w:t xml:space="preserve"> (South) </w:t>
            </w:r>
          </w:p>
          <w:p w14:paraId="1C85566A" w14:textId="77777777" w:rsidR="00520626" w:rsidRPr="00520626" w:rsidRDefault="00520626" w:rsidP="00520626">
            <w:pPr>
              <w:ind w:left="720"/>
              <w:rPr>
                <w:sz w:val="16"/>
                <w:szCs w:val="16"/>
                <w:lang w:val="en-GB"/>
              </w:rPr>
            </w:pPr>
            <w:r w:rsidRPr="00520626">
              <w:rPr>
                <w:iCs/>
                <w:sz w:val="16"/>
                <w:szCs w:val="16"/>
                <w:lang w:val="en-GB"/>
              </w:rPr>
              <w:t xml:space="preserve">Source: </w:t>
            </w:r>
            <w:r w:rsidRPr="00520626">
              <w:rPr>
                <w:sz w:val="16"/>
                <w:szCs w:val="16"/>
                <w:lang w:val="en-GB"/>
              </w:rPr>
              <w:t xml:space="preserve">UNDP </w:t>
            </w:r>
          </w:p>
          <w:p w14:paraId="4250E36C" w14:textId="77777777" w:rsidR="00520626" w:rsidRPr="00520626" w:rsidRDefault="00520626" w:rsidP="00520626">
            <w:pPr>
              <w:ind w:left="720"/>
              <w:rPr>
                <w:sz w:val="16"/>
                <w:szCs w:val="16"/>
                <w:lang w:val="en-GB"/>
              </w:rPr>
            </w:pPr>
          </w:p>
          <w:p w14:paraId="34317895" w14:textId="77777777" w:rsidR="00520626" w:rsidRPr="00520626" w:rsidRDefault="00520626" w:rsidP="00520626">
            <w:pPr>
              <w:rPr>
                <w:rFonts w:eastAsia="Calibri"/>
                <w:i/>
                <w:sz w:val="16"/>
                <w:szCs w:val="16"/>
                <w:lang w:val="en-GB"/>
              </w:rPr>
            </w:pPr>
            <w:r w:rsidRPr="00520626">
              <w:rPr>
                <w:b/>
                <w:i/>
                <w:sz w:val="16"/>
                <w:lang w:val="en-GB"/>
              </w:rPr>
              <w:t xml:space="preserve">Indicator 1.1.2 </w:t>
            </w:r>
            <w:r w:rsidRPr="00520626">
              <w:rPr>
                <w:rFonts w:eastAsia="Calibri"/>
                <w:b/>
                <w:i/>
                <w:sz w:val="16"/>
                <w:lang w:val="en-GB"/>
              </w:rPr>
              <w:t>Percentage of community initiatives based on the dialogue agreements</w:t>
            </w:r>
            <w:r w:rsidRPr="00520626">
              <w:rPr>
                <w:rFonts w:eastAsia="Calibri"/>
                <w:i/>
                <w:sz w:val="16"/>
                <w:szCs w:val="16"/>
                <w:lang w:val="en-GB"/>
              </w:rPr>
              <w:t xml:space="preserve">  </w:t>
            </w:r>
          </w:p>
          <w:p w14:paraId="68EBB781" w14:textId="77777777" w:rsidR="00520626" w:rsidRPr="00520626" w:rsidRDefault="00520626" w:rsidP="00520626">
            <w:pPr>
              <w:ind w:left="709"/>
              <w:rPr>
                <w:iCs/>
                <w:sz w:val="16"/>
                <w:szCs w:val="16"/>
                <w:lang w:val="en-GB"/>
              </w:rPr>
            </w:pPr>
            <w:r w:rsidRPr="00520626">
              <w:rPr>
                <w:iCs/>
                <w:sz w:val="16"/>
                <w:szCs w:val="16"/>
                <w:lang w:val="en-GB"/>
              </w:rPr>
              <w:t xml:space="preserve">Baseline:  0% </w:t>
            </w:r>
          </w:p>
          <w:p w14:paraId="35EBC5BA" w14:textId="77777777" w:rsidR="00520626" w:rsidRPr="00520626" w:rsidRDefault="00520626" w:rsidP="00520626">
            <w:pPr>
              <w:ind w:left="709"/>
              <w:rPr>
                <w:iCs/>
                <w:sz w:val="16"/>
                <w:szCs w:val="16"/>
                <w:lang w:val="en-GB"/>
              </w:rPr>
            </w:pPr>
            <w:r w:rsidRPr="00520626">
              <w:rPr>
                <w:iCs/>
                <w:sz w:val="16"/>
                <w:szCs w:val="16"/>
                <w:lang w:val="en-GB"/>
              </w:rPr>
              <w:t xml:space="preserve">Target:  50%  </w:t>
            </w:r>
          </w:p>
          <w:p w14:paraId="310D3FB2" w14:textId="77777777" w:rsidR="00520626" w:rsidRPr="00520626" w:rsidRDefault="00520626" w:rsidP="00520626">
            <w:pPr>
              <w:ind w:left="720"/>
              <w:rPr>
                <w:sz w:val="16"/>
                <w:szCs w:val="16"/>
                <w:lang w:val="en-GB"/>
              </w:rPr>
            </w:pPr>
            <w:r w:rsidRPr="00520626">
              <w:rPr>
                <w:iCs/>
                <w:sz w:val="16"/>
                <w:szCs w:val="16"/>
                <w:lang w:val="en-GB"/>
              </w:rPr>
              <w:t xml:space="preserve">Source: </w:t>
            </w:r>
            <w:r w:rsidRPr="00520626">
              <w:rPr>
                <w:sz w:val="16"/>
                <w:szCs w:val="16"/>
                <w:lang w:val="en-GB"/>
              </w:rPr>
              <w:t xml:space="preserve">UNDP </w:t>
            </w:r>
          </w:p>
          <w:p w14:paraId="6451624F" w14:textId="77777777" w:rsidR="00520626" w:rsidRPr="00520626" w:rsidRDefault="00520626" w:rsidP="00520626">
            <w:pPr>
              <w:ind w:left="720"/>
              <w:rPr>
                <w:sz w:val="16"/>
                <w:szCs w:val="16"/>
                <w:lang w:val="en-GB"/>
              </w:rPr>
            </w:pPr>
          </w:p>
          <w:p w14:paraId="213557F4" w14:textId="77777777" w:rsidR="00520626" w:rsidRPr="00520626" w:rsidRDefault="00520626" w:rsidP="00520626">
            <w:pPr>
              <w:rPr>
                <w:b/>
                <w:lang w:val="en-GB"/>
              </w:rPr>
            </w:pPr>
            <w:r w:rsidRPr="00520626">
              <w:rPr>
                <w:b/>
                <w:i/>
                <w:sz w:val="16"/>
              </w:rPr>
              <w:t xml:space="preserve">Indicator 1.1.3 </w:t>
            </w:r>
            <w:r w:rsidR="00D505D0">
              <w:rPr>
                <w:b/>
                <w:i/>
                <w:sz w:val="16"/>
              </w:rPr>
              <w:t>N</w:t>
            </w:r>
            <w:r w:rsidRPr="00520626">
              <w:rPr>
                <w:b/>
                <w:i/>
                <w:sz w:val="16"/>
              </w:rPr>
              <w:t xml:space="preserve">umber of media professionals reached out for conflict-sensitive journalism and communication </w:t>
            </w:r>
            <w:r w:rsidRPr="00520626">
              <w:rPr>
                <w:b/>
                <w:i/>
                <w:iCs/>
                <w:sz w:val="16"/>
                <w:szCs w:val="16"/>
              </w:rPr>
              <w:t>enhancement</w:t>
            </w:r>
            <w:r w:rsidRPr="00520626">
              <w:rPr>
                <w:b/>
                <w:lang w:val="en-GB"/>
              </w:rPr>
              <w:t xml:space="preserve"> </w:t>
            </w:r>
          </w:p>
          <w:p w14:paraId="167BEAA8" w14:textId="77777777" w:rsidR="00520626" w:rsidRPr="00520626" w:rsidRDefault="00520626" w:rsidP="00520626">
            <w:pPr>
              <w:ind w:left="709"/>
              <w:rPr>
                <w:iCs/>
                <w:sz w:val="16"/>
                <w:szCs w:val="16"/>
                <w:lang w:val="en-GB"/>
              </w:rPr>
            </w:pPr>
            <w:r w:rsidRPr="00520626">
              <w:rPr>
                <w:iCs/>
                <w:sz w:val="16"/>
                <w:szCs w:val="16"/>
                <w:lang w:val="en-GB"/>
              </w:rPr>
              <w:t xml:space="preserve">Baseline:  0 </w:t>
            </w:r>
          </w:p>
          <w:p w14:paraId="2AE5FFA8" w14:textId="77777777" w:rsidR="00520626" w:rsidRPr="00520626" w:rsidRDefault="00520626" w:rsidP="00520626">
            <w:pPr>
              <w:ind w:left="709"/>
              <w:rPr>
                <w:iCs/>
                <w:sz w:val="16"/>
                <w:szCs w:val="16"/>
                <w:lang w:val="en-GB"/>
              </w:rPr>
            </w:pPr>
            <w:r w:rsidRPr="00520626">
              <w:rPr>
                <w:iCs/>
                <w:sz w:val="16"/>
                <w:szCs w:val="16"/>
                <w:lang w:val="en-GB"/>
              </w:rPr>
              <w:t xml:space="preserve">Target:  </w:t>
            </w:r>
            <w:r w:rsidR="00864F68">
              <w:rPr>
                <w:iCs/>
                <w:sz w:val="16"/>
                <w:szCs w:val="16"/>
                <w:lang w:val="en-GB"/>
              </w:rPr>
              <w:t>5</w:t>
            </w:r>
            <w:r w:rsidRPr="00520626">
              <w:rPr>
                <w:iCs/>
                <w:sz w:val="16"/>
                <w:szCs w:val="16"/>
                <w:lang w:val="en-GB"/>
              </w:rPr>
              <w:t xml:space="preserve">0 </w:t>
            </w:r>
          </w:p>
          <w:p w14:paraId="548D9497" w14:textId="77777777" w:rsidR="00520626" w:rsidRPr="00520626" w:rsidRDefault="00520626" w:rsidP="00520626">
            <w:pPr>
              <w:ind w:left="720"/>
              <w:rPr>
                <w:sz w:val="16"/>
                <w:szCs w:val="16"/>
                <w:lang w:val="en-GB"/>
              </w:rPr>
            </w:pPr>
            <w:r w:rsidRPr="00520626">
              <w:rPr>
                <w:iCs/>
                <w:sz w:val="16"/>
                <w:szCs w:val="16"/>
                <w:lang w:val="en-GB"/>
              </w:rPr>
              <w:t xml:space="preserve">Source: </w:t>
            </w:r>
            <w:r w:rsidRPr="00520626">
              <w:rPr>
                <w:sz w:val="16"/>
                <w:szCs w:val="16"/>
                <w:lang w:val="en-GB"/>
              </w:rPr>
              <w:t xml:space="preserve">UNDP </w:t>
            </w:r>
          </w:p>
          <w:p w14:paraId="568A4669" w14:textId="77777777" w:rsidR="00520626" w:rsidRPr="00520626" w:rsidRDefault="00520626" w:rsidP="00520626">
            <w:pPr>
              <w:rPr>
                <w:iCs/>
                <w:lang w:val="en-GB"/>
              </w:rPr>
            </w:pPr>
          </w:p>
          <w:p w14:paraId="11BC1705" w14:textId="70536A17" w:rsidR="00520626" w:rsidRPr="00520626" w:rsidRDefault="00520626" w:rsidP="00520626">
            <w:pPr>
              <w:rPr>
                <w:b/>
                <w:i/>
                <w:sz w:val="16"/>
                <w:szCs w:val="16"/>
                <w:lang w:val="en-GB"/>
              </w:rPr>
            </w:pPr>
            <w:r w:rsidRPr="00520626">
              <w:rPr>
                <w:b/>
                <w:i/>
                <w:sz w:val="16"/>
                <w:szCs w:val="16"/>
                <w:lang w:val="en-GB" w:eastAsia="fr-FR"/>
              </w:rPr>
              <w:t xml:space="preserve">Indicator </w:t>
            </w:r>
            <w:r w:rsidR="00836F71" w:rsidRPr="00520626">
              <w:rPr>
                <w:b/>
                <w:i/>
                <w:sz w:val="16"/>
                <w:szCs w:val="16"/>
                <w:lang w:val="en-GB" w:eastAsia="fr-FR"/>
              </w:rPr>
              <w:t>1.1.4.</w:t>
            </w:r>
            <w:r w:rsidRPr="00520626">
              <w:rPr>
                <w:sz w:val="16"/>
                <w:szCs w:val="16"/>
                <w:lang w:val="en-GB" w:eastAsia="fr-FR"/>
              </w:rPr>
              <w:t xml:space="preserve"> </w:t>
            </w:r>
            <w:r w:rsidRPr="00520626">
              <w:rPr>
                <w:b/>
                <w:i/>
                <w:sz w:val="16"/>
                <w:szCs w:val="16"/>
                <w:lang w:val="en-GB"/>
              </w:rPr>
              <w:t>Number of municipalities with conflict mediation capacity strengthened</w:t>
            </w:r>
          </w:p>
          <w:p w14:paraId="77CBCB5E" w14:textId="3C71D303" w:rsidR="00520626" w:rsidRPr="00520626" w:rsidRDefault="00520626" w:rsidP="00520626">
            <w:pPr>
              <w:ind w:left="720"/>
              <w:rPr>
                <w:iCs/>
                <w:color w:val="000000"/>
                <w:sz w:val="16"/>
                <w:szCs w:val="16"/>
                <w:lang w:val="en-GB"/>
              </w:rPr>
            </w:pPr>
            <w:r w:rsidRPr="00520626">
              <w:rPr>
                <w:iCs/>
                <w:color w:val="000000"/>
                <w:sz w:val="16"/>
                <w:szCs w:val="16"/>
                <w:lang w:val="en-GB"/>
              </w:rPr>
              <w:t xml:space="preserve">Baseline: </w:t>
            </w:r>
            <w:r w:rsidRPr="00520626">
              <w:rPr>
                <w:sz w:val="16"/>
                <w:szCs w:val="16"/>
              </w:rPr>
              <w:t xml:space="preserve">8 (Ubari, Sirt, </w:t>
            </w:r>
            <w:r w:rsidR="00836F71" w:rsidRPr="00520626">
              <w:rPr>
                <w:sz w:val="16"/>
                <w:szCs w:val="16"/>
              </w:rPr>
              <w:t>Sabha</w:t>
            </w:r>
            <w:r w:rsidRPr="00520626">
              <w:rPr>
                <w:sz w:val="16"/>
                <w:szCs w:val="16"/>
              </w:rPr>
              <w:t>, Bani Walid, Tripoli</w:t>
            </w:r>
            <w:r w:rsidR="00D505D0">
              <w:rPr>
                <w:sz w:val="16"/>
                <w:szCs w:val="16"/>
              </w:rPr>
              <w:t>,</w:t>
            </w:r>
            <w:r w:rsidRPr="00520626">
              <w:rPr>
                <w:sz w:val="16"/>
                <w:szCs w:val="16"/>
                <w:lang w:val="en-GB"/>
              </w:rPr>
              <w:t xml:space="preserve"> Murzuq, Kufra, Sabratha</w:t>
            </w:r>
            <w:r w:rsidR="00D505D0">
              <w:rPr>
                <w:sz w:val="16"/>
                <w:szCs w:val="16"/>
                <w:lang w:val="en-GB"/>
              </w:rPr>
              <w:t>)</w:t>
            </w:r>
          </w:p>
          <w:p w14:paraId="6045C9F6" w14:textId="77777777" w:rsidR="00520626" w:rsidRPr="00520626" w:rsidRDefault="00520626" w:rsidP="00D505D0">
            <w:pPr>
              <w:ind w:left="720"/>
              <w:rPr>
                <w:iCs/>
                <w:color w:val="000000"/>
                <w:sz w:val="16"/>
                <w:szCs w:val="16"/>
                <w:lang w:val="en-GB"/>
              </w:rPr>
            </w:pPr>
            <w:r w:rsidRPr="00520626">
              <w:rPr>
                <w:iCs/>
                <w:color w:val="000000"/>
                <w:sz w:val="16"/>
                <w:szCs w:val="16"/>
                <w:lang w:val="en-GB"/>
              </w:rPr>
              <w:t>Target: 10 (</w:t>
            </w:r>
            <w:r w:rsidR="00D505D0">
              <w:rPr>
                <w:iCs/>
                <w:color w:val="000000"/>
                <w:sz w:val="16"/>
                <w:szCs w:val="16"/>
                <w:lang w:val="en-GB"/>
              </w:rPr>
              <w:t>those above, plus</w:t>
            </w:r>
            <w:r w:rsidR="00D505D0">
              <w:rPr>
                <w:sz w:val="16"/>
                <w:szCs w:val="16"/>
              </w:rPr>
              <w:t xml:space="preserve"> </w:t>
            </w:r>
            <w:r w:rsidRPr="00520626">
              <w:rPr>
                <w:sz w:val="16"/>
                <w:szCs w:val="16"/>
              </w:rPr>
              <w:t>Tawergha, Ajdabiya</w:t>
            </w:r>
            <w:r w:rsidRPr="00520626">
              <w:rPr>
                <w:iCs/>
                <w:color w:val="000000"/>
                <w:sz w:val="16"/>
                <w:szCs w:val="16"/>
                <w:lang w:val="en-GB"/>
              </w:rPr>
              <w:t>)</w:t>
            </w:r>
          </w:p>
          <w:p w14:paraId="7061C319" w14:textId="77777777" w:rsidR="00520626" w:rsidRPr="008C5F0F" w:rsidRDefault="00520626" w:rsidP="008C5F0F">
            <w:pPr>
              <w:ind w:left="720"/>
              <w:rPr>
                <w:iCs/>
                <w:color w:val="000000"/>
                <w:sz w:val="16"/>
                <w:szCs w:val="16"/>
                <w:lang w:val="en-GB"/>
              </w:rPr>
            </w:pPr>
            <w:r w:rsidRPr="00520626">
              <w:rPr>
                <w:iCs/>
                <w:color w:val="000000"/>
                <w:sz w:val="16"/>
                <w:szCs w:val="16"/>
                <w:lang w:val="en-GB"/>
              </w:rPr>
              <w:t xml:space="preserve">Source:  UNDP  </w:t>
            </w:r>
          </w:p>
        </w:tc>
        <w:tc>
          <w:tcPr>
            <w:tcW w:w="650" w:type="pct"/>
            <w:vMerge w:val="restart"/>
          </w:tcPr>
          <w:p w14:paraId="71868306" w14:textId="347299FF" w:rsidR="00520626" w:rsidRPr="00520626" w:rsidRDefault="00520626" w:rsidP="00520626">
            <w:pPr>
              <w:rPr>
                <w:iCs/>
                <w:color w:val="000000"/>
                <w:sz w:val="16"/>
                <w:szCs w:val="16"/>
                <w:lang w:val="en-GB"/>
              </w:rPr>
            </w:pPr>
            <w:r w:rsidRPr="00520626">
              <w:rPr>
                <w:iCs/>
                <w:color w:val="000000"/>
                <w:sz w:val="16"/>
                <w:szCs w:val="16"/>
                <w:lang w:val="en-GB"/>
              </w:rPr>
              <w:t xml:space="preserve">Ministries of </w:t>
            </w:r>
            <w:r w:rsidR="00B751A9">
              <w:rPr>
                <w:iCs/>
                <w:color w:val="000000"/>
                <w:sz w:val="16"/>
                <w:szCs w:val="16"/>
                <w:lang w:val="en-GB"/>
              </w:rPr>
              <w:t>J</w:t>
            </w:r>
            <w:r w:rsidR="00B751A9" w:rsidRPr="00520626">
              <w:rPr>
                <w:iCs/>
                <w:color w:val="000000"/>
                <w:sz w:val="16"/>
                <w:szCs w:val="16"/>
                <w:lang w:val="en-GB"/>
              </w:rPr>
              <w:t>ustice</w:t>
            </w:r>
            <w:r w:rsidR="00B751A9">
              <w:rPr>
                <w:iCs/>
                <w:color w:val="000000"/>
                <w:sz w:val="16"/>
                <w:szCs w:val="16"/>
                <w:lang w:val="en-GB"/>
              </w:rPr>
              <w:t xml:space="preserve"> and of I</w:t>
            </w:r>
            <w:r w:rsidRPr="00520626">
              <w:rPr>
                <w:iCs/>
                <w:color w:val="000000"/>
                <w:sz w:val="16"/>
                <w:szCs w:val="16"/>
                <w:lang w:val="en-GB"/>
              </w:rPr>
              <w:t xml:space="preserve">nterior, Judicial Council, Presidential Council, High National Electoral Commission, High Judicial Institute, Office of Audit, National Anti-Corruption Commission, municipalities </w:t>
            </w:r>
          </w:p>
          <w:p w14:paraId="505D8194" w14:textId="77777777" w:rsidR="00520626" w:rsidRPr="00520626" w:rsidRDefault="00520626" w:rsidP="00520626">
            <w:pPr>
              <w:rPr>
                <w:i/>
                <w:sz w:val="16"/>
                <w:szCs w:val="16"/>
                <w:lang w:val="en-GB"/>
              </w:rPr>
            </w:pPr>
          </w:p>
          <w:p w14:paraId="2E40E31C" w14:textId="2B8AA866" w:rsidR="00520626" w:rsidRPr="00520626" w:rsidRDefault="00520626" w:rsidP="00520626">
            <w:pPr>
              <w:rPr>
                <w:sz w:val="16"/>
                <w:lang w:val="es-MX"/>
              </w:rPr>
            </w:pPr>
            <w:r w:rsidRPr="00520626">
              <w:rPr>
                <w:sz w:val="16"/>
                <w:lang w:val="es-MX"/>
              </w:rPr>
              <w:t>UNSMIL, UN</w:t>
            </w:r>
            <w:r w:rsidR="00B751A9">
              <w:rPr>
                <w:sz w:val="16"/>
                <w:lang w:val="es-MX"/>
              </w:rPr>
              <w:t>-</w:t>
            </w:r>
            <w:r w:rsidRPr="00520626">
              <w:rPr>
                <w:sz w:val="16"/>
                <w:lang w:val="es-MX"/>
              </w:rPr>
              <w:t>Women, UNICEF, UNODC</w:t>
            </w:r>
          </w:p>
          <w:p w14:paraId="0A556292" w14:textId="77777777" w:rsidR="00520626" w:rsidRPr="00520626" w:rsidRDefault="00520626" w:rsidP="00520626">
            <w:pPr>
              <w:rPr>
                <w:i/>
                <w:sz w:val="16"/>
                <w:szCs w:val="16"/>
                <w:lang w:val="es-MX"/>
              </w:rPr>
            </w:pPr>
          </w:p>
          <w:p w14:paraId="08B333C3" w14:textId="77777777" w:rsidR="00520626" w:rsidRPr="00520626" w:rsidRDefault="00520626" w:rsidP="00520626">
            <w:pPr>
              <w:rPr>
                <w:sz w:val="16"/>
                <w:szCs w:val="16"/>
                <w:lang w:val="es-MX"/>
              </w:rPr>
            </w:pPr>
            <w:r w:rsidRPr="00520626">
              <w:rPr>
                <w:sz w:val="16"/>
                <w:szCs w:val="16"/>
                <w:lang w:val="es-MX"/>
              </w:rPr>
              <w:t xml:space="preserve">Media, CSOs </w:t>
            </w:r>
          </w:p>
          <w:p w14:paraId="5DD58692" w14:textId="77777777" w:rsidR="00520626" w:rsidRPr="00520626" w:rsidRDefault="00520626" w:rsidP="00520626">
            <w:pPr>
              <w:rPr>
                <w:i/>
                <w:sz w:val="16"/>
                <w:szCs w:val="16"/>
                <w:lang w:val="es-MX"/>
              </w:rPr>
            </w:pPr>
          </w:p>
          <w:p w14:paraId="63987ADC" w14:textId="77777777" w:rsidR="00520626" w:rsidRPr="00520626" w:rsidRDefault="00520626" w:rsidP="00520626">
            <w:pPr>
              <w:rPr>
                <w:sz w:val="16"/>
                <w:szCs w:val="16"/>
                <w:lang w:val="en-GB"/>
              </w:rPr>
            </w:pPr>
            <w:r w:rsidRPr="00520626">
              <w:rPr>
                <w:sz w:val="16"/>
                <w:szCs w:val="16"/>
                <w:lang w:val="en-GB"/>
              </w:rPr>
              <w:t>E</w:t>
            </w:r>
            <w:r w:rsidR="00B751A9">
              <w:rPr>
                <w:sz w:val="16"/>
                <w:szCs w:val="16"/>
                <w:lang w:val="en-GB"/>
              </w:rPr>
              <w:t xml:space="preserve">uropean </w:t>
            </w:r>
            <w:r w:rsidRPr="00520626">
              <w:rPr>
                <w:sz w:val="16"/>
                <w:szCs w:val="16"/>
                <w:lang w:val="en-GB"/>
              </w:rPr>
              <w:t>U</w:t>
            </w:r>
            <w:r w:rsidR="00B751A9">
              <w:rPr>
                <w:sz w:val="16"/>
                <w:szCs w:val="16"/>
                <w:lang w:val="en-GB"/>
              </w:rPr>
              <w:t>nion</w:t>
            </w:r>
          </w:p>
          <w:p w14:paraId="6BAE325F" w14:textId="77777777" w:rsidR="00520626" w:rsidRPr="00520626" w:rsidRDefault="00520626" w:rsidP="00520626">
            <w:pPr>
              <w:rPr>
                <w:i/>
                <w:iCs/>
                <w:color w:val="000000"/>
                <w:sz w:val="16"/>
                <w:szCs w:val="16"/>
                <w:lang w:val="en-GB"/>
              </w:rPr>
            </w:pPr>
          </w:p>
        </w:tc>
        <w:tc>
          <w:tcPr>
            <w:tcW w:w="614" w:type="pct"/>
            <w:tcMar>
              <w:top w:w="15" w:type="dxa"/>
              <w:left w:w="108" w:type="dxa"/>
              <w:bottom w:w="0" w:type="dxa"/>
              <w:right w:w="108" w:type="dxa"/>
            </w:tcMar>
          </w:tcPr>
          <w:p w14:paraId="14CF484C" w14:textId="77777777" w:rsidR="00520626" w:rsidRPr="00520626" w:rsidRDefault="00520626" w:rsidP="00520626">
            <w:pPr>
              <w:rPr>
                <w:b/>
                <w:color w:val="000000"/>
                <w:sz w:val="16"/>
                <w:szCs w:val="16"/>
                <w:lang w:val="en-GB"/>
              </w:rPr>
            </w:pPr>
            <w:r w:rsidRPr="00520626">
              <w:rPr>
                <w:b/>
                <w:color w:val="000000"/>
                <w:sz w:val="16"/>
                <w:szCs w:val="16"/>
                <w:lang w:val="en-GB"/>
              </w:rPr>
              <w:t xml:space="preserve">Regular   </w:t>
            </w:r>
          </w:p>
          <w:p w14:paraId="6F1540BB" w14:textId="77777777" w:rsidR="00520626" w:rsidRDefault="007B1BBC" w:rsidP="00520626">
            <w:pPr>
              <w:rPr>
                <w:b/>
                <w:color w:val="000000"/>
                <w:sz w:val="16"/>
                <w:szCs w:val="16"/>
                <w:lang w:val="en-GB"/>
              </w:rPr>
            </w:pPr>
            <w:r>
              <w:rPr>
                <w:b/>
                <w:color w:val="000000"/>
                <w:sz w:val="16"/>
                <w:szCs w:val="16"/>
                <w:lang w:val="en-GB"/>
              </w:rPr>
              <w:t>$</w:t>
            </w:r>
            <w:r w:rsidR="00A42512">
              <w:rPr>
                <w:b/>
                <w:color w:val="000000"/>
                <w:sz w:val="16"/>
                <w:szCs w:val="16"/>
                <w:lang w:val="en-GB"/>
              </w:rPr>
              <w:t xml:space="preserve">145, 280 </w:t>
            </w:r>
          </w:p>
          <w:p w14:paraId="1D613DD2" w14:textId="77777777" w:rsidR="00A42512" w:rsidRPr="00520626" w:rsidRDefault="00A42512" w:rsidP="00520626">
            <w:pPr>
              <w:rPr>
                <w:b/>
                <w:color w:val="000000"/>
                <w:sz w:val="16"/>
                <w:szCs w:val="16"/>
                <w:lang w:val="en-GB"/>
              </w:rPr>
            </w:pPr>
          </w:p>
          <w:p w14:paraId="368D6CBE" w14:textId="77777777" w:rsidR="00520626" w:rsidRPr="00520626" w:rsidRDefault="00520626" w:rsidP="00520626">
            <w:pPr>
              <w:rPr>
                <w:b/>
                <w:color w:val="000000"/>
                <w:sz w:val="16"/>
                <w:szCs w:val="16"/>
                <w:lang w:val="en-GB"/>
              </w:rPr>
            </w:pPr>
            <w:r w:rsidRPr="00520626">
              <w:rPr>
                <w:b/>
                <w:color w:val="000000"/>
                <w:sz w:val="16"/>
                <w:szCs w:val="16"/>
                <w:lang w:val="en-GB"/>
              </w:rPr>
              <w:t xml:space="preserve">Other  </w:t>
            </w:r>
          </w:p>
          <w:p w14:paraId="6A918B7D" w14:textId="77777777" w:rsidR="00520626" w:rsidRPr="007B1BBC" w:rsidRDefault="007B1BBC" w:rsidP="00520626">
            <w:pPr>
              <w:rPr>
                <w:b/>
                <w:color w:val="000000"/>
                <w:sz w:val="16"/>
                <w:szCs w:val="16"/>
                <w:lang w:val="en-GB"/>
              </w:rPr>
            </w:pPr>
            <w:r>
              <w:rPr>
                <w:b/>
                <w:color w:val="000000"/>
                <w:sz w:val="16"/>
                <w:szCs w:val="16"/>
                <w:lang w:val="en-GB"/>
              </w:rPr>
              <w:t>$</w:t>
            </w:r>
            <w:r w:rsidR="00520626" w:rsidRPr="00520626">
              <w:rPr>
                <w:b/>
                <w:color w:val="000000"/>
                <w:sz w:val="16"/>
                <w:szCs w:val="16"/>
                <w:lang w:val="en-GB"/>
              </w:rPr>
              <w:t>29,100,000</w:t>
            </w:r>
          </w:p>
          <w:p w14:paraId="6CA12BC6" w14:textId="77777777" w:rsidR="00520626" w:rsidRPr="00520626" w:rsidRDefault="00520626" w:rsidP="00520626">
            <w:pPr>
              <w:rPr>
                <w:b/>
                <w:color w:val="000000"/>
                <w:sz w:val="16"/>
                <w:szCs w:val="16"/>
              </w:rPr>
            </w:pPr>
          </w:p>
        </w:tc>
      </w:tr>
      <w:tr w:rsidR="00520626" w:rsidRPr="00520626" w14:paraId="47600023" w14:textId="77777777" w:rsidTr="001E3495">
        <w:tc>
          <w:tcPr>
            <w:tcW w:w="702" w:type="pct"/>
            <w:tcMar>
              <w:top w:w="72" w:type="dxa"/>
              <w:left w:w="144" w:type="dxa"/>
              <w:bottom w:w="72" w:type="dxa"/>
              <w:right w:w="144" w:type="dxa"/>
            </w:tcMar>
          </w:tcPr>
          <w:p w14:paraId="2A5E94CB" w14:textId="77777777" w:rsidR="00520626" w:rsidRPr="00520626" w:rsidRDefault="00520626" w:rsidP="007B1BBC">
            <w:pPr>
              <w:rPr>
                <w:sz w:val="16"/>
                <w:szCs w:val="16"/>
                <w:u w:val="single"/>
                <w:lang w:val="en-GB"/>
              </w:rPr>
            </w:pPr>
          </w:p>
        </w:tc>
        <w:tc>
          <w:tcPr>
            <w:tcW w:w="705" w:type="pct"/>
            <w:vMerge/>
          </w:tcPr>
          <w:p w14:paraId="097F0099" w14:textId="77777777" w:rsidR="00520626" w:rsidRPr="00520626" w:rsidRDefault="00520626" w:rsidP="00520626">
            <w:pPr>
              <w:rPr>
                <w:i/>
                <w:iCs/>
                <w:sz w:val="16"/>
                <w:szCs w:val="16"/>
                <w:lang w:val="en-GB"/>
              </w:rPr>
            </w:pPr>
          </w:p>
        </w:tc>
        <w:tc>
          <w:tcPr>
            <w:tcW w:w="2329" w:type="pct"/>
            <w:tcMar>
              <w:top w:w="72" w:type="dxa"/>
              <w:left w:w="144" w:type="dxa"/>
              <w:bottom w:w="72" w:type="dxa"/>
              <w:right w:w="144" w:type="dxa"/>
            </w:tcMar>
          </w:tcPr>
          <w:p w14:paraId="6846A0AE" w14:textId="77777777" w:rsidR="00520626" w:rsidRPr="00520626" w:rsidRDefault="00520626" w:rsidP="00520626">
            <w:pPr>
              <w:rPr>
                <w:b/>
                <w:sz w:val="16"/>
                <w:szCs w:val="16"/>
                <w:lang w:val="en-GB"/>
              </w:rPr>
            </w:pPr>
            <w:r w:rsidRPr="00520626">
              <w:rPr>
                <w:b/>
                <w:sz w:val="16"/>
                <w:szCs w:val="16"/>
                <w:lang w:val="en-GB"/>
              </w:rPr>
              <w:t xml:space="preserve">Output 1.2: </w:t>
            </w:r>
            <w:r w:rsidRPr="00520626">
              <w:rPr>
                <w:b/>
                <w:sz w:val="16"/>
                <w:szCs w:val="16"/>
              </w:rPr>
              <w:t xml:space="preserve"> </w:t>
            </w:r>
            <w:r w:rsidR="00B751A9">
              <w:rPr>
                <w:b/>
                <w:sz w:val="16"/>
                <w:szCs w:val="16"/>
              </w:rPr>
              <w:t xml:space="preserve">High </w:t>
            </w:r>
            <w:r w:rsidR="00B07B53">
              <w:rPr>
                <w:b/>
                <w:sz w:val="16"/>
                <w:szCs w:val="16"/>
              </w:rPr>
              <w:t xml:space="preserve">Commission for </w:t>
            </w:r>
            <w:r w:rsidR="00B751A9">
              <w:rPr>
                <w:b/>
                <w:sz w:val="16"/>
                <w:szCs w:val="16"/>
              </w:rPr>
              <w:t>National Elect</w:t>
            </w:r>
            <w:r w:rsidR="00B07B53">
              <w:rPr>
                <w:b/>
                <w:sz w:val="16"/>
                <w:szCs w:val="16"/>
              </w:rPr>
              <w:t>ions</w:t>
            </w:r>
            <w:r w:rsidR="00B751A9">
              <w:rPr>
                <w:b/>
                <w:sz w:val="16"/>
                <w:szCs w:val="16"/>
              </w:rPr>
              <w:t xml:space="preserve"> (</w:t>
            </w:r>
            <w:r w:rsidRPr="00520626">
              <w:rPr>
                <w:b/>
                <w:sz w:val="16"/>
                <w:szCs w:val="16"/>
              </w:rPr>
              <w:t>HNEC</w:t>
            </w:r>
            <w:r w:rsidR="00B751A9">
              <w:rPr>
                <w:b/>
                <w:sz w:val="16"/>
                <w:szCs w:val="16"/>
              </w:rPr>
              <w:t>)</w:t>
            </w:r>
            <w:r w:rsidRPr="00520626">
              <w:rPr>
                <w:b/>
                <w:sz w:val="16"/>
                <w:szCs w:val="16"/>
              </w:rPr>
              <w:t xml:space="preserve"> capacity </w:t>
            </w:r>
            <w:r w:rsidRPr="00520626">
              <w:rPr>
                <w:b/>
                <w:bCs/>
                <w:sz w:val="16"/>
                <w:szCs w:val="16"/>
              </w:rPr>
              <w:t>to conduct inclusive, credible and transparent elections enhanced</w:t>
            </w:r>
          </w:p>
          <w:p w14:paraId="788F2EC4" w14:textId="77777777" w:rsidR="00520626" w:rsidRPr="00520626" w:rsidRDefault="00520626" w:rsidP="00520626">
            <w:pPr>
              <w:rPr>
                <w:b/>
                <w:sz w:val="16"/>
                <w:szCs w:val="16"/>
                <w:lang w:val="en-GB"/>
              </w:rPr>
            </w:pPr>
          </w:p>
          <w:p w14:paraId="28020333" w14:textId="77777777" w:rsidR="00520626" w:rsidRPr="00520626" w:rsidRDefault="00520626" w:rsidP="00520626">
            <w:pPr>
              <w:rPr>
                <w:b/>
                <w:i/>
                <w:sz w:val="16"/>
                <w:szCs w:val="16"/>
                <w:lang w:val="en-GB"/>
              </w:rPr>
            </w:pPr>
            <w:r w:rsidRPr="00520626">
              <w:rPr>
                <w:b/>
                <w:i/>
                <w:sz w:val="16"/>
                <w:szCs w:val="16"/>
                <w:lang w:val="en-GB"/>
              </w:rPr>
              <w:t xml:space="preserve">Indicator 1.2. 1: Percentage of HNEC local representations in place  </w:t>
            </w:r>
          </w:p>
          <w:p w14:paraId="704187E0" w14:textId="77777777" w:rsidR="00520626" w:rsidRPr="00520626" w:rsidRDefault="00520626" w:rsidP="00520626">
            <w:pPr>
              <w:ind w:left="720"/>
              <w:rPr>
                <w:iCs/>
                <w:sz w:val="16"/>
                <w:szCs w:val="16"/>
                <w:lang w:val="en-GB"/>
              </w:rPr>
            </w:pPr>
            <w:r w:rsidRPr="00520626">
              <w:rPr>
                <w:iCs/>
                <w:sz w:val="16"/>
                <w:szCs w:val="16"/>
                <w:lang w:val="en-GB"/>
              </w:rPr>
              <w:t xml:space="preserve">Baseline: 20% </w:t>
            </w:r>
          </w:p>
          <w:p w14:paraId="1D06A01A" w14:textId="77777777" w:rsidR="00520626" w:rsidRPr="00520626" w:rsidRDefault="00520626" w:rsidP="00520626">
            <w:pPr>
              <w:ind w:left="720"/>
              <w:rPr>
                <w:iCs/>
                <w:sz w:val="16"/>
                <w:szCs w:val="16"/>
                <w:lang w:val="en-GB"/>
              </w:rPr>
            </w:pPr>
            <w:r w:rsidRPr="00520626">
              <w:rPr>
                <w:iCs/>
                <w:sz w:val="16"/>
                <w:szCs w:val="16"/>
                <w:lang w:val="en-GB"/>
              </w:rPr>
              <w:t xml:space="preserve">Target: 80% </w:t>
            </w:r>
          </w:p>
          <w:p w14:paraId="2238C583" w14:textId="77777777" w:rsidR="00520626" w:rsidRPr="00520626" w:rsidRDefault="00520626" w:rsidP="00520626">
            <w:pPr>
              <w:ind w:left="720"/>
              <w:rPr>
                <w:iCs/>
                <w:sz w:val="16"/>
                <w:szCs w:val="16"/>
                <w:lang w:val="en-GB"/>
              </w:rPr>
            </w:pPr>
            <w:r w:rsidRPr="00520626">
              <w:rPr>
                <w:iCs/>
                <w:sz w:val="16"/>
                <w:szCs w:val="16"/>
                <w:lang w:val="en-GB"/>
              </w:rPr>
              <w:t xml:space="preserve">Source: UNDP/HNEC </w:t>
            </w:r>
          </w:p>
          <w:p w14:paraId="76FDF1AD" w14:textId="77777777" w:rsidR="00520626" w:rsidRPr="00520626" w:rsidRDefault="00520626" w:rsidP="00520626">
            <w:pPr>
              <w:ind w:left="720"/>
              <w:rPr>
                <w:iCs/>
                <w:sz w:val="16"/>
                <w:szCs w:val="16"/>
                <w:lang w:val="en-GB"/>
              </w:rPr>
            </w:pPr>
          </w:p>
          <w:p w14:paraId="072D77CE" w14:textId="77777777" w:rsidR="00520626" w:rsidRPr="00520626" w:rsidRDefault="00520626" w:rsidP="00520626">
            <w:pPr>
              <w:rPr>
                <w:b/>
                <w:i/>
                <w:sz w:val="16"/>
                <w:szCs w:val="16"/>
                <w:lang w:val="en-GB"/>
              </w:rPr>
            </w:pPr>
            <w:r w:rsidRPr="00520626">
              <w:rPr>
                <w:b/>
                <w:i/>
                <w:sz w:val="16"/>
                <w:szCs w:val="16"/>
                <w:lang w:val="en-GB"/>
              </w:rPr>
              <w:lastRenderedPageBreak/>
              <w:t>Indicator 1.2.2: Number of initiatives adopted by the HNEC to increase the political participation of vulnerable group</w:t>
            </w:r>
            <w:r w:rsidR="00D505D0">
              <w:rPr>
                <w:b/>
                <w:i/>
                <w:sz w:val="16"/>
                <w:szCs w:val="16"/>
                <w:lang w:val="en-GB"/>
              </w:rPr>
              <w:t>s,</w:t>
            </w:r>
            <w:r w:rsidRPr="00520626">
              <w:rPr>
                <w:b/>
                <w:i/>
                <w:sz w:val="16"/>
                <w:szCs w:val="16"/>
                <w:lang w:val="en-GB"/>
              </w:rPr>
              <w:t xml:space="preserve"> women and youth </w:t>
            </w:r>
          </w:p>
          <w:p w14:paraId="7659DA59" w14:textId="77777777" w:rsidR="00520626" w:rsidRPr="00520626" w:rsidRDefault="00520626" w:rsidP="00520626">
            <w:pPr>
              <w:rPr>
                <w:b/>
                <w:i/>
                <w:sz w:val="16"/>
                <w:szCs w:val="16"/>
                <w:lang w:val="en-GB"/>
              </w:rPr>
            </w:pPr>
          </w:p>
          <w:p w14:paraId="701A713B" w14:textId="77777777" w:rsidR="00520626" w:rsidRPr="00520626" w:rsidRDefault="00520626" w:rsidP="00520626">
            <w:pPr>
              <w:ind w:left="720"/>
              <w:rPr>
                <w:iCs/>
                <w:sz w:val="16"/>
                <w:szCs w:val="16"/>
                <w:lang w:val="en-GB"/>
              </w:rPr>
            </w:pPr>
            <w:r w:rsidRPr="00520626">
              <w:rPr>
                <w:iCs/>
                <w:sz w:val="16"/>
                <w:szCs w:val="16"/>
                <w:lang w:val="en-GB"/>
              </w:rPr>
              <w:t xml:space="preserve">Baseline:  0   </w:t>
            </w:r>
          </w:p>
          <w:p w14:paraId="4176C9A9" w14:textId="77777777" w:rsidR="00520626" w:rsidRPr="00520626" w:rsidRDefault="00520626" w:rsidP="00520626">
            <w:pPr>
              <w:ind w:left="720"/>
              <w:rPr>
                <w:iCs/>
                <w:sz w:val="16"/>
                <w:szCs w:val="16"/>
                <w:lang w:val="en-GB"/>
              </w:rPr>
            </w:pPr>
            <w:r w:rsidRPr="00520626">
              <w:rPr>
                <w:iCs/>
                <w:sz w:val="16"/>
                <w:szCs w:val="16"/>
                <w:lang w:val="en-GB"/>
              </w:rPr>
              <w:t xml:space="preserve">Target: 2 </w:t>
            </w:r>
          </w:p>
          <w:p w14:paraId="05234186" w14:textId="77777777" w:rsidR="00520626" w:rsidRPr="00520626" w:rsidRDefault="00520626" w:rsidP="008C5F0F">
            <w:pPr>
              <w:ind w:left="720"/>
              <w:rPr>
                <w:iCs/>
                <w:sz w:val="16"/>
                <w:szCs w:val="16"/>
                <w:lang w:val="en-GB"/>
              </w:rPr>
            </w:pPr>
            <w:r w:rsidRPr="00520626">
              <w:rPr>
                <w:iCs/>
                <w:sz w:val="16"/>
                <w:szCs w:val="16"/>
                <w:lang w:val="en-GB"/>
              </w:rPr>
              <w:t xml:space="preserve">Source: UNDP/HNEC </w:t>
            </w:r>
          </w:p>
        </w:tc>
        <w:tc>
          <w:tcPr>
            <w:tcW w:w="650" w:type="pct"/>
            <w:vMerge/>
          </w:tcPr>
          <w:p w14:paraId="34955F16" w14:textId="77777777" w:rsidR="00520626" w:rsidRPr="00520626" w:rsidRDefault="00520626" w:rsidP="00520626">
            <w:pPr>
              <w:jc w:val="center"/>
              <w:rPr>
                <w:i/>
                <w:iCs/>
                <w:color w:val="000000"/>
                <w:sz w:val="16"/>
                <w:szCs w:val="16"/>
                <w:lang w:val="en-GB"/>
              </w:rPr>
            </w:pPr>
          </w:p>
        </w:tc>
        <w:tc>
          <w:tcPr>
            <w:tcW w:w="614" w:type="pct"/>
            <w:tcMar>
              <w:top w:w="15" w:type="dxa"/>
              <w:left w:w="108" w:type="dxa"/>
              <w:bottom w:w="0" w:type="dxa"/>
              <w:right w:w="108" w:type="dxa"/>
            </w:tcMar>
          </w:tcPr>
          <w:p w14:paraId="616DABAD" w14:textId="77777777" w:rsidR="00520626" w:rsidRPr="00520626" w:rsidRDefault="00520626" w:rsidP="00520626">
            <w:pPr>
              <w:rPr>
                <w:b/>
                <w:color w:val="000000"/>
                <w:sz w:val="16"/>
                <w:szCs w:val="16"/>
                <w:lang w:val="en-GB"/>
              </w:rPr>
            </w:pPr>
            <w:r w:rsidRPr="00520626">
              <w:rPr>
                <w:b/>
                <w:color w:val="000000"/>
                <w:sz w:val="16"/>
                <w:szCs w:val="16"/>
                <w:lang w:val="en-GB"/>
              </w:rPr>
              <w:t xml:space="preserve"> </w:t>
            </w:r>
          </w:p>
        </w:tc>
      </w:tr>
      <w:tr w:rsidR="00520626" w:rsidRPr="00520626" w14:paraId="7D6D0921" w14:textId="77777777" w:rsidTr="00B2315A">
        <w:tc>
          <w:tcPr>
            <w:tcW w:w="702" w:type="pct"/>
            <w:vMerge w:val="restart"/>
            <w:tcMar>
              <w:top w:w="72" w:type="dxa"/>
              <w:left w:w="144" w:type="dxa"/>
              <w:bottom w:w="72" w:type="dxa"/>
              <w:right w:w="144" w:type="dxa"/>
            </w:tcMar>
          </w:tcPr>
          <w:p w14:paraId="48F214F5" w14:textId="77777777" w:rsidR="00520626" w:rsidRPr="00520626" w:rsidRDefault="00520626" w:rsidP="00520626">
            <w:pPr>
              <w:rPr>
                <w:i/>
                <w:iCs/>
                <w:color w:val="000000"/>
                <w:sz w:val="16"/>
                <w:szCs w:val="16"/>
                <w:lang w:val="en-GB"/>
              </w:rPr>
            </w:pPr>
          </w:p>
        </w:tc>
        <w:tc>
          <w:tcPr>
            <w:tcW w:w="705" w:type="pct"/>
            <w:vMerge w:val="restart"/>
          </w:tcPr>
          <w:p w14:paraId="0A1AD778" w14:textId="77777777" w:rsidR="00520626" w:rsidRPr="00520626" w:rsidRDefault="00520626" w:rsidP="00520626">
            <w:pPr>
              <w:rPr>
                <w:i/>
                <w:iCs/>
                <w:color w:val="000000"/>
                <w:sz w:val="16"/>
                <w:szCs w:val="16"/>
                <w:lang w:val="en-GB"/>
              </w:rPr>
            </w:pPr>
          </w:p>
        </w:tc>
        <w:tc>
          <w:tcPr>
            <w:tcW w:w="2329" w:type="pct"/>
            <w:tcMar>
              <w:top w:w="72" w:type="dxa"/>
              <w:left w:w="144" w:type="dxa"/>
              <w:bottom w:w="72" w:type="dxa"/>
              <w:right w:w="144" w:type="dxa"/>
            </w:tcMar>
          </w:tcPr>
          <w:p w14:paraId="42C8CF9D" w14:textId="77777777" w:rsidR="00520626" w:rsidRPr="00520626" w:rsidRDefault="00520626" w:rsidP="00520626">
            <w:pPr>
              <w:rPr>
                <w:b/>
                <w:sz w:val="16"/>
                <w:szCs w:val="16"/>
                <w:lang w:val="en-GB"/>
              </w:rPr>
            </w:pPr>
            <w:r w:rsidRPr="00520626">
              <w:rPr>
                <w:b/>
                <w:sz w:val="16"/>
                <w:szCs w:val="16"/>
                <w:lang w:val="en-GB"/>
              </w:rPr>
              <w:t xml:space="preserve">Output 1. 3 Existing transitional justice mechanisms strengthened  </w:t>
            </w:r>
          </w:p>
          <w:p w14:paraId="2CD19CA4" w14:textId="77777777" w:rsidR="00520626" w:rsidRPr="00520626" w:rsidRDefault="00520626" w:rsidP="00520626">
            <w:pPr>
              <w:rPr>
                <w:b/>
                <w:i/>
                <w:sz w:val="16"/>
                <w:szCs w:val="16"/>
                <w:lang w:val="en-GB"/>
              </w:rPr>
            </w:pPr>
          </w:p>
          <w:p w14:paraId="00731AEB" w14:textId="77777777" w:rsidR="00520626" w:rsidRPr="00520626" w:rsidRDefault="00520626" w:rsidP="00520626">
            <w:pPr>
              <w:rPr>
                <w:b/>
                <w:i/>
                <w:sz w:val="16"/>
                <w:szCs w:val="16"/>
                <w:lang w:val="en-GB"/>
              </w:rPr>
            </w:pPr>
            <w:r w:rsidRPr="00520626">
              <w:rPr>
                <w:b/>
                <w:i/>
                <w:sz w:val="16"/>
                <w:szCs w:val="16"/>
                <w:lang w:val="en-GB"/>
              </w:rPr>
              <w:t xml:space="preserve">Indicator 1.3.1. </w:t>
            </w:r>
            <w:r w:rsidR="006C331B">
              <w:rPr>
                <w:b/>
                <w:i/>
                <w:sz w:val="16"/>
                <w:szCs w:val="16"/>
                <w:lang w:val="en-GB"/>
              </w:rPr>
              <w:t>Number of t</w:t>
            </w:r>
            <w:r w:rsidRPr="00520626">
              <w:rPr>
                <w:b/>
                <w:i/>
                <w:sz w:val="16"/>
                <w:szCs w:val="16"/>
                <w:lang w:val="en-GB"/>
              </w:rPr>
              <w:t xml:space="preserve">ransitional justice strategies developed at local or regional level </w:t>
            </w:r>
          </w:p>
          <w:p w14:paraId="5ADC6CF5" w14:textId="77777777" w:rsidR="00520626" w:rsidRPr="00520626" w:rsidRDefault="00520626" w:rsidP="00520626">
            <w:pPr>
              <w:ind w:left="720"/>
              <w:rPr>
                <w:iCs/>
                <w:color w:val="000000"/>
                <w:sz w:val="16"/>
                <w:szCs w:val="16"/>
                <w:lang w:val="en-GB"/>
              </w:rPr>
            </w:pPr>
            <w:r w:rsidRPr="00520626">
              <w:rPr>
                <w:iCs/>
                <w:color w:val="000000"/>
                <w:sz w:val="16"/>
                <w:szCs w:val="16"/>
                <w:lang w:val="en-GB"/>
              </w:rPr>
              <w:t xml:space="preserve">Baseline: 1 </w:t>
            </w:r>
          </w:p>
          <w:p w14:paraId="554CC6B3" w14:textId="77777777" w:rsidR="00520626" w:rsidRPr="00520626" w:rsidRDefault="00520626" w:rsidP="00520626">
            <w:pPr>
              <w:ind w:left="705" w:hanging="705"/>
              <w:rPr>
                <w:iCs/>
                <w:color w:val="000000"/>
                <w:sz w:val="16"/>
                <w:szCs w:val="16"/>
                <w:lang w:val="en-GB"/>
              </w:rPr>
            </w:pPr>
            <w:r w:rsidRPr="00520626">
              <w:rPr>
                <w:iCs/>
                <w:color w:val="000000"/>
                <w:sz w:val="16"/>
                <w:szCs w:val="16"/>
                <w:lang w:val="en-GB"/>
              </w:rPr>
              <w:t xml:space="preserve">                  Target: 3 </w:t>
            </w:r>
          </w:p>
          <w:p w14:paraId="7D6FA235" w14:textId="77777777" w:rsidR="00520626" w:rsidRPr="00520626" w:rsidRDefault="00520626" w:rsidP="00520626">
            <w:pPr>
              <w:ind w:left="720"/>
              <w:rPr>
                <w:iCs/>
                <w:color w:val="000000"/>
                <w:sz w:val="16"/>
                <w:szCs w:val="16"/>
                <w:lang w:val="en-GB"/>
              </w:rPr>
            </w:pPr>
            <w:r w:rsidRPr="00520626">
              <w:rPr>
                <w:iCs/>
                <w:color w:val="000000"/>
                <w:sz w:val="16"/>
                <w:szCs w:val="16"/>
                <w:lang w:val="en-GB"/>
              </w:rPr>
              <w:t xml:space="preserve">Source:  UNDP  </w:t>
            </w:r>
          </w:p>
          <w:p w14:paraId="3EAEBBA6" w14:textId="77777777" w:rsidR="00520626" w:rsidRPr="00520626" w:rsidRDefault="00520626" w:rsidP="00520626">
            <w:pPr>
              <w:ind w:left="720"/>
              <w:rPr>
                <w:iCs/>
                <w:color w:val="000000"/>
                <w:sz w:val="16"/>
                <w:szCs w:val="16"/>
                <w:lang w:val="en-GB"/>
              </w:rPr>
            </w:pPr>
          </w:p>
          <w:p w14:paraId="50619476" w14:textId="77777777" w:rsidR="00520626" w:rsidRPr="00520626" w:rsidRDefault="00520626" w:rsidP="00520626">
            <w:pPr>
              <w:rPr>
                <w:b/>
                <w:i/>
                <w:sz w:val="16"/>
                <w:szCs w:val="16"/>
                <w:lang w:val="en-GB"/>
              </w:rPr>
            </w:pPr>
            <w:r w:rsidRPr="00520626">
              <w:rPr>
                <w:b/>
                <w:i/>
                <w:sz w:val="16"/>
                <w:szCs w:val="16"/>
                <w:lang w:val="en-GB"/>
              </w:rPr>
              <w:t xml:space="preserve">Indicator 1.3.2. Number of judges trained on </w:t>
            </w:r>
            <w:r w:rsidR="00801FD2">
              <w:rPr>
                <w:b/>
                <w:i/>
                <w:sz w:val="16"/>
                <w:szCs w:val="16"/>
                <w:lang w:val="en-GB"/>
              </w:rPr>
              <w:t>addressing</w:t>
            </w:r>
            <w:r w:rsidRPr="00520626">
              <w:rPr>
                <w:b/>
                <w:i/>
                <w:sz w:val="16"/>
                <w:szCs w:val="16"/>
                <w:lang w:val="en-GB"/>
              </w:rPr>
              <w:t xml:space="preserve"> serious international crimes </w:t>
            </w:r>
          </w:p>
          <w:p w14:paraId="4A8965CF" w14:textId="77777777" w:rsidR="00520626" w:rsidRPr="00520626" w:rsidRDefault="00520626" w:rsidP="00520626">
            <w:pPr>
              <w:ind w:left="720"/>
              <w:rPr>
                <w:iCs/>
                <w:color w:val="000000"/>
                <w:sz w:val="16"/>
                <w:szCs w:val="16"/>
                <w:lang w:val="en-GB"/>
              </w:rPr>
            </w:pPr>
            <w:r w:rsidRPr="00520626">
              <w:rPr>
                <w:iCs/>
                <w:color w:val="000000"/>
                <w:sz w:val="16"/>
                <w:szCs w:val="16"/>
                <w:lang w:val="en-GB"/>
              </w:rPr>
              <w:t>Baseline: 2</w:t>
            </w:r>
          </w:p>
          <w:p w14:paraId="1413821B" w14:textId="77777777" w:rsidR="00520626" w:rsidRPr="00520626" w:rsidRDefault="00520626" w:rsidP="00520626">
            <w:pPr>
              <w:ind w:left="720"/>
              <w:rPr>
                <w:iCs/>
                <w:color w:val="000000"/>
                <w:sz w:val="16"/>
                <w:szCs w:val="16"/>
                <w:lang w:val="en-GB"/>
              </w:rPr>
            </w:pPr>
            <w:r w:rsidRPr="00520626">
              <w:rPr>
                <w:iCs/>
                <w:color w:val="000000"/>
                <w:sz w:val="16"/>
                <w:szCs w:val="16"/>
                <w:lang w:val="en-GB"/>
              </w:rPr>
              <w:t>Target:  6</w:t>
            </w:r>
          </w:p>
          <w:p w14:paraId="4B72F95C" w14:textId="77777777" w:rsidR="00520626" w:rsidRPr="00520626" w:rsidRDefault="00520626" w:rsidP="00520626">
            <w:pPr>
              <w:ind w:left="720"/>
              <w:rPr>
                <w:iCs/>
                <w:color w:val="000000"/>
                <w:sz w:val="16"/>
                <w:szCs w:val="16"/>
                <w:lang w:val="en-GB"/>
              </w:rPr>
            </w:pPr>
            <w:r w:rsidRPr="00520626">
              <w:rPr>
                <w:iCs/>
                <w:color w:val="000000"/>
                <w:sz w:val="16"/>
                <w:szCs w:val="16"/>
                <w:lang w:val="en-GB"/>
              </w:rPr>
              <w:t xml:space="preserve">Source: UNDP   </w:t>
            </w:r>
          </w:p>
          <w:p w14:paraId="14D51711" w14:textId="77777777" w:rsidR="00520626" w:rsidRPr="00520626" w:rsidRDefault="00520626" w:rsidP="00520626">
            <w:pPr>
              <w:ind w:left="720"/>
              <w:rPr>
                <w:iCs/>
                <w:color w:val="000000"/>
                <w:sz w:val="16"/>
                <w:szCs w:val="16"/>
                <w:lang w:val="en-GB"/>
              </w:rPr>
            </w:pPr>
          </w:p>
          <w:p w14:paraId="4DE29615" w14:textId="77777777" w:rsidR="00520626" w:rsidRPr="00520626" w:rsidRDefault="00520626" w:rsidP="00520626">
            <w:pPr>
              <w:rPr>
                <w:b/>
                <w:i/>
                <w:sz w:val="16"/>
                <w:szCs w:val="16"/>
                <w:lang w:val="en-GB"/>
              </w:rPr>
            </w:pPr>
            <w:r w:rsidRPr="00520626">
              <w:rPr>
                <w:b/>
                <w:i/>
                <w:sz w:val="16"/>
                <w:szCs w:val="16"/>
                <w:lang w:val="en-GB"/>
              </w:rPr>
              <w:t xml:space="preserve">Indicator 1.3.3. Number of prosecutors trained on </w:t>
            </w:r>
            <w:r w:rsidR="00801FD2">
              <w:rPr>
                <w:b/>
                <w:i/>
                <w:sz w:val="16"/>
                <w:szCs w:val="16"/>
                <w:lang w:val="en-GB"/>
              </w:rPr>
              <w:t>addressing</w:t>
            </w:r>
            <w:r w:rsidRPr="00520626">
              <w:rPr>
                <w:b/>
                <w:i/>
                <w:sz w:val="16"/>
                <w:szCs w:val="16"/>
                <w:lang w:val="en-GB"/>
              </w:rPr>
              <w:t xml:space="preserve"> serious international crimes  </w:t>
            </w:r>
          </w:p>
          <w:p w14:paraId="08A4723B" w14:textId="77777777" w:rsidR="00520626" w:rsidRPr="00520626" w:rsidRDefault="00520626" w:rsidP="00520626">
            <w:pPr>
              <w:ind w:left="720"/>
              <w:rPr>
                <w:iCs/>
                <w:color w:val="000000"/>
                <w:sz w:val="16"/>
                <w:szCs w:val="16"/>
                <w:lang w:val="en-GB"/>
              </w:rPr>
            </w:pPr>
            <w:r w:rsidRPr="00520626">
              <w:rPr>
                <w:iCs/>
                <w:color w:val="000000"/>
                <w:sz w:val="16"/>
                <w:szCs w:val="16"/>
                <w:lang w:val="en-GB"/>
              </w:rPr>
              <w:t xml:space="preserve">Baseline: 10 </w:t>
            </w:r>
          </w:p>
          <w:p w14:paraId="27BF09AB" w14:textId="77777777" w:rsidR="00520626" w:rsidRPr="00520626" w:rsidRDefault="00520626" w:rsidP="00520626">
            <w:pPr>
              <w:ind w:left="720"/>
              <w:rPr>
                <w:iCs/>
                <w:color w:val="000000"/>
                <w:sz w:val="16"/>
                <w:szCs w:val="16"/>
                <w:lang w:val="en-GB"/>
              </w:rPr>
            </w:pPr>
            <w:r w:rsidRPr="00520626">
              <w:rPr>
                <w:iCs/>
                <w:color w:val="000000"/>
                <w:sz w:val="16"/>
                <w:szCs w:val="16"/>
                <w:lang w:val="en-GB"/>
              </w:rPr>
              <w:t>Target:  30</w:t>
            </w:r>
          </w:p>
          <w:p w14:paraId="66E29C7E" w14:textId="77777777" w:rsidR="00520626" w:rsidRPr="00520626" w:rsidRDefault="00520626" w:rsidP="00D83BC8">
            <w:pPr>
              <w:ind w:left="720"/>
              <w:rPr>
                <w:iCs/>
                <w:color w:val="000000"/>
                <w:sz w:val="16"/>
                <w:szCs w:val="16"/>
                <w:lang w:val="en-GB"/>
              </w:rPr>
            </w:pPr>
            <w:r w:rsidRPr="00520626">
              <w:rPr>
                <w:iCs/>
                <w:color w:val="000000"/>
                <w:sz w:val="16"/>
                <w:szCs w:val="16"/>
                <w:lang w:val="en-GB"/>
              </w:rPr>
              <w:t xml:space="preserve">Source: UNDP   </w:t>
            </w:r>
          </w:p>
        </w:tc>
        <w:tc>
          <w:tcPr>
            <w:tcW w:w="650" w:type="pct"/>
            <w:vMerge w:val="restart"/>
          </w:tcPr>
          <w:p w14:paraId="1E9A7088" w14:textId="77777777" w:rsidR="00520626" w:rsidRPr="00520626" w:rsidRDefault="00520626" w:rsidP="00520626">
            <w:pPr>
              <w:rPr>
                <w:i/>
                <w:iCs/>
                <w:color w:val="000000"/>
                <w:sz w:val="16"/>
                <w:szCs w:val="16"/>
                <w:lang w:val="en-GB"/>
              </w:rPr>
            </w:pPr>
          </w:p>
        </w:tc>
        <w:tc>
          <w:tcPr>
            <w:tcW w:w="614" w:type="pct"/>
            <w:vMerge w:val="restart"/>
            <w:tcMar>
              <w:top w:w="15" w:type="dxa"/>
              <w:left w:w="108" w:type="dxa"/>
              <w:bottom w:w="0" w:type="dxa"/>
              <w:right w:w="108" w:type="dxa"/>
            </w:tcMar>
          </w:tcPr>
          <w:p w14:paraId="25DBD452" w14:textId="77777777" w:rsidR="00520626" w:rsidRPr="00520626" w:rsidRDefault="00520626" w:rsidP="00520626">
            <w:pPr>
              <w:rPr>
                <w:b/>
                <w:color w:val="000000"/>
                <w:sz w:val="16"/>
                <w:szCs w:val="16"/>
                <w:lang w:val="en-GB"/>
              </w:rPr>
            </w:pPr>
          </w:p>
        </w:tc>
      </w:tr>
      <w:tr w:rsidR="00520626" w:rsidRPr="00520626" w14:paraId="55FB0FE8" w14:textId="77777777" w:rsidTr="00B2315A">
        <w:tc>
          <w:tcPr>
            <w:tcW w:w="702" w:type="pct"/>
            <w:vMerge/>
            <w:tcMar>
              <w:top w:w="72" w:type="dxa"/>
              <w:left w:w="144" w:type="dxa"/>
              <w:bottom w:w="72" w:type="dxa"/>
              <w:right w:w="144" w:type="dxa"/>
            </w:tcMar>
          </w:tcPr>
          <w:p w14:paraId="5B0431CB" w14:textId="77777777" w:rsidR="00520626" w:rsidRPr="00520626" w:rsidRDefault="00520626" w:rsidP="00520626">
            <w:pPr>
              <w:rPr>
                <w:i/>
                <w:iCs/>
                <w:color w:val="000000"/>
                <w:sz w:val="16"/>
                <w:szCs w:val="16"/>
                <w:lang w:val="en-GB"/>
              </w:rPr>
            </w:pPr>
          </w:p>
        </w:tc>
        <w:tc>
          <w:tcPr>
            <w:tcW w:w="705" w:type="pct"/>
            <w:vMerge/>
          </w:tcPr>
          <w:p w14:paraId="4AF72DDC" w14:textId="77777777" w:rsidR="00520626" w:rsidRPr="00520626" w:rsidRDefault="00520626" w:rsidP="00520626">
            <w:pPr>
              <w:rPr>
                <w:i/>
                <w:iCs/>
                <w:color w:val="000000"/>
                <w:sz w:val="16"/>
                <w:szCs w:val="16"/>
                <w:lang w:val="en-GB"/>
              </w:rPr>
            </w:pPr>
          </w:p>
        </w:tc>
        <w:tc>
          <w:tcPr>
            <w:tcW w:w="2329" w:type="pct"/>
            <w:tcMar>
              <w:top w:w="72" w:type="dxa"/>
              <w:left w:w="144" w:type="dxa"/>
              <w:bottom w:w="72" w:type="dxa"/>
              <w:right w:w="144" w:type="dxa"/>
            </w:tcMar>
          </w:tcPr>
          <w:p w14:paraId="07A72718" w14:textId="77777777" w:rsidR="00520626" w:rsidRPr="00520626" w:rsidRDefault="00520626" w:rsidP="00520626">
            <w:pPr>
              <w:rPr>
                <w:b/>
                <w:sz w:val="16"/>
                <w:szCs w:val="16"/>
                <w:lang w:val="en-GB"/>
              </w:rPr>
            </w:pPr>
            <w:r w:rsidRPr="00520626">
              <w:rPr>
                <w:b/>
                <w:sz w:val="16"/>
                <w:szCs w:val="16"/>
                <w:lang w:val="en-GB"/>
              </w:rPr>
              <w:t>Output 1.4. National capacities to advance safety and security improved, including through more effective and community-oriented policing and rule of law services.</w:t>
            </w:r>
          </w:p>
          <w:p w14:paraId="329372DA" w14:textId="77777777" w:rsidR="00520626" w:rsidRPr="00520626" w:rsidRDefault="00520626" w:rsidP="00520626">
            <w:pPr>
              <w:rPr>
                <w:b/>
                <w:i/>
                <w:iCs/>
                <w:sz w:val="16"/>
                <w:szCs w:val="16"/>
                <w:lang w:val="en-GB"/>
              </w:rPr>
            </w:pPr>
          </w:p>
          <w:p w14:paraId="5DA9D256" w14:textId="77777777" w:rsidR="00520626" w:rsidRPr="00520626" w:rsidRDefault="00520626" w:rsidP="00520626">
            <w:pPr>
              <w:autoSpaceDE w:val="0"/>
              <w:autoSpaceDN w:val="0"/>
              <w:adjustRightInd w:val="0"/>
              <w:rPr>
                <w:b/>
                <w:i/>
                <w:sz w:val="16"/>
                <w:szCs w:val="16"/>
                <w:lang w:val="en-GB"/>
              </w:rPr>
            </w:pPr>
            <w:r w:rsidRPr="00520626">
              <w:rPr>
                <w:b/>
                <w:i/>
                <w:sz w:val="16"/>
                <w:szCs w:val="16"/>
                <w:lang w:val="en-GB"/>
              </w:rPr>
              <w:t>Indicator 1.4.1 Ministries with support to enhanced management of finances, assets, human resources and procurement</w:t>
            </w:r>
          </w:p>
          <w:p w14:paraId="56F70F79" w14:textId="77777777" w:rsidR="00520626" w:rsidRPr="00520626" w:rsidRDefault="00520626" w:rsidP="00520626">
            <w:pPr>
              <w:ind w:left="720"/>
              <w:rPr>
                <w:iCs/>
                <w:color w:val="000000"/>
                <w:sz w:val="16"/>
                <w:szCs w:val="16"/>
                <w:lang w:val="en-GB"/>
              </w:rPr>
            </w:pPr>
            <w:r w:rsidRPr="00520626">
              <w:rPr>
                <w:iCs/>
                <w:color w:val="000000"/>
                <w:sz w:val="16"/>
                <w:szCs w:val="16"/>
                <w:lang w:val="en-GB"/>
              </w:rPr>
              <w:t xml:space="preserve">Baseline: 0  </w:t>
            </w:r>
          </w:p>
          <w:p w14:paraId="5F1973D1" w14:textId="77777777" w:rsidR="00520626" w:rsidRPr="00520626" w:rsidRDefault="00520626" w:rsidP="00520626">
            <w:pPr>
              <w:ind w:left="720"/>
              <w:rPr>
                <w:iCs/>
                <w:color w:val="000000"/>
                <w:sz w:val="16"/>
                <w:szCs w:val="16"/>
                <w:lang w:val="en-GB"/>
              </w:rPr>
            </w:pPr>
            <w:r w:rsidRPr="00520626">
              <w:rPr>
                <w:iCs/>
                <w:color w:val="000000"/>
                <w:sz w:val="16"/>
                <w:szCs w:val="16"/>
                <w:lang w:val="en-GB"/>
              </w:rPr>
              <w:t xml:space="preserve">Target: 1 </w:t>
            </w:r>
          </w:p>
          <w:p w14:paraId="6E7CF11D" w14:textId="77777777" w:rsidR="00520626" w:rsidRPr="00520626" w:rsidRDefault="00520626" w:rsidP="00520626">
            <w:pPr>
              <w:ind w:left="720"/>
              <w:rPr>
                <w:color w:val="000000"/>
                <w:sz w:val="16"/>
                <w:lang w:val="en-GB"/>
              </w:rPr>
            </w:pPr>
            <w:r w:rsidRPr="00520626">
              <w:rPr>
                <w:iCs/>
                <w:color w:val="000000"/>
                <w:sz w:val="16"/>
                <w:szCs w:val="16"/>
                <w:lang w:val="en-GB"/>
              </w:rPr>
              <w:t xml:space="preserve">Source:  UNDP </w:t>
            </w:r>
          </w:p>
          <w:p w14:paraId="4A3ADDB8" w14:textId="77777777" w:rsidR="00520626" w:rsidRPr="00520626" w:rsidRDefault="00520626" w:rsidP="00520626">
            <w:pPr>
              <w:ind w:left="720"/>
              <w:rPr>
                <w:color w:val="000000"/>
                <w:sz w:val="16"/>
                <w:lang w:val="en-GB"/>
              </w:rPr>
            </w:pPr>
          </w:p>
          <w:p w14:paraId="4F58C32B" w14:textId="77777777" w:rsidR="00520626" w:rsidRPr="00520626" w:rsidRDefault="00520626" w:rsidP="00520626">
            <w:pPr>
              <w:rPr>
                <w:b/>
                <w:i/>
                <w:sz w:val="16"/>
                <w:szCs w:val="16"/>
                <w:lang w:val="en-GB"/>
              </w:rPr>
            </w:pPr>
            <w:r w:rsidRPr="00520626">
              <w:rPr>
                <w:b/>
                <w:i/>
                <w:sz w:val="16"/>
                <w:szCs w:val="16"/>
                <w:lang w:val="en-GB"/>
              </w:rPr>
              <w:t xml:space="preserve">Indicator 1.4.2 Number of technical support initiatives for anti-corruption </w:t>
            </w:r>
          </w:p>
          <w:p w14:paraId="1B4434F8" w14:textId="77777777" w:rsidR="00520626" w:rsidRPr="00520626" w:rsidRDefault="00520626" w:rsidP="00520626">
            <w:pPr>
              <w:ind w:left="720"/>
              <w:rPr>
                <w:iCs/>
                <w:color w:val="000000"/>
                <w:sz w:val="16"/>
                <w:szCs w:val="16"/>
                <w:lang w:val="en-GB"/>
              </w:rPr>
            </w:pPr>
            <w:r w:rsidRPr="00520626">
              <w:rPr>
                <w:iCs/>
                <w:color w:val="000000"/>
                <w:sz w:val="16"/>
                <w:szCs w:val="16"/>
                <w:lang w:val="en-GB"/>
              </w:rPr>
              <w:t xml:space="preserve">Baseline: 0 </w:t>
            </w:r>
          </w:p>
          <w:p w14:paraId="22B0DA99" w14:textId="77777777" w:rsidR="00520626" w:rsidRPr="00520626" w:rsidRDefault="00520626" w:rsidP="00520626">
            <w:pPr>
              <w:ind w:left="720"/>
              <w:rPr>
                <w:iCs/>
                <w:color w:val="000000"/>
                <w:sz w:val="16"/>
                <w:szCs w:val="16"/>
                <w:lang w:val="en-GB"/>
              </w:rPr>
            </w:pPr>
            <w:r w:rsidRPr="00520626">
              <w:rPr>
                <w:iCs/>
                <w:color w:val="000000"/>
                <w:sz w:val="16"/>
                <w:szCs w:val="16"/>
                <w:lang w:val="en-GB"/>
              </w:rPr>
              <w:t xml:space="preserve">Target: 2  </w:t>
            </w:r>
          </w:p>
          <w:p w14:paraId="75BEE483" w14:textId="77777777" w:rsidR="00520626" w:rsidRDefault="00520626" w:rsidP="00520626">
            <w:pPr>
              <w:ind w:left="720"/>
              <w:rPr>
                <w:iCs/>
                <w:color w:val="000000"/>
                <w:sz w:val="16"/>
                <w:szCs w:val="16"/>
                <w:lang w:val="en-GB"/>
              </w:rPr>
            </w:pPr>
            <w:r w:rsidRPr="00520626">
              <w:rPr>
                <w:iCs/>
                <w:color w:val="000000"/>
                <w:sz w:val="16"/>
                <w:szCs w:val="16"/>
                <w:lang w:val="en-GB"/>
              </w:rPr>
              <w:t xml:space="preserve">Source: UNDP  </w:t>
            </w:r>
          </w:p>
          <w:p w14:paraId="375179FD" w14:textId="77777777" w:rsidR="00B32FF7" w:rsidRDefault="00B32FF7" w:rsidP="00520626">
            <w:pPr>
              <w:ind w:left="720"/>
              <w:rPr>
                <w:iCs/>
                <w:color w:val="000000"/>
                <w:sz w:val="16"/>
                <w:szCs w:val="16"/>
                <w:lang w:val="en-GB"/>
              </w:rPr>
            </w:pPr>
          </w:p>
          <w:p w14:paraId="4BC1B740" w14:textId="511974AC" w:rsidR="00B32FF7" w:rsidRPr="00710E71" w:rsidRDefault="00B32FF7" w:rsidP="00B32FF7">
            <w:pPr>
              <w:rPr>
                <w:b/>
                <w:i/>
                <w:color w:val="000000"/>
                <w:sz w:val="16"/>
                <w:szCs w:val="16"/>
              </w:rPr>
            </w:pPr>
            <w:r w:rsidRPr="00710E71">
              <w:rPr>
                <w:b/>
                <w:i/>
                <w:iCs/>
                <w:color w:val="000000"/>
                <w:sz w:val="16"/>
                <w:szCs w:val="16"/>
              </w:rPr>
              <w:t xml:space="preserve">Indicator </w:t>
            </w:r>
            <w:r w:rsidR="00F62708" w:rsidRPr="00710E71">
              <w:rPr>
                <w:b/>
                <w:i/>
                <w:iCs/>
                <w:color w:val="000000"/>
                <w:sz w:val="16"/>
                <w:szCs w:val="16"/>
              </w:rPr>
              <w:t>1.4.</w:t>
            </w:r>
            <w:r w:rsidR="00F62708" w:rsidRPr="00710E71">
              <w:rPr>
                <w:b/>
                <w:i/>
                <w:color w:val="000000"/>
                <w:sz w:val="16"/>
                <w:szCs w:val="16"/>
              </w:rPr>
              <w:t>3 Draft</w:t>
            </w:r>
            <w:r w:rsidRPr="00710E71">
              <w:rPr>
                <w:b/>
                <w:i/>
                <w:color w:val="000000"/>
                <w:sz w:val="16"/>
                <w:szCs w:val="16"/>
              </w:rPr>
              <w:t xml:space="preserve"> of the National </w:t>
            </w:r>
            <w:r w:rsidR="00B751A9">
              <w:rPr>
                <w:b/>
                <w:i/>
                <w:color w:val="000000"/>
                <w:sz w:val="16"/>
                <w:szCs w:val="16"/>
              </w:rPr>
              <w:t>D</w:t>
            </w:r>
            <w:r w:rsidR="00F62708">
              <w:rPr>
                <w:b/>
                <w:i/>
                <w:color w:val="000000"/>
                <w:sz w:val="16"/>
                <w:szCs w:val="16"/>
              </w:rPr>
              <w:t>D</w:t>
            </w:r>
            <w:r w:rsidR="00B751A9">
              <w:rPr>
                <w:b/>
                <w:i/>
                <w:color w:val="000000"/>
                <w:sz w:val="16"/>
                <w:szCs w:val="16"/>
              </w:rPr>
              <w:t xml:space="preserve">R </w:t>
            </w:r>
            <w:r w:rsidRPr="00710E71">
              <w:rPr>
                <w:b/>
                <w:i/>
                <w:color w:val="000000"/>
                <w:sz w:val="16"/>
                <w:szCs w:val="16"/>
              </w:rPr>
              <w:t>strategy    </w:t>
            </w:r>
          </w:p>
          <w:p w14:paraId="619FF202" w14:textId="77777777" w:rsidR="00B32FF7" w:rsidRPr="00710E71" w:rsidRDefault="00B32FF7" w:rsidP="00B32FF7">
            <w:pPr>
              <w:ind w:firstLine="720"/>
              <w:rPr>
                <w:color w:val="000000"/>
                <w:sz w:val="16"/>
                <w:szCs w:val="16"/>
              </w:rPr>
            </w:pPr>
            <w:r w:rsidRPr="00710E71">
              <w:rPr>
                <w:color w:val="000000"/>
                <w:sz w:val="16"/>
                <w:szCs w:val="16"/>
              </w:rPr>
              <w:t>Baseline: 0 </w:t>
            </w:r>
          </w:p>
          <w:p w14:paraId="501415CF" w14:textId="77777777" w:rsidR="00B32FF7" w:rsidRPr="00710E71" w:rsidRDefault="00B32FF7" w:rsidP="00B32FF7">
            <w:pPr>
              <w:ind w:firstLine="720"/>
              <w:rPr>
                <w:color w:val="000000"/>
                <w:sz w:val="16"/>
                <w:szCs w:val="16"/>
              </w:rPr>
            </w:pPr>
            <w:r w:rsidRPr="00710E71">
              <w:rPr>
                <w:color w:val="000000"/>
                <w:sz w:val="16"/>
                <w:szCs w:val="16"/>
              </w:rPr>
              <w:t>Target:</w:t>
            </w:r>
            <w:r>
              <w:rPr>
                <w:color w:val="000000"/>
                <w:sz w:val="16"/>
                <w:szCs w:val="16"/>
              </w:rPr>
              <w:t xml:space="preserve"> </w:t>
            </w:r>
            <w:r w:rsidRPr="00710E71">
              <w:rPr>
                <w:color w:val="000000"/>
                <w:sz w:val="16"/>
                <w:szCs w:val="16"/>
              </w:rPr>
              <w:t>1 </w:t>
            </w:r>
          </w:p>
          <w:p w14:paraId="2D95934C" w14:textId="77777777" w:rsidR="00520626" w:rsidRPr="008C5F0F" w:rsidRDefault="00B32FF7" w:rsidP="008C5F0F">
            <w:pPr>
              <w:ind w:left="720"/>
              <w:rPr>
                <w:iCs/>
                <w:color w:val="000000"/>
                <w:sz w:val="16"/>
                <w:szCs w:val="16"/>
                <w:lang w:val="en-GB"/>
              </w:rPr>
            </w:pPr>
            <w:r w:rsidRPr="00710E71">
              <w:rPr>
                <w:color w:val="000000"/>
                <w:sz w:val="16"/>
                <w:szCs w:val="16"/>
              </w:rPr>
              <w:t xml:space="preserve">Source: UNDP </w:t>
            </w:r>
          </w:p>
        </w:tc>
        <w:tc>
          <w:tcPr>
            <w:tcW w:w="650" w:type="pct"/>
            <w:vMerge/>
          </w:tcPr>
          <w:p w14:paraId="5E409011" w14:textId="77777777" w:rsidR="00520626" w:rsidRPr="00520626" w:rsidRDefault="00520626" w:rsidP="00520626">
            <w:pPr>
              <w:rPr>
                <w:i/>
                <w:iCs/>
                <w:color w:val="000000"/>
                <w:sz w:val="16"/>
                <w:szCs w:val="16"/>
                <w:lang w:val="en-GB"/>
              </w:rPr>
            </w:pPr>
          </w:p>
        </w:tc>
        <w:tc>
          <w:tcPr>
            <w:tcW w:w="614" w:type="pct"/>
            <w:vMerge/>
            <w:tcMar>
              <w:top w:w="15" w:type="dxa"/>
              <w:left w:w="108" w:type="dxa"/>
              <w:bottom w:w="0" w:type="dxa"/>
              <w:right w:w="108" w:type="dxa"/>
            </w:tcMar>
          </w:tcPr>
          <w:p w14:paraId="6DE3C4A0" w14:textId="77777777" w:rsidR="00520626" w:rsidRPr="00520626" w:rsidRDefault="00520626" w:rsidP="00520626">
            <w:pPr>
              <w:rPr>
                <w:b/>
                <w:color w:val="000000"/>
                <w:sz w:val="16"/>
                <w:szCs w:val="16"/>
                <w:lang w:val="en-GB"/>
              </w:rPr>
            </w:pPr>
          </w:p>
        </w:tc>
      </w:tr>
      <w:tr w:rsidR="00520626" w:rsidRPr="00520626" w14:paraId="00FF755B" w14:textId="77777777" w:rsidTr="00B2315A">
        <w:tc>
          <w:tcPr>
            <w:tcW w:w="702" w:type="pct"/>
            <w:vMerge w:val="restart"/>
            <w:tcMar>
              <w:top w:w="72" w:type="dxa"/>
              <w:left w:w="144" w:type="dxa"/>
              <w:bottom w:w="72" w:type="dxa"/>
              <w:right w:w="144" w:type="dxa"/>
            </w:tcMar>
          </w:tcPr>
          <w:p w14:paraId="1B9E12C5" w14:textId="77777777" w:rsidR="00520626" w:rsidRPr="00520626" w:rsidRDefault="00520626" w:rsidP="00520626">
            <w:pPr>
              <w:rPr>
                <w:i/>
                <w:iCs/>
                <w:color w:val="000000"/>
                <w:sz w:val="16"/>
                <w:szCs w:val="16"/>
                <w:lang w:val="en-GB"/>
              </w:rPr>
            </w:pPr>
          </w:p>
        </w:tc>
        <w:tc>
          <w:tcPr>
            <w:tcW w:w="705" w:type="pct"/>
            <w:vMerge w:val="restart"/>
          </w:tcPr>
          <w:p w14:paraId="1A42E117" w14:textId="77777777" w:rsidR="00520626" w:rsidRPr="00520626" w:rsidRDefault="00520626" w:rsidP="00520626">
            <w:pPr>
              <w:rPr>
                <w:i/>
                <w:iCs/>
                <w:color w:val="000000"/>
                <w:sz w:val="16"/>
                <w:szCs w:val="16"/>
                <w:lang w:val="en-GB"/>
              </w:rPr>
            </w:pPr>
          </w:p>
        </w:tc>
        <w:tc>
          <w:tcPr>
            <w:tcW w:w="2329" w:type="pct"/>
            <w:tcMar>
              <w:top w:w="72" w:type="dxa"/>
              <w:left w:w="144" w:type="dxa"/>
              <w:bottom w:w="72" w:type="dxa"/>
              <w:right w:w="144" w:type="dxa"/>
            </w:tcMar>
          </w:tcPr>
          <w:p w14:paraId="12C1FAD0" w14:textId="3999D36A" w:rsidR="00520626" w:rsidRPr="00520626" w:rsidRDefault="00520626" w:rsidP="00520626">
            <w:pPr>
              <w:rPr>
                <w:b/>
                <w:sz w:val="16"/>
                <w:szCs w:val="16"/>
                <w:lang w:val="en-GB"/>
              </w:rPr>
            </w:pPr>
            <w:r w:rsidRPr="00520626">
              <w:rPr>
                <w:b/>
                <w:sz w:val="16"/>
                <w:szCs w:val="16"/>
                <w:lang w:val="en-GB"/>
              </w:rPr>
              <w:t xml:space="preserve">Output 1.5. Enhanced </w:t>
            </w:r>
            <w:r w:rsidR="00801FD2">
              <w:rPr>
                <w:b/>
                <w:sz w:val="16"/>
                <w:szCs w:val="16"/>
                <w:lang w:val="en-GB"/>
              </w:rPr>
              <w:t>i</w:t>
            </w:r>
            <w:r w:rsidRPr="00520626">
              <w:rPr>
                <w:b/>
                <w:sz w:val="16"/>
                <w:szCs w:val="16"/>
                <w:lang w:val="en-GB"/>
              </w:rPr>
              <w:t xml:space="preserve">ntegration of </w:t>
            </w:r>
            <w:r w:rsidR="00801FD2">
              <w:rPr>
                <w:b/>
                <w:sz w:val="16"/>
                <w:szCs w:val="16"/>
                <w:lang w:val="en-GB"/>
              </w:rPr>
              <w:t>w</w:t>
            </w:r>
            <w:r w:rsidRPr="00520626">
              <w:rPr>
                <w:b/>
                <w:sz w:val="16"/>
                <w:szCs w:val="16"/>
                <w:lang w:val="en-GB"/>
              </w:rPr>
              <w:t xml:space="preserve">omen's </w:t>
            </w:r>
            <w:r w:rsidR="00F62708">
              <w:rPr>
                <w:b/>
                <w:sz w:val="16"/>
                <w:szCs w:val="16"/>
                <w:lang w:val="en-GB"/>
              </w:rPr>
              <w:t>r</w:t>
            </w:r>
            <w:r w:rsidR="00F62708" w:rsidRPr="00520626">
              <w:rPr>
                <w:b/>
                <w:sz w:val="16"/>
                <w:szCs w:val="16"/>
                <w:lang w:val="en-GB"/>
              </w:rPr>
              <w:t>ights in</w:t>
            </w:r>
            <w:r w:rsidRPr="00520626">
              <w:rPr>
                <w:b/>
                <w:sz w:val="16"/>
                <w:szCs w:val="16"/>
                <w:lang w:val="en-GB"/>
              </w:rPr>
              <w:t xml:space="preserve"> </w:t>
            </w:r>
            <w:r w:rsidR="00801FD2">
              <w:rPr>
                <w:b/>
                <w:sz w:val="16"/>
                <w:szCs w:val="16"/>
                <w:lang w:val="en-GB"/>
              </w:rPr>
              <w:t>t</w:t>
            </w:r>
            <w:r w:rsidRPr="00520626">
              <w:rPr>
                <w:b/>
                <w:sz w:val="16"/>
                <w:szCs w:val="16"/>
                <w:lang w:val="en-GB"/>
              </w:rPr>
              <w:t xml:space="preserve">ransitional </w:t>
            </w:r>
            <w:r w:rsidR="00801FD2">
              <w:rPr>
                <w:b/>
                <w:sz w:val="16"/>
                <w:szCs w:val="16"/>
                <w:lang w:val="en-GB"/>
              </w:rPr>
              <w:t>i</w:t>
            </w:r>
            <w:r w:rsidRPr="00520626">
              <w:rPr>
                <w:b/>
                <w:sz w:val="16"/>
                <w:szCs w:val="16"/>
                <w:lang w:val="en-GB"/>
              </w:rPr>
              <w:t xml:space="preserve">nstitutions </w:t>
            </w:r>
          </w:p>
          <w:p w14:paraId="36BFADAB" w14:textId="77777777" w:rsidR="00520626" w:rsidRPr="00520626" w:rsidRDefault="00520626" w:rsidP="00520626">
            <w:pPr>
              <w:rPr>
                <w:b/>
                <w:i/>
                <w:sz w:val="16"/>
                <w:szCs w:val="16"/>
                <w:lang w:val="en-GB"/>
              </w:rPr>
            </w:pPr>
          </w:p>
          <w:p w14:paraId="7276441F" w14:textId="77777777" w:rsidR="00520626" w:rsidRPr="00520626" w:rsidRDefault="00520626" w:rsidP="00520626">
            <w:pPr>
              <w:tabs>
                <w:tab w:val="left" w:pos="1351"/>
              </w:tabs>
              <w:rPr>
                <w:b/>
                <w:i/>
                <w:sz w:val="16"/>
                <w:szCs w:val="16"/>
                <w:lang w:val="en-GB"/>
              </w:rPr>
            </w:pPr>
            <w:r w:rsidRPr="00520626">
              <w:rPr>
                <w:b/>
                <w:i/>
                <w:sz w:val="16"/>
                <w:szCs w:val="16"/>
                <w:lang w:val="en-GB"/>
              </w:rPr>
              <w:t>Indicator 1.5.1 Number of women in key institutions with increased skills to perform their functions.</w:t>
            </w:r>
          </w:p>
          <w:p w14:paraId="3E2052A5" w14:textId="77777777" w:rsidR="00520626" w:rsidRPr="00520626" w:rsidRDefault="00520626" w:rsidP="00520626">
            <w:pPr>
              <w:ind w:left="720"/>
              <w:rPr>
                <w:iCs/>
                <w:color w:val="000000"/>
                <w:sz w:val="16"/>
                <w:szCs w:val="16"/>
                <w:lang w:val="en-GB"/>
              </w:rPr>
            </w:pPr>
            <w:r w:rsidRPr="00520626">
              <w:rPr>
                <w:iCs/>
                <w:color w:val="000000"/>
                <w:sz w:val="16"/>
                <w:szCs w:val="16"/>
                <w:lang w:val="en-GB"/>
              </w:rPr>
              <w:t xml:space="preserve">Baseline: 90  </w:t>
            </w:r>
          </w:p>
          <w:p w14:paraId="790F67AB" w14:textId="77777777" w:rsidR="00520626" w:rsidRPr="00520626" w:rsidRDefault="00520626" w:rsidP="00520626">
            <w:pPr>
              <w:ind w:left="720"/>
              <w:rPr>
                <w:iCs/>
                <w:color w:val="000000"/>
                <w:sz w:val="16"/>
                <w:szCs w:val="16"/>
                <w:lang w:val="en-GB"/>
              </w:rPr>
            </w:pPr>
            <w:r w:rsidRPr="00520626">
              <w:rPr>
                <w:iCs/>
                <w:color w:val="000000"/>
                <w:sz w:val="16"/>
                <w:szCs w:val="16"/>
                <w:lang w:val="en-GB"/>
              </w:rPr>
              <w:t xml:space="preserve">Target:  180  </w:t>
            </w:r>
          </w:p>
          <w:p w14:paraId="5F090241" w14:textId="77777777" w:rsidR="00F36499" w:rsidRDefault="00520626" w:rsidP="00520626">
            <w:pPr>
              <w:ind w:left="720"/>
              <w:rPr>
                <w:iCs/>
                <w:color w:val="000000"/>
                <w:sz w:val="16"/>
                <w:szCs w:val="16"/>
                <w:lang w:val="en-GB"/>
              </w:rPr>
            </w:pPr>
            <w:r w:rsidRPr="00520626">
              <w:rPr>
                <w:iCs/>
                <w:color w:val="000000"/>
                <w:sz w:val="16"/>
                <w:szCs w:val="16"/>
                <w:lang w:val="en-GB"/>
              </w:rPr>
              <w:lastRenderedPageBreak/>
              <w:t xml:space="preserve">Source:  UNDP/UNSMIL </w:t>
            </w:r>
          </w:p>
          <w:p w14:paraId="77A8709F" w14:textId="77777777" w:rsidR="00520626" w:rsidRPr="00520626" w:rsidRDefault="00520626" w:rsidP="00520626">
            <w:pPr>
              <w:ind w:left="720"/>
              <w:rPr>
                <w:iCs/>
                <w:color w:val="000000"/>
                <w:sz w:val="16"/>
                <w:szCs w:val="16"/>
                <w:lang w:val="en-GB"/>
              </w:rPr>
            </w:pPr>
          </w:p>
          <w:p w14:paraId="13F56B04" w14:textId="77777777" w:rsidR="00520626" w:rsidRPr="00520626" w:rsidRDefault="00520626" w:rsidP="00520626">
            <w:pPr>
              <w:rPr>
                <w:b/>
                <w:i/>
                <w:sz w:val="16"/>
                <w:szCs w:val="16"/>
                <w:lang w:val="en-GB"/>
              </w:rPr>
            </w:pPr>
            <w:r w:rsidRPr="00520626">
              <w:rPr>
                <w:b/>
                <w:i/>
                <w:sz w:val="16"/>
                <w:szCs w:val="16"/>
                <w:lang w:val="en-GB"/>
              </w:rPr>
              <w:t xml:space="preserve">Indicator 1.5.2. Women’s caucus established in the parliament </w:t>
            </w:r>
          </w:p>
          <w:p w14:paraId="4917379E" w14:textId="77777777" w:rsidR="00520626" w:rsidRPr="00520626" w:rsidRDefault="00520626" w:rsidP="00520626">
            <w:pPr>
              <w:ind w:left="720"/>
              <w:rPr>
                <w:iCs/>
                <w:color w:val="000000"/>
                <w:sz w:val="16"/>
                <w:szCs w:val="16"/>
                <w:lang w:val="en-GB"/>
              </w:rPr>
            </w:pPr>
            <w:r w:rsidRPr="00520626">
              <w:rPr>
                <w:iCs/>
                <w:color w:val="000000"/>
                <w:sz w:val="16"/>
                <w:szCs w:val="16"/>
                <w:lang w:val="en-GB"/>
              </w:rPr>
              <w:t xml:space="preserve">Baseline: 0 </w:t>
            </w:r>
          </w:p>
          <w:p w14:paraId="1ABD86F6" w14:textId="77777777" w:rsidR="00520626" w:rsidRPr="00520626" w:rsidRDefault="00520626" w:rsidP="00520626">
            <w:pPr>
              <w:ind w:left="720"/>
              <w:rPr>
                <w:iCs/>
                <w:color w:val="000000"/>
                <w:sz w:val="16"/>
                <w:szCs w:val="16"/>
                <w:lang w:val="en-GB"/>
              </w:rPr>
            </w:pPr>
            <w:r w:rsidRPr="00520626">
              <w:rPr>
                <w:iCs/>
                <w:color w:val="000000"/>
                <w:sz w:val="16"/>
                <w:szCs w:val="16"/>
                <w:lang w:val="en-GB"/>
              </w:rPr>
              <w:t xml:space="preserve">Target:  1 </w:t>
            </w:r>
          </w:p>
          <w:p w14:paraId="73EF47AE" w14:textId="77777777" w:rsidR="00520626" w:rsidRPr="00520626" w:rsidRDefault="00520626" w:rsidP="00520626">
            <w:pPr>
              <w:ind w:left="720"/>
              <w:rPr>
                <w:iCs/>
                <w:color w:val="000000"/>
                <w:sz w:val="16"/>
                <w:szCs w:val="16"/>
                <w:lang w:val="en-GB"/>
              </w:rPr>
            </w:pPr>
            <w:r w:rsidRPr="00520626">
              <w:rPr>
                <w:iCs/>
                <w:color w:val="000000"/>
                <w:sz w:val="16"/>
                <w:szCs w:val="16"/>
                <w:lang w:val="en-GB"/>
              </w:rPr>
              <w:t>Source:  UNDP/UNSMIL</w:t>
            </w:r>
          </w:p>
          <w:p w14:paraId="3D9DE6E1" w14:textId="77777777" w:rsidR="00520626" w:rsidRPr="00520626" w:rsidRDefault="00520626" w:rsidP="00520626">
            <w:pPr>
              <w:ind w:left="720"/>
            </w:pPr>
          </w:p>
          <w:p w14:paraId="6DAF2B90" w14:textId="77777777" w:rsidR="00520626" w:rsidRPr="00520626" w:rsidRDefault="00520626" w:rsidP="00520626">
            <w:pPr>
              <w:rPr>
                <w:b/>
                <w:i/>
                <w:sz w:val="16"/>
                <w:szCs w:val="16"/>
              </w:rPr>
            </w:pPr>
            <w:r w:rsidRPr="00520626">
              <w:rPr>
                <w:b/>
                <w:i/>
                <w:sz w:val="16"/>
                <w:szCs w:val="16"/>
                <w:lang w:val="en-GB"/>
              </w:rPr>
              <w:t xml:space="preserve">Indicator 1.5.3 </w:t>
            </w:r>
            <w:r w:rsidRPr="00520626">
              <w:rPr>
                <w:b/>
                <w:i/>
                <w:sz w:val="16"/>
                <w:szCs w:val="16"/>
              </w:rPr>
              <w:t>Number of legal or policy frameworks to promote gender equality</w:t>
            </w:r>
          </w:p>
          <w:p w14:paraId="74272DBE" w14:textId="77777777" w:rsidR="00520626" w:rsidRPr="00520626" w:rsidRDefault="00520626" w:rsidP="00520626">
            <w:pPr>
              <w:ind w:left="720"/>
              <w:rPr>
                <w:iCs/>
                <w:color w:val="000000"/>
                <w:sz w:val="16"/>
                <w:szCs w:val="16"/>
                <w:lang w:val="en-GB"/>
              </w:rPr>
            </w:pPr>
            <w:r w:rsidRPr="00520626">
              <w:rPr>
                <w:iCs/>
                <w:color w:val="000000"/>
                <w:sz w:val="16"/>
                <w:szCs w:val="16"/>
                <w:lang w:val="en-GB"/>
              </w:rPr>
              <w:t xml:space="preserve">Baseline: 0 </w:t>
            </w:r>
          </w:p>
          <w:p w14:paraId="1E12CABC" w14:textId="77777777" w:rsidR="00520626" w:rsidRPr="00520626" w:rsidRDefault="00520626" w:rsidP="00520626">
            <w:pPr>
              <w:ind w:left="720"/>
              <w:rPr>
                <w:iCs/>
                <w:color w:val="000000"/>
                <w:sz w:val="16"/>
                <w:szCs w:val="16"/>
                <w:lang w:val="en-GB"/>
              </w:rPr>
            </w:pPr>
            <w:r w:rsidRPr="00520626">
              <w:rPr>
                <w:iCs/>
                <w:color w:val="000000"/>
                <w:sz w:val="16"/>
                <w:szCs w:val="16"/>
                <w:lang w:val="en-GB"/>
              </w:rPr>
              <w:t xml:space="preserve">Target:  2.  </w:t>
            </w:r>
          </w:p>
          <w:p w14:paraId="51F859C0" w14:textId="77777777" w:rsidR="00520626" w:rsidRPr="008C5F0F" w:rsidRDefault="00520626" w:rsidP="008C5F0F">
            <w:pPr>
              <w:ind w:left="720"/>
            </w:pPr>
            <w:r w:rsidRPr="00520626">
              <w:rPr>
                <w:iCs/>
                <w:color w:val="000000"/>
                <w:sz w:val="16"/>
                <w:szCs w:val="16"/>
                <w:lang w:val="en-GB"/>
              </w:rPr>
              <w:t>Source: UNDP/UNSMIL</w:t>
            </w:r>
          </w:p>
        </w:tc>
        <w:tc>
          <w:tcPr>
            <w:tcW w:w="650" w:type="pct"/>
            <w:vMerge w:val="restart"/>
          </w:tcPr>
          <w:p w14:paraId="3F97F138" w14:textId="77777777" w:rsidR="00520626" w:rsidRPr="00520626" w:rsidRDefault="00520626" w:rsidP="00520626">
            <w:pPr>
              <w:rPr>
                <w:i/>
                <w:iCs/>
                <w:color w:val="000000"/>
                <w:sz w:val="16"/>
                <w:szCs w:val="16"/>
                <w:lang w:val="en-GB"/>
              </w:rPr>
            </w:pPr>
          </w:p>
        </w:tc>
        <w:tc>
          <w:tcPr>
            <w:tcW w:w="614" w:type="pct"/>
            <w:vMerge w:val="restart"/>
            <w:tcMar>
              <w:top w:w="15" w:type="dxa"/>
              <w:left w:w="108" w:type="dxa"/>
              <w:bottom w:w="0" w:type="dxa"/>
              <w:right w:w="108" w:type="dxa"/>
            </w:tcMar>
          </w:tcPr>
          <w:p w14:paraId="430DBC59" w14:textId="77777777" w:rsidR="00520626" w:rsidRPr="00520626" w:rsidRDefault="00520626" w:rsidP="00520626">
            <w:pPr>
              <w:rPr>
                <w:b/>
                <w:color w:val="000000"/>
                <w:sz w:val="16"/>
                <w:szCs w:val="16"/>
                <w:lang w:val="en-GB"/>
              </w:rPr>
            </w:pPr>
          </w:p>
        </w:tc>
      </w:tr>
      <w:tr w:rsidR="00520626" w:rsidRPr="00520626" w14:paraId="0E36F8FC" w14:textId="77777777" w:rsidTr="007B1BBC">
        <w:tc>
          <w:tcPr>
            <w:tcW w:w="702" w:type="pct"/>
            <w:vMerge/>
            <w:tcBorders>
              <w:bottom w:val="single" w:sz="4" w:space="0" w:color="auto"/>
            </w:tcBorders>
            <w:tcMar>
              <w:top w:w="72" w:type="dxa"/>
              <w:left w:w="144" w:type="dxa"/>
              <w:bottom w:w="72" w:type="dxa"/>
              <w:right w:w="144" w:type="dxa"/>
            </w:tcMar>
          </w:tcPr>
          <w:p w14:paraId="6345E16C" w14:textId="77777777" w:rsidR="00520626" w:rsidRPr="00520626" w:rsidRDefault="00520626" w:rsidP="00520626">
            <w:pPr>
              <w:rPr>
                <w:i/>
                <w:iCs/>
                <w:color w:val="000000"/>
                <w:sz w:val="16"/>
                <w:szCs w:val="16"/>
                <w:lang w:val="en-GB"/>
              </w:rPr>
            </w:pPr>
          </w:p>
        </w:tc>
        <w:tc>
          <w:tcPr>
            <w:tcW w:w="705" w:type="pct"/>
            <w:vMerge/>
            <w:tcBorders>
              <w:bottom w:val="single" w:sz="4" w:space="0" w:color="auto"/>
            </w:tcBorders>
          </w:tcPr>
          <w:p w14:paraId="0AE5E360" w14:textId="77777777" w:rsidR="00520626" w:rsidRPr="00520626" w:rsidRDefault="00520626" w:rsidP="00520626">
            <w:pPr>
              <w:rPr>
                <w:i/>
                <w:iCs/>
                <w:color w:val="000000"/>
                <w:sz w:val="16"/>
                <w:szCs w:val="16"/>
                <w:lang w:val="en-GB"/>
              </w:rPr>
            </w:pPr>
          </w:p>
        </w:tc>
        <w:tc>
          <w:tcPr>
            <w:tcW w:w="2329" w:type="pct"/>
            <w:tcBorders>
              <w:bottom w:val="single" w:sz="4" w:space="0" w:color="auto"/>
            </w:tcBorders>
            <w:tcMar>
              <w:top w:w="72" w:type="dxa"/>
              <w:left w:w="144" w:type="dxa"/>
              <w:bottom w:w="72" w:type="dxa"/>
              <w:right w:w="144" w:type="dxa"/>
            </w:tcMar>
          </w:tcPr>
          <w:p w14:paraId="30509179" w14:textId="77777777" w:rsidR="00520626" w:rsidRPr="00520626" w:rsidRDefault="00520626" w:rsidP="00520626">
            <w:pPr>
              <w:rPr>
                <w:b/>
                <w:sz w:val="16"/>
                <w:szCs w:val="16"/>
              </w:rPr>
            </w:pPr>
            <w:r w:rsidRPr="00520626">
              <w:rPr>
                <w:b/>
                <w:sz w:val="16"/>
                <w:szCs w:val="16"/>
                <w:lang w:val="en-GB"/>
              </w:rPr>
              <w:t>Output 1.6.</w:t>
            </w:r>
            <w:r w:rsidRPr="00520626">
              <w:t xml:space="preserve"> </w:t>
            </w:r>
            <w:r w:rsidRPr="00520626">
              <w:rPr>
                <w:b/>
                <w:sz w:val="16"/>
                <w:szCs w:val="16"/>
              </w:rPr>
              <w:t xml:space="preserve">Mechanisms for civil society participation are in place  </w:t>
            </w:r>
          </w:p>
          <w:p w14:paraId="1DE9A042" w14:textId="77777777" w:rsidR="00520626" w:rsidRPr="00520626" w:rsidRDefault="00520626" w:rsidP="00520626">
            <w:pPr>
              <w:rPr>
                <w:rFonts w:eastAsia="Calibri"/>
                <w:b/>
                <w:sz w:val="16"/>
                <w:szCs w:val="16"/>
                <w:lang w:val="en-GB"/>
              </w:rPr>
            </w:pPr>
          </w:p>
          <w:p w14:paraId="26B5BA87" w14:textId="77777777" w:rsidR="00520626" w:rsidRPr="00520626" w:rsidRDefault="00520626" w:rsidP="00520626">
            <w:pPr>
              <w:rPr>
                <w:b/>
                <w:i/>
                <w:sz w:val="16"/>
                <w:szCs w:val="16"/>
                <w:lang w:val="en-GB"/>
              </w:rPr>
            </w:pPr>
            <w:r w:rsidRPr="00520626">
              <w:rPr>
                <w:b/>
                <w:i/>
                <w:sz w:val="16"/>
                <w:szCs w:val="16"/>
                <w:lang w:val="en-GB"/>
              </w:rPr>
              <w:t xml:space="preserve">Indicator 1.6.1. Number of CSO-Government dialogue mechanisms created </w:t>
            </w:r>
          </w:p>
          <w:p w14:paraId="24C18983" w14:textId="77777777" w:rsidR="00520626" w:rsidRPr="00520626" w:rsidRDefault="00520626" w:rsidP="00520626">
            <w:pPr>
              <w:ind w:left="720"/>
              <w:rPr>
                <w:iCs/>
                <w:color w:val="000000"/>
                <w:sz w:val="16"/>
                <w:szCs w:val="16"/>
                <w:lang w:val="en-GB"/>
              </w:rPr>
            </w:pPr>
            <w:r w:rsidRPr="00520626">
              <w:rPr>
                <w:iCs/>
                <w:color w:val="000000"/>
                <w:sz w:val="16"/>
                <w:szCs w:val="16"/>
                <w:lang w:val="en-GB"/>
              </w:rPr>
              <w:t>Baseline: 0</w:t>
            </w:r>
          </w:p>
          <w:p w14:paraId="2FC53078" w14:textId="77777777" w:rsidR="00520626" w:rsidRPr="00520626" w:rsidRDefault="00520626" w:rsidP="00520626">
            <w:pPr>
              <w:ind w:left="720"/>
              <w:rPr>
                <w:iCs/>
                <w:color w:val="000000"/>
                <w:sz w:val="16"/>
                <w:szCs w:val="16"/>
                <w:lang w:val="en-GB"/>
              </w:rPr>
            </w:pPr>
            <w:r w:rsidRPr="00520626">
              <w:rPr>
                <w:iCs/>
                <w:color w:val="000000"/>
                <w:sz w:val="16"/>
                <w:szCs w:val="16"/>
                <w:lang w:val="en-GB"/>
              </w:rPr>
              <w:t xml:space="preserve">Target: 1 national, 1 local </w:t>
            </w:r>
          </w:p>
          <w:p w14:paraId="3AE1492E" w14:textId="77777777" w:rsidR="00520626" w:rsidRPr="008C5F0F" w:rsidRDefault="00520626" w:rsidP="008C5F0F">
            <w:pPr>
              <w:ind w:left="720"/>
              <w:rPr>
                <w:iCs/>
                <w:color w:val="000000"/>
                <w:sz w:val="16"/>
                <w:szCs w:val="16"/>
                <w:lang w:val="en-GB"/>
              </w:rPr>
            </w:pPr>
            <w:r w:rsidRPr="00520626">
              <w:rPr>
                <w:iCs/>
                <w:color w:val="000000"/>
                <w:sz w:val="16"/>
                <w:szCs w:val="16"/>
                <w:lang w:val="en-GB"/>
              </w:rPr>
              <w:t xml:space="preserve">Source: UNDP/UNSMIL </w:t>
            </w:r>
          </w:p>
        </w:tc>
        <w:tc>
          <w:tcPr>
            <w:tcW w:w="650" w:type="pct"/>
            <w:vMerge/>
            <w:tcBorders>
              <w:bottom w:val="single" w:sz="4" w:space="0" w:color="auto"/>
            </w:tcBorders>
          </w:tcPr>
          <w:p w14:paraId="6FC13E87" w14:textId="77777777" w:rsidR="00520626" w:rsidRPr="00520626" w:rsidRDefault="00520626" w:rsidP="00520626">
            <w:pPr>
              <w:rPr>
                <w:i/>
                <w:iCs/>
                <w:color w:val="000000"/>
                <w:sz w:val="16"/>
                <w:szCs w:val="16"/>
                <w:lang w:val="en-GB"/>
              </w:rPr>
            </w:pPr>
          </w:p>
        </w:tc>
        <w:tc>
          <w:tcPr>
            <w:tcW w:w="614" w:type="pct"/>
            <w:vMerge/>
            <w:tcBorders>
              <w:bottom w:val="single" w:sz="4" w:space="0" w:color="auto"/>
            </w:tcBorders>
            <w:tcMar>
              <w:top w:w="15" w:type="dxa"/>
              <w:left w:w="108" w:type="dxa"/>
              <w:bottom w:w="0" w:type="dxa"/>
              <w:right w:w="108" w:type="dxa"/>
            </w:tcMar>
          </w:tcPr>
          <w:p w14:paraId="6388B28F" w14:textId="77777777" w:rsidR="00520626" w:rsidRPr="00520626" w:rsidRDefault="00520626" w:rsidP="00520626">
            <w:pPr>
              <w:rPr>
                <w:b/>
                <w:color w:val="000000"/>
                <w:sz w:val="16"/>
                <w:szCs w:val="16"/>
                <w:lang w:val="en-GB"/>
              </w:rPr>
            </w:pPr>
          </w:p>
        </w:tc>
      </w:tr>
      <w:tr w:rsidR="00520626" w:rsidRPr="00520626" w14:paraId="41983BFB" w14:textId="77777777" w:rsidTr="007B1BBC">
        <w:tc>
          <w:tcPr>
            <w:tcW w:w="5000" w:type="pct"/>
            <w:gridSpan w:val="5"/>
            <w:shd w:val="clear" w:color="auto" w:fill="auto"/>
            <w:tcMar>
              <w:top w:w="72" w:type="dxa"/>
              <w:left w:w="144" w:type="dxa"/>
              <w:bottom w:w="72" w:type="dxa"/>
              <w:right w:w="144" w:type="dxa"/>
            </w:tcMar>
          </w:tcPr>
          <w:p w14:paraId="6DFA97A3" w14:textId="77777777" w:rsidR="00520626" w:rsidRPr="00520626" w:rsidRDefault="00520626" w:rsidP="00520626">
            <w:pPr>
              <w:rPr>
                <w:color w:val="000000"/>
                <w:sz w:val="16"/>
                <w:szCs w:val="16"/>
              </w:rPr>
            </w:pPr>
            <w:r w:rsidRPr="00520626">
              <w:rPr>
                <w:b/>
                <w:bCs/>
                <w:color w:val="000000"/>
                <w:sz w:val="16"/>
                <w:szCs w:val="16"/>
                <w:lang w:val="en-GB"/>
              </w:rPr>
              <w:t>National priority or goal: N</w:t>
            </w:r>
            <w:r w:rsidR="00B751A9" w:rsidRPr="00520626">
              <w:rPr>
                <w:b/>
                <w:bCs/>
                <w:color w:val="000000"/>
                <w:sz w:val="16"/>
                <w:szCs w:val="16"/>
                <w:lang w:val="en-GB"/>
              </w:rPr>
              <w:t>ot available</w:t>
            </w:r>
            <w:r w:rsidRPr="00520626">
              <w:rPr>
                <w:b/>
                <w:bCs/>
                <w:color w:val="000000"/>
                <w:sz w:val="16"/>
                <w:szCs w:val="16"/>
                <w:lang w:val="en-GB"/>
              </w:rPr>
              <w:t xml:space="preserve"> </w:t>
            </w:r>
          </w:p>
        </w:tc>
      </w:tr>
      <w:tr w:rsidR="00520626" w:rsidRPr="00520626" w14:paraId="610B9DE8" w14:textId="77777777" w:rsidTr="007B1BBC">
        <w:tc>
          <w:tcPr>
            <w:tcW w:w="5000" w:type="pct"/>
            <w:gridSpan w:val="5"/>
            <w:shd w:val="clear" w:color="auto" w:fill="auto"/>
            <w:tcMar>
              <w:top w:w="72" w:type="dxa"/>
              <w:left w:w="144" w:type="dxa"/>
              <w:bottom w:w="72" w:type="dxa"/>
              <w:right w:w="144" w:type="dxa"/>
            </w:tcMar>
          </w:tcPr>
          <w:p w14:paraId="0841D817" w14:textId="71A6ABFE" w:rsidR="00520626" w:rsidRPr="00520626" w:rsidRDefault="00B751A9" w:rsidP="00520626">
            <w:pPr>
              <w:rPr>
                <w:b/>
                <w:bCs/>
                <w:color w:val="000000"/>
                <w:sz w:val="16"/>
                <w:szCs w:val="16"/>
                <w:lang w:val="en-GB"/>
              </w:rPr>
            </w:pPr>
            <w:r>
              <w:rPr>
                <w:b/>
                <w:bCs/>
                <w:color w:val="000000"/>
                <w:sz w:val="16"/>
                <w:szCs w:val="16"/>
                <w:lang w:val="en-GB"/>
              </w:rPr>
              <w:t>Sustainable Development Goals</w:t>
            </w:r>
            <w:r w:rsidRPr="00520626">
              <w:rPr>
                <w:b/>
                <w:bCs/>
                <w:color w:val="000000"/>
                <w:sz w:val="16"/>
                <w:szCs w:val="16"/>
                <w:lang w:val="en-GB"/>
              </w:rPr>
              <w:t xml:space="preserve"> </w:t>
            </w:r>
            <w:r w:rsidR="00520626" w:rsidRPr="00520626">
              <w:rPr>
                <w:b/>
                <w:bCs/>
                <w:color w:val="000000"/>
                <w:sz w:val="16"/>
                <w:szCs w:val="16"/>
                <w:lang w:val="en-GB"/>
              </w:rPr>
              <w:t>10, 5 and 1</w:t>
            </w:r>
          </w:p>
        </w:tc>
      </w:tr>
      <w:tr w:rsidR="00520626" w:rsidRPr="00520626" w14:paraId="74AB2400" w14:textId="77777777" w:rsidTr="007B1BBC">
        <w:tc>
          <w:tcPr>
            <w:tcW w:w="5000" w:type="pct"/>
            <w:gridSpan w:val="5"/>
            <w:shd w:val="clear" w:color="auto" w:fill="auto"/>
            <w:tcMar>
              <w:top w:w="72" w:type="dxa"/>
              <w:left w:w="144" w:type="dxa"/>
              <w:bottom w:w="72" w:type="dxa"/>
              <w:right w:w="144" w:type="dxa"/>
            </w:tcMar>
          </w:tcPr>
          <w:p w14:paraId="15B5A5ED" w14:textId="77777777" w:rsidR="00520626" w:rsidRPr="00520626" w:rsidRDefault="00520626" w:rsidP="00520626">
            <w:pPr>
              <w:rPr>
                <w:color w:val="000000"/>
                <w:sz w:val="16"/>
                <w:szCs w:val="16"/>
              </w:rPr>
            </w:pPr>
            <w:r w:rsidRPr="00520626">
              <w:rPr>
                <w:b/>
                <w:bCs/>
                <w:color w:val="000000"/>
                <w:sz w:val="16"/>
                <w:szCs w:val="16"/>
                <w:lang w:val="en-GB"/>
              </w:rPr>
              <w:t xml:space="preserve">UNSF outcome involving UNDP No. 3 </w:t>
            </w:r>
            <w:r w:rsidRPr="00520626">
              <w:rPr>
                <w:b/>
                <w:sz w:val="16"/>
                <w:szCs w:val="16"/>
              </w:rPr>
              <w:t xml:space="preserve">By late 2020, relevant Libyan institutions improved their capacity to design, develop and implement social policies that focus on quality social services delivery for all women and girls, men and boys (including vulnerable groups, migrants and refugees) in Libya towards enhancing human security and reducing inequalities.  </w:t>
            </w:r>
          </w:p>
        </w:tc>
      </w:tr>
      <w:tr w:rsidR="00520626" w:rsidRPr="00520626" w14:paraId="2B11B40A" w14:textId="77777777" w:rsidTr="007B1BBC">
        <w:tc>
          <w:tcPr>
            <w:tcW w:w="5000" w:type="pct"/>
            <w:gridSpan w:val="5"/>
            <w:shd w:val="clear" w:color="auto" w:fill="auto"/>
            <w:tcMar>
              <w:top w:w="72" w:type="dxa"/>
              <w:left w:w="144" w:type="dxa"/>
              <w:bottom w:w="72" w:type="dxa"/>
              <w:right w:w="144" w:type="dxa"/>
            </w:tcMar>
          </w:tcPr>
          <w:p w14:paraId="649108F6" w14:textId="77777777" w:rsidR="00520626" w:rsidRPr="00520626" w:rsidRDefault="00520626" w:rsidP="00F154DD">
            <w:pPr>
              <w:rPr>
                <w:b/>
                <w:bCs/>
                <w:color w:val="000000"/>
                <w:sz w:val="16"/>
                <w:szCs w:val="16"/>
                <w:lang w:val="en-GB"/>
              </w:rPr>
            </w:pPr>
            <w:r w:rsidRPr="00520626">
              <w:rPr>
                <w:b/>
                <w:bCs/>
                <w:color w:val="000000"/>
                <w:sz w:val="16"/>
                <w:szCs w:val="16"/>
                <w:lang w:val="en-GB"/>
              </w:rPr>
              <w:t xml:space="preserve">RELATED STRATEGIC PLAN </w:t>
            </w:r>
            <w:r w:rsidR="00F154DD">
              <w:rPr>
                <w:b/>
                <w:bCs/>
                <w:color w:val="000000"/>
                <w:sz w:val="16"/>
                <w:szCs w:val="16"/>
                <w:lang w:val="en-GB"/>
              </w:rPr>
              <w:t>OUTCOME</w:t>
            </w:r>
            <w:r w:rsidRPr="00520626">
              <w:rPr>
                <w:b/>
                <w:bCs/>
                <w:color w:val="000000"/>
                <w:sz w:val="16"/>
                <w:szCs w:val="16"/>
                <w:lang w:val="en-GB"/>
              </w:rPr>
              <w:t>:</w:t>
            </w:r>
            <w:r w:rsidR="00F154DD">
              <w:rPr>
                <w:b/>
                <w:bCs/>
                <w:color w:val="000000"/>
                <w:sz w:val="16"/>
                <w:szCs w:val="16"/>
                <w:lang w:val="en-GB"/>
              </w:rPr>
              <w:t xml:space="preserve"> </w:t>
            </w:r>
            <w:r w:rsidR="00F154DD">
              <w:rPr>
                <w:bCs/>
                <w:sz w:val="16"/>
                <w:szCs w:val="16"/>
                <w:lang w:val="en-GB"/>
              </w:rPr>
              <w:t>Strengthening resilience to shocks and crises</w:t>
            </w:r>
          </w:p>
        </w:tc>
      </w:tr>
      <w:tr w:rsidR="00520626" w:rsidRPr="00520626" w14:paraId="0CAB73A1" w14:textId="77777777" w:rsidTr="001E3495">
        <w:tc>
          <w:tcPr>
            <w:tcW w:w="702" w:type="pct"/>
            <w:tcMar>
              <w:top w:w="72" w:type="dxa"/>
              <w:left w:w="144" w:type="dxa"/>
              <w:bottom w:w="72" w:type="dxa"/>
              <w:right w:w="144" w:type="dxa"/>
            </w:tcMar>
          </w:tcPr>
          <w:p w14:paraId="6134A1F9" w14:textId="77777777" w:rsidR="00520626" w:rsidRPr="00B751A9" w:rsidRDefault="00520626" w:rsidP="00520626">
            <w:pPr>
              <w:rPr>
                <w:bCs/>
                <w:color w:val="000000"/>
                <w:sz w:val="16"/>
                <w:szCs w:val="16"/>
                <w:lang w:val="en-GB"/>
              </w:rPr>
            </w:pPr>
            <w:r w:rsidRPr="00B751A9">
              <w:rPr>
                <w:sz w:val="16"/>
                <w:szCs w:val="16"/>
                <w:lang w:val="en-GB"/>
              </w:rPr>
              <w:t>Indicators are being developed as part of the UNSF</w:t>
            </w:r>
          </w:p>
        </w:tc>
        <w:tc>
          <w:tcPr>
            <w:tcW w:w="705" w:type="pct"/>
          </w:tcPr>
          <w:p w14:paraId="3B36AC18" w14:textId="1D57FEE5" w:rsidR="00520626" w:rsidRPr="00B751A9" w:rsidRDefault="00F154DD" w:rsidP="00520626">
            <w:pPr>
              <w:rPr>
                <w:bCs/>
                <w:color w:val="000000"/>
                <w:sz w:val="16"/>
                <w:szCs w:val="16"/>
                <w:lang w:val="en-GB"/>
              </w:rPr>
            </w:pPr>
            <w:r w:rsidRPr="00B751A9">
              <w:rPr>
                <w:bCs/>
                <w:color w:val="000000"/>
                <w:sz w:val="16"/>
                <w:szCs w:val="16"/>
                <w:lang w:val="en-GB"/>
              </w:rPr>
              <w:t xml:space="preserve">In house, varies according to </w:t>
            </w:r>
            <w:r w:rsidR="00B751A9">
              <w:rPr>
                <w:bCs/>
                <w:color w:val="000000"/>
                <w:sz w:val="16"/>
                <w:szCs w:val="16"/>
                <w:lang w:val="en-GB"/>
              </w:rPr>
              <w:t>annual workplans</w:t>
            </w:r>
            <w:r w:rsidRPr="00B751A9">
              <w:rPr>
                <w:bCs/>
                <w:color w:val="000000"/>
                <w:sz w:val="16"/>
                <w:szCs w:val="16"/>
                <w:lang w:val="en-GB"/>
              </w:rPr>
              <w:t>, project team</w:t>
            </w:r>
          </w:p>
        </w:tc>
        <w:tc>
          <w:tcPr>
            <w:tcW w:w="2329" w:type="pct"/>
            <w:tcMar>
              <w:top w:w="72" w:type="dxa"/>
              <w:left w:w="144" w:type="dxa"/>
              <w:bottom w:w="72" w:type="dxa"/>
              <w:right w:w="144" w:type="dxa"/>
            </w:tcMar>
          </w:tcPr>
          <w:p w14:paraId="3B74D801" w14:textId="77777777" w:rsidR="00520626" w:rsidRPr="00520626" w:rsidRDefault="00520626" w:rsidP="00520626">
            <w:pPr>
              <w:rPr>
                <w:b/>
                <w:sz w:val="16"/>
                <w:szCs w:val="16"/>
                <w:lang w:val="en-GB"/>
              </w:rPr>
            </w:pPr>
            <w:r w:rsidRPr="00520626">
              <w:rPr>
                <w:b/>
                <w:sz w:val="16"/>
                <w:szCs w:val="16"/>
                <w:lang w:val="en-GB"/>
              </w:rPr>
              <w:t xml:space="preserve">Output 3.1. </w:t>
            </w:r>
            <w:r w:rsidRPr="00520626">
              <w:rPr>
                <w:b/>
                <w:bCs/>
                <w:sz w:val="16"/>
                <w:szCs w:val="16"/>
              </w:rPr>
              <w:t xml:space="preserve">Improved local public services and upgraded infrastructure to enhance accessibility and boost resilient local economic development, in </w:t>
            </w:r>
            <w:r w:rsidR="002701D6">
              <w:rPr>
                <w:b/>
                <w:bCs/>
                <w:sz w:val="16"/>
                <w:szCs w:val="16"/>
              </w:rPr>
              <w:t xml:space="preserve">targeted </w:t>
            </w:r>
            <w:r w:rsidR="00022E09">
              <w:rPr>
                <w:b/>
                <w:bCs/>
                <w:sz w:val="16"/>
                <w:szCs w:val="16"/>
              </w:rPr>
              <w:t>r</w:t>
            </w:r>
            <w:r w:rsidRPr="00520626">
              <w:rPr>
                <w:b/>
                <w:bCs/>
                <w:sz w:val="16"/>
                <w:szCs w:val="16"/>
              </w:rPr>
              <w:t>egions of the country</w:t>
            </w:r>
            <w:r w:rsidRPr="00520626">
              <w:rPr>
                <w:b/>
                <w:sz w:val="16"/>
                <w:szCs w:val="16"/>
                <w:lang w:val="en-GB"/>
              </w:rPr>
              <w:t xml:space="preserve"> </w:t>
            </w:r>
          </w:p>
          <w:p w14:paraId="0C8F7C8D" w14:textId="77777777" w:rsidR="00520626" w:rsidRPr="00520626" w:rsidRDefault="00520626" w:rsidP="00520626">
            <w:pPr>
              <w:spacing w:after="160" w:line="260" w:lineRule="auto"/>
              <w:contextualSpacing/>
              <w:jc w:val="both"/>
              <w:rPr>
                <w:i/>
                <w:sz w:val="16"/>
                <w:szCs w:val="16"/>
                <w:lang w:val="en-GB"/>
              </w:rPr>
            </w:pPr>
          </w:p>
          <w:p w14:paraId="77A9ED0F" w14:textId="77777777" w:rsidR="00520626" w:rsidRPr="00520626" w:rsidRDefault="00520626" w:rsidP="00520626">
            <w:pPr>
              <w:rPr>
                <w:b/>
                <w:i/>
                <w:sz w:val="16"/>
                <w:szCs w:val="16"/>
                <w:lang w:val="en-GB"/>
              </w:rPr>
            </w:pPr>
            <w:r w:rsidRPr="00520626">
              <w:rPr>
                <w:b/>
                <w:i/>
                <w:sz w:val="16"/>
                <w:szCs w:val="16"/>
                <w:lang w:val="en-GB"/>
              </w:rPr>
              <w:t xml:space="preserve">Indicator 3.1.1. Number of municipalities supported for public service delivery </w:t>
            </w:r>
          </w:p>
          <w:p w14:paraId="4CF84F5C" w14:textId="77777777" w:rsidR="00520626" w:rsidRPr="00520626" w:rsidRDefault="00520626" w:rsidP="00520626">
            <w:pPr>
              <w:ind w:left="720"/>
              <w:rPr>
                <w:iCs/>
                <w:color w:val="000000"/>
                <w:sz w:val="16"/>
                <w:szCs w:val="16"/>
                <w:lang w:val="en-GB"/>
              </w:rPr>
            </w:pPr>
            <w:r w:rsidRPr="00520626">
              <w:rPr>
                <w:iCs/>
                <w:color w:val="000000"/>
                <w:sz w:val="16"/>
                <w:szCs w:val="16"/>
                <w:lang w:val="en-GB"/>
              </w:rPr>
              <w:t xml:space="preserve">Baseline: 7 </w:t>
            </w:r>
          </w:p>
          <w:p w14:paraId="6D096073" w14:textId="77777777" w:rsidR="00520626" w:rsidRPr="00520626" w:rsidRDefault="00520626" w:rsidP="00520626">
            <w:pPr>
              <w:ind w:left="720"/>
              <w:rPr>
                <w:iCs/>
                <w:color w:val="000000"/>
                <w:sz w:val="16"/>
                <w:szCs w:val="16"/>
                <w:lang w:val="en-GB"/>
              </w:rPr>
            </w:pPr>
            <w:r w:rsidRPr="00520626">
              <w:rPr>
                <w:iCs/>
                <w:color w:val="000000"/>
                <w:sz w:val="16"/>
                <w:szCs w:val="16"/>
                <w:lang w:val="en-GB"/>
              </w:rPr>
              <w:t xml:space="preserve">Target: 20 </w:t>
            </w:r>
          </w:p>
          <w:p w14:paraId="1BC6086D" w14:textId="77777777" w:rsidR="00520626" w:rsidRPr="00520626" w:rsidRDefault="00520626" w:rsidP="00520626">
            <w:pPr>
              <w:ind w:left="720"/>
              <w:rPr>
                <w:iCs/>
                <w:color w:val="000000"/>
                <w:sz w:val="16"/>
                <w:szCs w:val="16"/>
                <w:lang w:val="en-GB"/>
              </w:rPr>
            </w:pPr>
            <w:r w:rsidRPr="00520626">
              <w:rPr>
                <w:iCs/>
                <w:color w:val="000000"/>
                <w:sz w:val="16"/>
                <w:szCs w:val="16"/>
                <w:lang w:val="en-GB"/>
              </w:rPr>
              <w:t xml:space="preserve">Source: UNDP  </w:t>
            </w:r>
          </w:p>
          <w:p w14:paraId="173DFFC3" w14:textId="77777777" w:rsidR="00520626" w:rsidRPr="00520626" w:rsidRDefault="00520626" w:rsidP="00520626">
            <w:pPr>
              <w:ind w:left="720"/>
              <w:rPr>
                <w:iCs/>
                <w:color w:val="000000"/>
                <w:sz w:val="16"/>
                <w:szCs w:val="16"/>
                <w:lang w:val="en-GB"/>
              </w:rPr>
            </w:pPr>
          </w:p>
          <w:p w14:paraId="40899E3A" w14:textId="6989C225" w:rsidR="00520626" w:rsidRPr="00520626" w:rsidRDefault="00520626" w:rsidP="00520626">
            <w:pPr>
              <w:rPr>
                <w:b/>
                <w:i/>
                <w:sz w:val="16"/>
                <w:szCs w:val="16"/>
                <w:lang w:val="en-GB"/>
              </w:rPr>
            </w:pPr>
            <w:r w:rsidRPr="00520626">
              <w:rPr>
                <w:b/>
                <w:i/>
                <w:sz w:val="16"/>
                <w:szCs w:val="16"/>
                <w:lang w:val="en-GB" w:eastAsia="fr-FR"/>
              </w:rPr>
              <w:t xml:space="preserve">Indicator </w:t>
            </w:r>
            <w:r w:rsidR="00F62708" w:rsidRPr="00520626">
              <w:rPr>
                <w:b/>
                <w:i/>
                <w:sz w:val="16"/>
                <w:szCs w:val="16"/>
                <w:lang w:val="en-GB" w:eastAsia="fr-FR"/>
              </w:rPr>
              <w:t>3.1.2.</w:t>
            </w:r>
            <w:r w:rsidRPr="00520626">
              <w:rPr>
                <w:sz w:val="16"/>
                <w:szCs w:val="16"/>
                <w:lang w:val="en-GB" w:eastAsia="fr-FR"/>
              </w:rPr>
              <w:t xml:space="preserve"> </w:t>
            </w:r>
            <w:r w:rsidRPr="00520626">
              <w:rPr>
                <w:b/>
                <w:i/>
                <w:sz w:val="16"/>
                <w:szCs w:val="16"/>
                <w:lang w:val="en-GB"/>
              </w:rPr>
              <w:t>Number of people with improved access to public services in the ten targeted areas affected by conflict.</w:t>
            </w:r>
          </w:p>
          <w:p w14:paraId="7A87EE5C" w14:textId="77777777" w:rsidR="00520626" w:rsidRPr="00520626" w:rsidRDefault="00520626" w:rsidP="00520626">
            <w:pPr>
              <w:ind w:left="720"/>
              <w:rPr>
                <w:iCs/>
                <w:color w:val="000000"/>
                <w:sz w:val="16"/>
                <w:szCs w:val="16"/>
                <w:lang w:val="en-GB"/>
              </w:rPr>
            </w:pPr>
            <w:r w:rsidRPr="00520626">
              <w:rPr>
                <w:iCs/>
                <w:color w:val="000000"/>
                <w:sz w:val="16"/>
                <w:szCs w:val="16"/>
                <w:lang w:val="en-GB"/>
              </w:rPr>
              <w:t xml:space="preserve">Baseline: 800,000 </w:t>
            </w:r>
          </w:p>
          <w:p w14:paraId="4BD030B7" w14:textId="29251905" w:rsidR="00520626" w:rsidRPr="00520626" w:rsidRDefault="00520626" w:rsidP="00520626">
            <w:pPr>
              <w:ind w:left="720"/>
              <w:rPr>
                <w:iCs/>
                <w:color w:val="000000"/>
                <w:sz w:val="16"/>
                <w:szCs w:val="16"/>
                <w:lang w:val="en-GB"/>
              </w:rPr>
            </w:pPr>
            <w:r w:rsidRPr="00520626">
              <w:rPr>
                <w:iCs/>
                <w:color w:val="000000"/>
                <w:sz w:val="16"/>
                <w:szCs w:val="16"/>
                <w:lang w:val="en-GB"/>
              </w:rPr>
              <w:t xml:space="preserve">Target: 1.1 </w:t>
            </w:r>
            <w:r w:rsidR="00F62708" w:rsidRPr="00520626">
              <w:rPr>
                <w:iCs/>
                <w:color w:val="000000"/>
                <w:sz w:val="16"/>
                <w:szCs w:val="16"/>
                <w:lang w:val="en-GB"/>
              </w:rPr>
              <w:t>million (</w:t>
            </w:r>
            <w:r w:rsidRPr="00520626">
              <w:rPr>
                <w:iCs/>
                <w:color w:val="000000"/>
                <w:sz w:val="16"/>
                <w:szCs w:val="16"/>
                <w:lang w:val="en-GB"/>
              </w:rPr>
              <w:t>of which 49% women, 30% youth, 15% IDPs/</w:t>
            </w:r>
            <w:r w:rsidR="00F62708" w:rsidRPr="00520626">
              <w:rPr>
                <w:iCs/>
                <w:color w:val="000000"/>
                <w:sz w:val="16"/>
                <w:szCs w:val="16"/>
                <w:lang w:val="en-GB"/>
              </w:rPr>
              <w:t>refug</w:t>
            </w:r>
            <w:r w:rsidR="00F62708">
              <w:rPr>
                <w:iCs/>
                <w:color w:val="000000"/>
                <w:sz w:val="16"/>
                <w:szCs w:val="16"/>
                <w:lang w:val="en-GB"/>
              </w:rPr>
              <w:t>e</w:t>
            </w:r>
            <w:r w:rsidR="00F62708" w:rsidRPr="00520626">
              <w:rPr>
                <w:iCs/>
                <w:color w:val="000000"/>
                <w:sz w:val="16"/>
                <w:szCs w:val="16"/>
                <w:lang w:val="en-GB"/>
              </w:rPr>
              <w:t>es)</w:t>
            </w:r>
          </w:p>
          <w:p w14:paraId="0CE9A889" w14:textId="77777777" w:rsidR="00520626" w:rsidRPr="00520626" w:rsidRDefault="00520626" w:rsidP="00520626">
            <w:pPr>
              <w:ind w:left="720"/>
              <w:rPr>
                <w:iCs/>
                <w:color w:val="000000"/>
                <w:sz w:val="16"/>
                <w:szCs w:val="16"/>
                <w:lang w:val="en-GB"/>
              </w:rPr>
            </w:pPr>
            <w:r w:rsidRPr="00520626">
              <w:rPr>
                <w:iCs/>
                <w:color w:val="000000"/>
                <w:sz w:val="16"/>
                <w:szCs w:val="16"/>
                <w:lang w:val="en-GB"/>
              </w:rPr>
              <w:t xml:space="preserve">Source:  UNDP  </w:t>
            </w:r>
          </w:p>
          <w:p w14:paraId="7AF35141" w14:textId="77777777" w:rsidR="00520626" w:rsidRPr="00520626" w:rsidRDefault="00520626" w:rsidP="00520626">
            <w:pPr>
              <w:rPr>
                <w:b/>
                <w:sz w:val="16"/>
                <w:lang w:val="en-GB"/>
              </w:rPr>
            </w:pPr>
          </w:p>
          <w:p w14:paraId="6381215F" w14:textId="4A5FABDA" w:rsidR="00520626" w:rsidRPr="00520626" w:rsidRDefault="00520626" w:rsidP="00520626">
            <w:pPr>
              <w:rPr>
                <w:b/>
                <w:sz w:val="16"/>
                <w:szCs w:val="16"/>
                <w:lang w:val="en-GB"/>
              </w:rPr>
            </w:pPr>
            <w:r w:rsidRPr="00520626">
              <w:rPr>
                <w:b/>
                <w:sz w:val="16"/>
                <w:szCs w:val="16"/>
                <w:lang w:val="en-GB"/>
              </w:rPr>
              <w:t xml:space="preserve">Output </w:t>
            </w:r>
            <w:r w:rsidR="00F62708" w:rsidRPr="00520626">
              <w:rPr>
                <w:b/>
                <w:sz w:val="16"/>
                <w:szCs w:val="16"/>
                <w:lang w:val="en-GB"/>
              </w:rPr>
              <w:t>3.2 Local</w:t>
            </w:r>
            <w:r w:rsidRPr="00520626">
              <w:rPr>
                <w:b/>
                <w:sz w:val="16"/>
                <w:szCs w:val="16"/>
                <w:lang w:val="en-GB"/>
              </w:rPr>
              <w:t xml:space="preserve"> economic recovery/development supported</w:t>
            </w:r>
          </w:p>
          <w:p w14:paraId="6BEA35F7" w14:textId="77777777" w:rsidR="00520626" w:rsidRPr="00520626" w:rsidRDefault="00520626" w:rsidP="00520626">
            <w:pPr>
              <w:rPr>
                <w:b/>
                <w:i/>
                <w:sz w:val="16"/>
                <w:szCs w:val="16"/>
                <w:lang w:val="en-GB" w:eastAsia="fr-FR"/>
              </w:rPr>
            </w:pPr>
          </w:p>
          <w:p w14:paraId="1325399F" w14:textId="77777777" w:rsidR="00520626" w:rsidRPr="00520626" w:rsidRDefault="00520626" w:rsidP="00520626">
            <w:pPr>
              <w:rPr>
                <w:b/>
                <w:i/>
                <w:sz w:val="16"/>
                <w:szCs w:val="16"/>
                <w:lang w:val="en-GB" w:eastAsia="fr-FR"/>
              </w:rPr>
            </w:pPr>
            <w:r w:rsidRPr="00520626">
              <w:rPr>
                <w:b/>
                <w:i/>
                <w:sz w:val="16"/>
                <w:szCs w:val="16"/>
                <w:lang w:val="en-GB" w:eastAsia="fr-FR"/>
              </w:rPr>
              <w:t>Indicator 3.2.1. Number of demand-driven apprenticeship programmes organized in partnership with private sector companies</w:t>
            </w:r>
          </w:p>
          <w:p w14:paraId="16204A07" w14:textId="77777777" w:rsidR="00520626" w:rsidRPr="00520626" w:rsidRDefault="00520626" w:rsidP="00520626">
            <w:pPr>
              <w:ind w:left="360"/>
              <w:rPr>
                <w:iCs/>
                <w:color w:val="000000"/>
                <w:sz w:val="16"/>
                <w:szCs w:val="16"/>
                <w:lang w:val="en-GB"/>
              </w:rPr>
            </w:pPr>
            <w:r w:rsidRPr="00520626">
              <w:rPr>
                <w:iCs/>
                <w:color w:val="000000"/>
                <w:sz w:val="16"/>
                <w:szCs w:val="16"/>
                <w:lang w:val="en-GB"/>
              </w:rPr>
              <w:t xml:space="preserve">Baseline: one  </w:t>
            </w:r>
          </w:p>
          <w:p w14:paraId="6FC4AA09" w14:textId="77777777" w:rsidR="00520626" w:rsidRPr="00520626" w:rsidRDefault="00520626" w:rsidP="00520626">
            <w:pPr>
              <w:ind w:left="360"/>
              <w:rPr>
                <w:iCs/>
                <w:color w:val="000000"/>
                <w:sz w:val="16"/>
                <w:szCs w:val="16"/>
                <w:lang w:val="en-GB"/>
              </w:rPr>
            </w:pPr>
            <w:r w:rsidRPr="00520626">
              <w:rPr>
                <w:iCs/>
                <w:color w:val="000000"/>
                <w:sz w:val="16"/>
                <w:szCs w:val="16"/>
                <w:lang w:val="en-GB"/>
              </w:rPr>
              <w:t xml:space="preserve">Target: at least two </w:t>
            </w:r>
          </w:p>
          <w:p w14:paraId="66BBFDA6" w14:textId="77777777" w:rsidR="00520626" w:rsidRPr="00520626" w:rsidRDefault="00520626" w:rsidP="00520626">
            <w:pPr>
              <w:ind w:left="360"/>
              <w:rPr>
                <w:iCs/>
                <w:color w:val="000000"/>
                <w:sz w:val="16"/>
                <w:szCs w:val="16"/>
                <w:lang w:val="en-GB"/>
              </w:rPr>
            </w:pPr>
            <w:r w:rsidRPr="00520626">
              <w:rPr>
                <w:iCs/>
                <w:color w:val="000000"/>
                <w:sz w:val="16"/>
                <w:szCs w:val="16"/>
                <w:lang w:val="en-GB"/>
              </w:rPr>
              <w:lastRenderedPageBreak/>
              <w:t xml:space="preserve">Source: UNDP </w:t>
            </w:r>
          </w:p>
          <w:p w14:paraId="54FEB62D" w14:textId="77777777" w:rsidR="00520626" w:rsidRPr="00520626" w:rsidRDefault="00520626" w:rsidP="00520626">
            <w:pPr>
              <w:ind w:left="720"/>
              <w:rPr>
                <w:i/>
                <w:iCs/>
                <w:color w:val="000000"/>
                <w:sz w:val="16"/>
                <w:szCs w:val="16"/>
                <w:lang w:val="en-GB"/>
              </w:rPr>
            </w:pPr>
          </w:p>
          <w:p w14:paraId="4A9FB344" w14:textId="54873B01" w:rsidR="00520626" w:rsidRPr="00520626" w:rsidRDefault="00520626" w:rsidP="00520626">
            <w:pPr>
              <w:rPr>
                <w:b/>
                <w:i/>
                <w:iCs/>
                <w:color w:val="000000"/>
                <w:sz w:val="16"/>
                <w:szCs w:val="16"/>
                <w:lang w:val="en-GB"/>
              </w:rPr>
            </w:pPr>
            <w:r w:rsidRPr="00520626">
              <w:rPr>
                <w:b/>
                <w:i/>
                <w:sz w:val="16"/>
                <w:szCs w:val="16"/>
                <w:lang w:val="en-GB" w:eastAsia="fr-FR"/>
              </w:rPr>
              <w:t xml:space="preserve">Indicator 3.2.2  </w:t>
            </w:r>
            <w:r w:rsidRPr="00520626">
              <w:rPr>
                <w:b/>
                <w:i/>
                <w:iCs/>
                <w:color w:val="000000"/>
                <w:sz w:val="16"/>
                <w:szCs w:val="16"/>
                <w:lang w:val="en-GB"/>
              </w:rPr>
              <w:t xml:space="preserve"> Number </w:t>
            </w:r>
            <w:r w:rsidR="00F62708" w:rsidRPr="00520626">
              <w:rPr>
                <w:b/>
                <w:i/>
                <w:iCs/>
                <w:color w:val="000000"/>
                <w:sz w:val="16"/>
                <w:szCs w:val="16"/>
                <w:lang w:val="en-GB"/>
              </w:rPr>
              <w:t>of</w:t>
            </w:r>
            <w:r w:rsidR="00F62708">
              <w:rPr>
                <w:b/>
                <w:i/>
                <w:iCs/>
                <w:color w:val="000000"/>
                <w:sz w:val="16"/>
                <w:szCs w:val="16"/>
                <w:lang w:val="en-GB"/>
              </w:rPr>
              <w:t xml:space="preserve"> </w:t>
            </w:r>
            <w:r w:rsidR="00F62708" w:rsidRPr="00520626">
              <w:rPr>
                <w:b/>
                <w:i/>
                <w:iCs/>
                <w:color w:val="000000"/>
                <w:sz w:val="16"/>
                <w:szCs w:val="16"/>
                <w:lang w:val="en-GB"/>
              </w:rPr>
              <w:t>start</w:t>
            </w:r>
            <w:r w:rsidR="0044736E">
              <w:rPr>
                <w:b/>
                <w:i/>
                <w:iCs/>
                <w:color w:val="000000"/>
                <w:sz w:val="16"/>
                <w:szCs w:val="16"/>
                <w:lang w:val="en-GB"/>
              </w:rPr>
              <w:t>-ups supp</w:t>
            </w:r>
            <w:r w:rsidR="00BE0116">
              <w:rPr>
                <w:b/>
                <w:i/>
                <w:iCs/>
                <w:color w:val="000000"/>
                <w:sz w:val="16"/>
                <w:szCs w:val="16"/>
                <w:lang w:val="en-GB"/>
              </w:rPr>
              <w:t xml:space="preserve">orted in Libya </w:t>
            </w:r>
          </w:p>
          <w:p w14:paraId="6BAD0627" w14:textId="77777777" w:rsidR="00520626" w:rsidRPr="00520626" w:rsidRDefault="00520626" w:rsidP="00520626">
            <w:pPr>
              <w:ind w:left="360"/>
              <w:rPr>
                <w:iCs/>
                <w:color w:val="000000"/>
                <w:sz w:val="16"/>
                <w:szCs w:val="16"/>
                <w:lang w:val="en-GB"/>
              </w:rPr>
            </w:pPr>
            <w:r w:rsidRPr="00520626">
              <w:rPr>
                <w:iCs/>
                <w:color w:val="000000"/>
                <w:sz w:val="16"/>
                <w:szCs w:val="16"/>
                <w:lang w:val="en-GB"/>
              </w:rPr>
              <w:t xml:space="preserve">Baseline: 0   </w:t>
            </w:r>
          </w:p>
          <w:p w14:paraId="67D1E6D3" w14:textId="77777777" w:rsidR="00BE0116" w:rsidRDefault="00520626" w:rsidP="00520626">
            <w:pPr>
              <w:ind w:left="360"/>
              <w:rPr>
                <w:iCs/>
                <w:color w:val="000000"/>
                <w:sz w:val="16"/>
                <w:szCs w:val="16"/>
                <w:lang w:val="en-GB"/>
              </w:rPr>
            </w:pPr>
            <w:r w:rsidRPr="00520626">
              <w:rPr>
                <w:iCs/>
                <w:color w:val="000000"/>
                <w:sz w:val="16"/>
                <w:szCs w:val="16"/>
                <w:lang w:val="en-GB"/>
              </w:rPr>
              <w:t xml:space="preserve">Target: </w:t>
            </w:r>
            <w:r w:rsidR="00BE0116">
              <w:rPr>
                <w:iCs/>
                <w:color w:val="000000"/>
                <w:sz w:val="16"/>
                <w:szCs w:val="16"/>
                <w:lang w:val="en-GB"/>
              </w:rPr>
              <w:t xml:space="preserve">90 </w:t>
            </w:r>
          </w:p>
          <w:p w14:paraId="7A9112C7" w14:textId="77777777" w:rsidR="00520626" w:rsidRPr="00520626" w:rsidRDefault="00520626" w:rsidP="00520626">
            <w:pPr>
              <w:ind w:left="360"/>
              <w:rPr>
                <w:iCs/>
                <w:color w:val="000000"/>
                <w:sz w:val="16"/>
                <w:szCs w:val="16"/>
                <w:lang w:val="en-GB"/>
              </w:rPr>
            </w:pPr>
            <w:r w:rsidRPr="00520626">
              <w:rPr>
                <w:iCs/>
                <w:color w:val="000000"/>
                <w:sz w:val="16"/>
                <w:szCs w:val="16"/>
                <w:lang w:val="en-GB"/>
              </w:rPr>
              <w:t xml:space="preserve">Source: UNDP </w:t>
            </w:r>
          </w:p>
          <w:p w14:paraId="2A8A4C3D" w14:textId="77777777" w:rsidR="00520626" w:rsidRPr="00520626" w:rsidRDefault="00520626" w:rsidP="00520626">
            <w:pPr>
              <w:ind w:left="720"/>
              <w:rPr>
                <w:iCs/>
                <w:color w:val="000000"/>
                <w:sz w:val="16"/>
                <w:szCs w:val="16"/>
                <w:lang w:val="en-GB"/>
              </w:rPr>
            </w:pPr>
          </w:p>
          <w:p w14:paraId="169B8206" w14:textId="16A6AE46" w:rsidR="00520626" w:rsidRPr="00520626" w:rsidRDefault="00520626" w:rsidP="00520626">
            <w:pPr>
              <w:rPr>
                <w:b/>
                <w:i/>
                <w:iCs/>
                <w:color w:val="000000"/>
                <w:sz w:val="16"/>
                <w:szCs w:val="16"/>
                <w:lang w:val="en-GB"/>
              </w:rPr>
            </w:pPr>
            <w:r w:rsidRPr="00520626">
              <w:rPr>
                <w:b/>
                <w:i/>
                <w:sz w:val="16"/>
                <w:szCs w:val="16"/>
                <w:lang w:val="en-GB" w:eastAsia="fr-FR"/>
              </w:rPr>
              <w:t xml:space="preserve">Indicator </w:t>
            </w:r>
            <w:r w:rsidR="00F62708" w:rsidRPr="00520626">
              <w:rPr>
                <w:b/>
                <w:i/>
                <w:sz w:val="16"/>
                <w:szCs w:val="16"/>
                <w:lang w:val="en-GB" w:eastAsia="fr-FR"/>
              </w:rPr>
              <w:t>3.2.3 Number</w:t>
            </w:r>
            <w:r w:rsidRPr="00520626">
              <w:rPr>
                <w:b/>
                <w:i/>
                <w:sz w:val="16"/>
                <w:szCs w:val="16"/>
                <w:lang w:val="en-GB" w:eastAsia="fr-FR"/>
              </w:rPr>
              <w:t xml:space="preserve"> </w:t>
            </w:r>
            <w:r w:rsidRPr="00520626">
              <w:rPr>
                <w:b/>
                <w:i/>
                <w:iCs/>
                <w:color w:val="000000"/>
                <w:sz w:val="16"/>
                <w:szCs w:val="16"/>
                <w:lang w:val="en-GB"/>
              </w:rPr>
              <w:t>of local business incubators/economic literacy centres are established and fully functional.</w:t>
            </w:r>
          </w:p>
          <w:p w14:paraId="66D7ED0E" w14:textId="6462A5DE" w:rsidR="00520626" w:rsidRPr="00520626" w:rsidRDefault="00520626" w:rsidP="00520626">
            <w:pPr>
              <w:ind w:left="360"/>
              <w:rPr>
                <w:iCs/>
                <w:color w:val="000000"/>
                <w:sz w:val="16"/>
                <w:szCs w:val="16"/>
                <w:lang w:val="en-GB"/>
              </w:rPr>
            </w:pPr>
            <w:r w:rsidRPr="00520626">
              <w:rPr>
                <w:iCs/>
                <w:color w:val="000000"/>
                <w:sz w:val="16"/>
                <w:szCs w:val="16"/>
                <w:lang w:val="en-GB"/>
              </w:rPr>
              <w:t xml:space="preserve">Baseline: </w:t>
            </w:r>
            <w:r w:rsidR="00F62708" w:rsidRPr="00520626">
              <w:rPr>
                <w:iCs/>
                <w:color w:val="000000"/>
                <w:sz w:val="16"/>
                <w:szCs w:val="16"/>
                <w:lang w:val="en-GB"/>
              </w:rPr>
              <w:t>1 (</w:t>
            </w:r>
            <w:r w:rsidRPr="00520626">
              <w:rPr>
                <w:iCs/>
                <w:color w:val="000000"/>
                <w:sz w:val="16"/>
                <w:szCs w:val="16"/>
                <w:lang w:val="en-GB"/>
              </w:rPr>
              <w:t>Benghazi)</w:t>
            </w:r>
          </w:p>
          <w:p w14:paraId="04AE19DE" w14:textId="77777777" w:rsidR="00520626" w:rsidRPr="00520626" w:rsidRDefault="00520626" w:rsidP="00520626">
            <w:pPr>
              <w:ind w:left="360"/>
              <w:rPr>
                <w:iCs/>
                <w:color w:val="000000"/>
                <w:sz w:val="16"/>
                <w:szCs w:val="16"/>
                <w:lang w:val="en-GB"/>
              </w:rPr>
            </w:pPr>
            <w:r w:rsidRPr="00520626">
              <w:rPr>
                <w:iCs/>
                <w:color w:val="000000"/>
                <w:sz w:val="16"/>
                <w:szCs w:val="16"/>
                <w:lang w:val="en-GB"/>
              </w:rPr>
              <w:t>Target: 3 (Tripoli, Sabha – based on the security situation) - First round of business incubators expected in 2018.</w:t>
            </w:r>
          </w:p>
          <w:p w14:paraId="2622FCB7" w14:textId="77777777" w:rsidR="00D83BC8" w:rsidRDefault="00520626" w:rsidP="00520626">
            <w:pPr>
              <w:ind w:left="360"/>
              <w:rPr>
                <w:iCs/>
                <w:color w:val="000000"/>
                <w:sz w:val="16"/>
                <w:szCs w:val="16"/>
                <w:lang w:val="en-GB"/>
              </w:rPr>
            </w:pPr>
            <w:r w:rsidRPr="00520626">
              <w:rPr>
                <w:iCs/>
                <w:color w:val="000000"/>
                <w:sz w:val="16"/>
                <w:szCs w:val="16"/>
                <w:lang w:val="en-GB"/>
              </w:rPr>
              <w:t xml:space="preserve">Source: UNDP </w:t>
            </w:r>
          </w:p>
          <w:p w14:paraId="2745D29F" w14:textId="77777777" w:rsidR="00520626" w:rsidRPr="00520626" w:rsidRDefault="00520626" w:rsidP="00520626">
            <w:pPr>
              <w:ind w:left="360"/>
              <w:rPr>
                <w:iCs/>
                <w:color w:val="000000"/>
                <w:sz w:val="16"/>
                <w:szCs w:val="16"/>
                <w:lang w:val="en-GB"/>
              </w:rPr>
            </w:pPr>
          </w:p>
          <w:p w14:paraId="3CADE4F2" w14:textId="6BF2BDC0" w:rsidR="00520626" w:rsidRPr="00110322" w:rsidRDefault="00520626" w:rsidP="00520626">
            <w:pPr>
              <w:rPr>
                <w:b/>
                <w:bCs/>
                <w:i/>
                <w:color w:val="000000"/>
                <w:sz w:val="16"/>
                <w:szCs w:val="16"/>
              </w:rPr>
            </w:pPr>
            <w:r w:rsidRPr="00520626">
              <w:rPr>
                <w:b/>
                <w:i/>
                <w:sz w:val="16"/>
                <w:szCs w:val="16"/>
                <w:lang w:val="en-GB" w:eastAsia="fr-FR"/>
              </w:rPr>
              <w:t xml:space="preserve">Indicator </w:t>
            </w:r>
            <w:r w:rsidR="00F62708" w:rsidRPr="00520626">
              <w:rPr>
                <w:b/>
                <w:i/>
                <w:sz w:val="16"/>
                <w:szCs w:val="16"/>
                <w:lang w:val="en-GB" w:eastAsia="fr-FR"/>
              </w:rPr>
              <w:t>3.2.</w:t>
            </w:r>
            <w:r w:rsidR="00F62708" w:rsidRPr="00110322">
              <w:rPr>
                <w:b/>
                <w:i/>
                <w:sz w:val="16"/>
                <w:szCs w:val="16"/>
                <w:lang w:val="en-GB" w:eastAsia="fr-FR"/>
              </w:rPr>
              <w:t xml:space="preserve">4 </w:t>
            </w:r>
            <w:r w:rsidR="00F62708" w:rsidRPr="00110322">
              <w:rPr>
                <w:b/>
                <w:i/>
                <w:iCs/>
                <w:color w:val="000000"/>
                <w:sz w:val="16"/>
                <w:szCs w:val="16"/>
                <w:lang w:val="en-GB"/>
              </w:rPr>
              <w:t>Number</w:t>
            </w:r>
            <w:r w:rsidRPr="00110322">
              <w:rPr>
                <w:b/>
                <w:i/>
                <w:iCs/>
                <w:color w:val="000000"/>
                <w:sz w:val="16"/>
                <w:szCs w:val="16"/>
                <w:lang w:val="en-GB"/>
              </w:rPr>
              <w:t xml:space="preserve"> </w:t>
            </w:r>
            <w:r w:rsidR="00F62708" w:rsidRPr="00110322">
              <w:rPr>
                <w:b/>
                <w:i/>
                <w:iCs/>
                <w:color w:val="000000"/>
                <w:sz w:val="16"/>
                <w:szCs w:val="16"/>
                <w:lang w:val="en-GB"/>
              </w:rPr>
              <w:t xml:space="preserve">of </w:t>
            </w:r>
            <w:r w:rsidR="00F62708" w:rsidRPr="00CF37F0">
              <w:rPr>
                <w:rFonts w:eastAsia="Calibri"/>
                <w:sz w:val="16"/>
                <w:szCs w:val="16"/>
                <w:lang w:val="en-GB"/>
              </w:rPr>
              <w:t>new</w:t>
            </w:r>
            <w:r w:rsidRPr="00CF37F0">
              <w:rPr>
                <w:rFonts w:eastAsia="Calibri"/>
                <w:b/>
                <w:i/>
                <w:sz w:val="16"/>
                <w:szCs w:val="16"/>
                <w:lang w:val="en-GB"/>
              </w:rPr>
              <w:t xml:space="preserve"> </w:t>
            </w:r>
            <w:r w:rsidRPr="00CF37F0">
              <w:rPr>
                <w:rFonts w:eastAsia="Calibri"/>
                <w:b/>
                <w:i/>
                <w:sz w:val="16"/>
                <w:lang w:val="en-GB"/>
              </w:rPr>
              <w:t xml:space="preserve">jobs created </w:t>
            </w:r>
            <w:r w:rsidRPr="00CF37F0">
              <w:rPr>
                <w:rFonts w:eastAsia="Calibri"/>
                <w:b/>
                <w:i/>
                <w:sz w:val="16"/>
                <w:szCs w:val="16"/>
                <w:lang w:val="en-GB"/>
              </w:rPr>
              <w:t>with UNDP support, including share of women, youth</w:t>
            </w:r>
          </w:p>
          <w:p w14:paraId="7634E0D1" w14:textId="77777777" w:rsidR="00520626" w:rsidRPr="00520626" w:rsidRDefault="00520626" w:rsidP="00520626">
            <w:pPr>
              <w:ind w:left="360"/>
              <w:rPr>
                <w:iCs/>
                <w:color w:val="000000"/>
                <w:sz w:val="16"/>
                <w:szCs w:val="16"/>
                <w:lang w:val="en-GB"/>
              </w:rPr>
            </w:pPr>
            <w:r w:rsidRPr="00520626">
              <w:rPr>
                <w:iCs/>
                <w:color w:val="000000"/>
                <w:sz w:val="16"/>
                <w:szCs w:val="16"/>
                <w:lang w:val="en-GB"/>
              </w:rPr>
              <w:t xml:space="preserve">Baseline (2018): 0   </w:t>
            </w:r>
          </w:p>
          <w:p w14:paraId="65A1A803" w14:textId="248AD188" w:rsidR="005C044B" w:rsidRDefault="00520626" w:rsidP="00520626">
            <w:pPr>
              <w:ind w:left="360"/>
              <w:rPr>
                <w:iCs/>
                <w:color w:val="000000"/>
                <w:sz w:val="16"/>
                <w:szCs w:val="16"/>
                <w:lang w:val="en-GB"/>
              </w:rPr>
            </w:pPr>
            <w:r w:rsidRPr="00520626">
              <w:rPr>
                <w:iCs/>
                <w:color w:val="000000"/>
                <w:sz w:val="16"/>
                <w:szCs w:val="16"/>
                <w:lang w:val="en-GB"/>
              </w:rPr>
              <w:t xml:space="preserve">Target: Total - </w:t>
            </w:r>
            <w:r w:rsidR="00F62708" w:rsidRPr="00520626">
              <w:rPr>
                <w:iCs/>
                <w:color w:val="000000"/>
                <w:sz w:val="16"/>
                <w:szCs w:val="16"/>
                <w:lang w:val="en-GB"/>
              </w:rPr>
              <w:t>1,000,</w:t>
            </w:r>
            <w:r w:rsidRPr="00520626">
              <w:rPr>
                <w:iCs/>
                <w:color w:val="000000"/>
                <w:sz w:val="16"/>
                <w:szCs w:val="16"/>
                <w:lang w:val="en-GB"/>
              </w:rPr>
              <w:t xml:space="preserve"> Women – 200, men -800; youth</w:t>
            </w:r>
          </w:p>
          <w:p w14:paraId="05B75F1F" w14:textId="77777777" w:rsidR="00520626" w:rsidRPr="00520626" w:rsidRDefault="00520626" w:rsidP="000D0FCB">
            <w:pPr>
              <w:ind w:left="360"/>
              <w:rPr>
                <w:b/>
                <w:bCs/>
                <w:color w:val="000000"/>
                <w:sz w:val="16"/>
                <w:szCs w:val="16"/>
                <w:lang w:val="en-GB"/>
              </w:rPr>
            </w:pPr>
            <w:r w:rsidRPr="00520626">
              <w:rPr>
                <w:iCs/>
                <w:color w:val="000000"/>
                <w:sz w:val="16"/>
                <w:szCs w:val="16"/>
                <w:lang w:val="en-GB"/>
              </w:rPr>
              <w:t xml:space="preserve">Source: UNDP </w:t>
            </w:r>
          </w:p>
        </w:tc>
        <w:tc>
          <w:tcPr>
            <w:tcW w:w="650" w:type="pct"/>
          </w:tcPr>
          <w:p w14:paraId="66C8EE8B" w14:textId="77777777" w:rsidR="00520626" w:rsidRPr="00520626" w:rsidRDefault="00520626" w:rsidP="00520626">
            <w:pPr>
              <w:rPr>
                <w:i/>
                <w:sz w:val="16"/>
                <w:szCs w:val="16"/>
                <w:lang w:val="en-GB"/>
              </w:rPr>
            </w:pPr>
          </w:p>
          <w:p w14:paraId="457432DF" w14:textId="77777777" w:rsidR="00520626" w:rsidRPr="00520626" w:rsidRDefault="00520626" w:rsidP="00520626">
            <w:pPr>
              <w:rPr>
                <w:iCs/>
                <w:color w:val="000000"/>
                <w:sz w:val="16"/>
                <w:szCs w:val="16"/>
                <w:lang w:val="en-GB"/>
              </w:rPr>
            </w:pPr>
            <w:r w:rsidRPr="00520626">
              <w:rPr>
                <w:iCs/>
                <w:color w:val="000000"/>
                <w:sz w:val="16"/>
                <w:szCs w:val="16"/>
                <w:lang w:val="en-GB"/>
              </w:rPr>
              <w:t xml:space="preserve">Ministry of Health, GECOL, REAOL, municipalities, local councils </w:t>
            </w:r>
          </w:p>
          <w:p w14:paraId="15D06FD4" w14:textId="77777777" w:rsidR="00520626" w:rsidRPr="00520626" w:rsidRDefault="00520626" w:rsidP="00520626">
            <w:pPr>
              <w:rPr>
                <w:i/>
                <w:sz w:val="16"/>
                <w:szCs w:val="16"/>
                <w:lang w:val="en-GB"/>
              </w:rPr>
            </w:pPr>
          </w:p>
          <w:p w14:paraId="785ED12F" w14:textId="77777777" w:rsidR="00520626" w:rsidRPr="00520626" w:rsidRDefault="00520626" w:rsidP="00520626">
            <w:pPr>
              <w:rPr>
                <w:sz w:val="16"/>
              </w:rPr>
            </w:pPr>
            <w:r w:rsidRPr="00520626">
              <w:rPr>
                <w:sz w:val="16"/>
              </w:rPr>
              <w:t>UNSMIL, UNICEF, WHO</w:t>
            </w:r>
          </w:p>
          <w:p w14:paraId="688BE89D" w14:textId="77777777" w:rsidR="00520626" w:rsidRPr="00520626" w:rsidRDefault="00520626" w:rsidP="00520626">
            <w:pPr>
              <w:rPr>
                <w:i/>
                <w:sz w:val="16"/>
                <w:szCs w:val="16"/>
                <w:lang w:val="en-GB"/>
              </w:rPr>
            </w:pPr>
          </w:p>
          <w:p w14:paraId="5A67C8A4" w14:textId="77777777" w:rsidR="00520626" w:rsidRPr="00520626" w:rsidRDefault="00520626" w:rsidP="00520626">
            <w:pPr>
              <w:rPr>
                <w:sz w:val="16"/>
                <w:szCs w:val="16"/>
                <w:lang w:val="en-GB"/>
              </w:rPr>
            </w:pPr>
            <w:r w:rsidRPr="00520626">
              <w:rPr>
                <w:sz w:val="16"/>
                <w:szCs w:val="16"/>
                <w:lang w:val="en-GB"/>
              </w:rPr>
              <w:t>CSOs, tribal leaders, private sector companies (Toyota)</w:t>
            </w:r>
          </w:p>
          <w:p w14:paraId="5A893436" w14:textId="77777777" w:rsidR="00520626" w:rsidRPr="00520626" w:rsidRDefault="00520626" w:rsidP="00520626">
            <w:pPr>
              <w:rPr>
                <w:sz w:val="16"/>
                <w:szCs w:val="16"/>
                <w:lang w:val="en-GB"/>
              </w:rPr>
            </w:pPr>
          </w:p>
          <w:p w14:paraId="5CA4E663" w14:textId="00D6EED5" w:rsidR="00520626" w:rsidRPr="005973E1" w:rsidRDefault="00520626" w:rsidP="005973E1">
            <w:pPr>
              <w:rPr>
                <w:sz w:val="16"/>
                <w:szCs w:val="16"/>
                <w:lang w:val="en-GB"/>
              </w:rPr>
            </w:pPr>
            <w:r w:rsidRPr="00520626">
              <w:rPr>
                <w:i/>
                <w:sz w:val="16"/>
                <w:szCs w:val="16"/>
                <w:lang w:val="en-GB"/>
              </w:rPr>
              <w:t>Bilateral and multilateral partners:</w:t>
            </w:r>
            <w:r w:rsidRPr="00520626">
              <w:rPr>
                <w:sz w:val="16"/>
                <w:szCs w:val="16"/>
                <w:lang w:val="en-GB"/>
              </w:rPr>
              <w:t xml:space="preserve"> </w:t>
            </w:r>
            <w:r w:rsidR="00F62708" w:rsidRPr="00520626">
              <w:rPr>
                <w:sz w:val="16"/>
                <w:szCs w:val="16"/>
                <w:lang w:val="en-GB"/>
              </w:rPr>
              <w:t>European Union</w:t>
            </w:r>
            <w:r w:rsidRPr="00520626">
              <w:rPr>
                <w:sz w:val="16"/>
                <w:szCs w:val="16"/>
                <w:lang w:val="en-GB"/>
              </w:rPr>
              <w:t xml:space="preserve"> </w:t>
            </w:r>
          </w:p>
        </w:tc>
        <w:tc>
          <w:tcPr>
            <w:tcW w:w="614" w:type="pct"/>
            <w:tcMar>
              <w:top w:w="15" w:type="dxa"/>
              <w:left w:w="108" w:type="dxa"/>
              <w:bottom w:w="0" w:type="dxa"/>
              <w:right w:w="108" w:type="dxa"/>
            </w:tcMar>
          </w:tcPr>
          <w:p w14:paraId="3D275DF3" w14:textId="77777777" w:rsidR="00520626" w:rsidRPr="00520626" w:rsidRDefault="00520626" w:rsidP="00520626">
            <w:pPr>
              <w:rPr>
                <w:b/>
                <w:color w:val="000000"/>
                <w:sz w:val="16"/>
                <w:szCs w:val="16"/>
                <w:lang w:val="en-GB"/>
              </w:rPr>
            </w:pPr>
            <w:r w:rsidRPr="00520626">
              <w:rPr>
                <w:b/>
                <w:color w:val="000000"/>
                <w:sz w:val="16"/>
                <w:szCs w:val="16"/>
                <w:lang w:val="en-GB"/>
              </w:rPr>
              <w:t xml:space="preserve">Regular: </w:t>
            </w:r>
            <w:r w:rsidRPr="00520626">
              <w:rPr>
                <w:color w:val="000000"/>
                <w:sz w:val="16"/>
                <w:szCs w:val="16"/>
                <w:lang w:val="en-GB"/>
              </w:rPr>
              <w:t xml:space="preserve"> </w:t>
            </w:r>
          </w:p>
          <w:p w14:paraId="2A4C0207" w14:textId="77777777" w:rsidR="00520626" w:rsidRPr="00520626" w:rsidRDefault="005973E1" w:rsidP="00520626">
            <w:pPr>
              <w:rPr>
                <w:b/>
                <w:color w:val="000000"/>
                <w:sz w:val="16"/>
                <w:szCs w:val="16"/>
                <w:lang w:val="en-GB"/>
              </w:rPr>
            </w:pPr>
            <w:r>
              <w:rPr>
                <w:b/>
                <w:color w:val="000000"/>
                <w:sz w:val="16"/>
                <w:szCs w:val="16"/>
                <w:lang w:val="en-GB"/>
              </w:rPr>
              <w:t>$</w:t>
            </w:r>
            <w:r w:rsidR="00EF45FB">
              <w:rPr>
                <w:b/>
                <w:color w:val="000000"/>
                <w:sz w:val="16"/>
                <w:szCs w:val="16"/>
                <w:lang w:val="en-GB"/>
              </w:rPr>
              <w:t xml:space="preserve">308,720 </w:t>
            </w:r>
          </w:p>
          <w:p w14:paraId="40F69CB6" w14:textId="77777777" w:rsidR="00520626" w:rsidRPr="00520626" w:rsidRDefault="00520626" w:rsidP="00520626">
            <w:pPr>
              <w:rPr>
                <w:b/>
                <w:color w:val="000000"/>
                <w:sz w:val="16"/>
                <w:szCs w:val="16"/>
                <w:lang w:val="en-GB"/>
              </w:rPr>
            </w:pPr>
          </w:p>
          <w:p w14:paraId="4FE6C79C" w14:textId="77777777" w:rsidR="00520626" w:rsidRPr="00520626" w:rsidRDefault="00520626" w:rsidP="00520626">
            <w:pPr>
              <w:rPr>
                <w:b/>
                <w:color w:val="000000"/>
                <w:sz w:val="16"/>
                <w:szCs w:val="16"/>
                <w:lang w:val="en-GB"/>
              </w:rPr>
            </w:pPr>
            <w:r w:rsidRPr="00520626">
              <w:rPr>
                <w:b/>
                <w:color w:val="000000"/>
                <w:sz w:val="16"/>
                <w:szCs w:val="16"/>
                <w:lang w:val="en-GB"/>
              </w:rPr>
              <w:t>Other:</w:t>
            </w:r>
          </w:p>
          <w:p w14:paraId="63848F2D" w14:textId="77777777" w:rsidR="00520626" w:rsidRPr="007B1BBC" w:rsidRDefault="005973E1" w:rsidP="00520626">
            <w:pPr>
              <w:rPr>
                <w:b/>
                <w:color w:val="000000"/>
                <w:sz w:val="16"/>
                <w:szCs w:val="16"/>
                <w:lang w:val="en-GB"/>
              </w:rPr>
            </w:pPr>
            <w:r>
              <w:rPr>
                <w:b/>
                <w:color w:val="000000"/>
                <w:sz w:val="16"/>
                <w:szCs w:val="16"/>
                <w:lang w:val="en-GB"/>
              </w:rPr>
              <w:t>$</w:t>
            </w:r>
            <w:r w:rsidR="00520626" w:rsidRPr="00520626">
              <w:rPr>
                <w:b/>
                <w:color w:val="000000"/>
                <w:sz w:val="16"/>
                <w:szCs w:val="16"/>
                <w:lang w:val="en-GB"/>
              </w:rPr>
              <w:t>62,500,00</w:t>
            </w:r>
          </w:p>
          <w:p w14:paraId="6F759393" w14:textId="77777777" w:rsidR="00520626" w:rsidRPr="00520626" w:rsidRDefault="00520626" w:rsidP="007B1BBC">
            <w:pPr>
              <w:rPr>
                <w:b/>
                <w:color w:val="000000"/>
                <w:sz w:val="16"/>
                <w:szCs w:val="16"/>
              </w:rPr>
            </w:pPr>
          </w:p>
        </w:tc>
      </w:tr>
    </w:tbl>
    <w:p w14:paraId="287F9978" w14:textId="77777777" w:rsidR="001338D1" w:rsidRDefault="001338D1" w:rsidP="00D65D48"/>
    <w:p w14:paraId="422F49FD" w14:textId="77777777" w:rsidR="00034B72" w:rsidRPr="00034B72" w:rsidRDefault="002C1211" w:rsidP="00A95D46">
      <w:pPr>
        <w:tabs>
          <w:tab w:val="left" w:pos="1635"/>
        </w:tabs>
        <w:jc w:val="center"/>
        <w:rPr>
          <w:sz w:val="28"/>
          <w:szCs w:val="28"/>
        </w:rPr>
      </w:pPr>
      <w:r w:rsidRPr="00A95D46">
        <w:rPr>
          <w:b/>
          <w:noProof/>
          <w:color w:val="000000"/>
          <w:sz w:val="16"/>
          <w:szCs w:val="16"/>
        </w:rPr>
        <w:drawing>
          <wp:inline distT="0" distB="0" distL="0" distR="0" wp14:anchorId="2B364DFF" wp14:editId="5D5AF65E">
            <wp:extent cx="944880" cy="30480"/>
            <wp:effectExtent l="0" t="0" r="0" b="0"/>
            <wp:docPr id="3"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4880" cy="30480"/>
                    </a:xfrm>
                    <a:prstGeom prst="rect">
                      <a:avLst/>
                    </a:prstGeom>
                    <a:noFill/>
                    <a:ln>
                      <a:noFill/>
                    </a:ln>
                  </pic:spPr>
                </pic:pic>
              </a:graphicData>
            </a:graphic>
          </wp:inline>
        </w:drawing>
      </w:r>
    </w:p>
    <w:sectPr w:rsidR="00034B72" w:rsidRPr="00034B72" w:rsidSect="00D65D48">
      <w:headerReference w:type="even" r:id="rId19"/>
      <w:headerReference w:type="default" r:id="rId20"/>
      <w:footerReference w:type="default" r:id="rId21"/>
      <w:pgSz w:w="15840" w:h="12240" w:orient="landscape"/>
      <w:pgMar w:top="117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A7AB1" w14:textId="77777777" w:rsidR="001A39E1" w:rsidRDefault="001A39E1" w:rsidP="00441061">
      <w:r>
        <w:separator/>
      </w:r>
    </w:p>
  </w:endnote>
  <w:endnote w:type="continuationSeparator" w:id="0">
    <w:p w14:paraId="229BB0FE" w14:textId="77777777" w:rsidR="001A39E1" w:rsidRDefault="001A39E1"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C9EBA" w14:textId="77777777" w:rsidR="00F959A8" w:rsidRPr="005841A3" w:rsidRDefault="00F959A8">
    <w:pPr>
      <w:pStyle w:val="Footer"/>
      <w:rPr>
        <w:b/>
        <w:sz w:val="17"/>
        <w:szCs w:val="17"/>
      </w:rPr>
    </w:pPr>
    <w:r w:rsidRPr="005841A3">
      <w:rPr>
        <w:b/>
        <w:sz w:val="17"/>
        <w:szCs w:val="17"/>
      </w:rPr>
      <w:fldChar w:fldCharType="begin"/>
    </w:r>
    <w:r w:rsidRPr="005841A3">
      <w:rPr>
        <w:b/>
        <w:sz w:val="17"/>
        <w:szCs w:val="17"/>
      </w:rPr>
      <w:instrText xml:space="preserve"> </w:instrText>
    </w:r>
    <w:r>
      <w:rPr>
        <w:b/>
        <w:sz w:val="17"/>
        <w:szCs w:val="17"/>
      </w:rPr>
      <w:instrText>PAGE</w:instrText>
    </w:r>
    <w:r w:rsidRPr="005841A3">
      <w:rPr>
        <w:b/>
        <w:sz w:val="17"/>
        <w:szCs w:val="17"/>
      </w:rPr>
      <w:instrText xml:space="preserve">   \* MERGEFORMAT </w:instrText>
    </w:r>
    <w:r w:rsidRPr="005841A3">
      <w:rPr>
        <w:b/>
        <w:sz w:val="17"/>
        <w:szCs w:val="17"/>
      </w:rPr>
      <w:fldChar w:fldCharType="separate"/>
    </w:r>
    <w:r>
      <w:rPr>
        <w:b/>
        <w:noProof/>
        <w:sz w:val="17"/>
        <w:szCs w:val="17"/>
      </w:rPr>
      <w:t>6</w:t>
    </w:r>
    <w:r w:rsidRPr="005841A3">
      <w:rPr>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1759A" w14:textId="77777777" w:rsidR="00F959A8" w:rsidRPr="005973E1" w:rsidRDefault="00F959A8" w:rsidP="005973E1">
    <w:pPr>
      <w:pStyle w:val="Footer"/>
      <w:jc w:val="right"/>
      <w:rPr>
        <w:b/>
        <w:sz w:val="17"/>
        <w:szCs w:val="17"/>
      </w:rPr>
    </w:pPr>
    <w:r w:rsidRPr="005841A3">
      <w:rPr>
        <w:b/>
        <w:sz w:val="17"/>
        <w:szCs w:val="17"/>
      </w:rPr>
      <w:fldChar w:fldCharType="begin"/>
    </w:r>
    <w:r w:rsidRPr="005841A3">
      <w:rPr>
        <w:b/>
        <w:sz w:val="17"/>
        <w:szCs w:val="17"/>
      </w:rPr>
      <w:instrText xml:space="preserve"> </w:instrText>
    </w:r>
    <w:r>
      <w:rPr>
        <w:b/>
        <w:sz w:val="17"/>
        <w:szCs w:val="17"/>
      </w:rPr>
      <w:instrText>PAGE</w:instrText>
    </w:r>
    <w:r w:rsidRPr="005841A3">
      <w:rPr>
        <w:b/>
        <w:sz w:val="17"/>
        <w:szCs w:val="17"/>
      </w:rPr>
      <w:instrText xml:space="preserve">   \* MERGEFORMAT </w:instrText>
    </w:r>
    <w:r w:rsidRPr="005841A3">
      <w:rPr>
        <w:b/>
        <w:sz w:val="17"/>
        <w:szCs w:val="17"/>
      </w:rPr>
      <w:fldChar w:fldCharType="separate"/>
    </w:r>
    <w:r>
      <w:rPr>
        <w:b/>
        <w:noProof/>
        <w:sz w:val="17"/>
        <w:szCs w:val="17"/>
      </w:rPr>
      <w:t>9</w:t>
    </w:r>
    <w:r w:rsidRPr="005841A3">
      <w:rPr>
        <w:b/>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7DFFF" w14:textId="77777777" w:rsidR="00F959A8" w:rsidRPr="00A95D46" w:rsidRDefault="00F959A8" w:rsidP="00A95D46">
    <w:pPr>
      <w:pStyle w:val="Footer"/>
      <w:jc w:val="right"/>
      <w:rPr>
        <w:b/>
        <w:sz w:val="17"/>
        <w:szCs w:val="17"/>
      </w:rPr>
    </w:pPr>
    <w:r w:rsidRPr="00A95D46">
      <w:rPr>
        <w:b/>
        <w:sz w:val="17"/>
        <w:szCs w:val="17"/>
      </w:rPr>
      <w:fldChar w:fldCharType="begin"/>
    </w:r>
    <w:r w:rsidRPr="00A95D46">
      <w:rPr>
        <w:b/>
        <w:sz w:val="17"/>
        <w:szCs w:val="17"/>
      </w:rPr>
      <w:instrText xml:space="preserve"> PAGE   \* MERGEFORMAT </w:instrText>
    </w:r>
    <w:r w:rsidRPr="00A95D46">
      <w:rPr>
        <w:b/>
        <w:sz w:val="17"/>
        <w:szCs w:val="17"/>
      </w:rPr>
      <w:fldChar w:fldCharType="separate"/>
    </w:r>
    <w:r>
      <w:rPr>
        <w:b/>
        <w:noProof/>
        <w:sz w:val="17"/>
        <w:szCs w:val="17"/>
      </w:rPr>
      <w:t>1</w:t>
    </w:r>
    <w:r>
      <w:rPr>
        <w:b/>
        <w:noProof/>
        <w:sz w:val="17"/>
        <w:szCs w:val="17"/>
      </w:rPr>
      <w:t>3</w:t>
    </w:r>
    <w:r w:rsidRPr="00A95D46">
      <w:rPr>
        <w:b/>
        <w:noProof/>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491CE" w14:textId="77777777" w:rsidR="001A39E1" w:rsidRDefault="001A39E1" w:rsidP="00441061">
      <w:r>
        <w:separator/>
      </w:r>
    </w:p>
  </w:footnote>
  <w:footnote w:type="continuationSeparator" w:id="0">
    <w:p w14:paraId="2A0D9D1A" w14:textId="77777777" w:rsidR="001A39E1" w:rsidRDefault="001A39E1" w:rsidP="00441061">
      <w:r>
        <w:continuationSeparator/>
      </w:r>
    </w:p>
  </w:footnote>
  <w:footnote w:id="1">
    <w:p w14:paraId="41A57F67" w14:textId="7A75FE71" w:rsidR="00F959A8" w:rsidRPr="00C747FA" w:rsidRDefault="00F959A8" w:rsidP="009D1BE2">
      <w:pPr>
        <w:pStyle w:val="FootnoteText"/>
        <w:rPr>
          <w:rFonts w:ascii="Times New Roman" w:hAnsi="Times New Roman"/>
          <w:sz w:val="17"/>
          <w:szCs w:val="17"/>
        </w:rPr>
      </w:pPr>
      <w:r w:rsidRPr="00C747FA">
        <w:rPr>
          <w:rStyle w:val="FootnoteReference"/>
          <w:rFonts w:ascii="Times New Roman" w:hAnsi="Times New Roman"/>
          <w:sz w:val="17"/>
          <w:szCs w:val="17"/>
        </w:rPr>
        <w:footnoteRef/>
      </w:r>
      <w:r w:rsidRPr="00C747FA">
        <w:rPr>
          <w:rFonts w:ascii="Times New Roman" w:hAnsi="Times New Roman"/>
          <w:sz w:val="17"/>
          <w:szCs w:val="17"/>
        </w:rPr>
        <w:t xml:space="preserve"> UNDP</w:t>
      </w:r>
      <w:r>
        <w:rPr>
          <w:rFonts w:ascii="Times New Roman" w:hAnsi="Times New Roman"/>
          <w:sz w:val="17"/>
          <w:szCs w:val="17"/>
        </w:rPr>
        <w:t>,</w:t>
      </w:r>
      <w:r w:rsidRPr="00C747FA">
        <w:rPr>
          <w:rFonts w:ascii="Times New Roman" w:hAnsi="Times New Roman"/>
          <w:sz w:val="17"/>
          <w:szCs w:val="17"/>
        </w:rPr>
        <w:t xml:space="preserve"> </w:t>
      </w:r>
      <w:r w:rsidRPr="00C747FA">
        <w:rPr>
          <w:rFonts w:ascii="Times New Roman" w:hAnsi="Times New Roman"/>
          <w:i/>
          <w:sz w:val="17"/>
          <w:szCs w:val="17"/>
        </w:rPr>
        <w:t>Human Development Report</w:t>
      </w:r>
      <w:r>
        <w:rPr>
          <w:rFonts w:ascii="Times New Roman" w:hAnsi="Times New Roman"/>
          <w:sz w:val="17"/>
          <w:szCs w:val="17"/>
        </w:rPr>
        <w:t>,</w:t>
      </w:r>
      <w:r w:rsidRPr="00C747FA">
        <w:rPr>
          <w:rFonts w:ascii="Times New Roman" w:hAnsi="Times New Roman"/>
          <w:sz w:val="17"/>
          <w:szCs w:val="17"/>
        </w:rPr>
        <w:t xml:space="preserve"> 2016. </w:t>
      </w:r>
    </w:p>
  </w:footnote>
  <w:footnote w:id="2">
    <w:p w14:paraId="05157028" w14:textId="34DB8204" w:rsidR="00F959A8" w:rsidRPr="00C747FA" w:rsidRDefault="00F959A8">
      <w:pPr>
        <w:pStyle w:val="FootnoteText"/>
        <w:rPr>
          <w:rFonts w:ascii="Times New Roman" w:hAnsi="Times New Roman"/>
          <w:sz w:val="17"/>
          <w:szCs w:val="17"/>
        </w:rPr>
      </w:pPr>
      <w:r w:rsidRPr="00C747FA">
        <w:rPr>
          <w:rStyle w:val="FootnoteReference"/>
          <w:rFonts w:ascii="Times New Roman" w:hAnsi="Times New Roman"/>
          <w:sz w:val="17"/>
          <w:szCs w:val="17"/>
        </w:rPr>
        <w:footnoteRef/>
      </w:r>
      <w:r w:rsidRPr="00C747FA">
        <w:rPr>
          <w:rFonts w:ascii="Times New Roman" w:hAnsi="Times New Roman"/>
          <w:sz w:val="17"/>
          <w:szCs w:val="17"/>
        </w:rPr>
        <w:t xml:space="preserve"> U</w:t>
      </w:r>
      <w:r>
        <w:rPr>
          <w:rFonts w:ascii="Times New Roman" w:hAnsi="Times New Roman"/>
          <w:sz w:val="17"/>
          <w:szCs w:val="17"/>
        </w:rPr>
        <w:t xml:space="preserve">nited </w:t>
      </w:r>
      <w:r w:rsidRPr="00C747FA">
        <w:rPr>
          <w:rFonts w:ascii="Times New Roman" w:hAnsi="Times New Roman"/>
          <w:sz w:val="17"/>
          <w:szCs w:val="17"/>
        </w:rPr>
        <w:t>N</w:t>
      </w:r>
      <w:r>
        <w:rPr>
          <w:rFonts w:ascii="Times New Roman" w:hAnsi="Times New Roman"/>
          <w:sz w:val="17"/>
          <w:szCs w:val="17"/>
        </w:rPr>
        <w:t xml:space="preserve">ations </w:t>
      </w:r>
      <w:r w:rsidRPr="00C747FA">
        <w:rPr>
          <w:rFonts w:ascii="Times New Roman" w:hAnsi="Times New Roman"/>
          <w:sz w:val="17"/>
          <w:szCs w:val="17"/>
        </w:rPr>
        <w:t>C</w:t>
      </w:r>
      <w:r>
        <w:rPr>
          <w:rFonts w:ascii="Times New Roman" w:hAnsi="Times New Roman"/>
          <w:sz w:val="17"/>
          <w:szCs w:val="17"/>
        </w:rPr>
        <w:t xml:space="preserve">ountry </w:t>
      </w:r>
      <w:r w:rsidRPr="00C747FA">
        <w:rPr>
          <w:rFonts w:ascii="Times New Roman" w:hAnsi="Times New Roman"/>
          <w:sz w:val="17"/>
          <w:szCs w:val="17"/>
        </w:rPr>
        <w:t>T</w:t>
      </w:r>
      <w:r>
        <w:rPr>
          <w:rFonts w:ascii="Times New Roman" w:hAnsi="Times New Roman"/>
          <w:sz w:val="17"/>
          <w:szCs w:val="17"/>
        </w:rPr>
        <w:t>eam</w:t>
      </w:r>
      <w:r w:rsidRPr="00C747FA">
        <w:rPr>
          <w:rFonts w:ascii="Times New Roman" w:hAnsi="Times New Roman"/>
          <w:sz w:val="17"/>
          <w:szCs w:val="17"/>
        </w:rPr>
        <w:t xml:space="preserve"> Libya</w:t>
      </w:r>
      <w:r>
        <w:rPr>
          <w:rFonts w:ascii="Times New Roman" w:hAnsi="Times New Roman"/>
          <w:sz w:val="17"/>
          <w:szCs w:val="17"/>
        </w:rPr>
        <w:t xml:space="preserve"> (UNCT</w:t>
      </w:r>
      <w:r w:rsidR="00F62708">
        <w:rPr>
          <w:rFonts w:ascii="Times New Roman" w:hAnsi="Times New Roman"/>
          <w:sz w:val="17"/>
          <w:szCs w:val="17"/>
        </w:rPr>
        <w:t>),</w:t>
      </w:r>
      <w:r w:rsidR="00F62708" w:rsidRPr="00C747FA">
        <w:rPr>
          <w:rFonts w:ascii="Times New Roman" w:hAnsi="Times New Roman"/>
          <w:sz w:val="17"/>
          <w:szCs w:val="17"/>
        </w:rPr>
        <w:t xml:space="preserve"> Joint</w:t>
      </w:r>
      <w:r w:rsidRPr="00C747FA">
        <w:rPr>
          <w:rFonts w:ascii="Times New Roman" w:hAnsi="Times New Roman"/>
          <w:i/>
          <w:sz w:val="17"/>
          <w:szCs w:val="17"/>
        </w:rPr>
        <w:t xml:space="preserve"> Common Assessment</w:t>
      </w:r>
      <w:r>
        <w:rPr>
          <w:rFonts w:ascii="Times New Roman" w:hAnsi="Times New Roman"/>
          <w:i/>
          <w:sz w:val="17"/>
          <w:szCs w:val="17"/>
        </w:rPr>
        <w:t>,</w:t>
      </w:r>
      <w:r w:rsidRPr="00C747FA">
        <w:rPr>
          <w:rFonts w:ascii="Times New Roman" w:hAnsi="Times New Roman"/>
          <w:sz w:val="17"/>
          <w:szCs w:val="17"/>
        </w:rPr>
        <w:t xml:space="preserve"> 2017.</w:t>
      </w:r>
    </w:p>
  </w:footnote>
  <w:footnote w:id="3">
    <w:p w14:paraId="227C6AED" w14:textId="26610EAE" w:rsidR="00F959A8" w:rsidRPr="00C747FA" w:rsidRDefault="00F959A8">
      <w:pPr>
        <w:pStyle w:val="FootnoteText"/>
        <w:rPr>
          <w:rFonts w:ascii="Times New Roman" w:hAnsi="Times New Roman"/>
          <w:sz w:val="17"/>
          <w:szCs w:val="17"/>
        </w:rPr>
      </w:pPr>
      <w:r w:rsidRPr="00C747FA">
        <w:rPr>
          <w:rStyle w:val="FootnoteReference"/>
          <w:rFonts w:ascii="Times New Roman" w:hAnsi="Times New Roman"/>
          <w:sz w:val="17"/>
          <w:szCs w:val="17"/>
        </w:rPr>
        <w:footnoteRef/>
      </w:r>
      <w:r w:rsidRPr="00C747FA">
        <w:rPr>
          <w:rFonts w:ascii="Times New Roman" w:hAnsi="Times New Roman"/>
          <w:sz w:val="17"/>
          <w:szCs w:val="17"/>
        </w:rPr>
        <w:t xml:space="preserve"> International Crisis </w:t>
      </w:r>
      <w:r w:rsidR="00F62708" w:rsidRPr="00C747FA">
        <w:rPr>
          <w:rFonts w:ascii="Times New Roman" w:hAnsi="Times New Roman"/>
          <w:sz w:val="17"/>
          <w:szCs w:val="17"/>
        </w:rPr>
        <w:t>Group</w:t>
      </w:r>
      <w:r w:rsidR="00F62708">
        <w:rPr>
          <w:rFonts w:ascii="Times New Roman" w:hAnsi="Times New Roman"/>
          <w:sz w:val="17"/>
          <w:szCs w:val="17"/>
        </w:rPr>
        <w:t>,</w:t>
      </w:r>
      <w:r w:rsidR="00F62708" w:rsidRPr="00C747FA">
        <w:rPr>
          <w:rFonts w:ascii="Times New Roman" w:hAnsi="Times New Roman"/>
          <w:sz w:val="17"/>
          <w:szCs w:val="17"/>
        </w:rPr>
        <w:t xml:space="preserve"> </w:t>
      </w:r>
      <w:r w:rsidR="00F62708" w:rsidRPr="00F62708">
        <w:rPr>
          <w:rFonts w:ascii="Times New Roman" w:hAnsi="Times New Roman"/>
          <w:i/>
          <w:sz w:val="17"/>
          <w:szCs w:val="17"/>
        </w:rPr>
        <w:t>The</w:t>
      </w:r>
      <w:r w:rsidRPr="00C747FA">
        <w:rPr>
          <w:rFonts w:ascii="Times New Roman" w:hAnsi="Times New Roman"/>
          <w:i/>
          <w:sz w:val="17"/>
          <w:szCs w:val="17"/>
        </w:rPr>
        <w:t xml:space="preserve"> Libyan Political Agreement: Time for a Reset</w:t>
      </w:r>
      <w:r>
        <w:rPr>
          <w:rFonts w:ascii="Times New Roman" w:hAnsi="Times New Roman"/>
          <w:i/>
          <w:sz w:val="17"/>
          <w:szCs w:val="17"/>
        </w:rPr>
        <w:t>,</w:t>
      </w:r>
      <w:r w:rsidRPr="00C747FA">
        <w:rPr>
          <w:rFonts w:ascii="Times New Roman" w:hAnsi="Times New Roman"/>
          <w:sz w:val="17"/>
          <w:szCs w:val="17"/>
        </w:rPr>
        <w:t xml:space="preserve"> 2016.</w:t>
      </w:r>
    </w:p>
  </w:footnote>
  <w:footnote w:id="4">
    <w:p w14:paraId="1A1EC903" w14:textId="77777777" w:rsidR="00F959A8" w:rsidRPr="00C747FA" w:rsidRDefault="00F959A8">
      <w:pPr>
        <w:pStyle w:val="FootnoteText"/>
        <w:rPr>
          <w:rFonts w:ascii="Times New Roman" w:hAnsi="Times New Roman"/>
          <w:sz w:val="17"/>
          <w:szCs w:val="17"/>
        </w:rPr>
      </w:pPr>
      <w:r w:rsidRPr="00C747FA">
        <w:rPr>
          <w:rStyle w:val="FootnoteReference"/>
          <w:rFonts w:ascii="Times New Roman" w:hAnsi="Times New Roman"/>
          <w:sz w:val="17"/>
          <w:szCs w:val="17"/>
        </w:rPr>
        <w:footnoteRef/>
      </w:r>
      <w:r w:rsidRPr="00C747FA">
        <w:rPr>
          <w:rFonts w:ascii="Times New Roman" w:hAnsi="Times New Roman"/>
          <w:sz w:val="17"/>
          <w:szCs w:val="17"/>
        </w:rPr>
        <w:t xml:space="preserve"> UNCT Libya, 2017</w:t>
      </w:r>
      <w:r>
        <w:rPr>
          <w:rFonts w:ascii="Times New Roman" w:hAnsi="Times New Roman"/>
          <w:sz w:val="17"/>
          <w:szCs w:val="17"/>
        </w:rPr>
        <w:t>.</w:t>
      </w:r>
    </w:p>
  </w:footnote>
  <w:footnote w:id="5">
    <w:p w14:paraId="2A12336F" w14:textId="07BF8313" w:rsidR="00F959A8" w:rsidRPr="00C747FA" w:rsidRDefault="00F959A8">
      <w:pPr>
        <w:pStyle w:val="FootnoteText"/>
        <w:rPr>
          <w:rFonts w:ascii="Times New Roman" w:hAnsi="Times New Roman"/>
          <w:sz w:val="17"/>
          <w:szCs w:val="17"/>
        </w:rPr>
      </w:pPr>
      <w:r w:rsidRPr="00C747FA">
        <w:rPr>
          <w:rStyle w:val="FootnoteReference"/>
          <w:rFonts w:ascii="Times New Roman" w:hAnsi="Times New Roman"/>
          <w:sz w:val="17"/>
          <w:szCs w:val="17"/>
        </w:rPr>
        <w:footnoteRef/>
      </w:r>
      <w:r w:rsidRPr="00C747FA">
        <w:rPr>
          <w:rFonts w:ascii="Times New Roman" w:hAnsi="Times New Roman"/>
          <w:sz w:val="17"/>
          <w:szCs w:val="17"/>
        </w:rPr>
        <w:t xml:space="preserve"> Bradburys</w:t>
      </w:r>
      <w:r>
        <w:rPr>
          <w:rFonts w:ascii="Times New Roman" w:hAnsi="Times New Roman"/>
          <w:sz w:val="17"/>
          <w:szCs w:val="17"/>
        </w:rPr>
        <w:t>,</w:t>
      </w:r>
      <w:r w:rsidRPr="00C747FA">
        <w:rPr>
          <w:rFonts w:ascii="Times New Roman" w:hAnsi="Times New Roman"/>
          <w:sz w:val="17"/>
          <w:szCs w:val="17"/>
        </w:rPr>
        <w:t xml:space="preserve"> </w:t>
      </w:r>
      <w:r w:rsidRPr="00C747FA">
        <w:rPr>
          <w:rFonts w:ascii="Times New Roman" w:hAnsi="Times New Roman"/>
          <w:i/>
          <w:sz w:val="17"/>
          <w:szCs w:val="17"/>
        </w:rPr>
        <w:t xml:space="preserve">Conflict Analysis of the </w:t>
      </w:r>
      <w:r w:rsidR="00F62708" w:rsidRPr="00C747FA">
        <w:rPr>
          <w:rFonts w:ascii="Times New Roman" w:hAnsi="Times New Roman"/>
          <w:i/>
          <w:sz w:val="17"/>
          <w:szCs w:val="17"/>
        </w:rPr>
        <w:t>Libyan</w:t>
      </w:r>
      <w:r w:rsidRPr="00C747FA">
        <w:rPr>
          <w:rFonts w:ascii="Times New Roman" w:hAnsi="Times New Roman"/>
          <w:i/>
          <w:sz w:val="17"/>
          <w:szCs w:val="17"/>
        </w:rPr>
        <w:t xml:space="preserve"> Civil War</w:t>
      </w:r>
      <w:r>
        <w:rPr>
          <w:rFonts w:ascii="Times New Roman" w:hAnsi="Times New Roman"/>
          <w:i/>
          <w:sz w:val="17"/>
          <w:szCs w:val="17"/>
        </w:rPr>
        <w:t>,</w:t>
      </w:r>
      <w:r w:rsidRPr="00C747FA">
        <w:rPr>
          <w:rFonts w:ascii="Times New Roman" w:hAnsi="Times New Roman"/>
          <w:sz w:val="17"/>
          <w:szCs w:val="17"/>
        </w:rPr>
        <w:t xml:space="preserve"> 2015</w:t>
      </w:r>
      <w:r>
        <w:rPr>
          <w:rFonts w:ascii="Times New Roman" w:hAnsi="Times New Roman"/>
          <w:sz w:val="17"/>
          <w:szCs w:val="17"/>
        </w:rPr>
        <w:t>.</w:t>
      </w:r>
      <w:r w:rsidRPr="00C747FA">
        <w:rPr>
          <w:rFonts w:ascii="Times New Roman" w:hAnsi="Times New Roman"/>
          <w:sz w:val="17"/>
          <w:szCs w:val="17"/>
        </w:rPr>
        <w:t xml:space="preserve"> </w:t>
      </w:r>
    </w:p>
  </w:footnote>
  <w:footnote w:id="6">
    <w:p w14:paraId="174BFDC5" w14:textId="03D88C87" w:rsidR="00F959A8" w:rsidRPr="00C747FA" w:rsidRDefault="00F959A8" w:rsidP="00DC4579">
      <w:pPr>
        <w:pStyle w:val="FootnoteText"/>
        <w:jc w:val="both"/>
        <w:rPr>
          <w:rFonts w:ascii="Times New Roman" w:hAnsi="Times New Roman"/>
          <w:sz w:val="17"/>
          <w:szCs w:val="17"/>
          <w:lang w:val="en-GB"/>
        </w:rPr>
      </w:pPr>
      <w:r w:rsidRPr="00C747FA">
        <w:rPr>
          <w:rStyle w:val="FootnoteReference"/>
          <w:rFonts w:ascii="Times New Roman" w:hAnsi="Times New Roman"/>
          <w:sz w:val="17"/>
          <w:szCs w:val="17"/>
        </w:rPr>
        <w:footnoteRef/>
      </w:r>
      <w:r w:rsidRPr="00C747FA">
        <w:rPr>
          <w:rFonts w:ascii="Times New Roman" w:hAnsi="Times New Roman"/>
          <w:sz w:val="17"/>
          <w:szCs w:val="17"/>
        </w:rPr>
        <w:t xml:space="preserve"> O</w:t>
      </w:r>
      <w:r>
        <w:rPr>
          <w:rFonts w:ascii="Times New Roman" w:hAnsi="Times New Roman"/>
          <w:sz w:val="17"/>
          <w:szCs w:val="17"/>
        </w:rPr>
        <w:t xml:space="preserve">f </w:t>
      </w:r>
      <w:r w:rsidRPr="00C747FA">
        <w:rPr>
          <w:rFonts w:ascii="Times New Roman" w:hAnsi="Times New Roman"/>
          <w:sz w:val="17"/>
          <w:szCs w:val="17"/>
        </w:rPr>
        <w:t xml:space="preserve">1,352 development indicators tracked by the World Bank, just 120 show updated information for Libya. </w:t>
      </w:r>
    </w:p>
  </w:footnote>
  <w:footnote w:id="7">
    <w:p w14:paraId="59533D3D" w14:textId="325FBB65" w:rsidR="00F959A8" w:rsidRPr="00C747FA" w:rsidRDefault="00F959A8" w:rsidP="00312C66">
      <w:pPr>
        <w:pStyle w:val="FootnoteText"/>
        <w:rPr>
          <w:rFonts w:ascii="Times New Roman" w:hAnsi="Times New Roman"/>
          <w:sz w:val="17"/>
          <w:szCs w:val="17"/>
        </w:rPr>
      </w:pPr>
      <w:r w:rsidRPr="00C747FA">
        <w:rPr>
          <w:rFonts w:ascii="Times New Roman" w:hAnsi="Times New Roman"/>
          <w:sz w:val="17"/>
          <w:szCs w:val="17"/>
          <w:vertAlign w:val="superscript"/>
        </w:rPr>
        <w:footnoteRef/>
      </w:r>
      <w:r w:rsidRPr="00C747FA">
        <w:rPr>
          <w:rFonts w:ascii="Times New Roman" w:hAnsi="Times New Roman"/>
          <w:sz w:val="17"/>
          <w:szCs w:val="17"/>
          <w:vertAlign w:val="superscript"/>
        </w:rPr>
        <w:t xml:space="preserve"> </w:t>
      </w:r>
      <w:r w:rsidRPr="00C747FA">
        <w:rPr>
          <w:rFonts w:ascii="Times New Roman" w:hAnsi="Times New Roman"/>
          <w:sz w:val="17"/>
          <w:szCs w:val="17"/>
        </w:rPr>
        <w:t>Mo Ibrahim Foundation</w:t>
      </w:r>
      <w:r>
        <w:rPr>
          <w:rFonts w:ascii="Times New Roman" w:hAnsi="Times New Roman"/>
          <w:sz w:val="17"/>
          <w:szCs w:val="17"/>
        </w:rPr>
        <w:t>,</w:t>
      </w:r>
      <w:r w:rsidRPr="00C747FA">
        <w:rPr>
          <w:rFonts w:ascii="Times New Roman" w:hAnsi="Times New Roman"/>
          <w:sz w:val="17"/>
          <w:szCs w:val="17"/>
        </w:rPr>
        <w:t xml:space="preserve"> </w:t>
      </w:r>
      <w:r w:rsidRPr="00C747FA">
        <w:rPr>
          <w:rFonts w:ascii="Times New Roman" w:hAnsi="Times New Roman"/>
          <w:i/>
          <w:sz w:val="17"/>
          <w:szCs w:val="17"/>
        </w:rPr>
        <w:t>Index of African Governance Report</w:t>
      </w:r>
      <w:r>
        <w:rPr>
          <w:rFonts w:ascii="Times New Roman" w:hAnsi="Times New Roman"/>
          <w:i/>
          <w:sz w:val="17"/>
          <w:szCs w:val="17"/>
        </w:rPr>
        <w:t>,</w:t>
      </w:r>
      <w:r w:rsidRPr="00C747FA">
        <w:rPr>
          <w:rFonts w:ascii="Times New Roman" w:hAnsi="Times New Roman"/>
          <w:sz w:val="17"/>
          <w:szCs w:val="17"/>
        </w:rPr>
        <w:t xml:space="preserve"> 2016. </w:t>
      </w:r>
    </w:p>
  </w:footnote>
  <w:footnote w:id="8">
    <w:p w14:paraId="696142B8" w14:textId="77777777" w:rsidR="00F959A8" w:rsidRPr="00C747FA" w:rsidRDefault="00F959A8">
      <w:pPr>
        <w:pStyle w:val="FootnoteText"/>
        <w:rPr>
          <w:rFonts w:ascii="Times New Roman" w:hAnsi="Times New Roman"/>
          <w:sz w:val="17"/>
          <w:szCs w:val="17"/>
        </w:rPr>
      </w:pPr>
      <w:r w:rsidRPr="00C747FA">
        <w:rPr>
          <w:rStyle w:val="FootnoteReference"/>
          <w:rFonts w:ascii="Times New Roman" w:hAnsi="Times New Roman"/>
          <w:sz w:val="17"/>
          <w:szCs w:val="17"/>
        </w:rPr>
        <w:footnoteRef/>
      </w:r>
      <w:r w:rsidRPr="00C747FA">
        <w:rPr>
          <w:rFonts w:ascii="Times New Roman" w:hAnsi="Times New Roman"/>
          <w:sz w:val="17"/>
          <w:szCs w:val="17"/>
        </w:rPr>
        <w:t xml:space="preserve"> UNCT Libya, 2017.</w:t>
      </w:r>
    </w:p>
  </w:footnote>
  <w:footnote w:id="9">
    <w:p w14:paraId="53498CD2" w14:textId="581B128A" w:rsidR="00F959A8" w:rsidRPr="00C747FA" w:rsidRDefault="00F959A8" w:rsidP="00317F72">
      <w:pPr>
        <w:pStyle w:val="FootnoteText"/>
        <w:rPr>
          <w:sz w:val="17"/>
          <w:szCs w:val="17"/>
        </w:rPr>
      </w:pPr>
      <w:r w:rsidRPr="00C747FA">
        <w:rPr>
          <w:rStyle w:val="FootnoteReference"/>
          <w:sz w:val="17"/>
          <w:szCs w:val="17"/>
        </w:rPr>
        <w:footnoteRef/>
      </w:r>
      <w:r w:rsidRPr="00C747FA">
        <w:rPr>
          <w:sz w:val="17"/>
          <w:szCs w:val="17"/>
        </w:rPr>
        <w:t xml:space="preserve"> </w:t>
      </w:r>
      <w:r w:rsidRPr="00C747FA">
        <w:rPr>
          <w:rFonts w:ascii="Times New Roman" w:hAnsi="Times New Roman"/>
          <w:sz w:val="17"/>
          <w:szCs w:val="17"/>
        </w:rPr>
        <w:t>United Nations, World Bank, European Union</w:t>
      </w:r>
      <w:r>
        <w:rPr>
          <w:rFonts w:ascii="Times New Roman" w:hAnsi="Times New Roman"/>
          <w:sz w:val="17"/>
          <w:szCs w:val="17"/>
        </w:rPr>
        <w:t>,</w:t>
      </w:r>
      <w:r w:rsidRPr="00C747FA">
        <w:rPr>
          <w:rFonts w:ascii="Times New Roman" w:hAnsi="Times New Roman"/>
          <w:sz w:val="17"/>
          <w:szCs w:val="17"/>
        </w:rPr>
        <w:t xml:space="preserve"> </w:t>
      </w:r>
      <w:r w:rsidRPr="00C747FA">
        <w:rPr>
          <w:rFonts w:ascii="Times New Roman" w:hAnsi="Times New Roman"/>
          <w:i/>
          <w:sz w:val="17"/>
          <w:szCs w:val="17"/>
        </w:rPr>
        <w:t>Libya Risk and Resilience Assessment (draft)</w:t>
      </w:r>
      <w:r>
        <w:rPr>
          <w:rFonts w:ascii="Times New Roman" w:hAnsi="Times New Roman"/>
          <w:i/>
          <w:sz w:val="17"/>
          <w:szCs w:val="17"/>
        </w:rPr>
        <w:t>,</w:t>
      </w:r>
      <w:r w:rsidRPr="00C747FA">
        <w:rPr>
          <w:rFonts w:ascii="Times New Roman" w:hAnsi="Times New Roman"/>
          <w:sz w:val="17"/>
          <w:szCs w:val="17"/>
        </w:rPr>
        <w:t xml:space="preserve"> 2018.</w:t>
      </w:r>
    </w:p>
  </w:footnote>
  <w:footnote w:id="10">
    <w:p w14:paraId="47AC376B" w14:textId="77777777" w:rsidR="00F959A8" w:rsidRPr="00C747FA" w:rsidRDefault="00F959A8">
      <w:pPr>
        <w:pStyle w:val="FootnoteText"/>
        <w:rPr>
          <w:rFonts w:ascii="Times New Roman" w:hAnsi="Times New Roman"/>
          <w:sz w:val="17"/>
          <w:szCs w:val="17"/>
        </w:rPr>
      </w:pPr>
      <w:r w:rsidRPr="00C747FA">
        <w:rPr>
          <w:rStyle w:val="FootnoteReference"/>
          <w:rFonts w:ascii="Times New Roman" w:hAnsi="Times New Roman"/>
          <w:sz w:val="17"/>
          <w:szCs w:val="17"/>
        </w:rPr>
        <w:footnoteRef/>
      </w:r>
      <w:r w:rsidRPr="00C747FA">
        <w:rPr>
          <w:rFonts w:ascii="Times New Roman" w:hAnsi="Times New Roman"/>
          <w:sz w:val="17"/>
          <w:szCs w:val="17"/>
        </w:rPr>
        <w:t xml:space="preserve"> Ibid.</w:t>
      </w:r>
    </w:p>
  </w:footnote>
  <w:footnote w:id="11">
    <w:p w14:paraId="34D6E9A0" w14:textId="07AD725E" w:rsidR="00F959A8" w:rsidRPr="00C747FA" w:rsidRDefault="00F959A8">
      <w:pPr>
        <w:pStyle w:val="FootnoteText"/>
        <w:rPr>
          <w:rFonts w:ascii="Times New Roman" w:hAnsi="Times New Roman"/>
          <w:sz w:val="17"/>
          <w:szCs w:val="17"/>
        </w:rPr>
      </w:pPr>
      <w:r w:rsidRPr="00C747FA">
        <w:rPr>
          <w:rStyle w:val="FootnoteReference"/>
          <w:rFonts w:ascii="Times New Roman" w:hAnsi="Times New Roman"/>
          <w:sz w:val="17"/>
          <w:szCs w:val="17"/>
        </w:rPr>
        <w:footnoteRef/>
      </w:r>
      <w:r w:rsidRPr="00C747FA">
        <w:rPr>
          <w:rFonts w:ascii="Times New Roman" w:hAnsi="Times New Roman"/>
          <w:sz w:val="17"/>
          <w:szCs w:val="17"/>
        </w:rPr>
        <w:t xml:space="preserve"> </w:t>
      </w:r>
      <w:r>
        <w:rPr>
          <w:rFonts w:ascii="Times New Roman" w:hAnsi="Times New Roman"/>
          <w:sz w:val="17"/>
          <w:szCs w:val="17"/>
        </w:rPr>
        <w:t xml:space="preserve">UNDP, </w:t>
      </w:r>
      <w:r w:rsidRPr="00C747FA">
        <w:rPr>
          <w:rFonts w:ascii="Times New Roman" w:hAnsi="Times New Roman"/>
          <w:i/>
          <w:sz w:val="17"/>
          <w:szCs w:val="17"/>
        </w:rPr>
        <w:t>Rule of Law and Access to Justice Assessment</w:t>
      </w:r>
      <w:r>
        <w:rPr>
          <w:rFonts w:ascii="Times New Roman" w:hAnsi="Times New Roman"/>
          <w:i/>
          <w:sz w:val="17"/>
          <w:szCs w:val="17"/>
        </w:rPr>
        <w:t xml:space="preserve">, </w:t>
      </w:r>
      <w:r>
        <w:rPr>
          <w:rFonts w:ascii="Times New Roman" w:hAnsi="Times New Roman"/>
          <w:sz w:val="17"/>
          <w:szCs w:val="17"/>
        </w:rPr>
        <w:t>2017.</w:t>
      </w:r>
    </w:p>
  </w:footnote>
  <w:footnote w:id="12">
    <w:p w14:paraId="33CD6C3A" w14:textId="2409271D" w:rsidR="00F959A8" w:rsidRPr="00C747FA" w:rsidRDefault="00F959A8" w:rsidP="00465055">
      <w:pPr>
        <w:pStyle w:val="FootnoteText"/>
        <w:rPr>
          <w:sz w:val="17"/>
          <w:szCs w:val="17"/>
        </w:rPr>
      </w:pPr>
      <w:r w:rsidRPr="00C747FA">
        <w:rPr>
          <w:rStyle w:val="FootnoteReference"/>
          <w:rFonts w:ascii="Times New Roman" w:hAnsi="Times New Roman"/>
          <w:sz w:val="17"/>
          <w:szCs w:val="17"/>
        </w:rPr>
        <w:footnoteRef/>
      </w:r>
      <w:r w:rsidRPr="00C747FA">
        <w:rPr>
          <w:rFonts w:ascii="Times New Roman" w:hAnsi="Times New Roman"/>
          <w:sz w:val="17"/>
          <w:szCs w:val="17"/>
        </w:rPr>
        <w:t xml:space="preserve"> Report of the Secretary-General on the United Nations Support Mission in Libya, February 2018</w:t>
      </w:r>
      <w:r>
        <w:rPr>
          <w:rFonts w:ascii="Times New Roman" w:hAnsi="Times New Roman"/>
          <w:sz w:val="17"/>
          <w:szCs w:val="17"/>
        </w:rPr>
        <w:t xml:space="preserve"> (</w:t>
      </w:r>
      <w:r w:rsidRPr="00C747FA">
        <w:rPr>
          <w:rFonts w:ascii="Times New Roman" w:hAnsi="Times New Roman"/>
          <w:sz w:val="17"/>
          <w:szCs w:val="17"/>
        </w:rPr>
        <w:t>S/2018/140</w:t>
      </w:r>
      <w:r>
        <w:rPr>
          <w:rFonts w:ascii="Times New Roman" w:hAnsi="Times New Roman"/>
          <w:sz w:val="17"/>
          <w:szCs w:val="17"/>
        </w:rPr>
        <w:t>)</w:t>
      </w:r>
      <w:r w:rsidRPr="00C747FA">
        <w:rPr>
          <w:rFonts w:ascii="Times New Roman" w:hAnsi="Times New Roman"/>
          <w:sz w:val="17"/>
          <w:szCs w:val="17"/>
        </w:rPr>
        <w:t xml:space="preserve">. </w:t>
      </w:r>
    </w:p>
  </w:footnote>
  <w:footnote w:id="13">
    <w:p w14:paraId="6ABDC363" w14:textId="209C21C3" w:rsidR="00F959A8" w:rsidRPr="00C747FA" w:rsidRDefault="00F959A8">
      <w:pPr>
        <w:pStyle w:val="FootnoteText"/>
        <w:rPr>
          <w:rFonts w:ascii="Times New Roman" w:hAnsi="Times New Roman"/>
          <w:sz w:val="17"/>
          <w:szCs w:val="17"/>
        </w:rPr>
      </w:pPr>
      <w:r w:rsidRPr="00C747FA">
        <w:rPr>
          <w:rStyle w:val="FootnoteReference"/>
          <w:rFonts w:ascii="Times New Roman" w:hAnsi="Times New Roman"/>
          <w:sz w:val="17"/>
          <w:szCs w:val="17"/>
        </w:rPr>
        <w:footnoteRef/>
      </w:r>
      <w:r w:rsidRPr="00C747FA">
        <w:rPr>
          <w:rFonts w:ascii="Times New Roman" w:hAnsi="Times New Roman"/>
          <w:sz w:val="17"/>
          <w:szCs w:val="17"/>
        </w:rPr>
        <w:t xml:space="preserve"> A recent Human Rights Watch report cited 1,900 out of 2,400 such detainees have been held for over four years. (HRW</w:t>
      </w:r>
      <w:r>
        <w:rPr>
          <w:rFonts w:ascii="Times New Roman" w:hAnsi="Times New Roman"/>
          <w:sz w:val="17"/>
          <w:szCs w:val="17"/>
        </w:rPr>
        <w:t>,</w:t>
      </w:r>
      <w:r w:rsidRPr="00C747FA">
        <w:rPr>
          <w:rFonts w:ascii="Times New Roman" w:hAnsi="Times New Roman"/>
          <w:sz w:val="17"/>
          <w:szCs w:val="17"/>
        </w:rPr>
        <w:t xml:space="preserve"> </w:t>
      </w:r>
      <w:r w:rsidRPr="00C747FA">
        <w:rPr>
          <w:rFonts w:ascii="Times New Roman" w:hAnsi="Times New Roman"/>
          <w:i/>
          <w:sz w:val="17"/>
          <w:szCs w:val="17"/>
        </w:rPr>
        <w:t>The Endless Wait:  Long-Term Arbitrary Detentions and Torture in West Libya</w:t>
      </w:r>
      <w:r>
        <w:rPr>
          <w:rFonts w:ascii="Times New Roman" w:hAnsi="Times New Roman"/>
          <w:sz w:val="17"/>
          <w:szCs w:val="17"/>
        </w:rPr>
        <w:t>,</w:t>
      </w:r>
      <w:r w:rsidRPr="00C747FA">
        <w:rPr>
          <w:rFonts w:ascii="Times New Roman" w:hAnsi="Times New Roman"/>
          <w:sz w:val="17"/>
          <w:szCs w:val="17"/>
        </w:rPr>
        <w:t xml:space="preserve"> 2014)</w:t>
      </w:r>
      <w:r>
        <w:rPr>
          <w:rFonts w:ascii="Times New Roman" w:hAnsi="Times New Roman"/>
          <w:sz w:val="17"/>
          <w:szCs w:val="17"/>
        </w:rPr>
        <w:t>.</w:t>
      </w:r>
    </w:p>
  </w:footnote>
  <w:footnote w:id="14">
    <w:p w14:paraId="0CFD9066" w14:textId="20C7EBDE" w:rsidR="00F959A8" w:rsidRPr="00C747FA" w:rsidRDefault="00F959A8" w:rsidP="00D92C0F">
      <w:pPr>
        <w:pStyle w:val="FootnoteText"/>
        <w:rPr>
          <w:rFonts w:ascii="Times New Roman" w:hAnsi="Times New Roman"/>
          <w:sz w:val="17"/>
          <w:szCs w:val="17"/>
        </w:rPr>
      </w:pPr>
      <w:r w:rsidRPr="00C747FA">
        <w:rPr>
          <w:rStyle w:val="FootnoteReference"/>
          <w:rFonts w:ascii="Times New Roman" w:hAnsi="Times New Roman"/>
          <w:sz w:val="17"/>
          <w:szCs w:val="17"/>
        </w:rPr>
        <w:footnoteRef/>
      </w:r>
      <w:r w:rsidRPr="00C747FA">
        <w:rPr>
          <w:rFonts w:ascii="Times New Roman" w:hAnsi="Times New Roman"/>
          <w:sz w:val="17"/>
          <w:szCs w:val="17"/>
        </w:rPr>
        <w:t xml:space="preserve"> Recent estimates indicate approximately one</w:t>
      </w:r>
      <w:r>
        <w:rPr>
          <w:rFonts w:ascii="Times New Roman" w:hAnsi="Times New Roman"/>
          <w:sz w:val="17"/>
          <w:szCs w:val="17"/>
        </w:rPr>
        <w:t xml:space="preserve"> </w:t>
      </w:r>
      <w:r w:rsidRPr="00C747FA">
        <w:rPr>
          <w:rFonts w:ascii="Times New Roman" w:hAnsi="Times New Roman"/>
          <w:sz w:val="17"/>
          <w:szCs w:val="17"/>
        </w:rPr>
        <w:t>third of the population lives below the poverty line.</w:t>
      </w:r>
    </w:p>
  </w:footnote>
  <w:footnote w:id="15">
    <w:p w14:paraId="76994DF3" w14:textId="03840963" w:rsidR="00F959A8" w:rsidRPr="00C747FA" w:rsidRDefault="00F959A8" w:rsidP="00D92C0F">
      <w:pPr>
        <w:pStyle w:val="FootnoteText"/>
        <w:rPr>
          <w:rFonts w:ascii="Times New Roman" w:hAnsi="Times New Roman"/>
          <w:sz w:val="17"/>
          <w:szCs w:val="17"/>
        </w:rPr>
      </w:pPr>
      <w:r w:rsidRPr="00C747FA">
        <w:rPr>
          <w:rStyle w:val="FootnoteReference"/>
          <w:rFonts w:ascii="Times New Roman" w:hAnsi="Times New Roman"/>
          <w:sz w:val="17"/>
          <w:szCs w:val="17"/>
        </w:rPr>
        <w:footnoteRef/>
      </w:r>
      <w:r w:rsidRPr="00C747FA">
        <w:rPr>
          <w:rFonts w:ascii="Times New Roman" w:hAnsi="Times New Roman"/>
          <w:sz w:val="17"/>
          <w:szCs w:val="17"/>
        </w:rPr>
        <w:t xml:space="preserve"> 84 per cent in 2012 (I</w:t>
      </w:r>
      <w:r>
        <w:rPr>
          <w:rFonts w:ascii="Times New Roman" w:hAnsi="Times New Roman"/>
          <w:sz w:val="17"/>
          <w:szCs w:val="17"/>
        </w:rPr>
        <w:t xml:space="preserve">nternational </w:t>
      </w:r>
      <w:r w:rsidRPr="00C747FA">
        <w:rPr>
          <w:rFonts w:ascii="Times New Roman" w:hAnsi="Times New Roman"/>
          <w:sz w:val="17"/>
          <w:szCs w:val="17"/>
        </w:rPr>
        <w:t>L</w:t>
      </w:r>
      <w:r>
        <w:rPr>
          <w:rFonts w:ascii="Times New Roman" w:hAnsi="Times New Roman"/>
          <w:sz w:val="17"/>
          <w:szCs w:val="17"/>
        </w:rPr>
        <w:t xml:space="preserve">abour </w:t>
      </w:r>
      <w:r w:rsidRPr="00C747FA">
        <w:rPr>
          <w:rFonts w:ascii="Times New Roman" w:hAnsi="Times New Roman"/>
          <w:sz w:val="17"/>
          <w:szCs w:val="17"/>
        </w:rPr>
        <w:t>O</w:t>
      </w:r>
      <w:r>
        <w:rPr>
          <w:rFonts w:ascii="Times New Roman" w:hAnsi="Times New Roman"/>
          <w:sz w:val="17"/>
          <w:szCs w:val="17"/>
        </w:rPr>
        <w:t>rganization</w:t>
      </w:r>
      <w:r w:rsidRPr="00C747FA">
        <w:rPr>
          <w:rFonts w:ascii="Times New Roman" w:hAnsi="Times New Roman"/>
          <w:sz w:val="17"/>
          <w:szCs w:val="17"/>
        </w:rPr>
        <w:t xml:space="preserve"> estimate)</w:t>
      </w:r>
      <w:r w:rsidR="00590E87">
        <w:rPr>
          <w:rFonts w:ascii="Times New Roman" w:hAnsi="Times New Roman"/>
          <w:sz w:val="17"/>
          <w:szCs w:val="17"/>
        </w:rPr>
        <w:t>.</w:t>
      </w:r>
    </w:p>
  </w:footnote>
  <w:footnote w:id="16">
    <w:p w14:paraId="72506C9E" w14:textId="30B055B4" w:rsidR="00F959A8" w:rsidRPr="00C747FA" w:rsidRDefault="00F959A8">
      <w:pPr>
        <w:pStyle w:val="FootnoteText"/>
        <w:rPr>
          <w:rFonts w:ascii="Times New Roman" w:hAnsi="Times New Roman"/>
          <w:sz w:val="17"/>
          <w:szCs w:val="17"/>
          <w:lang w:val="en-GB"/>
        </w:rPr>
      </w:pPr>
      <w:r w:rsidRPr="00C747FA">
        <w:rPr>
          <w:rStyle w:val="FootnoteReference"/>
          <w:rFonts w:ascii="Times New Roman" w:hAnsi="Times New Roman"/>
          <w:sz w:val="17"/>
          <w:szCs w:val="17"/>
        </w:rPr>
        <w:footnoteRef/>
      </w:r>
      <w:r w:rsidRPr="00C747FA">
        <w:rPr>
          <w:rFonts w:ascii="Times New Roman" w:hAnsi="Times New Roman"/>
          <w:sz w:val="17"/>
          <w:szCs w:val="17"/>
        </w:rPr>
        <w:t xml:space="preserve"> </w:t>
      </w:r>
      <w:r w:rsidRPr="00C747FA">
        <w:rPr>
          <w:rFonts w:ascii="Times New Roman" w:eastAsia="Arial" w:hAnsi="Times New Roman"/>
          <w:sz w:val="17"/>
          <w:szCs w:val="17"/>
        </w:rPr>
        <w:t>Helen Chapin Metz, ed.</w:t>
      </w:r>
      <w:r>
        <w:rPr>
          <w:rFonts w:ascii="Times New Roman" w:eastAsia="Arial" w:hAnsi="Times New Roman"/>
          <w:sz w:val="17"/>
          <w:szCs w:val="17"/>
        </w:rPr>
        <w:t>,</w:t>
      </w:r>
      <w:r w:rsidRPr="00C747FA">
        <w:rPr>
          <w:rFonts w:ascii="Times New Roman" w:eastAsia="Arial" w:hAnsi="Times New Roman"/>
          <w:sz w:val="17"/>
          <w:szCs w:val="17"/>
        </w:rPr>
        <w:t> </w:t>
      </w:r>
      <w:r w:rsidRPr="00C747FA">
        <w:rPr>
          <w:rFonts w:ascii="Times New Roman" w:eastAsia="Arial" w:hAnsi="Times New Roman"/>
          <w:i/>
          <w:sz w:val="17"/>
          <w:szCs w:val="17"/>
        </w:rPr>
        <w:t>Libya: A Country Study</w:t>
      </w:r>
      <w:r>
        <w:rPr>
          <w:rFonts w:ascii="Times New Roman" w:eastAsia="Arial" w:hAnsi="Times New Roman"/>
          <w:sz w:val="17"/>
          <w:szCs w:val="17"/>
        </w:rPr>
        <w:t>,</w:t>
      </w:r>
      <w:r w:rsidRPr="00C747FA">
        <w:rPr>
          <w:rFonts w:ascii="Times New Roman" w:eastAsia="Arial" w:hAnsi="Times New Roman"/>
          <w:sz w:val="17"/>
          <w:szCs w:val="17"/>
        </w:rPr>
        <w:t xml:space="preserve"> Washington: GPO for the Library of Congress, 1987.</w:t>
      </w:r>
    </w:p>
  </w:footnote>
  <w:footnote w:id="17">
    <w:p w14:paraId="1263E7A8" w14:textId="3241B914" w:rsidR="00F959A8" w:rsidRPr="00C747FA" w:rsidRDefault="00F959A8">
      <w:pPr>
        <w:pStyle w:val="FootnoteText"/>
        <w:rPr>
          <w:rFonts w:ascii="Times New Roman" w:hAnsi="Times New Roman"/>
          <w:sz w:val="17"/>
          <w:szCs w:val="17"/>
        </w:rPr>
      </w:pPr>
      <w:r w:rsidRPr="00C747FA">
        <w:rPr>
          <w:rStyle w:val="FootnoteReference"/>
          <w:rFonts w:ascii="Times New Roman" w:hAnsi="Times New Roman"/>
          <w:sz w:val="17"/>
          <w:szCs w:val="17"/>
        </w:rPr>
        <w:footnoteRef/>
      </w:r>
      <w:r w:rsidRPr="00C747FA">
        <w:rPr>
          <w:rFonts w:ascii="Times New Roman" w:hAnsi="Times New Roman"/>
          <w:sz w:val="17"/>
          <w:szCs w:val="17"/>
        </w:rPr>
        <w:t xml:space="preserve"> </w:t>
      </w:r>
      <w:r w:rsidRPr="00C747FA">
        <w:rPr>
          <w:rFonts w:ascii="Times New Roman" w:hAnsi="Times New Roman"/>
          <w:bCs/>
          <w:sz w:val="17"/>
          <w:szCs w:val="17"/>
          <w:lang w:eastAsia="de-DE"/>
        </w:rPr>
        <w:t>W</w:t>
      </w:r>
      <w:r>
        <w:rPr>
          <w:rFonts w:ascii="Times New Roman" w:hAnsi="Times New Roman"/>
          <w:bCs/>
          <w:sz w:val="17"/>
          <w:szCs w:val="17"/>
          <w:lang w:eastAsia="de-DE"/>
        </w:rPr>
        <w:t xml:space="preserve">orld </w:t>
      </w:r>
      <w:r w:rsidRPr="00C747FA">
        <w:rPr>
          <w:rFonts w:ascii="Times New Roman" w:hAnsi="Times New Roman"/>
          <w:bCs/>
          <w:sz w:val="17"/>
          <w:szCs w:val="17"/>
          <w:lang w:eastAsia="de-DE"/>
        </w:rPr>
        <w:t>H</w:t>
      </w:r>
      <w:r>
        <w:rPr>
          <w:rFonts w:ascii="Times New Roman" w:hAnsi="Times New Roman"/>
          <w:bCs/>
          <w:sz w:val="17"/>
          <w:szCs w:val="17"/>
          <w:lang w:eastAsia="de-DE"/>
        </w:rPr>
        <w:t xml:space="preserve">ealth </w:t>
      </w:r>
      <w:r w:rsidRPr="00C747FA">
        <w:rPr>
          <w:rFonts w:ascii="Times New Roman" w:hAnsi="Times New Roman"/>
          <w:bCs/>
          <w:sz w:val="17"/>
          <w:szCs w:val="17"/>
          <w:lang w:eastAsia="de-DE"/>
        </w:rPr>
        <w:t>O</w:t>
      </w:r>
      <w:r>
        <w:rPr>
          <w:rFonts w:ascii="Times New Roman" w:hAnsi="Times New Roman"/>
          <w:bCs/>
          <w:sz w:val="17"/>
          <w:szCs w:val="17"/>
          <w:lang w:eastAsia="de-DE"/>
        </w:rPr>
        <w:t>rganization,</w:t>
      </w:r>
      <w:r w:rsidRPr="00C747FA">
        <w:rPr>
          <w:rFonts w:ascii="Times New Roman" w:hAnsi="Times New Roman"/>
          <w:bCs/>
          <w:sz w:val="17"/>
          <w:szCs w:val="17"/>
          <w:lang w:eastAsia="de-DE"/>
        </w:rPr>
        <w:t xml:space="preserve"> </w:t>
      </w:r>
      <w:r w:rsidRPr="00C747FA">
        <w:rPr>
          <w:rFonts w:ascii="Times New Roman" w:hAnsi="Times New Roman"/>
          <w:bCs/>
          <w:i/>
          <w:sz w:val="17"/>
          <w:szCs w:val="17"/>
          <w:lang w:eastAsia="de-DE"/>
        </w:rPr>
        <w:t>Service Availability and Readiness Assessment</w:t>
      </w:r>
      <w:r>
        <w:rPr>
          <w:rFonts w:ascii="Times New Roman" w:hAnsi="Times New Roman"/>
          <w:bCs/>
          <w:i/>
          <w:sz w:val="17"/>
          <w:szCs w:val="17"/>
          <w:lang w:eastAsia="de-DE"/>
        </w:rPr>
        <w:t>,</w:t>
      </w:r>
      <w:r w:rsidRPr="00C747FA">
        <w:rPr>
          <w:rFonts w:ascii="Times New Roman" w:hAnsi="Times New Roman"/>
          <w:bCs/>
          <w:sz w:val="17"/>
          <w:szCs w:val="17"/>
          <w:lang w:eastAsia="de-DE"/>
        </w:rPr>
        <w:t xml:space="preserve"> 2016</w:t>
      </w:r>
      <w:r>
        <w:rPr>
          <w:rFonts w:ascii="Times New Roman" w:hAnsi="Times New Roman"/>
          <w:bCs/>
          <w:sz w:val="17"/>
          <w:szCs w:val="17"/>
          <w:lang w:eastAsia="de-DE"/>
        </w:rPr>
        <w:t>.</w:t>
      </w:r>
    </w:p>
  </w:footnote>
  <w:footnote w:id="18">
    <w:p w14:paraId="1DBACE0F" w14:textId="77777777" w:rsidR="00F959A8" w:rsidRPr="00C747FA" w:rsidRDefault="00F959A8" w:rsidP="00D92C0F">
      <w:pPr>
        <w:pStyle w:val="FootnoteText"/>
        <w:rPr>
          <w:rFonts w:ascii="Times New Roman" w:hAnsi="Times New Roman"/>
          <w:sz w:val="17"/>
          <w:szCs w:val="17"/>
        </w:rPr>
      </w:pPr>
      <w:r w:rsidRPr="00C747FA">
        <w:rPr>
          <w:rStyle w:val="FootnoteReference"/>
          <w:rFonts w:ascii="Times New Roman" w:hAnsi="Times New Roman"/>
          <w:sz w:val="17"/>
          <w:szCs w:val="17"/>
        </w:rPr>
        <w:footnoteRef/>
      </w:r>
      <w:r w:rsidRPr="00C747FA">
        <w:rPr>
          <w:rFonts w:ascii="Times New Roman" w:hAnsi="Times New Roman"/>
          <w:sz w:val="17"/>
          <w:szCs w:val="17"/>
        </w:rPr>
        <w:t xml:space="preserve"> UNCT Libya, 2017.  However, the recent rise in oil prices has helped to stabilize the situation.</w:t>
      </w:r>
    </w:p>
  </w:footnote>
  <w:footnote w:id="19">
    <w:p w14:paraId="227FC781" w14:textId="77777777" w:rsidR="00F959A8" w:rsidRPr="00C747FA" w:rsidRDefault="00F959A8" w:rsidP="00D92C0F">
      <w:pPr>
        <w:pStyle w:val="FootnoteText"/>
        <w:rPr>
          <w:rFonts w:ascii="Times New Roman" w:hAnsi="Times New Roman"/>
          <w:sz w:val="17"/>
          <w:szCs w:val="17"/>
        </w:rPr>
      </w:pPr>
      <w:r w:rsidRPr="00C747FA">
        <w:rPr>
          <w:rStyle w:val="FootnoteReference"/>
          <w:rFonts w:ascii="Times New Roman" w:hAnsi="Times New Roman"/>
          <w:sz w:val="17"/>
          <w:szCs w:val="17"/>
        </w:rPr>
        <w:footnoteRef/>
      </w:r>
      <w:r w:rsidRPr="00C747FA">
        <w:rPr>
          <w:rFonts w:ascii="Times New Roman" w:hAnsi="Times New Roman"/>
          <w:sz w:val="17"/>
          <w:szCs w:val="17"/>
        </w:rPr>
        <w:t xml:space="preserve"> Ibid.</w:t>
      </w:r>
    </w:p>
  </w:footnote>
  <w:footnote w:id="20">
    <w:p w14:paraId="1B15603B" w14:textId="5B83E7D7" w:rsidR="00F959A8" w:rsidRPr="00C747FA" w:rsidRDefault="00F959A8" w:rsidP="00D92C0F">
      <w:pPr>
        <w:rPr>
          <w:rFonts w:eastAsia="Arial"/>
          <w:sz w:val="17"/>
          <w:szCs w:val="17"/>
        </w:rPr>
      </w:pPr>
      <w:r w:rsidRPr="00C747FA">
        <w:rPr>
          <w:sz w:val="17"/>
          <w:szCs w:val="17"/>
          <w:vertAlign w:val="superscript"/>
        </w:rPr>
        <w:footnoteRef/>
      </w:r>
      <w:r w:rsidRPr="00C747FA">
        <w:rPr>
          <w:rFonts w:eastAsia="Arial"/>
          <w:sz w:val="17"/>
          <w:szCs w:val="17"/>
        </w:rPr>
        <w:t xml:space="preserve"> U</w:t>
      </w:r>
      <w:r>
        <w:rPr>
          <w:rFonts w:eastAsia="Arial"/>
          <w:sz w:val="17"/>
          <w:szCs w:val="17"/>
        </w:rPr>
        <w:t xml:space="preserve">nited </w:t>
      </w:r>
      <w:r w:rsidRPr="00C747FA">
        <w:rPr>
          <w:rFonts w:eastAsia="Arial"/>
          <w:sz w:val="17"/>
          <w:szCs w:val="17"/>
        </w:rPr>
        <w:t>N</w:t>
      </w:r>
      <w:r>
        <w:rPr>
          <w:rFonts w:eastAsia="Arial"/>
          <w:sz w:val="17"/>
          <w:szCs w:val="17"/>
        </w:rPr>
        <w:t>ations Population Fund, United Nations Educational, Scientific and Cultural Organization</w:t>
      </w:r>
      <w:r w:rsidRPr="00C747FA">
        <w:rPr>
          <w:rFonts w:eastAsia="Arial"/>
          <w:sz w:val="17"/>
          <w:szCs w:val="17"/>
        </w:rPr>
        <w:t>, Net Med Youth</w:t>
      </w:r>
      <w:r>
        <w:rPr>
          <w:rFonts w:eastAsia="Arial"/>
          <w:sz w:val="17"/>
          <w:szCs w:val="17"/>
        </w:rPr>
        <w:t>,</w:t>
      </w:r>
      <w:r w:rsidRPr="00C747FA">
        <w:rPr>
          <w:rFonts w:eastAsia="Arial"/>
          <w:sz w:val="17"/>
          <w:szCs w:val="17"/>
        </w:rPr>
        <w:t xml:space="preserve"> </w:t>
      </w:r>
      <w:r w:rsidRPr="00C747FA">
        <w:rPr>
          <w:rFonts w:eastAsia="Arial"/>
          <w:i/>
          <w:sz w:val="17"/>
          <w:szCs w:val="17"/>
        </w:rPr>
        <w:t>National Consultation About Youth Peace and Security - Libya Case: Study on Youth, Social Integration and Participation in Building Peace and Security</w:t>
      </w:r>
      <w:r>
        <w:rPr>
          <w:rFonts w:eastAsia="Arial"/>
          <w:i/>
          <w:sz w:val="17"/>
          <w:szCs w:val="17"/>
        </w:rPr>
        <w:t>,</w:t>
      </w:r>
      <w:r w:rsidRPr="00C747FA">
        <w:rPr>
          <w:rFonts w:eastAsia="Arial"/>
          <w:sz w:val="17"/>
          <w:szCs w:val="17"/>
        </w:rPr>
        <w:t xml:space="preserve"> 2017</w:t>
      </w:r>
      <w:r>
        <w:rPr>
          <w:rFonts w:eastAsia="Arial"/>
          <w:sz w:val="17"/>
          <w:szCs w:val="17"/>
        </w:rPr>
        <w:t>.</w:t>
      </w:r>
      <w:r w:rsidRPr="00C747FA">
        <w:rPr>
          <w:rFonts w:eastAsia="Arial"/>
          <w:sz w:val="17"/>
          <w:szCs w:val="17"/>
        </w:rPr>
        <w:t xml:space="preserve"> </w:t>
      </w:r>
    </w:p>
  </w:footnote>
  <w:footnote w:id="21">
    <w:p w14:paraId="1E196C09" w14:textId="2B2D32BA" w:rsidR="00F959A8" w:rsidRPr="00C747FA" w:rsidRDefault="00F959A8" w:rsidP="00592333">
      <w:pPr>
        <w:widowControl w:val="0"/>
        <w:autoSpaceDE w:val="0"/>
        <w:autoSpaceDN w:val="0"/>
        <w:adjustRightInd w:val="0"/>
        <w:rPr>
          <w:color w:val="000000"/>
          <w:sz w:val="17"/>
          <w:szCs w:val="17"/>
        </w:rPr>
      </w:pPr>
      <w:r w:rsidRPr="00C747FA">
        <w:rPr>
          <w:rStyle w:val="FootnoteReference"/>
          <w:sz w:val="17"/>
          <w:szCs w:val="17"/>
        </w:rPr>
        <w:footnoteRef/>
      </w:r>
      <w:r w:rsidRPr="00C747FA">
        <w:rPr>
          <w:sz w:val="17"/>
          <w:szCs w:val="17"/>
        </w:rPr>
        <w:t xml:space="preserve"> </w:t>
      </w:r>
      <w:r w:rsidRPr="00C747FA">
        <w:rPr>
          <w:color w:val="000000"/>
          <w:sz w:val="17"/>
          <w:szCs w:val="17"/>
        </w:rPr>
        <w:t xml:space="preserve"> </w:t>
      </w:r>
      <w:r w:rsidRPr="00C747FA">
        <w:rPr>
          <w:i/>
          <w:color w:val="000000"/>
          <w:sz w:val="17"/>
          <w:szCs w:val="17"/>
        </w:rPr>
        <w:t>Report of the United Nations High Commissioner for Human Rights on the situation of human rights in Libya</w:t>
      </w:r>
      <w:r>
        <w:rPr>
          <w:i/>
          <w:color w:val="000000"/>
          <w:sz w:val="17"/>
          <w:szCs w:val="17"/>
        </w:rPr>
        <w:t xml:space="preserve"> (</w:t>
      </w:r>
      <w:r w:rsidRPr="00C747FA">
        <w:rPr>
          <w:color w:val="000000"/>
          <w:sz w:val="17"/>
          <w:szCs w:val="17"/>
        </w:rPr>
        <w:t>A/HRC/34/42</w:t>
      </w:r>
      <w:r>
        <w:rPr>
          <w:color w:val="000000"/>
          <w:sz w:val="17"/>
          <w:szCs w:val="17"/>
        </w:rPr>
        <w:t>),</w:t>
      </w:r>
      <w:r w:rsidRPr="00C747FA">
        <w:rPr>
          <w:color w:val="000000"/>
          <w:sz w:val="17"/>
          <w:szCs w:val="17"/>
        </w:rPr>
        <w:t xml:space="preserve"> 2017.</w:t>
      </w:r>
    </w:p>
  </w:footnote>
  <w:footnote w:id="22">
    <w:p w14:paraId="50525C60" w14:textId="1711A154" w:rsidR="00F959A8" w:rsidRPr="00C747FA" w:rsidRDefault="00F959A8" w:rsidP="00095733">
      <w:pPr>
        <w:pStyle w:val="FootnoteText"/>
        <w:rPr>
          <w:rFonts w:ascii="Times New Roman" w:hAnsi="Times New Roman"/>
          <w:sz w:val="17"/>
          <w:szCs w:val="17"/>
        </w:rPr>
      </w:pPr>
      <w:r w:rsidRPr="00C747FA">
        <w:rPr>
          <w:rFonts w:ascii="Times New Roman" w:hAnsi="Times New Roman"/>
          <w:sz w:val="17"/>
          <w:szCs w:val="17"/>
          <w:vertAlign w:val="superscript"/>
        </w:rPr>
        <w:footnoteRef/>
      </w:r>
      <w:r w:rsidRPr="00C747FA">
        <w:rPr>
          <w:rFonts w:ascii="Times New Roman" w:hAnsi="Times New Roman"/>
          <w:sz w:val="17"/>
          <w:szCs w:val="17"/>
          <w:vertAlign w:val="superscript"/>
        </w:rPr>
        <w:t xml:space="preserve"> </w:t>
      </w:r>
      <w:r w:rsidRPr="00C747FA">
        <w:rPr>
          <w:rFonts w:ascii="Times New Roman" w:hAnsi="Times New Roman"/>
          <w:i/>
          <w:sz w:val="17"/>
          <w:szCs w:val="17"/>
        </w:rPr>
        <w:t>Report of the Secretary-General on conflict-related sexual violence</w:t>
      </w:r>
      <w:r>
        <w:rPr>
          <w:rFonts w:ascii="Times New Roman" w:hAnsi="Times New Roman"/>
          <w:i/>
          <w:sz w:val="17"/>
          <w:szCs w:val="17"/>
        </w:rPr>
        <w:t>,</w:t>
      </w:r>
      <w:r>
        <w:rPr>
          <w:rFonts w:ascii="Times New Roman" w:hAnsi="Times New Roman"/>
          <w:sz w:val="17"/>
          <w:szCs w:val="17"/>
        </w:rPr>
        <w:t xml:space="preserve"> (</w:t>
      </w:r>
      <w:r w:rsidRPr="00C747FA">
        <w:rPr>
          <w:rFonts w:ascii="Times New Roman" w:hAnsi="Times New Roman"/>
          <w:sz w:val="17"/>
          <w:szCs w:val="17"/>
        </w:rPr>
        <w:t>S/2016/361)</w:t>
      </w:r>
      <w:r>
        <w:rPr>
          <w:rFonts w:ascii="Times New Roman" w:hAnsi="Times New Roman"/>
          <w:sz w:val="17"/>
          <w:szCs w:val="17"/>
        </w:rPr>
        <w:t>,</w:t>
      </w:r>
      <w:r w:rsidRPr="00C747FA">
        <w:rPr>
          <w:rFonts w:ascii="Times New Roman" w:hAnsi="Times New Roman"/>
          <w:sz w:val="17"/>
          <w:szCs w:val="17"/>
        </w:rPr>
        <w:t xml:space="preserve"> 2016.</w:t>
      </w:r>
    </w:p>
  </w:footnote>
  <w:footnote w:id="23">
    <w:p w14:paraId="02AEB72E" w14:textId="747109FE" w:rsidR="00F959A8" w:rsidRPr="00C747FA" w:rsidRDefault="00F959A8" w:rsidP="00BA1DE8">
      <w:pPr>
        <w:pStyle w:val="FootnoteText"/>
        <w:jc w:val="both"/>
        <w:rPr>
          <w:sz w:val="17"/>
          <w:szCs w:val="17"/>
          <w:lang w:val="en-GB"/>
        </w:rPr>
      </w:pPr>
      <w:r w:rsidRPr="00C747FA">
        <w:rPr>
          <w:rStyle w:val="FootnoteReference"/>
          <w:rFonts w:ascii="Times New Roman" w:hAnsi="Times New Roman"/>
          <w:sz w:val="17"/>
          <w:szCs w:val="17"/>
        </w:rPr>
        <w:footnoteRef/>
      </w:r>
      <w:r w:rsidRPr="00C747FA">
        <w:rPr>
          <w:rStyle w:val="FootnoteReference"/>
          <w:rFonts w:ascii="Times New Roman" w:hAnsi="Times New Roman"/>
          <w:sz w:val="17"/>
          <w:szCs w:val="17"/>
        </w:rPr>
        <w:t xml:space="preserve"> </w:t>
      </w:r>
      <w:r>
        <w:rPr>
          <w:rFonts w:ascii="Times New Roman" w:hAnsi="Times New Roman"/>
          <w:sz w:val="17"/>
          <w:szCs w:val="17"/>
        </w:rPr>
        <w:t xml:space="preserve">UNDP, evaluation of the Libyan Electoral Assistance Project, </w:t>
      </w:r>
      <w:r w:rsidRPr="00C747FA">
        <w:rPr>
          <w:rFonts w:ascii="Times New Roman" w:hAnsi="Times New Roman"/>
          <w:sz w:val="17"/>
          <w:szCs w:val="17"/>
        </w:rPr>
        <w:t xml:space="preserve">2017. </w:t>
      </w:r>
    </w:p>
  </w:footnote>
  <w:footnote w:id="24">
    <w:p w14:paraId="03B60D32" w14:textId="77777777" w:rsidR="00F959A8" w:rsidRPr="00C747FA" w:rsidRDefault="00F959A8">
      <w:pPr>
        <w:pStyle w:val="FootnoteText"/>
        <w:rPr>
          <w:rFonts w:ascii="Times New Roman" w:hAnsi="Times New Roman"/>
          <w:sz w:val="17"/>
          <w:szCs w:val="17"/>
        </w:rPr>
      </w:pPr>
      <w:r w:rsidRPr="00C747FA">
        <w:rPr>
          <w:rStyle w:val="FootnoteReference"/>
          <w:rFonts w:ascii="Times New Roman" w:hAnsi="Times New Roman"/>
          <w:sz w:val="17"/>
          <w:szCs w:val="17"/>
        </w:rPr>
        <w:footnoteRef/>
      </w:r>
      <w:r w:rsidRPr="00C747FA">
        <w:rPr>
          <w:rFonts w:ascii="Times New Roman" w:hAnsi="Times New Roman"/>
          <w:sz w:val="17"/>
          <w:szCs w:val="17"/>
        </w:rPr>
        <w:t xml:space="preserve"> Country office</w:t>
      </w:r>
      <w:r>
        <w:rPr>
          <w:rFonts w:ascii="Times New Roman" w:hAnsi="Times New Roman"/>
          <w:sz w:val="17"/>
          <w:szCs w:val="17"/>
        </w:rPr>
        <w:t>’s</w:t>
      </w:r>
      <w:r w:rsidRPr="00C747FA">
        <w:rPr>
          <w:rFonts w:ascii="Times New Roman" w:hAnsi="Times New Roman"/>
          <w:sz w:val="17"/>
          <w:szCs w:val="17"/>
        </w:rPr>
        <w:t xml:space="preserve"> own observations.</w:t>
      </w:r>
    </w:p>
  </w:footnote>
  <w:footnote w:id="25">
    <w:p w14:paraId="7A24F474" w14:textId="5044AE94" w:rsidR="00F959A8" w:rsidRPr="00C747FA" w:rsidRDefault="00F959A8" w:rsidP="000D44FA">
      <w:pPr>
        <w:rPr>
          <w:sz w:val="17"/>
          <w:szCs w:val="17"/>
        </w:rPr>
      </w:pPr>
      <w:r w:rsidRPr="00C747FA">
        <w:rPr>
          <w:rStyle w:val="FootnoteReference"/>
          <w:sz w:val="17"/>
          <w:szCs w:val="17"/>
        </w:rPr>
        <w:footnoteRef/>
      </w:r>
      <w:r w:rsidRPr="00C747FA">
        <w:rPr>
          <w:sz w:val="17"/>
          <w:szCs w:val="17"/>
        </w:rPr>
        <w:t xml:space="preserve"> These may include, but are not limited to, migrants, IDPs, returnees, tribal minorities, women, youth and p</w:t>
      </w:r>
      <w:r w:rsidR="00CD65E0">
        <w:rPr>
          <w:sz w:val="17"/>
          <w:szCs w:val="17"/>
        </w:rPr>
        <w:t xml:space="preserve">ersons </w:t>
      </w:r>
      <w:r w:rsidRPr="00C747FA">
        <w:rPr>
          <w:sz w:val="17"/>
          <w:szCs w:val="17"/>
        </w:rPr>
        <w:t>with disabilities.</w:t>
      </w:r>
    </w:p>
    <w:p w14:paraId="76C30D4D" w14:textId="77777777" w:rsidR="00F959A8" w:rsidRDefault="00F959A8">
      <w:pPr>
        <w:pStyle w:val="FootnoteText"/>
      </w:pPr>
    </w:p>
  </w:footnote>
  <w:footnote w:id="26">
    <w:p w14:paraId="33E227C1" w14:textId="75EA47DE" w:rsidR="00F959A8" w:rsidRPr="004D64F5" w:rsidRDefault="00F959A8">
      <w:pPr>
        <w:pStyle w:val="FootnoteText"/>
        <w:rPr>
          <w:rFonts w:ascii="Times New Roman" w:hAnsi="Times New Roman"/>
          <w:sz w:val="17"/>
          <w:szCs w:val="17"/>
        </w:rPr>
      </w:pPr>
      <w:r w:rsidRPr="004D64F5">
        <w:rPr>
          <w:rStyle w:val="FootnoteReference"/>
          <w:rFonts w:ascii="Times New Roman" w:hAnsi="Times New Roman"/>
          <w:sz w:val="17"/>
          <w:szCs w:val="17"/>
        </w:rPr>
        <w:footnoteRef/>
      </w:r>
      <w:r w:rsidRPr="004D64F5">
        <w:rPr>
          <w:rFonts w:ascii="Times New Roman" w:hAnsi="Times New Roman"/>
          <w:sz w:val="17"/>
          <w:szCs w:val="17"/>
        </w:rPr>
        <w:t xml:space="preserve"> Previous assessments cover public administration, local governance and security sector reform.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F959A8" w:rsidRPr="00502904" w14:paraId="5A214877" w14:textId="77777777" w:rsidTr="000A2FC7">
      <w:trPr>
        <w:trHeight w:hRule="exact" w:val="864"/>
      </w:trPr>
      <w:tc>
        <w:tcPr>
          <w:tcW w:w="4838" w:type="dxa"/>
          <w:tcBorders>
            <w:bottom w:val="single" w:sz="4" w:space="0" w:color="auto"/>
          </w:tcBorders>
          <w:vAlign w:val="bottom"/>
        </w:tcPr>
        <w:p w14:paraId="03ECFE58" w14:textId="77777777" w:rsidR="00F959A8" w:rsidRPr="00502904" w:rsidRDefault="00F959A8" w:rsidP="00502904">
          <w:pPr>
            <w:widowControl w:val="0"/>
            <w:tabs>
              <w:tab w:val="center" w:pos="4320"/>
              <w:tab w:val="right" w:pos="8640"/>
            </w:tabs>
            <w:spacing w:after="80"/>
            <w:rPr>
              <w:b/>
              <w:sz w:val="17"/>
              <w:szCs w:val="17"/>
            </w:rPr>
          </w:pPr>
          <w:r w:rsidRPr="00502904">
            <w:rPr>
              <w:b/>
              <w:sz w:val="17"/>
              <w:szCs w:val="17"/>
            </w:rPr>
            <w:t>DP/DCP/</w:t>
          </w:r>
          <w:r>
            <w:rPr>
              <w:b/>
              <w:sz w:val="17"/>
              <w:szCs w:val="17"/>
            </w:rPr>
            <w:t>LBY</w:t>
          </w:r>
          <w:r w:rsidRPr="00502904">
            <w:rPr>
              <w:b/>
              <w:sz w:val="17"/>
              <w:szCs w:val="17"/>
            </w:rPr>
            <w:t>/3</w:t>
          </w:r>
        </w:p>
      </w:tc>
      <w:tc>
        <w:tcPr>
          <w:tcW w:w="5047" w:type="dxa"/>
          <w:tcBorders>
            <w:bottom w:val="single" w:sz="4" w:space="0" w:color="auto"/>
          </w:tcBorders>
          <w:vAlign w:val="bottom"/>
        </w:tcPr>
        <w:p w14:paraId="35E62B8B" w14:textId="77777777" w:rsidR="00F959A8" w:rsidRPr="00502904" w:rsidRDefault="00F959A8" w:rsidP="00502904">
          <w:pPr>
            <w:widowControl w:val="0"/>
            <w:tabs>
              <w:tab w:val="center" w:pos="4320"/>
              <w:tab w:val="right" w:pos="8640"/>
            </w:tabs>
            <w:rPr>
              <w:sz w:val="17"/>
              <w:szCs w:val="17"/>
            </w:rPr>
          </w:pPr>
        </w:p>
      </w:tc>
    </w:tr>
  </w:tbl>
  <w:p w14:paraId="49E5D652" w14:textId="77777777" w:rsidR="00F959A8" w:rsidRPr="001338D1" w:rsidRDefault="00F959A8">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F959A8" w:rsidRPr="00502904" w14:paraId="4778B8B4" w14:textId="77777777" w:rsidTr="000A2FC7">
      <w:trPr>
        <w:trHeight w:hRule="exact" w:val="864"/>
      </w:trPr>
      <w:tc>
        <w:tcPr>
          <w:tcW w:w="4838" w:type="dxa"/>
          <w:tcBorders>
            <w:bottom w:val="single" w:sz="4" w:space="0" w:color="auto"/>
          </w:tcBorders>
          <w:vAlign w:val="bottom"/>
        </w:tcPr>
        <w:p w14:paraId="0CC0911A" w14:textId="77777777" w:rsidR="00F959A8" w:rsidRPr="00502904" w:rsidRDefault="00F959A8" w:rsidP="00502904">
          <w:pPr>
            <w:widowControl w:val="0"/>
            <w:tabs>
              <w:tab w:val="center" w:pos="4320"/>
              <w:tab w:val="right" w:pos="8640"/>
            </w:tabs>
            <w:spacing w:after="80"/>
            <w:rPr>
              <w:b/>
              <w:sz w:val="17"/>
              <w:szCs w:val="17"/>
            </w:rPr>
          </w:pPr>
        </w:p>
      </w:tc>
      <w:tc>
        <w:tcPr>
          <w:tcW w:w="5047" w:type="dxa"/>
          <w:tcBorders>
            <w:bottom w:val="single" w:sz="4" w:space="0" w:color="auto"/>
          </w:tcBorders>
          <w:vAlign w:val="bottom"/>
        </w:tcPr>
        <w:p w14:paraId="528B5CEC" w14:textId="77777777" w:rsidR="00F959A8" w:rsidRPr="00502904" w:rsidRDefault="00F959A8" w:rsidP="00502904">
          <w:pPr>
            <w:widowControl w:val="0"/>
            <w:tabs>
              <w:tab w:val="center" w:pos="4320"/>
              <w:tab w:val="right" w:pos="8640"/>
            </w:tabs>
            <w:jc w:val="right"/>
            <w:rPr>
              <w:sz w:val="17"/>
              <w:szCs w:val="17"/>
            </w:rPr>
          </w:pPr>
          <w:r w:rsidRPr="00502904">
            <w:rPr>
              <w:b/>
              <w:sz w:val="17"/>
              <w:szCs w:val="17"/>
            </w:rPr>
            <w:t>DP/DCP/</w:t>
          </w:r>
          <w:r>
            <w:rPr>
              <w:b/>
              <w:sz w:val="17"/>
              <w:szCs w:val="17"/>
            </w:rPr>
            <w:t>LBY</w:t>
          </w:r>
          <w:r w:rsidRPr="00502904">
            <w:rPr>
              <w:b/>
              <w:sz w:val="17"/>
              <w:szCs w:val="17"/>
            </w:rPr>
            <w:t>/3</w:t>
          </w:r>
        </w:p>
      </w:tc>
    </w:tr>
  </w:tbl>
  <w:p w14:paraId="7D52AB9A" w14:textId="77777777" w:rsidR="00F959A8" w:rsidRPr="00916E69" w:rsidRDefault="00F959A8" w:rsidP="000D0FCB">
    <w:pPr>
      <w:pStyle w:val="Header"/>
      <w:jc w:val="cent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F959A8" w:rsidRPr="00502904" w14:paraId="4D09DD84" w14:textId="77777777" w:rsidTr="000A2FC7">
      <w:trPr>
        <w:trHeight w:hRule="exact" w:val="864"/>
      </w:trPr>
      <w:tc>
        <w:tcPr>
          <w:tcW w:w="1267" w:type="dxa"/>
          <w:tcBorders>
            <w:bottom w:val="single" w:sz="4" w:space="0" w:color="auto"/>
          </w:tcBorders>
          <w:shd w:val="clear" w:color="auto" w:fill="auto"/>
          <w:vAlign w:val="bottom"/>
        </w:tcPr>
        <w:p w14:paraId="7BB54925" w14:textId="77777777" w:rsidR="00F959A8" w:rsidRPr="00502904" w:rsidRDefault="00F959A8" w:rsidP="00502904">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74C411C4" w14:textId="77777777" w:rsidR="00F959A8" w:rsidRPr="00502904" w:rsidRDefault="00F959A8" w:rsidP="0050290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lang w:val="en-GB"/>
            </w:rPr>
          </w:pPr>
          <w:r w:rsidRPr="00502904">
            <w:rPr>
              <w:spacing w:val="2"/>
              <w:w w:val="96"/>
              <w:kern w:val="14"/>
              <w:sz w:val="28"/>
              <w:lang w:val="en-GB"/>
            </w:rPr>
            <w:t>United Nations</w:t>
          </w:r>
        </w:p>
      </w:tc>
      <w:tc>
        <w:tcPr>
          <w:tcW w:w="245" w:type="dxa"/>
          <w:tcBorders>
            <w:bottom w:val="single" w:sz="4" w:space="0" w:color="auto"/>
          </w:tcBorders>
          <w:shd w:val="clear" w:color="auto" w:fill="auto"/>
          <w:vAlign w:val="bottom"/>
        </w:tcPr>
        <w:p w14:paraId="20EA79D3" w14:textId="77777777" w:rsidR="00F959A8" w:rsidRPr="00502904" w:rsidRDefault="00F959A8" w:rsidP="00502904">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5E506399" w14:textId="77777777" w:rsidR="00F959A8" w:rsidRPr="00502904" w:rsidRDefault="00F959A8" w:rsidP="00502904">
          <w:pPr>
            <w:suppressAutoHyphens/>
            <w:spacing w:after="80"/>
            <w:jc w:val="right"/>
            <w:rPr>
              <w:spacing w:val="4"/>
              <w:w w:val="103"/>
              <w:kern w:val="14"/>
              <w:position w:val="-4"/>
              <w:lang w:val="en-GB"/>
            </w:rPr>
          </w:pPr>
          <w:r w:rsidRPr="00502904">
            <w:rPr>
              <w:spacing w:val="4"/>
              <w:w w:val="103"/>
              <w:kern w:val="14"/>
              <w:position w:val="-4"/>
              <w:sz w:val="40"/>
              <w:lang w:val="en-GB"/>
            </w:rPr>
            <w:t>DP</w:t>
          </w:r>
          <w:r w:rsidRPr="00502904">
            <w:rPr>
              <w:spacing w:val="4"/>
              <w:w w:val="103"/>
              <w:kern w:val="14"/>
              <w:position w:val="-4"/>
              <w:lang w:val="en-GB"/>
            </w:rPr>
            <w:t>/DCP/</w:t>
          </w:r>
          <w:r>
            <w:rPr>
              <w:spacing w:val="4"/>
              <w:w w:val="103"/>
              <w:kern w:val="14"/>
              <w:position w:val="-4"/>
              <w:lang w:val="en-GB"/>
            </w:rPr>
            <w:t>LBY</w:t>
          </w:r>
          <w:r w:rsidRPr="00502904">
            <w:rPr>
              <w:spacing w:val="4"/>
              <w:w w:val="103"/>
              <w:kern w:val="14"/>
              <w:position w:val="-4"/>
              <w:lang w:val="en-GB"/>
            </w:rPr>
            <w:t>/3</w:t>
          </w:r>
        </w:p>
      </w:tc>
    </w:tr>
    <w:tr w:rsidR="00F959A8" w:rsidRPr="00502904" w14:paraId="0A4B2B9E" w14:textId="77777777" w:rsidTr="000A2FC7">
      <w:trPr>
        <w:gridAfter w:val="1"/>
        <w:wAfter w:w="28" w:type="dxa"/>
        <w:trHeight w:hRule="exact" w:val="2880"/>
      </w:trPr>
      <w:tc>
        <w:tcPr>
          <w:tcW w:w="1267" w:type="dxa"/>
          <w:tcBorders>
            <w:top w:val="single" w:sz="4" w:space="0" w:color="auto"/>
            <w:bottom w:val="single" w:sz="12" w:space="0" w:color="auto"/>
          </w:tcBorders>
          <w:shd w:val="clear" w:color="auto" w:fill="auto"/>
        </w:tcPr>
        <w:p w14:paraId="0E83F13D" w14:textId="77777777" w:rsidR="00F959A8" w:rsidRPr="00502904" w:rsidRDefault="00F959A8" w:rsidP="00502904">
          <w:pPr>
            <w:tabs>
              <w:tab w:val="center" w:pos="4320"/>
              <w:tab w:val="right" w:pos="8640"/>
            </w:tabs>
            <w:spacing w:before="109"/>
            <w:rPr>
              <w:noProof/>
              <w:sz w:val="17"/>
            </w:rPr>
          </w:pPr>
          <w:r w:rsidRPr="00502904">
            <w:rPr>
              <w:noProof/>
              <w:sz w:val="17"/>
            </w:rPr>
            <w:t xml:space="preserve"> </w:t>
          </w:r>
          <w:r w:rsidRPr="00502904">
            <w:rPr>
              <w:noProof/>
              <w:sz w:val="17"/>
            </w:rPr>
            <w:drawing>
              <wp:inline distT="0" distB="0" distL="0" distR="0" wp14:anchorId="31A3C213" wp14:editId="72592279">
                <wp:extent cx="716280" cy="594360"/>
                <wp:effectExtent l="0" t="0" r="0" b="0"/>
                <wp:docPr id="2" name="Picture 30"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p w14:paraId="76CA744B" w14:textId="77777777" w:rsidR="00F959A8" w:rsidRPr="00502904" w:rsidRDefault="00F959A8" w:rsidP="00502904">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4FDC57DB" w14:textId="77777777" w:rsidR="00F959A8" w:rsidRPr="00502904" w:rsidRDefault="00F959A8" w:rsidP="0050290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line="330" w:lineRule="exact"/>
            <w:outlineLvl w:val="0"/>
            <w:rPr>
              <w:b/>
              <w:spacing w:val="-4"/>
              <w:w w:val="98"/>
              <w:kern w:val="14"/>
              <w:sz w:val="34"/>
              <w:lang w:val="en-GB"/>
            </w:rPr>
          </w:pPr>
          <w:r w:rsidRPr="00502904">
            <w:rPr>
              <w:b/>
              <w:spacing w:val="-4"/>
              <w:w w:val="98"/>
              <w:kern w:val="14"/>
              <w:sz w:val="34"/>
              <w:lang w:val="en-GB"/>
            </w:rPr>
            <w:t>Executive Board of the</w:t>
          </w:r>
          <w:r w:rsidRPr="00502904">
            <w:rPr>
              <w:b/>
              <w:spacing w:val="-4"/>
              <w:w w:val="98"/>
              <w:kern w:val="14"/>
              <w:sz w:val="34"/>
              <w:lang w:val="en-GB"/>
            </w:rPr>
            <w:br/>
            <w:t>United Nations Development</w:t>
          </w:r>
          <w:r w:rsidRPr="00502904">
            <w:rPr>
              <w:b/>
              <w:spacing w:val="-4"/>
              <w:w w:val="98"/>
              <w:kern w:val="14"/>
              <w:sz w:val="34"/>
              <w:lang w:val="en-GB"/>
            </w:rPr>
            <w:br/>
            <w:t>Programme, the United Nations Population Fund and the</w:t>
          </w:r>
          <w:r w:rsidRPr="00502904">
            <w:rPr>
              <w:b/>
              <w:spacing w:val="-4"/>
              <w:w w:val="98"/>
              <w:kern w:val="14"/>
              <w:sz w:val="34"/>
              <w:lang w:val="en-GB"/>
            </w:rPr>
            <w:br/>
            <w:t>United Nations Office for</w:t>
          </w:r>
          <w:r w:rsidRPr="00502904">
            <w:rPr>
              <w:b/>
              <w:spacing w:val="-4"/>
              <w:w w:val="98"/>
              <w:kern w:val="14"/>
              <w:sz w:val="34"/>
              <w:lang w:val="en-GB"/>
            </w:rPr>
            <w:br/>
            <w:t>Project Services</w:t>
          </w:r>
        </w:p>
      </w:tc>
      <w:tc>
        <w:tcPr>
          <w:tcW w:w="245" w:type="dxa"/>
          <w:tcBorders>
            <w:top w:val="single" w:sz="4" w:space="0" w:color="auto"/>
            <w:bottom w:val="single" w:sz="12" w:space="0" w:color="auto"/>
          </w:tcBorders>
          <w:shd w:val="clear" w:color="auto" w:fill="auto"/>
        </w:tcPr>
        <w:p w14:paraId="53235B14" w14:textId="77777777" w:rsidR="00F959A8" w:rsidRPr="00502904" w:rsidRDefault="00F959A8" w:rsidP="00502904">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14:paraId="0E69E509" w14:textId="77777777" w:rsidR="00F959A8" w:rsidRPr="00502904" w:rsidRDefault="00F959A8" w:rsidP="00502904">
          <w:pPr>
            <w:suppressAutoHyphens/>
            <w:spacing w:before="240" w:line="240" w:lineRule="exact"/>
            <w:rPr>
              <w:spacing w:val="4"/>
              <w:w w:val="103"/>
              <w:kern w:val="14"/>
              <w:lang w:val="en-GB"/>
            </w:rPr>
          </w:pPr>
          <w:r w:rsidRPr="00502904">
            <w:rPr>
              <w:spacing w:val="4"/>
              <w:w w:val="103"/>
              <w:kern w:val="14"/>
              <w:lang w:val="en-GB"/>
            </w:rPr>
            <w:t>Distr.: General</w:t>
          </w:r>
        </w:p>
        <w:p w14:paraId="0F844AC9" w14:textId="77777777" w:rsidR="00F959A8" w:rsidRPr="00502904" w:rsidRDefault="00F959A8" w:rsidP="00502904">
          <w:pPr>
            <w:suppressAutoHyphens/>
            <w:spacing w:line="240" w:lineRule="exact"/>
            <w:rPr>
              <w:spacing w:val="4"/>
              <w:w w:val="103"/>
              <w:kern w:val="14"/>
              <w:lang w:val="en-GB"/>
            </w:rPr>
          </w:pPr>
          <w:r>
            <w:rPr>
              <w:spacing w:val="4"/>
              <w:w w:val="103"/>
              <w:kern w:val="14"/>
              <w:lang w:val="en-GB"/>
            </w:rPr>
            <w:t>12</w:t>
          </w:r>
          <w:r w:rsidRPr="00502904">
            <w:rPr>
              <w:spacing w:val="4"/>
              <w:w w:val="103"/>
              <w:kern w:val="14"/>
              <w:lang w:val="en-GB"/>
            </w:rPr>
            <w:t xml:space="preserve"> June 2018</w:t>
          </w:r>
        </w:p>
        <w:p w14:paraId="6135C38E" w14:textId="77777777" w:rsidR="00F959A8" w:rsidRPr="00502904" w:rsidRDefault="00F959A8" w:rsidP="00502904">
          <w:pPr>
            <w:suppressAutoHyphens/>
            <w:spacing w:line="240" w:lineRule="exact"/>
            <w:rPr>
              <w:spacing w:val="4"/>
              <w:w w:val="103"/>
              <w:kern w:val="14"/>
              <w:lang w:val="en-GB"/>
            </w:rPr>
          </w:pPr>
        </w:p>
        <w:p w14:paraId="669C03D0" w14:textId="77777777" w:rsidR="00F959A8" w:rsidRPr="00502904" w:rsidRDefault="00F959A8" w:rsidP="00502904">
          <w:pPr>
            <w:suppressAutoHyphens/>
            <w:spacing w:line="240" w:lineRule="exact"/>
            <w:rPr>
              <w:spacing w:val="4"/>
              <w:w w:val="103"/>
              <w:kern w:val="14"/>
              <w:lang w:val="en-GB"/>
            </w:rPr>
          </w:pPr>
          <w:r w:rsidRPr="00502904">
            <w:rPr>
              <w:spacing w:val="4"/>
              <w:w w:val="103"/>
              <w:kern w:val="14"/>
              <w:lang w:val="en-GB"/>
            </w:rPr>
            <w:t>Original: English</w:t>
          </w:r>
        </w:p>
      </w:tc>
    </w:tr>
  </w:tbl>
  <w:p w14:paraId="00D4F2D7" w14:textId="77777777" w:rsidR="00F959A8" w:rsidRPr="00502904" w:rsidRDefault="00F959A8">
    <w:pPr>
      <w:pStyle w:val="Header"/>
      <w:rPr>
        <w:sz w:val="2"/>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DDAC7" w14:textId="77777777" w:rsidR="00F959A8" w:rsidRDefault="00F959A8">
    <w:pPr>
      <w:pStyle w:val="Header"/>
    </w:pPr>
    <w:r>
      <w:rPr>
        <w:noProof/>
      </w:rPr>
      <mc:AlternateContent>
        <mc:Choice Requires="wps">
          <w:drawing>
            <wp:anchor distT="0" distB="0" distL="114300" distR="114300" simplePos="0" relativeHeight="251657728" behindDoc="0" locked="0" layoutInCell="0" allowOverlap="1" wp14:anchorId="608C7869" wp14:editId="07F4491D">
              <wp:simplePos x="0" y="0"/>
              <wp:positionH relativeFrom="column">
                <wp:posOffset>-72390</wp:posOffset>
              </wp:positionH>
              <wp:positionV relativeFrom="paragraph">
                <wp:posOffset>-302260</wp:posOffset>
              </wp:positionV>
              <wp:extent cx="8464550" cy="6400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0" cy="640080"/>
                      </a:xfrm>
                      <a:prstGeom prst="rect">
                        <a:avLst/>
                      </a:prstGeom>
                      <a:solidFill>
                        <a:srgbClr val="FFFFFF"/>
                      </a:solidFill>
                      <a:ln>
                        <a:noFill/>
                      </a:ln>
                      <a:extLst>
                        <a:ext uri="{91240B29-F687-4f45-9708-019B960494DF}"/>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F959A8" w:rsidRPr="005841A3" w14:paraId="292F4126" w14:textId="77777777">
                            <w:trPr>
                              <w:trHeight w:hRule="exact" w:val="864"/>
                            </w:trPr>
                            <w:tc>
                              <w:tcPr>
                                <w:tcW w:w="4838" w:type="dxa"/>
                                <w:tcBorders>
                                  <w:bottom w:val="single" w:sz="4" w:space="0" w:color="auto"/>
                                </w:tcBorders>
                                <w:vAlign w:val="bottom"/>
                              </w:tcPr>
                              <w:p w14:paraId="4F567328" w14:textId="77777777" w:rsidR="00F959A8" w:rsidRPr="007C6F85" w:rsidRDefault="00F959A8"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LBY/3</w:t>
                                </w:r>
                              </w:p>
                            </w:tc>
                            <w:tc>
                              <w:tcPr>
                                <w:tcW w:w="8276" w:type="dxa"/>
                                <w:tcBorders>
                                  <w:bottom w:val="single" w:sz="4" w:space="0" w:color="auto"/>
                                </w:tcBorders>
                                <w:vAlign w:val="bottom"/>
                              </w:tcPr>
                              <w:p w14:paraId="428CA8A9" w14:textId="77777777" w:rsidR="00F959A8" w:rsidRPr="007C6F85" w:rsidRDefault="00F959A8">
                                <w:pPr>
                                  <w:pStyle w:val="Header"/>
                                  <w:rPr>
                                    <w:rFonts w:ascii="Times New Roman" w:hAnsi="Times New Roman"/>
                                    <w:sz w:val="17"/>
                                    <w:szCs w:val="17"/>
                                    <w:lang w:val="en-US" w:eastAsia="en-US"/>
                                  </w:rPr>
                                </w:pPr>
                              </w:p>
                            </w:tc>
                          </w:tr>
                        </w:tbl>
                        <w:p w14:paraId="14E31BE9" w14:textId="77777777" w:rsidR="00F959A8" w:rsidRDefault="00F959A8"/>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608C7869" id="_x0000_t202" coordsize="21600,21600" o:spt="202" path="m,l,21600r21600,l21600,xe">
              <v:stroke joinstyle="miter"/>
              <v:path gradientshapeok="t" o:connecttype="rect"/>
            </v:shapetype>
            <v:shape id="Text Box 2" o:spid="_x0000_s1026" type="#_x0000_t202" style="position:absolute;margin-left:-5.7pt;margin-top:-23.8pt;width:666.5pt;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F959A8" w:rsidRPr="005841A3" w14:paraId="292F4126" w14:textId="77777777">
                      <w:trPr>
                        <w:trHeight w:hRule="exact" w:val="864"/>
                      </w:trPr>
                      <w:tc>
                        <w:tcPr>
                          <w:tcW w:w="4838" w:type="dxa"/>
                          <w:tcBorders>
                            <w:bottom w:val="single" w:sz="4" w:space="0" w:color="auto"/>
                          </w:tcBorders>
                          <w:vAlign w:val="bottom"/>
                        </w:tcPr>
                        <w:p w14:paraId="4F567328" w14:textId="77777777" w:rsidR="00F959A8" w:rsidRPr="007C6F85" w:rsidRDefault="00F959A8"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LBY/3</w:t>
                          </w:r>
                        </w:p>
                      </w:tc>
                      <w:tc>
                        <w:tcPr>
                          <w:tcW w:w="8276" w:type="dxa"/>
                          <w:tcBorders>
                            <w:bottom w:val="single" w:sz="4" w:space="0" w:color="auto"/>
                          </w:tcBorders>
                          <w:vAlign w:val="bottom"/>
                        </w:tcPr>
                        <w:p w14:paraId="428CA8A9" w14:textId="77777777" w:rsidR="00F959A8" w:rsidRPr="007C6F85" w:rsidRDefault="00F959A8">
                          <w:pPr>
                            <w:pStyle w:val="Header"/>
                            <w:rPr>
                              <w:rFonts w:ascii="Times New Roman" w:hAnsi="Times New Roman"/>
                              <w:sz w:val="17"/>
                              <w:szCs w:val="17"/>
                              <w:lang w:val="en-US" w:eastAsia="en-US"/>
                            </w:rPr>
                          </w:pPr>
                        </w:p>
                      </w:tc>
                    </w:tr>
                  </w:tbl>
                  <w:p w14:paraId="14E31BE9" w14:textId="77777777" w:rsidR="00F959A8" w:rsidRDefault="00F959A8"/>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F959A8" w:rsidRPr="001338D1" w14:paraId="70BDDB04" w14:textId="77777777" w:rsidTr="000A2FC7">
      <w:trPr>
        <w:trHeight w:hRule="exact" w:val="864"/>
      </w:trPr>
      <w:tc>
        <w:tcPr>
          <w:tcW w:w="4838" w:type="dxa"/>
          <w:tcBorders>
            <w:bottom w:val="single" w:sz="4" w:space="0" w:color="auto"/>
          </w:tcBorders>
          <w:vAlign w:val="bottom"/>
        </w:tcPr>
        <w:p w14:paraId="6D930087" w14:textId="77777777" w:rsidR="00F959A8" w:rsidRPr="001338D1" w:rsidRDefault="00F959A8" w:rsidP="001338D1">
          <w:pPr>
            <w:widowControl w:val="0"/>
            <w:tabs>
              <w:tab w:val="center" w:pos="4320"/>
              <w:tab w:val="right" w:pos="8640"/>
            </w:tabs>
            <w:spacing w:after="80"/>
            <w:rPr>
              <w:b/>
              <w:sz w:val="17"/>
              <w:szCs w:val="17"/>
            </w:rPr>
          </w:pPr>
        </w:p>
      </w:tc>
      <w:tc>
        <w:tcPr>
          <w:tcW w:w="8276" w:type="dxa"/>
          <w:tcBorders>
            <w:bottom w:val="single" w:sz="4" w:space="0" w:color="auto"/>
          </w:tcBorders>
          <w:vAlign w:val="bottom"/>
        </w:tcPr>
        <w:p w14:paraId="3B882345" w14:textId="77777777" w:rsidR="00F959A8" w:rsidRPr="001338D1" w:rsidRDefault="00F959A8" w:rsidP="00A95D46">
          <w:pPr>
            <w:widowControl w:val="0"/>
            <w:tabs>
              <w:tab w:val="center" w:pos="4320"/>
              <w:tab w:val="right" w:pos="8640"/>
            </w:tabs>
            <w:jc w:val="right"/>
            <w:rPr>
              <w:sz w:val="17"/>
              <w:szCs w:val="17"/>
            </w:rPr>
          </w:pPr>
          <w:r w:rsidRPr="001338D1">
            <w:rPr>
              <w:b/>
              <w:sz w:val="17"/>
              <w:szCs w:val="17"/>
            </w:rPr>
            <w:t>DP/DCP/</w:t>
          </w:r>
          <w:r>
            <w:rPr>
              <w:b/>
              <w:sz w:val="17"/>
              <w:szCs w:val="17"/>
            </w:rPr>
            <w:t>LBY/</w:t>
          </w:r>
          <w:r w:rsidRPr="001338D1">
            <w:rPr>
              <w:b/>
              <w:sz w:val="17"/>
              <w:szCs w:val="17"/>
            </w:rPr>
            <w:t>3</w:t>
          </w:r>
        </w:p>
      </w:tc>
    </w:tr>
  </w:tbl>
  <w:p w14:paraId="3E881733" w14:textId="77777777" w:rsidR="00F959A8" w:rsidRPr="001338D1" w:rsidRDefault="00F959A8" w:rsidP="00D65D48">
    <w:pPr>
      <w:pStyle w:val="Header"/>
      <w:rPr>
        <w:sz w:val="6"/>
        <w:szCs w:val="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F74A8"/>
    <w:multiLevelType w:val="hybridMultilevel"/>
    <w:tmpl w:val="62EA46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87F7FB0"/>
    <w:multiLevelType w:val="hybridMultilevel"/>
    <w:tmpl w:val="91480C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88C67E7"/>
    <w:multiLevelType w:val="hybridMultilevel"/>
    <w:tmpl w:val="2076D516"/>
    <w:lvl w:ilvl="0" w:tplc="0C8EE990">
      <w:start w:val="1"/>
      <w:numFmt w:val="lowerLetter"/>
      <w:lvlText w:val="(%1)"/>
      <w:lvlJc w:val="left"/>
      <w:pPr>
        <w:ind w:left="1800" w:hanging="360"/>
      </w:pPr>
      <w:rPr>
        <w:rFonts w:hint="default"/>
        <w:color w:val="00000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FD31F3F"/>
    <w:multiLevelType w:val="hybridMultilevel"/>
    <w:tmpl w:val="62EA46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DE180E"/>
    <w:multiLevelType w:val="hybridMultilevel"/>
    <w:tmpl w:val="1E1A2778"/>
    <w:lvl w:ilvl="0" w:tplc="F1D8AC3A">
      <w:start w:val="1"/>
      <w:numFmt w:val="lowerLetter"/>
      <w:lvlText w:val="(%1)"/>
      <w:lvlJc w:val="left"/>
      <w:pPr>
        <w:ind w:left="16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616891"/>
    <w:multiLevelType w:val="hybridMultilevel"/>
    <w:tmpl w:val="0838B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9A0977"/>
    <w:multiLevelType w:val="hybridMultilevel"/>
    <w:tmpl w:val="7346C6FE"/>
    <w:lvl w:ilvl="0" w:tplc="040C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D75884"/>
    <w:multiLevelType w:val="hybridMultilevel"/>
    <w:tmpl w:val="264455D8"/>
    <w:lvl w:ilvl="0" w:tplc="0409000F">
      <w:start w:val="1"/>
      <w:numFmt w:val="decimal"/>
      <w:lvlText w:val="%1."/>
      <w:lvlJc w:val="left"/>
      <w:pPr>
        <w:ind w:left="15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CB6513E"/>
    <w:multiLevelType w:val="hybridMultilevel"/>
    <w:tmpl w:val="21CAB16C"/>
    <w:lvl w:ilvl="0" w:tplc="04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3CEC6FD0"/>
    <w:multiLevelType w:val="multilevel"/>
    <w:tmpl w:val="822C67DC"/>
    <w:lvl w:ilvl="0">
      <w:start w:val="1"/>
      <w:numFmt w:val="bullet"/>
      <w:lvlText w:val=""/>
      <w:lvlJc w:val="left"/>
      <w:pPr>
        <w:tabs>
          <w:tab w:val="num" w:pos="570"/>
        </w:tabs>
        <w:ind w:left="570" w:hanging="570"/>
      </w:pPr>
      <w:rPr>
        <w:rFonts w:ascii="Symbol" w:hAnsi="Symbol" w:hint="default"/>
        <w:sz w:val="20"/>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10" w15:restartNumberingAfterBreak="0">
    <w:nsid w:val="41BF6C47"/>
    <w:multiLevelType w:val="hybridMultilevel"/>
    <w:tmpl w:val="CB1C8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257C17"/>
    <w:multiLevelType w:val="hybridMultilevel"/>
    <w:tmpl w:val="480C6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4EA02372"/>
    <w:multiLevelType w:val="hybridMultilevel"/>
    <w:tmpl w:val="B6349452"/>
    <w:lvl w:ilvl="0" w:tplc="9EA0D570">
      <w:start w:val="1"/>
      <w:numFmt w:val="lowerLetter"/>
      <w:lvlText w:val="(%1)"/>
      <w:lvlJc w:val="left"/>
      <w:pPr>
        <w:ind w:left="1627"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8460BE"/>
    <w:multiLevelType w:val="hybridMultilevel"/>
    <w:tmpl w:val="7EC00300"/>
    <w:lvl w:ilvl="0" w:tplc="341A4B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B011A5"/>
    <w:multiLevelType w:val="hybridMultilevel"/>
    <w:tmpl w:val="1068DE6A"/>
    <w:lvl w:ilvl="0" w:tplc="3E5844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85E3276"/>
    <w:multiLevelType w:val="hybridMultilevel"/>
    <w:tmpl w:val="77CA041E"/>
    <w:lvl w:ilvl="0" w:tplc="95E27D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AF3049"/>
    <w:multiLevelType w:val="hybridMultilevel"/>
    <w:tmpl w:val="9F285E64"/>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20" w15:restartNumberingAfterBreak="0">
    <w:nsid w:val="6A881FCB"/>
    <w:multiLevelType w:val="hybridMultilevel"/>
    <w:tmpl w:val="E1E6C7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C082D71"/>
    <w:multiLevelType w:val="hybridMultilevel"/>
    <w:tmpl w:val="224401F6"/>
    <w:lvl w:ilvl="0" w:tplc="BEFE89F2">
      <w:start w:val="22"/>
      <w:numFmt w:val="decimal"/>
      <w:lvlText w:val="%1."/>
      <w:lvlJc w:val="left"/>
      <w:pPr>
        <w:ind w:left="5322"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C401A8A"/>
    <w:multiLevelType w:val="hybridMultilevel"/>
    <w:tmpl w:val="62EA468C"/>
    <w:lvl w:ilvl="0" w:tplc="0409000F">
      <w:start w:val="1"/>
      <w:numFmt w:val="decimal"/>
      <w:lvlText w:val="%1."/>
      <w:lvlJc w:val="left"/>
      <w:pPr>
        <w:ind w:left="15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15"/>
  </w:num>
  <w:num w:numId="4">
    <w:abstractNumId w:val="9"/>
  </w:num>
  <w:num w:numId="5">
    <w:abstractNumId w:val="4"/>
  </w:num>
  <w:num w:numId="6">
    <w:abstractNumId w:val="23"/>
  </w:num>
  <w:num w:numId="7">
    <w:abstractNumId w:val="19"/>
  </w:num>
  <w:num w:numId="8">
    <w:abstractNumId w:val="16"/>
  </w:num>
  <w:num w:numId="9">
    <w:abstractNumId w:val="2"/>
  </w:num>
  <w:num w:numId="10">
    <w:abstractNumId w:val="6"/>
  </w:num>
  <w:num w:numId="11">
    <w:abstractNumId w:val="7"/>
  </w:num>
  <w:num w:numId="12">
    <w:abstractNumId w:val="3"/>
  </w:num>
  <w:num w:numId="13">
    <w:abstractNumId w:val="18"/>
  </w:num>
  <w:num w:numId="14">
    <w:abstractNumId w:val="0"/>
  </w:num>
  <w:num w:numId="15">
    <w:abstractNumId w:val="21"/>
  </w:num>
  <w:num w:numId="16">
    <w:abstractNumId w:val="8"/>
  </w:num>
  <w:num w:numId="17">
    <w:abstractNumId w:val="14"/>
  </w:num>
  <w:num w:numId="18">
    <w:abstractNumId w:val="11"/>
  </w:num>
  <w:num w:numId="19">
    <w:abstractNumId w:val="5"/>
  </w:num>
  <w:num w:numId="20">
    <w:abstractNumId w:val="1"/>
  </w:num>
  <w:num w:numId="21">
    <w:abstractNumId w:val="20"/>
  </w:num>
  <w:num w:numId="22">
    <w:abstractNumId w:val="22"/>
  </w:num>
  <w:num w:numId="23">
    <w:abstractNumId w:val="1"/>
  </w:num>
  <w:num w:numId="24">
    <w:abstractNumId w:val="10"/>
  </w:num>
  <w:num w:numId="2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comments" w:formatting="1" w:enforcement="0"/>
  <w:defaultTabStop w:val="720"/>
  <w:hyphenationZone w:val="425"/>
  <w:doNotHyphenateCaps/>
  <w:evenAndOddHeaders/>
  <w:drawingGridHorizontalSpacing w:val="100"/>
  <w:drawingGridVerticalSpacing w:val="136"/>
  <w:displayHorizontalDrawingGridEvery w:val="2"/>
  <w:displayVerticalDrawingGridEvery w:val="2"/>
  <w:characterSpacingControl w:val="doNotCompress"/>
  <w:doNotValidateAgainstSchema/>
  <w:doNotDemarcateInvalidXml/>
  <w:hdrShapeDefaults>
    <o:shapedefaults v:ext="edit" spidmax="2049"/>
  </w:hdrShapeDefaults>
  <w:footnotePr>
    <w:numRestart w:val="eachSect"/>
    <w:footnote w:id="-1"/>
    <w:footnote w:id="0"/>
  </w:footnotePr>
  <w:endnotePr>
    <w:numFmt w:val="decimal"/>
    <w:numStart w:val="7"/>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3B"/>
    <w:rsid w:val="000010B5"/>
    <w:rsid w:val="00002751"/>
    <w:rsid w:val="000027D2"/>
    <w:rsid w:val="00002D09"/>
    <w:rsid w:val="00003835"/>
    <w:rsid w:val="00004254"/>
    <w:rsid w:val="00004E58"/>
    <w:rsid w:val="000051D2"/>
    <w:rsid w:val="00005E26"/>
    <w:rsid w:val="00007E26"/>
    <w:rsid w:val="00010E1A"/>
    <w:rsid w:val="00010F21"/>
    <w:rsid w:val="0001309E"/>
    <w:rsid w:val="00015FDE"/>
    <w:rsid w:val="00016217"/>
    <w:rsid w:val="00016861"/>
    <w:rsid w:val="00017631"/>
    <w:rsid w:val="00017D69"/>
    <w:rsid w:val="0002005C"/>
    <w:rsid w:val="000200CF"/>
    <w:rsid w:val="000205F1"/>
    <w:rsid w:val="0002100C"/>
    <w:rsid w:val="00022047"/>
    <w:rsid w:val="00022E09"/>
    <w:rsid w:val="0002713A"/>
    <w:rsid w:val="000274B9"/>
    <w:rsid w:val="0002758B"/>
    <w:rsid w:val="000276A0"/>
    <w:rsid w:val="0003023A"/>
    <w:rsid w:val="000330DB"/>
    <w:rsid w:val="00033789"/>
    <w:rsid w:val="0003429F"/>
    <w:rsid w:val="0003486E"/>
    <w:rsid w:val="00034B72"/>
    <w:rsid w:val="00035453"/>
    <w:rsid w:val="00035553"/>
    <w:rsid w:val="0003562A"/>
    <w:rsid w:val="00036095"/>
    <w:rsid w:val="00036AF4"/>
    <w:rsid w:val="00037EA4"/>
    <w:rsid w:val="000411F4"/>
    <w:rsid w:val="00041C10"/>
    <w:rsid w:val="00041CC7"/>
    <w:rsid w:val="000435E5"/>
    <w:rsid w:val="00043804"/>
    <w:rsid w:val="00043D8D"/>
    <w:rsid w:val="000441A1"/>
    <w:rsid w:val="00045270"/>
    <w:rsid w:val="00045D31"/>
    <w:rsid w:val="000471C6"/>
    <w:rsid w:val="000474F9"/>
    <w:rsid w:val="00047F9F"/>
    <w:rsid w:val="00050869"/>
    <w:rsid w:val="00051470"/>
    <w:rsid w:val="000518CF"/>
    <w:rsid w:val="00052FF2"/>
    <w:rsid w:val="00054D69"/>
    <w:rsid w:val="00054EA5"/>
    <w:rsid w:val="000551EE"/>
    <w:rsid w:val="0005545F"/>
    <w:rsid w:val="000561C1"/>
    <w:rsid w:val="00056204"/>
    <w:rsid w:val="000564D3"/>
    <w:rsid w:val="000570D1"/>
    <w:rsid w:val="000571A9"/>
    <w:rsid w:val="00057BCC"/>
    <w:rsid w:val="00060290"/>
    <w:rsid w:val="000608D8"/>
    <w:rsid w:val="0006292A"/>
    <w:rsid w:val="000639DB"/>
    <w:rsid w:val="00063E24"/>
    <w:rsid w:val="0006406F"/>
    <w:rsid w:val="00066544"/>
    <w:rsid w:val="00066C34"/>
    <w:rsid w:val="00067A62"/>
    <w:rsid w:val="0007032A"/>
    <w:rsid w:val="00072229"/>
    <w:rsid w:val="00073CF1"/>
    <w:rsid w:val="00074BD0"/>
    <w:rsid w:val="00074D9A"/>
    <w:rsid w:val="00074DB9"/>
    <w:rsid w:val="00075361"/>
    <w:rsid w:val="000753C4"/>
    <w:rsid w:val="00075DF0"/>
    <w:rsid w:val="000762CA"/>
    <w:rsid w:val="000803A4"/>
    <w:rsid w:val="000806E3"/>
    <w:rsid w:val="000829B2"/>
    <w:rsid w:val="00083091"/>
    <w:rsid w:val="0008339E"/>
    <w:rsid w:val="00084769"/>
    <w:rsid w:val="00085070"/>
    <w:rsid w:val="00086C2A"/>
    <w:rsid w:val="000871A0"/>
    <w:rsid w:val="00090AD1"/>
    <w:rsid w:val="00090F4F"/>
    <w:rsid w:val="00091476"/>
    <w:rsid w:val="00091EAA"/>
    <w:rsid w:val="00092426"/>
    <w:rsid w:val="00092504"/>
    <w:rsid w:val="00092879"/>
    <w:rsid w:val="0009477B"/>
    <w:rsid w:val="00094E87"/>
    <w:rsid w:val="00095733"/>
    <w:rsid w:val="00097FB2"/>
    <w:rsid w:val="000A151D"/>
    <w:rsid w:val="000A24C5"/>
    <w:rsid w:val="000A2FC7"/>
    <w:rsid w:val="000A3F7F"/>
    <w:rsid w:val="000A4940"/>
    <w:rsid w:val="000A4E7B"/>
    <w:rsid w:val="000A681D"/>
    <w:rsid w:val="000B060C"/>
    <w:rsid w:val="000B147B"/>
    <w:rsid w:val="000B2A89"/>
    <w:rsid w:val="000B2BDE"/>
    <w:rsid w:val="000B3A13"/>
    <w:rsid w:val="000B4BB2"/>
    <w:rsid w:val="000B6379"/>
    <w:rsid w:val="000C2893"/>
    <w:rsid w:val="000C36F1"/>
    <w:rsid w:val="000C6201"/>
    <w:rsid w:val="000C76B0"/>
    <w:rsid w:val="000C7AB1"/>
    <w:rsid w:val="000C7BBE"/>
    <w:rsid w:val="000D0FCB"/>
    <w:rsid w:val="000D204D"/>
    <w:rsid w:val="000D2475"/>
    <w:rsid w:val="000D2626"/>
    <w:rsid w:val="000D2D8F"/>
    <w:rsid w:val="000D30FA"/>
    <w:rsid w:val="000D442C"/>
    <w:rsid w:val="000D44FA"/>
    <w:rsid w:val="000D4981"/>
    <w:rsid w:val="000D4DC4"/>
    <w:rsid w:val="000D4FBB"/>
    <w:rsid w:val="000D5E1E"/>
    <w:rsid w:val="000D7792"/>
    <w:rsid w:val="000E0334"/>
    <w:rsid w:val="000E0B27"/>
    <w:rsid w:val="000E25A5"/>
    <w:rsid w:val="000E612D"/>
    <w:rsid w:val="000E6AB1"/>
    <w:rsid w:val="000E743A"/>
    <w:rsid w:val="000E745A"/>
    <w:rsid w:val="000E7BC8"/>
    <w:rsid w:val="000E7E9E"/>
    <w:rsid w:val="000F0044"/>
    <w:rsid w:val="000F0B06"/>
    <w:rsid w:val="000F239E"/>
    <w:rsid w:val="000F2C3F"/>
    <w:rsid w:val="000F34B1"/>
    <w:rsid w:val="000F3BE6"/>
    <w:rsid w:val="000F4C7A"/>
    <w:rsid w:val="000F5541"/>
    <w:rsid w:val="000F5CB7"/>
    <w:rsid w:val="000F5DB9"/>
    <w:rsid w:val="000F703B"/>
    <w:rsid w:val="000F72ED"/>
    <w:rsid w:val="000F7928"/>
    <w:rsid w:val="000F795A"/>
    <w:rsid w:val="000F7A4C"/>
    <w:rsid w:val="001031A0"/>
    <w:rsid w:val="00106EF8"/>
    <w:rsid w:val="00107906"/>
    <w:rsid w:val="00107A51"/>
    <w:rsid w:val="001101A2"/>
    <w:rsid w:val="00110322"/>
    <w:rsid w:val="00111489"/>
    <w:rsid w:val="00111792"/>
    <w:rsid w:val="00111797"/>
    <w:rsid w:val="00111B19"/>
    <w:rsid w:val="0011267D"/>
    <w:rsid w:val="00113314"/>
    <w:rsid w:val="0011403D"/>
    <w:rsid w:val="001140D0"/>
    <w:rsid w:val="00114A64"/>
    <w:rsid w:val="00115933"/>
    <w:rsid w:val="00115A9F"/>
    <w:rsid w:val="00115F59"/>
    <w:rsid w:val="00116BEB"/>
    <w:rsid w:val="00116C1A"/>
    <w:rsid w:val="00116F8B"/>
    <w:rsid w:val="0011721A"/>
    <w:rsid w:val="00117D93"/>
    <w:rsid w:val="001200D5"/>
    <w:rsid w:val="001210E3"/>
    <w:rsid w:val="00121F3E"/>
    <w:rsid w:val="0012229E"/>
    <w:rsid w:val="00122D63"/>
    <w:rsid w:val="00123849"/>
    <w:rsid w:val="00123A5E"/>
    <w:rsid w:val="00123F93"/>
    <w:rsid w:val="00124F60"/>
    <w:rsid w:val="00125010"/>
    <w:rsid w:val="00125266"/>
    <w:rsid w:val="001255FA"/>
    <w:rsid w:val="00125B82"/>
    <w:rsid w:val="00125DC6"/>
    <w:rsid w:val="001305E6"/>
    <w:rsid w:val="0013239A"/>
    <w:rsid w:val="001327DF"/>
    <w:rsid w:val="00132D93"/>
    <w:rsid w:val="001338D1"/>
    <w:rsid w:val="001355DC"/>
    <w:rsid w:val="001357A4"/>
    <w:rsid w:val="0013761A"/>
    <w:rsid w:val="00140481"/>
    <w:rsid w:val="00140826"/>
    <w:rsid w:val="00141385"/>
    <w:rsid w:val="001424AA"/>
    <w:rsid w:val="0014423A"/>
    <w:rsid w:val="00145D8B"/>
    <w:rsid w:val="00147042"/>
    <w:rsid w:val="001471A7"/>
    <w:rsid w:val="001506F6"/>
    <w:rsid w:val="00152889"/>
    <w:rsid w:val="00154032"/>
    <w:rsid w:val="001541B7"/>
    <w:rsid w:val="001547D3"/>
    <w:rsid w:val="00154E9C"/>
    <w:rsid w:val="001559BD"/>
    <w:rsid w:val="00155DA8"/>
    <w:rsid w:val="00157439"/>
    <w:rsid w:val="00157F09"/>
    <w:rsid w:val="00157F79"/>
    <w:rsid w:val="0016071A"/>
    <w:rsid w:val="00163551"/>
    <w:rsid w:val="0016363B"/>
    <w:rsid w:val="00163E84"/>
    <w:rsid w:val="00163EB0"/>
    <w:rsid w:val="00164513"/>
    <w:rsid w:val="00165650"/>
    <w:rsid w:val="001668AA"/>
    <w:rsid w:val="001675B1"/>
    <w:rsid w:val="0016789D"/>
    <w:rsid w:val="00167C87"/>
    <w:rsid w:val="001701C2"/>
    <w:rsid w:val="001711E2"/>
    <w:rsid w:val="00172EE3"/>
    <w:rsid w:val="00174593"/>
    <w:rsid w:val="00177E7E"/>
    <w:rsid w:val="00180507"/>
    <w:rsid w:val="00182828"/>
    <w:rsid w:val="0018356F"/>
    <w:rsid w:val="0018665A"/>
    <w:rsid w:val="001876C5"/>
    <w:rsid w:val="001877B4"/>
    <w:rsid w:val="00187D68"/>
    <w:rsid w:val="00190155"/>
    <w:rsid w:val="001906B5"/>
    <w:rsid w:val="00192F8C"/>
    <w:rsid w:val="001933B4"/>
    <w:rsid w:val="00194163"/>
    <w:rsid w:val="00194FEB"/>
    <w:rsid w:val="00196390"/>
    <w:rsid w:val="001970A4"/>
    <w:rsid w:val="00197AD1"/>
    <w:rsid w:val="001A1FAA"/>
    <w:rsid w:val="001A291E"/>
    <w:rsid w:val="001A2A88"/>
    <w:rsid w:val="001A39E1"/>
    <w:rsid w:val="001A468B"/>
    <w:rsid w:val="001A5B84"/>
    <w:rsid w:val="001A6158"/>
    <w:rsid w:val="001A7947"/>
    <w:rsid w:val="001B0020"/>
    <w:rsid w:val="001B040B"/>
    <w:rsid w:val="001B3F87"/>
    <w:rsid w:val="001B4026"/>
    <w:rsid w:val="001B579B"/>
    <w:rsid w:val="001B598C"/>
    <w:rsid w:val="001B6264"/>
    <w:rsid w:val="001B76A6"/>
    <w:rsid w:val="001C07F8"/>
    <w:rsid w:val="001C0E17"/>
    <w:rsid w:val="001C1147"/>
    <w:rsid w:val="001C2EA9"/>
    <w:rsid w:val="001C2F59"/>
    <w:rsid w:val="001C2FAD"/>
    <w:rsid w:val="001C42AA"/>
    <w:rsid w:val="001C45A9"/>
    <w:rsid w:val="001C60E4"/>
    <w:rsid w:val="001C6C08"/>
    <w:rsid w:val="001C743B"/>
    <w:rsid w:val="001D12AD"/>
    <w:rsid w:val="001D1795"/>
    <w:rsid w:val="001D2056"/>
    <w:rsid w:val="001D42D1"/>
    <w:rsid w:val="001D5C3B"/>
    <w:rsid w:val="001D64E5"/>
    <w:rsid w:val="001D6EB8"/>
    <w:rsid w:val="001D7920"/>
    <w:rsid w:val="001E05EC"/>
    <w:rsid w:val="001E3495"/>
    <w:rsid w:val="001E4010"/>
    <w:rsid w:val="001E4809"/>
    <w:rsid w:val="001E4F4F"/>
    <w:rsid w:val="001E5BDD"/>
    <w:rsid w:val="001F031A"/>
    <w:rsid w:val="001F04B9"/>
    <w:rsid w:val="001F0E77"/>
    <w:rsid w:val="001F27AF"/>
    <w:rsid w:val="001F27F4"/>
    <w:rsid w:val="001F2A7F"/>
    <w:rsid w:val="001F3DC0"/>
    <w:rsid w:val="001F437D"/>
    <w:rsid w:val="001F4C5A"/>
    <w:rsid w:val="001F4EA9"/>
    <w:rsid w:val="001F4F73"/>
    <w:rsid w:val="001F6425"/>
    <w:rsid w:val="001F65EC"/>
    <w:rsid w:val="001F6772"/>
    <w:rsid w:val="001F7090"/>
    <w:rsid w:val="001F7421"/>
    <w:rsid w:val="001F7F7F"/>
    <w:rsid w:val="00200195"/>
    <w:rsid w:val="00200901"/>
    <w:rsid w:val="00200B5F"/>
    <w:rsid w:val="00201EEF"/>
    <w:rsid w:val="002026AB"/>
    <w:rsid w:val="00202725"/>
    <w:rsid w:val="00202EF2"/>
    <w:rsid w:val="002040A5"/>
    <w:rsid w:val="002042F8"/>
    <w:rsid w:val="002047C8"/>
    <w:rsid w:val="002051F5"/>
    <w:rsid w:val="002052B3"/>
    <w:rsid w:val="00205453"/>
    <w:rsid w:val="002058F9"/>
    <w:rsid w:val="00205B20"/>
    <w:rsid w:val="00207E76"/>
    <w:rsid w:val="00207F32"/>
    <w:rsid w:val="00210EF9"/>
    <w:rsid w:val="00211A9A"/>
    <w:rsid w:val="00212B1F"/>
    <w:rsid w:val="00213340"/>
    <w:rsid w:val="00213D7C"/>
    <w:rsid w:val="00214513"/>
    <w:rsid w:val="002155B7"/>
    <w:rsid w:val="00215E7F"/>
    <w:rsid w:val="0021610C"/>
    <w:rsid w:val="0021759E"/>
    <w:rsid w:val="0021766A"/>
    <w:rsid w:val="00217AC9"/>
    <w:rsid w:val="002225D3"/>
    <w:rsid w:val="002228B9"/>
    <w:rsid w:val="00222A35"/>
    <w:rsid w:val="0022301D"/>
    <w:rsid w:val="00223FC7"/>
    <w:rsid w:val="00224B2C"/>
    <w:rsid w:val="00224DE1"/>
    <w:rsid w:val="00225B91"/>
    <w:rsid w:val="00225C5E"/>
    <w:rsid w:val="00227559"/>
    <w:rsid w:val="00227E55"/>
    <w:rsid w:val="0023282F"/>
    <w:rsid w:val="00232967"/>
    <w:rsid w:val="00232AA0"/>
    <w:rsid w:val="00234CDF"/>
    <w:rsid w:val="00235517"/>
    <w:rsid w:val="0023619E"/>
    <w:rsid w:val="00236205"/>
    <w:rsid w:val="00236B91"/>
    <w:rsid w:val="0024027E"/>
    <w:rsid w:val="002424C0"/>
    <w:rsid w:val="00242617"/>
    <w:rsid w:val="00242CAA"/>
    <w:rsid w:val="002433C5"/>
    <w:rsid w:val="00244812"/>
    <w:rsid w:val="0024503B"/>
    <w:rsid w:val="002458C9"/>
    <w:rsid w:val="00245D74"/>
    <w:rsid w:val="00246D03"/>
    <w:rsid w:val="00246DDF"/>
    <w:rsid w:val="00247BFE"/>
    <w:rsid w:val="002530D8"/>
    <w:rsid w:val="0025370A"/>
    <w:rsid w:val="002540CF"/>
    <w:rsid w:val="00254AF8"/>
    <w:rsid w:val="002555F5"/>
    <w:rsid w:val="002573CC"/>
    <w:rsid w:val="00257743"/>
    <w:rsid w:val="00260D08"/>
    <w:rsid w:val="00260FAA"/>
    <w:rsid w:val="00261278"/>
    <w:rsid w:val="002612B8"/>
    <w:rsid w:val="00261EF5"/>
    <w:rsid w:val="00262338"/>
    <w:rsid w:val="00263938"/>
    <w:rsid w:val="002646D7"/>
    <w:rsid w:val="002655D9"/>
    <w:rsid w:val="002665C4"/>
    <w:rsid w:val="002666E8"/>
    <w:rsid w:val="002671D7"/>
    <w:rsid w:val="00267600"/>
    <w:rsid w:val="002701D6"/>
    <w:rsid w:val="0027259C"/>
    <w:rsid w:val="00272C2F"/>
    <w:rsid w:val="00273543"/>
    <w:rsid w:val="00273F68"/>
    <w:rsid w:val="00274C82"/>
    <w:rsid w:val="00276311"/>
    <w:rsid w:val="0027654D"/>
    <w:rsid w:val="00276F28"/>
    <w:rsid w:val="0027733A"/>
    <w:rsid w:val="002778BC"/>
    <w:rsid w:val="002810DF"/>
    <w:rsid w:val="002812AB"/>
    <w:rsid w:val="002816D8"/>
    <w:rsid w:val="002818DA"/>
    <w:rsid w:val="00282A8C"/>
    <w:rsid w:val="002854EE"/>
    <w:rsid w:val="0028565C"/>
    <w:rsid w:val="002875DE"/>
    <w:rsid w:val="00287A63"/>
    <w:rsid w:val="00287E07"/>
    <w:rsid w:val="0029027B"/>
    <w:rsid w:val="00290EB3"/>
    <w:rsid w:val="002913E6"/>
    <w:rsid w:val="0029274E"/>
    <w:rsid w:val="00292846"/>
    <w:rsid w:val="00292869"/>
    <w:rsid w:val="00292A90"/>
    <w:rsid w:val="00293793"/>
    <w:rsid w:val="00295F54"/>
    <w:rsid w:val="00295FD8"/>
    <w:rsid w:val="002971D6"/>
    <w:rsid w:val="00297DE4"/>
    <w:rsid w:val="002A030F"/>
    <w:rsid w:val="002A207C"/>
    <w:rsid w:val="002A2DC5"/>
    <w:rsid w:val="002A2F08"/>
    <w:rsid w:val="002A3641"/>
    <w:rsid w:val="002A495F"/>
    <w:rsid w:val="002A645D"/>
    <w:rsid w:val="002A706F"/>
    <w:rsid w:val="002A70EA"/>
    <w:rsid w:val="002A7363"/>
    <w:rsid w:val="002A7F43"/>
    <w:rsid w:val="002B0F3E"/>
    <w:rsid w:val="002B132A"/>
    <w:rsid w:val="002B2924"/>
    <w:rsid w:val="002B2CED"/>
    <w:rsid w:val="002B365E"/>
    <w:rsid w:val="002B3C1E"/>
    <w:rsid w:val="002B3E6C"/>
    <w:rsid w:val="002B3ED9"/>
    <w:rsid w:val="002B489A"/>
    <w:rsid w:val="002B54F5"/>
    <w:rsid w:val="002B6341"/>
    <w:rsid w:val="002B7022"/>
    <w:rsid w:val="002B73E5"/>
    <w:rsid w:val="002C031A"/>
    <w:rsid w:val="002C038F"/>
    <w:rsid w:val="002C0526"/>
    <w:rsid w:val="002C1211"/>
    <w:rsid w:val="002C1255"/>
    <w:rsid w:val="002C27A8"/>
    <w:rsid w:val="002C333E"/>
    <w:rsid w:val="002C36C8"/>
    <w:rsid w:val="002C51A0"/>
    <w:rsid w:val="002C57E0"/>
    <w:rsid w:val="002C68B8"/>
    <w:rsid w:val="002C71DD"/>
    <w:rsid w:val="002C7971"/>
    <w:rsid w:val="002D0584"/>
    <w:rsid w:val="002D2E2A"/>
    <w:rsid w:val="002D3B1D"/>
    <w:rsid w:val="002D4274"/>
    <w:rsid w:val="002D5295"/>
    <w:rsid w:val="002D52BF"/>
    <w:rsid w:val="002D5331"/>
    <w:rsid w:val="002D68FA"/>
    <w:rsid w:val="002D7ECA"/>
    <w:rsid w:val="002E0141"/>
    <w:rsid w:val="002E0B5D"/>
    <w:rsid w:val="002E0B76"/>
    <w:rsid w:val="002E1495"/>
    <w:rsid w:val="002E1871"/>
    <w:rsid w:val="002E1EA8"/>
    <w:rsid w:val="002E2466"/>
    <w:rsid w:val="002E2900"/>
    <w:rsid w:val="002E2A1D"/>
    <w:rsid w:val="002E2E3B"/>
    <w:rsid w:val="002E3C0D"/>
    <w:rsid w:val="002E40B2"/>
    <w:rsid w:val="002E43EC"/>
    <w:rsid w:val="002E466A"/>
    <w:rsid w:val="002E4883"/>
    <w:rsid w:val="002E545A"/>
    <w:rsid w:val="002E5ADC"/>
    <w:rsid w:val="002E5B3C"/>
    <w:rsid w:val="002E6481"/>
    <w:rsid w:val="002E7A79"/>
    <w:rsid w:val="002F0550"/>
    <w:rsid w:val="002F1D9E"/>
    <w:rsid w:val="002F2839"/>
    <w:rsid w:val="002F2C6E"/>
    <w:rsid w:val="002F3B74"/>
    <w:rsid w:val="002F3C88"/>
    <w:rsid w:val="002F4067"/>
    <w:rsid w:val="002F47EB"/>
    <w:rsid w:val="002F4A78"/>
    <w:rsid w:val="002F5166"/>
    <w:rsid w:val="002F658D"/>
    <w:rsid w:val="002F7339"/>
    <w:rsid w:val="002F7461"/>
    <w:rsid w:val="0030165A"/>
    <w:rsid w:val="003025E2"/>
    <w:rsid w:val="00306D24"/>
    <w:rsid w:val="00306FFB"/>
    <w:rsid w:val="00307712"/>
    <w:rsid w:val="00310D3D"/>
    <w:rsid w:val="00312C66"/>
    <w:rsid w:val="00313263"/>
    <w:rsid w:val="00313D62"/>
    <w:rsid w:val="0031404A"/>
    <w:rsid w:val="003147C9"/>
    <w:rsid w:val="00314B7C"/>
    <w:rsid w:val="00314E49"/>
    <w:rsid w:val="00314E4B"/>
    <w:rsid w:val="00315445"/>
    <w:rsid w:val="00315B04"/>
    <w:rsid w:val="00315BD8"/>
    <w:rsid w:val="003165AB"/>
    <w:rsid w:val="00317183"/>
    <w:rsid w:val="00317F72"/>
    <w:rsid w:val="003204AE"/>
    <w:rsid w:val="003207F3"/>
    <w:rsid w:val="003208EF"/>
    <w:rsid w:val="00320E05"/>
    <w:rsid w:val="0032184B"/>
    <w:rsid w:val="00322181"/>
    <w:rsid w:val="003224C1"/>
    <w:rsid w:val="00324846"/>
    <w:rsid w:val="00324ABD"/>
    <w:rsid w:val="00324D9B"/>
    <w:rsid w:val="003261BE"/>
    <w:rsid w:val="003272A6"/>
    <w:rsid w:val="003273CB"/>
    <w:rsid w:val="0032746D"/>
    <w:rsid w:val="0033020F"/>
    <w:rsid w:val="0033023F"/>
    <w:rsid w:val="0033125E"/>
    <w:rsid w:val="0033242C"/>
    <w:rsid w:val="0033325E"/>
    <w:rsid w:val="0033328E"/>
    <w:rsid w:val="00333B61"/>
    <w:rsid w:val="00334C86"/>
    <w:rsid w:val="00336913"/>
    <w:rsid w:val="0033718C"/>
    <w:rsid w:val="00337407"/>
    <w:rsid w:val="00337BB8"/>
    <w:rsid w:val="00340ADC"/>
    <w:rsid w:val="00340DD1"/>
    <w:rsid w:val="00340E02"/>
    <w:rsid w:val="0034138C"/>
    <w:rsid w:val="00342B13"/>
    <w:rsid w:val="00342EA2"/>
    <w:rsid w:val="00343E6E"/>
    <w:rsid w:val="00343E9A"/>
    <w:rsid w:val="00343E9D"/>
    <w:rsid w:val="003450C8"/>
    <w:rsid w:val="00346760"/>
    <w:rsid w:val="00346FA8"/>
    <w:rsid w:val="0034782B"/>
    <w:rsid w:val="00350145"/>
    <w:rsid w:val="00351082"/>
    <w:rsid w:val="0035108D"/>
    <w:rsid w:val="00351E5C"/>
    <w:rsid w:val="003544CB"/>
    <w:rsid w:val="0035580F"/>
    <w:rsid w:val="00357CB4"/>
    <w:rsid w:val="003604EE"/>
    <w:rsid w:val="003611DE"/>
    <w:rsid w:val="0036162D"/>
    <w:rsid w:val="00361D28"/>
    <w:rsid w:val="00361EBC"/>
    <w:rsid w:val="00362356"/>
    <w:rsid w:val="0036286B"/>
    <w:rsid w:val="00363034"/>
    <w:rsid w:val="00363371"/>
    <w:rsid w:val="00364989"/>
    <w:rsid w:val="003664C0"/>
    <w:rsid w:val="00366769"/>
    <w:rsid w:val="00367A28"/>
    <w:rsid w:val="00367E04"/>
    <w:rsid w:val="003717D7"/>
    <w:rsid w:val="0037180E"/>
    <w:rsid w:val="00371B86"/>
    <w:rsid w:val="003737BC"/>
    <w:rsid w:val="003738F7"/>
    <w:rsid w:val="003761F2"/>
    <w:rsid w:val="00376A05"/>
    <w:rsid w:val="00376C8F"/>
    <w:rsid w:val="003774FE"/>
    <w:rsid w:val="00382DC6"/>
    <w:rsid w:val="003837DC"/>
    <w:rsid w:val="00383AE9"/>
    <w:rsid w:val="00383EEC"/>
    <w:rsid w:val="00384560"/>
    <w:rsid w:val="0038538E"/>
    <w:rsid w:val="003902BF"/>
    <w:rsid w:val="00390920"/>
    <w:rsid w:val="00390DAC"/>
    <w:rsid w:val="00390E30"/>
    <w:rsid w:val="00393695"/>
    <w:rsid w:val="00393ABE"/>
    <w:rsid w:val="0039458D"/>
    <w:rsid w:val="00394D61"/>
    <w:rsid w:val="00394FF1"/>
    <w:rsid w:val="0039515A"/>
    <w:rsid w:val="003A0826"/>
    <w:rsid w:val="003A1F5A"/>
    <w:rsid w:val="003A20C4"/>
    <w:rsid w:val="003A2ECE"/>
    <w:rsid w:val="003A4252"/>
    <w:rsid w:val="003A539A"/>
    <w:rsid w:val="003A62A4"/>
    <w:rsid w:val="003A7476"/>
    <w:rsid w:val="003A7D86"/>
    <w:rsid w:val="003A7FD3"/>
    <w:rsid w:val="003B0AA1"/>
    <w:rsid w:val="003B243D"/>
    <w:rsid w:val="003B304F"/>
    <w:rsid w:val="003B5D18"/>
    <w:rsid w:val="003B6193"/>
    <w:rsid w:val="003B6D69"/>
    <w:rsid w:val="003B795D"/>
    <w:rsid w:val="003C06DE"/>
    <w:rsid w:val="003C0E7A"/>
    <w:rsid w:val="003C1758"/>
    <w:rsid w:val="003C17C2"/>
    <w:rsid w:val="003C26A6"/>
    <w:rsid w:val="003C26C1"/>
    <w:rsid w:val="003C2C8C"/>
    <w:rsid w:val="003C51B9"/>
    <w:rsid w:val="003C5C11"/>
    <w:rsid w:val="003C624F"/>
    <w:rsid w:val="003C6A5A"/>
    <w:rsid w:val="003C6AAD"/>
    <w:rsid w:val="003C76E4"/>
    <w:rsid w:val="003D0D8B"/>
    <w:rsid w:val="003D1542"/>
    <w:rsid w:val="003D1D4D"/>
    <w:rsid w:val="003D1FF1"/>
    <w:rsid w:val="003D2FB1"/>
    <w:rsid w:val="003D30FB"/>
    <w:rsid w:val="003D3682"/>
    <w:rsid w:val="003D37DD"/>
    <w:rsid w:val="003D45DF"/>
    <w:rsid w:val="003D47C6"/>
    <w:rsid w:val="003D61EC"/>
    <w:rsid w:val="003D7E38"/>
    <w:rsid w:val="003D7EAC"/>
    <w:rsid w:val="003E1AFA"/>
    <w:rsid w:val="003E32B8"/>
    <w:rsid w:val="003E379A"/>
    <w:rsid w:val="003E4D68"/>
    <w:rsid w:val="003E52B0"/>
    <w:rsid w:val="003E56B4"/>
    <w:rsid w:val="003E64DC"/>
    <w:rsid w:val="003E7A43"/>
    <w:rsid w:val="003F0248"/>
    <w:rsid w:val="003F0B58"/>
    <w:rsid w:val="003F0D40"/>
    <w:rsid w:val="003F2138"/>
    <w:rsid w:val="003F2236"/>
    <w:rsid w:val="003F27B7"/>
    <w:rsid w:val="003F2A3B"/>
    <w:rsid w:val="003F315B"/>
    <w:rsid w:val="003F4051"/>
    <w:rsid w:val="003F5812"/>
    <w:rsid w:val="003F625A"/>
    <w:rsid w:val="003F656D"/>
    <w:rsid w:val="003F6629"/>
    <w:rsid w:val="003F690E"/>
    <w:rsid w:val="003F6AA4"/>
    <w:rsid w:val="003F6EA1"/>
    <w:rsid w:val="003F788C"/>
    <w:rsid w:val="00400E4A"/>
    <w:rsid w:val="00401134"/>
    <w:rsid w:val="00402E9A"/>
    <w:rsid w:val="00403F9F"/>
    <w:rsid w:val="00403FA8"/>
    <w:rsid w:val="00404040"/>
    <w:rsid w:val="00404213"/>
    <w:rsid w:val="004042E3"/>
    <w:rsid w:val="00404472"/>
    <w:rsid w:val="004048AC"/>
    <w:rsid w:val="00404B8E"/>
    <w:rsid w:val="004068C2"/>
    <w:rsid w:val="0041162B"/>
    <w:rsid w:val="00412559"/>
    <w:rsid w:val="00412CAB"/>
    <w:rsid w:val="00413A02"/>
    <w:rsid w:val="00415E7F"/>
    <w:rsid w:val="00416F31"/>
    <w:rsid w:val="00417FE9"/>
    <w:rsid w:val="00420288"/>
    <w:rsid w:val="00421C78"/>
    <w:rsid w:val="0042229F"/>
    <w:rsid w:val="004224CE"/>
    <w:rsid w:val="004235B8"/>
    <w:rsid w:val="00424A78"/>
    <w:rsid w:val="004254DB"/>
    <w:rsid w:val="0042767F"/>
    <w:rsid w:val="004277A4"/>
    <w:rsid w:val="00427EEA"/>
    <w:rsid w:val="004301C8"/>
    <w:rsid w:val="00431020"/>
    <w:rsid w:val="0043152D"/>
    <w:rsid w:val="00431836"/>
    <w:rsid w:val="004321E6"/>
    <w:rsid w:val="0043278E"/>
    <w:rsid w:val="00432DB0"/>
    <w:rsid w:val="00432FBA"/>
    <w:rsid w:val="004341F3"/>
    <w:rsid w:val="004360AC"/>
    <w:rsid w:val="00436B83"/>
    <w:rsid w:val="00441061"/>
    <w:rsid w:val="0044231E"/>
    <w:rsid w:val="00445027"/>
    <w:rsid w:val="0044560C"/>
    <w:rsid w:val="0044736E"/>
    <w:rsid w:val="004501C9"/>
    <w:rsid w:val="00450C70"/>
    <w:rsid w:val="00451C87"/>
    <w:rsid w:val="004528AF"/>
    <w:rsid w:val="00452B9C"/>
    <w:rsid w:val="00453173"/>
    <w:rsid w:val="00453344"/>
    <w:rsid w:val="00454E76"/>
    <w:rsid w:val="0045557F"/>
    <w:rsid w:val="00457080"/>
    <w:rsid w:val="00460068"/>
    <w:rsid w:val="004607F1"/>
    <w:rsid w:val="00460891"/>
    <w:rsid w:val="00461088"/>
    <w:rsid w:val="00463CA6"/>
    <w:rsid w:val="004647D1"/>
    <w:rsid w:val="00464FB2"/>
    <w:rsid w:val="00465055"/>
    <w:rsid w:val="004662A8"/>
    <w:rsid w:val="00466576"/>
    <w:rsid w:val="00466C73"/>
    <w:rsid w:val="00466CDC"/>
    <w:rsid w:val="0046745E"/>
    <w:rsid w:val="00470BD6"/>
    <w:rsid w:val="004736BE"/>
    <w:rsid w:val="00473B14"/>
    <w:rsid w:val="00473E83"/>
    <w:rsid w:val="0047556D"/>
    <w:rsid w:val="00475789"/>
    <w:rsid w:val="00476170"/>
    <w:rsid w:val="00476C12"/>
    <w:rsid w:val="004820B0"/>
    <w:rsid w:val="00482117"/>
    <w:rsid w:val="00482486"/>
    <w:rsid w:val="00482E2F"/>
    <w:rsid w:val="004842DE"/>
    <w:rsid w:val="0048467F"/>
    <w:rsid w:val="00484C04"/>
    <w:rsid w:val="00484C41"/>
    <w:rsid w:val="004859B4"/>
    <w:rsid w:val="00486ACD"/>
    <w:rsid w:val="00487E63"/>
    <w:rsid w:val="00490B8D"/>
    <w:rsid w:val="00492C65"/>
    <w:rsid w:val="004935AD"/>
    <w:rsid w:val="0049403F"/>
    <w:rsid w:val="00494323"/>
    <w:rsid w:val="00494349"/>
    <w:rsid w:val="00494485"/>
    <w:rsid w:val="00496EFA"/>
    <w:rsid w:val="0049762B"/>
    <w:rsid w:val="004976E7"/>
    <w:rsid w:val="004A0919"/>
    <w:rsid w:val="004A0F27"/>
    <w:rsid w:val="004A0F37"/>
    <w:rsid w:val="004A0F68"/>
    <w:rsid w:val="004A1FE9"/>
    <w:rsid w:val="004A3608"/>
    <w:rsid w:val="004A4FBD"/>
    <w:rsid w:val="004A52FA"/>
    <w:rsid w:val="004A64D3"/>
    <w:rsid w:val="004A7810"/>
    <w:rsid w:val="004A7921"/>
    <w:rsid w:val="004A7E93"/>
    <w:rsid w:val="004A7F2D"/>
    <w:rsid w:val="004B1AF3"/>
    <w:rsid w:val="004B1BF4"/>
    <w:rsid w:val="004B3CFB"/>
    <w:rsid w:val="004B4656"/>
    <w:rsid w:val="004B5D6B"/>
    <w:rsid w:val="004B5DE9"/>
    <w:rsid w:val="004B63FB"/>
    <w:rsid w:val="004B6721"/>
    <w:rsid w:val="004B76F8"/>
    <w:rsid w:val="004C1FA6"/>
    <w:rsid w:val="004C5069"/>
    <w:rsid w:val="004C56A4"/>
    <w:rsid w:val="004C5CFD"/>
    <w:rsid w:val="004D12C0"/>
    <w:rsid w:val="004D18EA"/>
    <w:rsid w:val="004D240C"/>
    <w:rsid w:val="004D2528"/>
    <w:rsid w:val="004D2F90"/>
    <w:rsid w:val="004D3524"/>
    <w:rsid w:val="004D3713"/>
    <w:rsid w:val="004D4CCE"/>
    <w:rsid w:val="004D54F3"/>
    <w:rsid w:val="004D6254"/>
    <w:rsid w:val="004D64F5"/>
    <w:rsid w:val="004D70FD"/>
    <w:rsid w:val="004D7751"/>
    <w:rsid w:val="004D7E99"/>
    <w:rsid w:val="004E00CE"/>
    <w:rsid w:val="004E04D0"/>
    <w:rsid w:val="004E1484"/>
    <w:rsid w:val="004E1C31"/>
    <w:rsid w:val="004E2BDB"/>
    <w:rsid w:val="004E34A6"/>
    <w:rsid w:val="004E399D"/>
    <w:rsid w:val="004E4B2C"/>
    <w:rsid w:val="004F0FB9"/>
    <w:rsid w:val="004F50AF"/>
    <w:rsid w:val="004F5BAD"/>
    <w:rsid w:val="004F681D"/>
    <w:rsid w:val="004F6E14"/>
    <w:rsid w:val="0050228C"/>
    <w:rsid w:val="00502857"/>
    <w:rsid w:val="00502904"/>
    <w:rsid w:val="005039C7"/>
    <w:rsid w:val="0050430A"/>
    <w:rsid w:val="005044A9"/>
    <w:rsid w:val="00505994"/>
    <w:rsid w:val="00505FD4"/>
    <w:rsid w:val="00506E25"/>
    <w:rsid w:val="00507B90"/>
    <w:rsid w:val="005105EC"/>
    <w:rsid w:val="00510B41"/>
    <w:rsid w:val="00510DBC"/>
    <w:rsid w:val="0051132C"/>
    <w:rsid w:val="00512380"/>
    <w:rsid w:val="00512D8C"/>
    <w:rsid w:val="00513483"/>
    <w:rsid w:val="005134F1"/>
    <w:rsid w:val="005143A1"/>
    <w:rsid w:val="0051469D"/>
    <w:rsid w:val="00514A55"/>
    <w:rsid w:val="00514EF5"/>
    <w:rsid w:val="00517587"/>
    <w:rsid w:val="0051782D"/>
    <w:rsid w:val="005178FA"/>
    <w:rsid w:val="00520626"/>
    <w:rsid w:val="0052087E"/>
    <w:rsid w:val="00521D4E"/>
    <w:rsid w:val="0052315E"/>
    <w:rsid w:val="0052333F"/>
    <w:rsid w:val="00525926"/>
    <w:rsid w:val="005274F9"/>
    <w:rsid w:val="00530ED3"/>
    <w:rsid w:val="005334F5"/>
    <w:rsid w:val="00533D3E"/>
    <w:rsid w:val="0053438E"/>
    <w:rsid w:val="0053463C"/>
    <w:rsid w:val="005346B7"/>
    <w:rsid w:val="005354E1"/>
    <w:rsid w:val="005355EE"/>
    <w:rsid w:val="00535B16"/>
    <w:rsid w:val="005366D0"/>
    <w:rsid w:val="00537758"/>
    <w:rsid w:val="00537793"/>
    <w:rsid w:val="00537E27"/>
    <w:rsid w:val="00540B4D"/>
    <w:rsid w:val="00540FFA"/>
    <w:rsid w:val="00541A69"/>
    <w:rsid w:val="00542803"/>
    <w:rsid w:val="00542930"/>
    <w:rsid w:val="005435B3"/>
    <w:rsid w:val="00546467"/>
    <w:rsid w:val="00550849"/>
    <w:rsid w:val="00550866"/>
    <w:rsid w:val="00552470"/>
    <w:rsid w:val="00552F90"/>
    <w:rsid w:val="005547F9"/>
    <w:rsid w:val="00554BF3"/>
    <w:rsid w:val="005550F4"/>
    <w:rsid w:val="0055655F"/>
    <w:rsid w:val="0055657D"/>
    <w:rsid w:val="00556EC4"/>
    <w:rsid w:val="00560D0D"/>
    <w:rsid w:val="00560FCB"/>
    <w:rsid w:val="00565FB1"/>
    <w:rsid w:val="005662FB"/>
    <w:rsid w:val="00566535"/>
    <w:rsid w:val="00567781"/>
    <w:rsid w:val="00567ECC"/>
    <w:rsid w:val="00570787"/>
    <w:rsid w:val="00570D48"/>
    <w:rsid w:val="005713B1"/>
    <w:rsid w:val="0057271B"/>
    <w:rsid w:val="005728A6"/>
    <w:rsid w:val="00574241"/>
    <w:rsid w:val="0057478F"/>
    <w:rsid w:val="00574A05"/>
    <w:rsid w:val="00576337"/>
    <w:rsid w:val="00577251"/>
    <w:rsid w:val="005815DE"/>
    <w:rsid w:val="00583090"/>
    <w:rsid w:val="0058320E"/>
    <w:rsid w:val="00583311"/>
    <w:rsid w:val="005835F4"/>
    <w:rsid w:val="0058378E"/>
    <w:rsid w:val="00583EFE"/>
    <w:rsid w:val="00584076"/>
    <w:rsid w:val="005841A3"/>
    <w:rsid w:val="00585CD6"/>
    <w:rsid w:val="00586D9A"/>
    <w:rsid w:val="005879AA"/>
    <w:rsid w:val="00590E87"/>
    <w:rsid w:val="00590EAE"/>
    <w:rsid w:val="0059112A"/>
    <w:rsid w:val="00592333"/>
    <w:rsid w:val="005924CD"/>
    <w:rsid w:val="0059289B"/>
    <w:rsid w:val="00593216"/>
    <w:rsid w:val="00594BC3"/>
    <w:rsid w:val="0059663C"/>
    <w:rsid w:val="00596CA7"/>
    <w:rsid w:val="00596DC8"/>
    <w:rsid w:val="00596E16"/>
    <w:rsid w:val="005973E1"/>
    <w:rsid w:val="00597E3B"/>
    <w:rsid w:val="005A0D43"/>
    <w:rsid w:val="005A16A3"/>
    <w:rsid w:val="005A1C48"/>
    <w:rsid w:val="005A253A"/>
    <w:rsid w:val="005A40AF"/>
    <w:rsid w:val="005A4DE5"/>
    <w:rsid w:val="005A64BF"/>
    <w:rsid w:val="005A65E7"/>
    <w:rsid w:val="005A665D"/>
    <w:rsid w:val="005B001A"/>
    <w:rsid w:val="005B1DD7"/>
    <w:rsid w:val="005B3B72"/>
    <w:rsid w:val="005B4421"/>
    <w:rsid w:val="005B4527"/>
    <w:rsid w:val="005B468D"/>
    <w:rsid w:val="005B5FB4"/>
    <w:rsid w:val="005B7929"/>
    <w:rsid w:val="005C044B"/>
    <w:rsid w:val="005C23AF"/>
    <w:rsid w:val="005C25D1"/>
    <w:rsid w:val="005C2974"/>
    <w:rsid w:val="005C35A9"/>
    <w:rsid w:val="005C464B"/>
    <w:rsid w:val="005C4B09"/>
    <w:rsid w:val="005C4E5F"/>
    <w:rsid w:val="005C74A0"/>
    <w:rsid w:val="005D052C"/>
    <w:rsid w:val="005D16FE"/>
    <w:rsid w:val="005D4084"/>
    <w:rsid w:val="005D46D0"/>
    <w:rsid w:val="005D4777"/>
    <w:rsid w:val="005D4C2B"/>
    <w:rsid w:val="005D7823"/>
    <w:rsid w:val="005E07D4"/>
    <w:rsid w:val="005E0BC7"/>
    <w:rsid w:val="005E0EBB"/>
    <w:rsid w:val="005E1D76"/>
    <w:rsid w:val="005E2E83"/>
    <w:rsid w:val="005E4B81"/>
    <w:rsid w:val="005E6B93"/>
    <w:rsid w:val="005E7012"/>
    <w:rsid w:val="005E7953"/>
    <w:rsid w:val="005E7E82"/>
    <w:rsid w:val="005E7F95"/>
    <w:rsid w:val="005F00D0"/>
    <w:rsid w:val="005F271B"/>
    <w:rsid w:val="005F2C42"/>
    <w:rsid w:val="005F4FE7"/>
    <w:rsid w:val="005F5145"/>
    <w:rsid w:val="005F5CC5"/>
    <w:rsid w:val="005F6C28"/>
    <w:rsid w:val="005F7AB6"/>
    <w:rsid w:val="005F7E3C"/>
    <w:rsid w:val="00600FA8"/>
    <w:rsid w:val="00603F1C"/>
    <w:rsid w:val="00605C65"/>
    <w:rsid w:val="006063DA"/>
    <w:rsid w:val="00606CD0"/>
    <w:rsid w:val="00606CE3"/>
    <w:rsid w:val="00610B62"/>
    <w:rsid w:val="006116C3"/>
    <w:rsid w:val="00611DD3"/>
    <w:rsid w:val="00611EF0"/>
    <w:rsid w:val="00612219"/>
    <w:rsid w:val="00612E04"/>
    <w:rsid w:val="00614A5E"/>
    <w:rsid w:val="0061563F"/>
    <w:rsid w:val="00615DEA"/>
    <w:rsid w:val="006173A4"/>
    <w:rsid w:val="0061743C"/>
    <w:rsid w:val="00617C44"/>
    <w:rsid w:val="00620086"/>
    <w:rsid w:val="006214AC"/>
    <w:rsid w:val="006227DF"/>
    <w:rsid w:val="006229F1"/>
    <w:rsid w:val="00622CE4"/>
    <w:rsid w:val="006234A7"/>
    <w:rsid w:val="00623F8E"/>
    <w:rsid w:val="0062574A"/>
    <w:rsid w:val="00625917"/>
    <w:rsid w:val="006262DE"/>
    <w:rsid w:val="00626994"/>
    <w:rsid w:val="00626D26"/>
    <w:rsid w:val="0062789F"/>
    <w:rsid w:val="006301BE"/>
    <w:rsid w:val="0063088B"/>
    <w:rsid w:val="0063096E"/>
    <w:rsid w:val="0063139E"/>
    <w:rsid w:val="0063221F"/>
    <w:rsid w:val="00633349"/>
    <w:rsid w:val="00633A34"/>
    <w:rsid w:val="00633D61"/>
    <w:rsid w:val="0063402B"/>
    <w:rsid w:val="006341C0"/>
    <w:rsid w:val="00634406"/>
    <w:rsid w:val="00635267"/>
    <w:rsid w:val="00635E2B"/>
    <w:rsid w:val="00636570"/>
    <w:rsid w:val="00637859"/>
    <w:rsid w:val="0063786A"/>
    <w:rsid w:val="00637901"/>
    <w:rsid w:val="00637E1B"/>
    <w:rsid w:val="006402DF"/>
    <w:rsid w:val="0064164B"/>
    <w:rsid w:val="00641653"/>
    <w:rsid w:val="00641839"/>
    <w:rsid w:val="00644468"/>
    <w:rsid w:val="00645704"/>
    <w:rsid w:val="00645F5E"/>
    <w:rsid w:val="00646921"/>
    <w:rsid w:val="00647B1E"/>
    <w:rsid w:val="00647C55"/>
    <w:rsid w:val="00647CC7"/>
    <w:rsid w:val="0065008B"/>
    <w:rsid w:val="006508CA"/>
    <w:rsid w:val="00651443"/>
    <w:rsid w:val="0065183C"/>
    <w:rsid w:val="006526A3"/>
    <w:rsid w:val="00653019"/>
    <w:rsid w:val="006533B1"/>
    <w:rsid w:val="00653A3B"/>
    <w:rsid w:val="00653FD9"/>
    <w:rsid w:val="00654B80"/>
    <w:rsid w:val="00654D42"/>
    <w:rsid w:val="00656328"/>
    <w:rsid w:val="00656E4D"/>
    <w:rsid w:val="00657848"/>
    <w:rsid w:val="00660279"/>
    <w:rsid w:val="006602D9"/>
    <w:rsid w:val="00660A94"/>
    <w:rsid w:val="00660C90"/>
    <w:rsid w:val="006622B9"/>
    <w:rsid w:val="00662E1E"/>
    <w:rsid w:val="0066371E"/>
    <w:rsid w:val="00664264"/>
    <w:rsid w:val="00665282"/>
    <w:rsid w:val="00666640"/>
    <w:rsid w:val="0066681B"/>
    <w:rsid w:val="00667FE4"/>
    <w:rsid w:val="006704D1"/>
    <w:rsid w:val="006724AD"/>
    <w:rsid w:val="00672BAB"/>
    <w:rsid w:val="0067314A"/>
    <w:rsid w:val="00673D1E"/>
    <w:rsid w:val="00673F2D"/>
    <w:rsid w:val="006771C0"/>
    <w:rsid w:val="006779CF"/>
    <w:rsid w:val="00677A8F"/>
    <w:rsid w:val="00677D63"/>
    <w:rsid w:val="00677F8A"/>
    <w:rsid w:val="00681AAC"/>
    <w:rsid w:val="006821E3"/>
    <w:rsid w:val="00683AD6"/>
    <w:rsid w:val="0068414A"/>
    <w:rsid w:val="006842AE"/>
    <w:rsid w:val="00685F6B"/>
    <w:rsid w:val="006864E1"/>
    <w:rsid w:val="006875BA"/>
    <w:rsid w:val="0069097D"/>
    <w:rsid w:val="0069110D"/>
    <w:rsid w:val="006918A6"/>
    <w:rsid w:val="00691AB1"/>
    <w:rsid w:val="006939B0"/>
    <w:rsid w:val="00693FEA"/>
    <w:rsid w:val="00694C68"/>
    <w:rsid w:val="00696106"/>
    <w:rsid w:val="00696F40"/>
    <w:rsid w:val="00697407"/>
    <w:rsid w:val="006A0000"/>
    <w:rsid w:val="006A0946"/>
    <w:rsid w:val="006A1612"/>
    <w:rsid w:val="006A4590"/>
    <w:rsid w:val="006A472F"/>
    <w:rsid w:val="006A5773"/>
    <w:rsid w:val="006A5804"/>
    <w:rsid w:val="006A58F0"/>
    <w:rsid w:val="006A6262"/>
    <w:rsid w:val="006A73DF"/>
    <w:rsid w:val="006B0372"/>
    <w:rsid w:val="006B0764"/>
    <w:rsid w:val="006B081C"/>
    <w:rsid w:val="006B24A9"/>
    <w:rsid w:val="006B3D62"/>
    <w:rsid w:val="006B3E5B"/>
    <w:rsid w:val="006B4467"/>
    <w:rsid w:val="006B5336"/>
    <w:rsid w:val="006B6C46"/>
    <w:rsid w:val="006B6E78"/>
    <w:rsid w:val="006B76FE"/>
    <w:rsid w:val="006B77CA"/>
    <w:rsid w:val="006B7E2E"/>
    <w:rsid w:val="006C0039"/>
    <w:rsid w:val="006C0BD9"/>
    <w:rsid w:val="006C1927"/>
    <w:rsid w:val="006C2585"/>
    <w:rsid w:val="006C331B"/>
    <w:rsid w:val="006C4008"/>
    <w:rsid w:val="006C43A0"/>
    <w:rsid w:val="006C4E2C"/>
    <w:rsid w:val="006C5931"/>
    <w:rsid w:val="006C61F7"/>
    <w:rsid w:val="006C6BAD"/>
    <w:rsid w:val="006C73EF"/>
    <w:rsid w:val="006D0D91"/>
    <w:rsid w:val="006D1723"/>
    <w:rsid w:val="006D19A6"/>
    <w:rsid w:val="006D439F"/>
    <w:rsid w:val="006D49A8"/>
    <w:rsid w:val="006D5D3F"/>
    <w:rsid w:val="006D60ED"/>
    <w:rsid w:val="006D7209"/>
    <w:rsid w:val="006D786D"/>
    <w:rsid w:val="006E0C03"/>
    <w:rsid w:val="006E1166"/>
    <w:rsid w:val="006E1ED0"/>
    <w:rsid w:val="006E24D9"/>
    <w:rsid w:val="006E596E"/>
    <w:rsid w:val="006E5A2A"/>
    <w:rsid w:val="006E5CC1"/>
    <w:rsid w:val="006E65E0"/>
    <w:rsid w:val="006F033F"/>
    <w:rsid w:val="006F04C1"/>
    <w:rsid w:val="006F1596"/>
    <w:rsid w:val="006F24D8"/>
    <w:rsid w:val="006F2CE7"/>
    <w:rsid w:val="006F33B8"/>
    <w:rsid w:val="006F4C9C"/>
    <w:rsid w:val="006F640F"/>
    <w:rsid w:val="006F762A"/>
    <w:rsid w:val="006F7A90"/>
    <w:rsid w:val="00701412"/>
    <w:rsid w:val="00701B6B"/>
    <w:rsid w:val="0070378A"/>
    <w:rsid w:val="0070384F"/>
    <w:rsid w:val="00703A9E"/>
    <w:rsid w:val="00703D6D"/>
    <w:rsid w:val="00704095"/>
    <w:rsid w:val="00704152"/>
    <w:rsid w:val="007042C5"/>
    <w:rsid w:val="00704FB5"/>
    <w:rsid w:val="007064ED"/>
    <w:rsid w:val="00706505"/>
    <w:rsid w:val="00706B71"/>
    <w:rsid w:val="00707E0E"/>
    <w:rsid w:val="0071022A"/>
    <w:rsid w:val="0071277A"/>
    <w:rsid w:val="00712AE5"/>
    <w:rsid w:val="00712EE5"/>
    <w:rsid w:val="00713493"/>
    <w:rsid w:val="00713494"/>
    <w:rsid w:val="00713810"/>
    <w:rsid w:val="00714031"/>
    <w:rsid w:val="0071466E"/>
    <w:rsid w:val="00714A6C"/>
    <w:rsid w:val="00714CD3"/>
    <w:rsid w:val="00714FC9"/>
    <w:rsid w:val="007153EF"/>
    <w:rsid w:val="00715A4E"/>
    <w:rsid w:val="007169C4"/>
    <w:rsid w:val="007206A8"/>
    <w:rsid w:val="0072116D"/>
    <w:rsid w:val="0072226F"/>
    <w:rsid w:val="00723D37"/>
    <w:rsid w:val="0072449D"/>
    <w:rsid w:val="00724B36"/>
    <w:rsid w:val="00725249"/>
    <w:rsid w:val="00725B78"/>
    <w:rsid w:val="00727082"/>
    <w:rsid w:val="00727570"/>
    <w:rsid w:val="0073081A"/>
    <w:rsid w:val="00730B59"/>
    <w:rsid w:val="00730D85"/>
    <w:rsid w:val="00731227"/>
    <w:rsid w:val="00731B43"/>
    <w:rsid w:val="0073233C"/>
    <w:rsid w:val="007325D4"/>
    <w:rsid w:val="00732D0C"/>
    <w:rsid w:val="00733EAD"/>
    <w:rsid w:val="00734F54"/>
    <w:rsid w:val="0073672E"/>
    <w:rsid w:val="00736D93"/>
    <w:rsid w:val="00736DE5"/>
    <w:rsid w:val="00737C04"/>
    <w:rsid w:val="00737F64"/>
    <w:rsid w:val="007408A1"/>
    <w:rsid w:val="00741939"/>
    <w:rsid w:val="00742744"/>
    <w:rsid w:val="00744110"/>
    <w:rsid w:val="00744595"/>
    <w:rsid w:val="00744702"/>
    <w:rsid w:val="00746B94"/>
    <w:rsid w:val="00747A52"/>
    <w:rsid w:val="00750F1E"/>
    <w:rsid w:val="00751C12"/>
    <w:rsid w:val="00752691"/>
    <w:rsid w:val="007528F2"/>
    <w:rsid w:val="00752FDE"/>
    <w:rsid w:val="00753F31"/>
    <w:rsid w:val="007548BC"/>
    <w:rsid w:val="0075512F"/>
    <w:rsid w:val="007575C4"/>
    <w:rsid w:val="00757D63"/>
    <w:rsid w:val="007609C6"/>
    <w:rsid w:val="0076253D"/>
    <w:rsid w:val="007628EB"/>
    <w:rsid w:val="00762A1B"/>
    <w:rsid w:val="00762B50"/>
    <w:rsid w:val="00762D6D"/>
    <w:rsid w:val="00763700"/>
    <w:rsid w:val="0076427C"/>
    <w:rsid w:val="00765217"/>
    <w:rsid w:val="007659AA"/>
    <w:rsid w:val="00765DBB"/>
    <w:rsid w:val="00766334"/>
    <w:rsid w:val="007663C0"/>
    <w:rsid w:val="0077073E"/>
    <w:rsid w:val="00770CB1"/>
    <w:rsid w:val="0077246E"/>
    <w:rsid w:val="0077266C"/>
    <w:rsid w:val="00772802"/>
    <w:rsid w:val="00775066"/>
    <w:rsid w:val="00775FD7"/>
    <w:rsid w:val="00776406"/>
    <w:rsid w:val="00777265"/>
    <w:rsid w:val="0078005A"/>
    <w:rsid w:val="007809A3"/>
    <w:rsid w:val="00781B6F"/>
    <w:rsid w:val="00781F9C"/>
    <w:rsid w:val="00782DFD"/>
    <w:rsid w:val="00784424"/>
    <w:rsid w:val="00785474"/>
    <w:rsid w:val="00785BA3"/>
    <w:rsid w:val="0078758D"/>
    <w:rsid w:val="00787B99"/>
    <w:rsid w:val="00787DA5"/>
    <w:rsid w:val="0079173C"/>
    <w:rsid w:val="007925B6"/>
    <w:rsid w:val="00793198"/>
    <w:rsid w:val="0079421C"/>
    <w:rsid w:val="00794891"/>
    <w:rsid w:val="0079526D"/>
    <w:rsid w:val="00795A2C"/>
    <w:rsid w:val="00797390"/>
    <w:rsid w:val="007A05B6"/>
    <w:rsid w:val="007A1C0A"/>
    <w:rsid w:val="007A1C59"/>
    <w:rsid w:val="007A23FE"/>
    <w:rsid w:val="007A5886"/>
    <w:rsid w:val="007A5B41"/>
    <w:rsid w:val="007A5BEF"/>
    <w:rsid w:val="007B07D4"/>
    <w:rsid w:val="007B1BBC"/>
    <w:rsid w:val="007B3A76"/>
    <w:rsid w:val="007B4A09"/>
    <w:rsid w:val="007B4E8B"/>
    <w:rsid w:val="007B5792"/>
    <w:rsid w:val="007B65D9"/>
    <w:rsid w:val="007B681E"/>
    <w:rsid w:val="007C01A3"/>
    <w:rsid w:val="007C05E9"/>
    <w:rsid w:val="007C31E2"/>
    <w:rsid w:val="007C3B03"/>
    <w:rsid w:val="007C52C0"/>
    <w:rsid w:val="007C5323"/>
    <w:rsid w:val="007C57E0"/>
    <w:rsid w:val="007C5CE1"/>
    <w:rsid w:val="007C6AFB"/>
    <w:rsid w:val="007C6F85"/>
    <w:rsid w:val="007D0569"/>
    <w:rsid w:val="007D16B1"/>
    <w:rsid w:val="007D19E4"/>
    <w:rsid w:val="007D1C8A"/>
    <w:rsid w:val="007D3F7A"/>
    <w:rsid w:val="007D7400"/>
    <w:rsid w:val="007D7761"/>
    <w:rsid w:val="007D79FF"/>
    <w:rsid w:val="007E02A7"/>
    <w:rsid w:val="007E0BE2"/>
    <w:rsid w:val="007E0D75"/>
    <w:rsid w:val="007E4323"/>
    <w:rsid w:val="007E468A"/>
    <w:rsid w:val="007E51A5"/>
    <w:rsid w:val="007E6DB3"/>
    <w:rsid w:val="007E7F4C"/>
    <w:rsid w:val="007F06B1"/>
    <w:rsid w:val="007F2CA2"/>
    <w:rsid w:val="007F2EC6"/>
    <w:rsid w:val="007F3018"/>
    <w:rsid w:val="007F4168"/>
    <w:rsid w:val="007F6862"/>
    <w:rsid w:val="007F70AC"/>
    <w:rsid w:val="008003E8"/>
    <w:rsid w:val="008013FC"/>
    <w:rsid w:val="00801E73"/>
    <w:rsid w:val="00801FD2"/>
    <w:rsid w:val="0080378F"/>
    <w:rsid w:val="008060C3"/>
    <w:rsid w:val="008063A1"/>
    <w:rsid w:val="008068B9"/>
    <w:rsid w:val="00806FE4"/>
    <w:rsid w:val="0080778C"/>
    <w:rsid w:val="00807F00"/>
    <w:rsid w:val="008103B3"/>
    <w:rsid w:val="00810C7F"/>
    <w:rsid w:val="00811021"/>
    <w:rsid w:val="00812095"/>
    <w:rsid w:val="008134BD"/>
    <w:rsid w:val="00813AAD"/>
    <w:rsid w:val="00814656"/>
    <w:rsid w:val="008151C6"/>
    <w:rsid w:val="00816833"/>
    <w:rsid w:val="00820E45"/>
    <w:rsid w:val="00821E2C"/>
    <w:rsid w:val="00821F6A"/>
    <w:rsid w:val="00822835"/>
    <w:rsid w:val="0082459B"/>
    <w:rsid w:val="008261B4"/>
    <w:rsid w:val="00826758"/>
    <w:rsid w:val="008341D5"/>
    <w:rsid w:val="00834684"/>
    <w:rsid w:val="008353E0"/>
    <w:rsid w:val="008365F0"/>
    <w:rsid w:val="00836BA4"/>
    <w:rsid w:val="00836F71"/>
    <w:rsid w:val="0083770A"/>
    <w:rsid w:val="00841534"/>
    <w:rsid w:val="00841C52"/>
    <w:rsid w:val="00842115"/>
    <w:rsid w:val="008427D4"/>
    <w:rsid w:val="00844A82"/>
    <w:rsid w:val="008462F1"/>
    <w:rsid w:val="00846930"/>
    <w:rsid w:val="00847B85"/>
    <w:rsid w:val="00850956"/>
    <w:rsid w:val="00850FDE"/>
    <w:rsid w:val="00852427"/>
    <w:rsid w:val="00852876"/>
    <w:rsid w:val="008543F5"/>
    <w:rsid w:val="00855004"/>
    <w:rsid w:val="008572C4"/>
    <w:rsid w:val="0085733E"/>
    <w:rsid w:val="0085765A"/>
    <w:rsid w:val="00857E7C"/>
    <w:rsid w:val="008604A8"/>
    <w:rsid w:val="008609F5"/>
    <w:rsid w:val="00860C10"/>
    <w:rsid w:val="00860E64"/>
    <w:rsid w:val="008614A4"/>
    <w:rsid w:val="008616F7"/>
    <w:rsid w:val="00861AFA"/>
    <w:rsid w:val="008626D0"/>
    <w:rsid w:val="00863C61"/>
    <w:rsid w:val="00864547"/>
    <w:rsid w:val="00864F68"/>
    <w:rsid w:val="00865119"/>
    <w:rsid w:val="00865522"/>
    <w:rsid w:val="0086588A"/>
    <w:rsid w:val="00865ADF"/>
    <w:rsid w:val="0086644C"/>
    <w:rsid w:val="008666B5"/>
    <w:rsid w:val="008703B3"/>
    <w:rsid w:val="008719E0"/>
    <w:rsid w:val="0087255A"/>
    <w:rsid w:val="00873846"/>
    <w:rsid w:val="00873D1B"/>
    <w:rsid w:val="008744BA"/>
    <w:rsid w:val="00874CD9"/>
    <w:rsid w:val="008760AF"/>
    <w:rsid w:val="008764A6"/>
    <w:rsid w:val="00876985"/>
    <w:rsid w:val="008776DA"/>
    <w:rsid w:val="0088159E"/>
    <w:rsid w:val="00881D46"/>
    <w:rsid w:val="00883780"/>
    <w:rsid w:val="00883B99"/>
    <w:rsid w:val="00883D09"/>
    <w:rsid w:val="0088455E"/>
    <w:rsid w:val="00885066"/>
    <w:rsid w:val="0088526F"/>
    <w:rsid w:val="00885F85"/>
    <w:rsid w:val="0088665E"/>
    <w:rsid w:val="00887DE5"/>
    <w:rsid w:val="00887F48"/>
    <w:rsid w:val="008923C8"/>
    <w:rsid w:val="008924B5"/>
    <w:rsid w:val="00893260"/>
    <w:rsid w:val="008932A8"/>
    <w:rsid w:val="008932A9"/>
    <w:rsid w:val="00893756"/>
    <w:rsid w:val="00894A9E"/>
    <w:rsid w:val="008950F6"/>
    <w:rsid w:val="008963AB"/>
    <w:rsid w:val="00896815"/>
    <w:rsid w:val="00897652"/>
    <w:rsid w:val="008A0744"/>
    <w:rsid w:val="008A0A6E"/>
    <w:rsid w:val="008A0D0F"/>
    <w:rsid w:val="008A2A22"/>
    <w:rsid w:val="008A2B83"/>
    <w:rsid w:val="008A2FB3"/>
    <w:rsid w:val="008A398B"/>
    <w:rsid w:val="008A48BE"/>
    <w:rsid w:val="008A4A01"/>
    <w:rsid w:val="008A5601"/>
    <w:rsid w:val="008A59AD"/>
    <w:rsid w:val="008A5AD7"/>
    <w:rsid w:val="008A5FCD"/>
    <w:rsid w:val="008B0753"/>
    <w:rsid w:val="008B0EEB"/>
    <w:rsid w:val="008B1439"/>
    <w:rsid w:val="008B167D"/>
    <w:rsid w:val="008B2CD3"/>
    <w:rsid w:val="008B431D"/>
    <w:rsid w:val="008B51FD"/>
    <w:rsid w:val="008B6071"/>
    <w:rsid w:val="008B6168"/>
    <w:rsid w:val="008B6442"/>
    <w:rsid w:val="008B65D5"/>
    <w:rsid w:val="008B6766"/>
    <w:rsid w:val="008B7186"/>
    <w:rsid w:val="008B7192"/>
    <w:rsid w:val="008B766F"/>
    <w:rsid w:val="008C1939"/>
    <w:rsid w:val="008C3396"/>
    <w:rsid w:val="008C34DD"/>
    <w:rsid w:val="008C3540"/>
    <w:rsid w:val="008C37DA"/>
    <w:rsid w:val="008C488B"/>
    <w:rsid w:val="008C5E72"/>
    <w:rsid w:val="008C5F0F"/>
    <w:rsid w:val="008C621C"/>
    <w:rsid w:val="008C697C"/>
    <w:rsid w:val="008C6FDD"/>
    <w:rsid w:val="008C7448"/>
    <w:rsid w:val="008C75ED"/>
    <w:rsid w:val="008C7649"/>
    <w:rsid w:val="008D0A88"/>
    <w:rsid w:val="008D0FE6"/>
    <w:rsid w:val="008D1604"/>
    <w:rsid w:val="008D290A"/>
    <w:rsid w:val="008D2E0B"/>
    <w:rsid w:val="008D3122"/>
    <w:rsid w:val="008D529D"/>
    <w:rsid w:val="008E0991"/>
    <w:rsid w:val="008E12B8"/>
    <w:rsid w:val="008E338E"/>
    <w:rsid w:val="008E3875"/>
    <w:rsid w:val="008E399E"/>
    <w:rsid w:val="008E4B84"/>
    <w:rsid w:val="008E57FE"/>
    <w:rsid w:val="008E68E1"/>
    <w:rsid w:val="008F00B6"/>
    <w:rsid w:val="008F2665"/>
    <w:rsid w:val="008F2E5E"/>
    <w:rsid w:val="008F3D9B"/>
    <w:rsid w:val="008F4CC3"/>
    <w:rsid w:val="008F507E"/>
    <w:rsid w:val="008F5251"/>
    <w:rsid w:val="008F6376"/>
    <w:rsid w:val="008F7AC5"/>
    <w:rsid w:val="00900CC2"/>
    <w:rsid w:val="00901770"/>
    <w:rsid w:val="009019FB"/>
    <w:rsid w:val="00901F28"/>
    <w:rsid w:val="009021A9"/>
    <w:rsid w:val="00902AA5"/>
    <w:rsid w:val="0090383F"/>
    <w:rsid w:val="00904D87"/>
    <w:rsid w:val="009052B7"/>
    <w:rsid w:val="00905B05"/>
    <w:rsid w:val="00906112"/>
    <w:rsid w:val="00906229"/>
    <w:rsid w:val="0090753C"/>
    <w:rsid w:val="00907F00"/>
    <w:rsid w:val="00907F85"/>
    <w:rsid w:val="00911B66"/>
    <w:rsid w:val="0091202F"/>
    <w:rsid w:val="00912A7E"/>
    <w:rsid w:val="00912EE5"/>
    <w:rsid w:val="0091501D"/>
    <w:rsid w:val="00915330"/>
    <w:rsid w:val="00915623"/>
    <w:rsid w:val="00916E69"/>
    <w:rsid w:val="00917325"/>
    <w:rsid w:val="00917525"/>
    <w:rsid w:val="0091777D"/>
    <w:rsid w:val="00917C39"/>
    <w:rsid w:val="0092057D"/>
    <w:rsid w:val="009217D9"/>
    <w:rsid w:val="009218DE"/>
    <w:rsid w:val="009218FD"/>
    <w:rsid w:val="00922D00"/>
    <w:rsid w:val="009237D6"/>
    <w:rsid w:val="00923F17"/>
    <w:rsid w:val="00924AD4"/>
    <w:rsid w:val="00925255"/>
    <w:rsid w:val="00925BF0"/>
    <w:rsid w:val="009266DA"/>
    <w:rsid w:val="00926B1E"/>
    <w:rsid w:val="009274AA"/>
    <w:rsid w:val="00927950"/>
    <w:rsid w:val="00930DE8"/>
    <w:rsid w:val="00930F51"/>
    <w:rsid w:val="009318DD"/>
    <w:rsid w:val="00931EB5"/>
    <w:rsid w:val="00935413"/>
    <w:rsid w:val="00935F5D"/>
    <w:rsid w:val="0093669F"/>
    <w:rsid w:val="009368E0"/>
    <w:rsid w:val="00941113"/>
    <w:rsid w:val="0094260B"/>
    <w:rsid w:val="00942661"/>
    <w:rsid w:val="00942CEF"/>
    <w:rsid w:val="00945307"/>
    <w:rsid w:val="0094558D"/>
    <w:rsid w:val="009456FF"/>
    <w:rsid w:val="00945B40"/>
    <w:rsid w:val="00946096"/>
    <w:rsid w:val="0094622B"/>
    <w:rsid w:val="00946FCE"/>
    <w:rsid w:val="00947814"/>
    <w:rsid w:val="0095074D"/>
    <w:rsid w:val="009515BC"/>
    <w:rsid w:val="00951B08"/>
    <w:rsid w:val="0095349A"/>
    <w:rsid w:val="00953B5B"/>
    <w:rsid w:val="00953ED0"/>
    <w:rsid w:val="0095492E"/>
    <w:rsid w:val="00954A41"/>
    <w:rsid w:val="00954DAD"/>
    <w:rsid w:val="009559D0"/>
    <w:rsid w:val="00955F7D"/>
    <w:rsid w:val="0096242F"/>
    <w:rsid w:val="00962E3B"/>
    <w:rsid w:val="00962E4A"/>
    <w:rsid w:val="00962FF5"/>
    <w:rsid w:val="009631FB"/>
    <w:rsid w:val="00963D93"/>
    <w:rsid w:val="00963E68"/>
    <w:rsid w:val="00964A4E"/>
    <w:rsid w:val="00965B02"/>
    <w:rsid w:val="00965C07"/>
    <w:rsid w:val="00965D2D"/>
    <w:rsid w:val="00967E49"/>
    <w:rsid w:val="00970A16"/>
    <w:rsid w:val="009710E6"/>
    <w:rsid w:val="00971847"/>
    <w:rsid w:val="0097233F"/>
    <w:rsid w:val="00972964"/>
    <w:rsid w:val="0097762F"/>
    <w:rsid w:val="00977A0C"/>
    <w:rsid w:val="00977DBB"/>
    <w:rsid w:val="00980707"/>
    <w:rsid w:val="009816B8"/>
    <w:rsid w:val="00981A89"/>
    <w:rsid w:val="009832AB"/>
    <w:rsid w:val="00983B45"/>
    <w:rsid w:val="00983B5C"/>
    <w:rsid w:val="00984A4E"/>
    <w:rsid w:val="00985500"/>
    <w:rsid w:val="00986558"/>
    <w:rsid w:val="00986711"/>
    <w:rsid w:val="009875EF"/>
    <w:rsid w:val="0098766F"/>
    <w:rsid w:val="009919DD"/>
    <w:rsid w:val="00992800"/>
    <w:rsid w:val="00993912"/>
    <w:rsid w:val="00994050"/>
    <w:rsid w:val="009962CF"/>
    <w:rsid w:val="009969D6"/>
    <w:rsid w:val="009A003F"/>
    <w:rsid w:val="009A00D4"/>
    <w:rsid w:val="009A1953"/>
    <w:rsid w:val="009A1FDE"/>
    <w:rsid w:val="009A3269"/>
    <w:rsid w:val="009A32CF"/>
    <w:rsid w:val="009A4543"/>
    <w:rsid w:val="009A5DB1"/>
    <w:rsid w:val="009A7C5A"/>
    <w:rsid w:val="009A7E51"/>
    <w:rsid w:val="009B21B9"/>
    <w:rsid w:val="009B2FAD"/>
    <w:rsid w:val="009B4CD0"/>
    <w:rsid w:val="009B4D20"/>
    <w:rsid w:val="009B4DA7"/>
    <w:rsid w:val="009B6C55"/>
    <w:rsid w:val="009B6CBA"/>
    <w:rsid w:val="009B7C38"/>
    <w:rsid w:val="009C21C6"/>
    <w:rsid w:val="009C2BFB"/>
    <w:rsid w:val="009C383B"/>
    <w:rsid w:val="009C3A80"/>
    <w:rsid w:val="009C41EC"/>
    <w:rsid w:val="009C5238"/>
    <w:rsid w:val="009C75F8"/>
    <w:rsid w:val="009D0849"/>
    <w:rsid w:val="009D12B4"/>
    <w:rsid w:val="009D1BE2"/>
    <w:rsid w:val="009D1E70"/>
    <w:rsid w:val="009D2135"/>
    <w:rsid w:val="009D24BC"/>
    <w:rsid w:val="009D2FA7"/>
    <w:rsid w:val="009D3F74"/>
    <w:rsid w:val="009D4CAE"/>
    <w:rsid w:val="009D55F9"/>
    <w:rsid w:val="009D5A11"/>
    <w:rsid w:val="009D6020"/>
    <w:rsid w:val="009D60F1"/>
    <w:rsid w:val="009D765F"/>
    <w:rsid w:val="009D7732"/>
    <w:rsid w:val="009D7760"/>
    <w:rsid w:val="009D7BE1"/>
    <w:rsid w:val="009D7D04"/>
    <w:rsid w:val="009E16E6"/>
    <w:rsid w:val="009E1C4E"/>
    <w:rsid w:val="009E1E62"/>
    <w:rsid w:val="009E2953"/>
    <w:rsid w:val="009E30CE"/>
    <w:rsid w:val="009E3D0A"/>
    <w:rsid w:val="009E4CDF"/>
    <w:rsid w:val="009E54AF"/>
    <w:rsid w:val="009E67D4"/>
    <w:rsid w:val="009E7C42"/>
    <w:rsid w:val="009F04C3"/>
    <w:rsid w:val="009F0760"/>
    <w:rsid w:val="009F2D91"/>
    <w:rsid w:val="009F3B29"/>
    <w:rsid w:val="009F4860"/>
    <w:rsid w:val="009F4F58"/>
    <w:rsid w:val="009F5CBB"/>
    <w:rsid w:val="00A00057"/>
    <w:rsid w:val="00A00485"/>
    <w:rsid w:val="00A01A5F"/>
    <w:rsid w:val="00A025AC"/>
    <w:rsid w:val="00A02C96"/>
    <w:rsid w:val="00A02E65"/>
    <w:rsid w:val="00A0340A"/>
    <w:rsid w:val="00A0440C"/>
    <w:rsid w:val="00A047AE"/>
    <w:rsid w:val="00A0585F"/>
    <w:rsid w:val="00A06422"/>
    <w:rsid w:val="00A0694A"/>
    <w:rsid w:val="00A077AC"/>
    <w:rsid w:val="00A07A33"/>
    <w:rsid w:val="00A07E51"/>
    <w:rsid w:val="00A101F8"/>
    <w:rsid w:val="00A10A30"/>
    <w:rsid w:val="00A1137C"/>
    <w:rsid w:val="00A113D7"/>
    <w:rsid w:val="00A11EE1"/>
    <w:rsid w:val="00A11F0F"/>
    <w:rsid w:val="00A1237C"/>
    <w:rsid w:val="00A13DDB"/>
    <w:rsid w:val="00A13E1F"/>
    <w:rsid w:val="00A1484E"/>
    <w:rsid w:val="00A148D2"/>
    <w:rsid w:val="00A15F62"/>
    <w:rsid w:val="00A16126"/>
    <w:rsid w:val="00A1783A"/>
    <w:rsid w:val="00A20BE0"/>
    <w:rsid w:val="00A21C6C"/>
    <w:rsid w:val="00A22363"/>
    <w:rsid w:val="00A22387"/>
    <w:rsid w:val="00A2242A"/>
    <w:rsid w:val="00A22B08"/>
    <w:rsid w:val="00A2365A"/>
    <w:rsid w:val="00A24133"/>
    <w:rsid w:val="00A24845"/>
    <w:rsid w:val="00A256D1"/>
    <w:rsid w:val="00A262BF"/>
    <w:rsid w:val="00A26D60"/>
    <w:rsid w:val="00A27809"/>
    <w:rsid w:val="00A30301"/>
    <w:rsid w:val="00A30448"/>
    <w:rsid w:val="00A30533"/>
    <w:rsid w:val="00A307A4"/>
    <w:rsid w:val="00A317B0"/>
    <w:rsid w:val="00A34591"/>
    <w:rsid w:val="00A34E44"/>
    <w:rsid w:val="00A352AA"/>
    <w:rsid w:val="00A3640F"/>
    <w:rsid w:val="00A37BB7"/>
    <w:rsid w:val="00A37C86"/>
    <w:rsid w:val="00A37ECF"/>
    <w:rsid w:val="00A40CE2"/>
    <w:rsid w:val="00A411A2"/>
    <w:rsid w:val="00A4155A"/>
    <w:rsid w:val="00A42512"/>
    <w:rsid w:val="00A42FAE"/>
    <w:rsid w:val="00A45DB0"/>
    <w:rsid w:val="00A47176"/>
    <w:rsid w:val="00A47544"/>
    <w:rsid w:val="00A475C5"/>
    <w:rsid w:val="00A4768C"/>
    <w:rsid w:val="00A47E3C"/>
    <w:rsid w:val="00A50056"/>
    <w:rsid w:val="00A50A68"/>
    <w:rsid w:val="00A50D3B"/>
    <w:rsid w:val="00A50E38"/>
    <w:rsid w:val="00A510C6"/>
    <w:rsid w:val="00A513A6"/>
    <w:rsid w:val="00A5174E"/>
    <w:rsid w:val="00A518AA"/>
    <w:rsid w:val="00A51D94"/>
    <w:rsid w:val="00A525E7"/>
    <w:rsid w:val="00A52AA3"/>
    <w:rsid w:val="00A52F9E"/>
    <w:rsid w:val="00A5424D"/>
    <w:rsid w:val="00A54387"/>
    <w:rsid w:val="00A554AB"/>
    <w:rsid w:val="00A56348"/>
    <w:rsid w:val="00A5703F"/>
    <w:rsid w:val="00A577F6"/>
    <w:rsid w:val="00A57D39"/>
    <w:rsid w:val="00A60A99"/>
    <w:rsid w:val="00A60ADB"/>
    <w:rsid w:val="00A6316B"/>
    <w:rsid w:val="00A639A2"/>
    <w:rsid w:val="00A63ACA"/>
    <w:rsid w:val="00A63BEA"/>
    <w:rsid w:val="00A65316"/>
    <w:rsid w:val="00A65E33"/>
    <w:rsid w:val="00A674FF"/>
    <w:rsid w:val="00A70F69"/>
    <w:rsid w:val="00A71F5E"/>
    <w:rsid w:val="00A72611"/>
    <w:rsid w:val="00A73722"/>
    <w:rsid w:val="00A73ABB"/>
    <w:rsid w:val="00A750B8"/>
    <w:rsid w:val="00A751A1"/>
    <w:rsid w:val="00A75C45"/>
    <w:rsid w:val="00A76C03"/>
    <w:rsid w:val="00A76D2C"/>
    <w:rsid w:val="00A77746"/>
    <w:rsid w:val="00A806AA"/>
    <w:rsid w:val="00A80DC0"/>
    <w:rsid w:val="00A82C72"/>
    <w:rsid w:val="00A83BF6"/>
    <w:rsid w:val="00A866A3"/>
    <w:rsid w:val="00A86753"/>
    <w:rsid w:val="00A87600"/>
    <w:rsid w:val="00A87B4F"/>
    <w:rsid w:val="00A87F31"/>
    <w:rsid w:val="00A9011F"/>
    <w:rsid w:val="00A90D27"/>
    <w:rsid w:val="00A9103B"/>
    <w:rsid w:val="00A91284"/>
    <w:rsid w:val="00A9131B"/>
    <w:rsid w:val="00A918A7"/>
    <w:rsid w:val="00A92871"/>
    <w:rsid w:val="00A9354C"/>
    <w:rsid w:val="00A946C9"/>
    <w:rsid w:val="00A955EB"/>
    <w:rsid w:val="00A95D46"/>
    <w:rsid w:val="00A95E41"/>
    <w:rsid w:val="00AA1016"/>
    <w:rsid w:val="00AA179A"/>
    <w:rsid w:val="00AA1B28"/>
    <w:rsid w:val="00AA1F49"/>
    <w:rsid w:val="00AA3A2E"/>
    <w:rsid w:val="00AA4099"/>
    <w:rsid w:val="00AA4AEB"/>
    <w:rsid w:val="00AA6913"/>
    <w:rsid w:val="00AB1FC5"/>
    <w:rsid w:val="00AB2190"/>
    <w:rsid w:val="00AB2EDF"/>
    <w:rsid w:val="00AB39EB"/>
    <w:rsid w:val="00AB3F27"/>
    <w:rsid w:val="00AB3FD9"/>
    <w:rsid w:val="00AB558A"/>
    <w:rsid w:val="00AB7A37"/>
    <w:rsid w:val="00AB7DE7"/>
    <w:rsid w:val="00AC03AB"/>
    <w:rsid w:val="00AC0650"/>
    <w:rsid w:val="00AC1BE7"/>
    <w:rsid w:val="00AC275F"/>
    <w:rsid w:val="00AC3EE4"/>
    <w:rsid w:val="00AC50A4"/>
    <w:rsid w:val="00AC58E0"/>
    <w:rsid w:val="00AC5A95"/>
    <w:rsid w:val="00AC6074"/>
    <w:rsid w:val="00AC6471"/>
    <w:rsid w:val="00AC771E"/>
    <w:rsid w:val="00AD1253"/>
    <w:rsid w:val="00AD149D"/>
    <w:rsid w:val="00AD1751"/>
    <w:rsid w:val="00AD2B6E"/>
    <w:rsid w:val="00AD3443"/>
    <w:rsid w:val="00AD36F8"/>
    <w:rsid w:val="00AD3AF5"/>
    <w:rsid w:val="00AD3D6A"/>
    <w:rsid w:val="00AD4392"/>
    <w:rsid w:val="00AD4758"/>
    <w:rsid w:val="00AD4B3C"/>
    <w:rsid w:val="00AD5439"/>
    <w:rsid w:val="00AD68A5"/>
    <w:rsid w:val="00AE0AEC"/>
    <w:rsid w:val="00AE185D"/>
    <w:rsid w:val="00AE1BFE"/>
    <w:rsid w:val="00AE2860"/>
    <w:rsid w:val="00AE3842"/>
    <w:rsid w:val="00AE3D83"/>
    <w:rsid w:val="00AE4374"/>
    <w:rsid w:val="00AE466A"/>
    <w:rsid w:val="00AE485C"/>
    <w:rsid w:val="00AE4DA6"/>
    <w:rsid w:val="00AE5753"/>
    <w:rsid w:val="00AE70E7"/>
    <w:rsid w:val="00AE7D4F"/>
    <w:rsid w:val="00AE7FE4"/>
    <w:rsid w:val="00AF0117"/>
    <w:rsid w:val="00AF0162"/>
    <w:rsid w:val="00AF0D96"/>
    <w:rsid w:val="00AF17D3"/>
    <w:rsid w:val="00AF1D77"/>
    <w:rsid w:val="00AF23A3"/>
    <w:rsid w:val="00AF2787"/>
    <w:rsid w:val="00AF38BA"/>
    <w:rsid w:val="00AF4ACA"/>
    <w:rsid w:val="00AF4F67"/>
    <w:rsid w:val="00AF5811"/>
    <w:rsid w:val="00AF583F"/>
    <w:rsid w:val="00AF6509"/>
    <w:rsid w:val="00B00BBE"/>
    <w:rsid w:val="00B01DA7"/>
    <w:rsid w:val="00B02F6D"/>
    <w:rsid w:val="00B0456E"/>
    <w:rsid w:val="00B06A05"/>
    <w:rsid w:val="00B06BF6"/>
    <w:rsid w:val="00B06F7F"/>
    <w:rsid w:val="00B07B53"/>
    <w:rsid w:val="00B07E4D"/>
    <w:rsid w:val="00B100F0"/>
    <w:rsid w:val="00B11111"/>
    <w:rsid w:val="00B123CA"/>
    <w:rsid w:val="00B136FB"/>
    <w:rsid w:val="00B1402E"/>
    <w:rsid w:val="00B14865"/>
    <w:rsid w:val="00B16964"/>
    <w:rsid w:val="00B175CC"/>
    <w:rsid w:val="00B2058B"/>
    <w:rsid w:val="00B20F9F"/>
    <w:rsid w:val="00B21D50"/>
    <w:rsid w:val="00B2227B"/>
    <w:rsid w:val="00B22F9B"/>
    <w:rsid w:val="00B2315A"/>
    <w:rsid w:val="00B23747"/>
    <w:rsid w:val="00B23BED"/>
    <w:rsid w:val="00B23E0A"/>
    <w:rsid w:val="00B24090"/>
    <w:rsid w:val="00B24D71"/>
    <w:rsid w:val="00B256B2"/>
    <w:rsid w:val="00B257E3"/>
    <w:rsid w:val="00B260C7"/>
    <w:rsid w:val="00B27494"/>
    <w:rsid w:val="00B279B9"/>
    <w:rsid w:val="00B27BFD"/>
    <w:rsid w:val="00B30633"/>
    <w:rsid w:val="00B30CA4"/>
    <w:rsid w:val="00B32FF7"/>
    <w:rsid w:val="00B3420D"/>
    <w:rsid w:val="00B34F48"/>
    <w:rsid w:val="00B35808"/>
    <w:rsid w:val="00B37093"/>
    <w:rsid w:val="00B42C82"/>
    <w:rsid w:val="00B45B37"/>
    <w:rsid w:val="00B47BE6"/>
    <w:rsid w:val="00B51545"/>
    <w:rsid w:val="00B51BA0"/>
    <w:rsid w:val="00B522A4"/>
    <w:rsid w:val="00B5274A"/>
    <w:rsid w:val="00B535BD"/>
    <w:rsid w:val="00B53701"/>
    <w:rsid w:val="00B5409C"/>
    <w:rsid w:val="00B5440A"/>
    <w:rsid w:val="00B5473C"/>
    <w:rsid w:val="00B56A26"/>
    <w:rsid w:val="00B6021A"/>
    <w:rsid w:val="00B6110A"/>
    <w:rsid w:val="00B6176A"/>
    <w:rsid w:val="00B61C63"/>
    <w:rsid w:val="00B6301A"/>
    <w:rsid w:val="00B6380B"/>
    <w:rsid w:val="00B64CAD"/>
    <w:rsid w:val="00B651FA"/>
    <w:rsid w:val="00B65BEF"/>
    <w:rsid w:val="00B66751"/>
    <w:rsid w:val="00B6728B"/>
    <w:rsid w:val="00B67AA6"/>
    <w:rsid w:val="00B67E2A"/>
    <w:rsid w:val="00B7066C"/>
    <w:rsid w:val="00B717D8"/>
    <w:rsid w:val="00B72DF3"/>
    <w:rsid w:val="00B74146"/>
    <w:rsid w:val="00B74E57"/>
    <w:rsid w:val="00B75022"/>
    <w:rsid w:val="00B751A9"/>
    <w:rsid w:val="00B76516"/>
    <w:rsid w:val="00B76F6C"/>
    <w:rsid w:val="00B77D7D"/>
    <w:rsid w:val="00B8080B"/>
    <w:rsid w:val="00B811EF"/>
    <w:rsid w:val="00B81B11"/>
    <w:rsid w:val="00B8227E"/>
    <w:rsid w:val="00B831B9"/>
    <w:rsid w:val="00B8506A"/>
    <w:rsid w:val="00B86B0E"/>
    <w:rsid w:val="00B86EF1"/>
    <w:rsid w:val="00B90094"/>
    <w:rsid w:val="00B90674"/>
    <w:rsid w:val="00B91FFF"/>
    <w:rsid w:val="00B92A07"/>
    <w:rsid w:val="00B934E3"/>
    <w:rsid w:val="00B94323"/>
    <w:rsid w:val="00B94444"/>
    <w:rsid w:val="00B9566B"/>
    <w:rsid w:val="00B95F92"/>
    <w:rsid w:val="00B961B7"/>
    <w:rsid w:val="00B963D4"/>
    <w:rsid w:val="00B9772B"/>
    <w:rsid w:val="00BA1DE8"/>
    <w:rsid w:val="00BA264F"/>
    <w:rsid w:val="00BA27A3"/>
    <w:rsid w:val="00BA29D7"/>
    <w:rsid w:val="00BA2DEF"/>
    <w:rsid w:val="00BA35F2"/>
    <w:rsid w:val="00BA42FB"/>
    <w:rsid w:val="00BA4768"/>
    <w:rsid w:val="00BA4A92"/>
    <w:rsid w:val="00BA516F"/>
    <w:rsid w:val="00BA5D06"/>
    <w:rsid w:val="00BA6107"/>
    <w:rsid w:val="00BA628C"/>
    <w:rsid w:val="00BA7059"/>
    <w:rsid w:val="00BA7A6C"/>
    <w:rsid w:val="00BB0051"/>
    <w:rsid w:val="00BB02C6"/>
    <w:rsid w:val="00BB06D3"/>
    <w:rsid w:val="00BB09BB"/>
    <w:rsid w:val="00BB1082"/>
    <w:rsid w:val="00BB2127"/>
    <w:rsid w:val="00BB323D"/>
    <w:rsid w:val="00BB3805"/>
    <w:rsid w:val="00BB4589"/>
    <w:rsid w:val="00BB52A5"/>
    <w:rsid w:val="00BB552C"/>
    <w:rsid w:val="00BB5893"/>
    <w:rsid w:val="00BB5F29"/>
    <w:rsid w:val="00BB6740"/>
    <w:rsid w:val="00BB6EF9"/>
    <w:rsid w:val="00BB7EA1"/>
    <w:rsid w:val="00BB7F81"/>
    <w:rsid w:val="00BC0A46"/>
    <w:rsid w:val="00BC0C51"/>
    <w:rsid w:val="00BC232E"/>
    <w:rsid w:val="00BC269B"/>
    <w:rsid w:val="00BC27D2"/>
    <w:rsid w:val="00BC28D9"/>
    <w:rsid w:val="00BC36A4"/>
    <w:rsid w:val="00BC578C"/>
    <w:rsid w:val="00BC6368"/>
    <w:rsid w:val="00BC7491"/>
    <w:rsid w:val="00BD0AB0"/>
    <w:rsid w:val="00BD2453"/>
    <w:rsid w:val="00BD263A"/>
    <w:rsid w:val="00BD2D4B"/>
    <w:rsid w:val="00BD30E5"/>
    <w:rsid w:val="00BD33A6"/>
    <w:rsid w:val="00BD35E1"/>
    <w:rsid w:val="00BD477B"/>
    <w:rsid w:val="00BD54FC"/>
    <w:rsid w:val="00BD554E"/>
    <w:rsid w:val="00BD63C3"/>
    <w:rsid w:val="00BD67CE"/>
    <w:rsid w:val="00BD76A4"/>
    <w:rsid w:val="00BE0116"/>
    <w:rsid w:val="00BE1C8A"/>
    <w:rsid w:val="00BE2BF2"/>
    <w:rsid w:val="00BE467A"/>
    <w:rsid w:val="00BE4857"/>
    <w:rsid w:val="00BE52C7"/>
    <w:rsid w:val="00BE5847"/>
    <w:rsid w:val="00BE5BE0"/>
    <w:rsid w:val="00BE6374"/>
    <w:rsid w:val="00BE6898"/>
    <w:rsid w:val="00BE697B"/>
    <w:rsid w:val="00BE70E8"/>
    <w:rsid w:val="00BE7202"/>
    <w:rsid w:val="00BE7864"/>
    <w:rsid w:val="00BF0E76"/>
    <w:rsid w:val="00BF19DC"/>
    <w:rsid w:val="00BF2B3E"/>
    <w:rsid w:val="00BF2CF1"/>
    <w:rsid w:val="00BF2DAF"/>
    <w:rsid w:val="00BF3724"/>
    <w:rsid w:val="00BF3762"/>
    <w:rsid w:val="00BF4E1B"/>
    <w:rsid w:val="00BF65CB"/>
    <w:rsid w:val="00BF694E"/>
    <w:rsid w:val="00BF6FD3"/>
    <w:rsid w:val="00C00BEC"/>
    <w:rsid w:val="00C01083"/>
    <w:rsid w:val="00C03C5A"/>
    <w:rsid w:val="00C0480F"/>
    <w:rsid w:val="00C1043C"/>
    <w:rsid w:val="00C11B3E"/>
    <w:rsid w:val="00C12A51"/>
    <w:rsid w:val="00C12CD1"/>
    <w:rsid w:val="00C136B7"/>
    <w:rsid w:val="00C13CBF"/>
    <w:rsid w:val="00C1463E"/>
    <w:rsid w:val="00C14E17"/>
    <w:rsid w:val="00C1591E"/>
    <w:rsid w:val="00C168DA"/>
    <w:rsid w:val="00C169C7"/>
    <w:rsid w:val="00C173EE"/>
    <w:rsid w:val="00C20D36"/>
    <w:rsid w:val="00C21038"/>
    <w:rsid w:val="00C21D17"/>
    <w:rsid w:val="00C2286B"/>
    <w:rsid w:val="00C22D61"/>
    <w:rsid w:val="00C236ED"/>
    <w:rsid w:val="00C2396B"/>
    <w:rsid w:val="00C26865"/>
    <w:rsid w:val="00C27165"/>
    <w:rsid w:val="00C2785F"/>
    <w:rsid w:val="00C30A7C"/>
    <w:rsid w:val="00C30BA6"/>
    <w:rsid w:val="00C31467"/>
    <w:rsid w:val="00C3195E"/>
    <w:rsid w:val="00C33A6D"/>
    <w:rsid w:val="00C33F0C"/>
    <w:rsid w:val="00C3496C"/>
    <w:rsid w:val="00C34CCB"/>
    <w:rsid w:val="00C34D57"/>
    <w:rsid w:val="00C34EFE"/>
    <w:rsid w:val="00C35262"/>
    <w:rsid w:val="00C35515"/>
    <w:rsid w:val="00C35807"/>
    <w:rsid w:val="00C35A4B"/>
    <w:rsid w:val="00C36696"/>
    <w:rsid w:val="00C36720"/>
    <w:rsid w:val="00C36777"/>
    <w:rsid w:val="00C370D9"/>
    <w:rsid w:val="00C37518"/>
    <w:rsid w:val="00C37947"/>
    <w:rsid w:val="00C37F00"/>
    <w:rsid w:val="00C421C9"/>
    <w:rsid w:val="00C42409"/>
    <w:rsid w:val="00C42A3A"/>
    <w:rsid w:val="00C4317F"/>
    <w:rsid w:val="00C4326F"/>
    <w:rsid w:val="00C437C6"/>
    <w:rsid w:val="00C43985"/>
    <w:rsid w:val="00C44EB3"/>
    <w:rsid w:val="00C4517F"/>
    <w:rsid w:val="00C45232"/>
    <w:rsid w:val="00C461A3"/>
    <w:rsid w:val="00C46E94"/>
    <w:rsid w:val="00C4713F"/>
    <w:rsid w:val="00C4778F"/>
    <w:rsid w:val="00C47B01"/>
    <w:rsid w:val="00C508DF"/>
    <w:rsid w:val="00C5117F"/>
    <w:rsid w:val="00C52097"/>
    <w:rsid w:val="00C52BA5"/>
    <w:rsid w:val="00C52F47"/>
    <w:rsid w:val="00C532BD"/>
    <w:rsid w:val="00C53323"/>
    <w:rsid w:val="00C54D7D"/>
    <w:rsid w:val="00C54D8C"/>
    <w:rsid w:val="00C559FF"/>
    <w:rsid w:val="00C57493"/>
    <w:rsid w:val="00C605E6"/>
    <w:rsid w:val="00C62184"/>
    <w:rsid w:val="00C64465"/>
    <w:rsid w:val="00C64D07"/>
    <w:rsid w:val="00C663CD"/>
    <w:rsid w:val="00C66CEF"/>
    <w:rsid w:val="00C670FE"/>
    <w:rsid w:val="00C71087"/>
    <w:rsid w:val="00C71E3C"/>
    <w:rsid w:val="00C734AA"/>
    <w:rsid w:val="00C73C17"/>
    <w:rsid w:val="00C747FA"/>
    <w:rsid w:val="00C75492"/>
    <w:rsid w:val="00C759F7"/>
    <w:rsid w:val="00C77C78"/>
    <w:rsid w:val="00C8146C"/>
    <w:rsid w:val="00C81EC7"/>
    <w:rsid w:val="00C8231E"/>
    <w:rsid w:val="00C82BC2"/>
    <w:rsid w:val="00C842F2"/>
    <w:rsid w:val="00C846DD"/>
    <w:rsid w:val="00C85CA6"/>
    <w:rsid w:val="00C873DA"/>
    <w:rsid w:val="00C90A7F"/>
    <w:rsid w:val="00C9111A"/>
    <w:rsid w:val="00C9147E"/>
    <w:rsid w:val="00C92027"/>
    <w:rsid w:val="00C925ED"/>
    <w:rsid w:val="00C92665"/>
    <w:rsid w:val="00C92FE4"/>
    <w:rsid w:val="00C930FA"/>
    <w:rsid w:val="00C9339F"/>
    <w:rsid w:val="00C93CDD"/>
    <w:rsid w:val="00C94204"/>
    <w:rsid w:val="00C94E9B"/>
    <w:rsid w:val="00C955C9"/>
    <w:rsid w:val="00C96A10"/>
    <w:rsid w:val="00C9753B"/>
    <w:rsid w:val="00C975AF"/>
    <w:rsid w:val="00C979C6"/>
    <w:rsid w:val="00CA0C87"/>
    <w:rsid w:val="00CA19CD"/>
    <w:rsid w:val="00CA3084"/>
    <w:rsid w:val="00CA4A62"/>
    <w:rsid w:val="00CA561E"/>
    <w:rsid w:val="00CA56EA"/>
    <w:rsid w:val="00CA5961"/>
    <w:rsid w:val="00CA5B58"/>
    <w:rsid w:val="00CA659E"/>
    <w:rsid w:val="00CB046A"/>
    <w:rsid w:val="00CB0E91"/>
    <w:rsid w:val="00CB1308"/>
    <w:rsid w:val="00CB1E7E"/>
    <w:rsid w:val="00CB23DD"/>
    <w:rsid w:val="00CB2757"/>
    <w:rsid w:val="00CB2B76"/>
    <w:rsid w:val="00CB2FE7"/>
    <w:rsid w:val="00CB3AF0"/>
    <w:rsid w:val="00CB3B57"/>
    <w:rsid w:val="00CB42AE"/>
    <w:rsid w:val="00CB54D7"/>
    <w:rsid w:val="00CB6768"/>
    <w:rsid w:val="00CC012F"/>
    <w:rsid w:val="00CC0A04"/>
    <w:rsid w:val="00CC17DB"/>
    <w:rsid w:val="00CC22A3"/>
    <w:rsid w:val="00CC2F01"/>
    <w:rsid w:val="00CC2F15"/>
    <w:rsid w:val="00CC4072"/>
    <w:rsid w:val="00CC6453"/>
    <w:rsid w:val="00CD0E55"/>
    <w:rsid w:val="00CD196F"/>
    <w:rsid w:val="00CD1989"/>
    <w:rsid w:val="00CD1A57"/>
    <w:rsid w:val="00CD2CDA"/>
    <w:rsid w:val="00CD2D8A"/>
    <w:rsid w:val="00CD31EA"/>
    <w:rsid w:val="00CD3DDC"/>
    <w:rsid w:val="00CD65E0"/>
    <w:rsid w:val="00CD692F"/>
    <w:rsid w:val="00CE0392"/>
    <w:rsid w:val="00CE0900"/>
    <w:rsid w:val="00CE22D9"/>
    <w:rsid w:val="00CE2303"/>
    <w:rsid w:val="00CE2D5D"/>
    <w:rsid w:val="00CE3E1C"/>
    <w:rsid w:val="00CE50A3"/>
    <w:rsid w:val="00CE5481"/>
    <w:rsid w:val="00CE5866"/>
    <w:rsid w:val="00CE687B"/>
    <w:rsid w:val="00CE68FA"/>
    <w:rsid w:val="00CF003F"/>
    <w:rsid w:val="00CF0045"/>
    <w:rsid w:val="00CF2FCA"/>
    <w:rsid w:val="00CF336A"/>
    <w:rsid w:val="00CF37F0"/>
    <w:rsid w:val="00CF3930"/>
    <w:rsid w:val="00CF3C4E"/>
    <w:rsid w:val="00CF5582"/>
    <w:rsid w:val="00CF56A0"/>
    <w:rsid w:val="00CF6814"/>
    <w:rsid w:val="00CF7194"/>
    <w:rsid w:val="00CF7C90"/>
    <w:rsid w:val="00CF7EA0"/>
    <w:rsid w:val="00D00600"/>
    <w:rsid w:val="00D00A29"/>
    <w:rsid w:val="00D011EA"/>
    <w:rsid w:val="00D01F90"/>
    <w:rsid w:val="00D02612"/>
    <w:rsid w:val="00D0329F"/>
    <w:rsid w:val="00D040F4"/>
    <w:rsid w:val="00D042B8"/>
    <w:rsid w:val="00D04F9C"/>
    <w:rsid w:val="00D05192"/>
    <w:rsid w:val="00D06299"/>
    <w:rsid w:val="00D066D3"/>
    <w:rsid w:val="00D1045D"/>
    <w:rsid w:val="00D118CA"/>
    <w:rsid w:val="00D1236D"/>
    <w:rsid w:val="00D131BA"/>
    <w:rsid w:val="00D133AA"/>
    <w:rsid w:val="00D13B0B"/>
    <w:rsid w:val="00D13CCF"/>
    <w:rsid w:val="00D14CF7"/>
    <w:rsid w:val="00D14FEA"/>
    <w:rsid w:val="00D1576E"/>
    <w:rsid w:val="00D15E67"/>
    <w:rsid w:val="00D17FD7"/>
    <w:rsid w:val="00D2021C"/>
    <w:rsid w:val="00D206C4"/>
    <w:rsid w:val="00D206CC"/>
    <w:rsid w:val="00D20ABB"/>
    <w:rsid w:val="00D23727"/>
    <w:rsid w:val="00D23E23"/>
    <w:rsid w:val="00D24198"/>
    <w:rsid w:val="00D2424D"/>
    <w:rsid w:val="00D24A08"/>
    <w:rsid w:val="00D24AEE"/>
    <w:rsid w:val="00D25365"/>
    <w:rsid w:val="00D256EB"/>
    <w:rsid w:val="00D26342"/>
    <w:rsid w:val="00D26A33"/>
    <w:rsid w:val="00D276FA"/>
    <w:rsid w:val="00D27794"/>
    <w:rsid w:val="00D3073E"/>
    <w:rsid w:val="00D31676"/>
    <w:rsid w:val="00D316C8"/>
    <w:rsid w:val="00D337D5"/>
    <w:rsid w:val="00D34817"/>
    <w:rsid w:val="00D359D9"/>
    <w:rsid w:val="00D365BB"/>
    <w:rsid w:val="00D3795A"/>
    <w:rsid w:val="00D37AB5"/>
    <w:rsid w:val="00D40182"/>
    <w:rsid w:val="00D40C74"/>
    <w:rsid w:val="00D40FC0"/>
    <w:rsid w:val="00D42563"/>
    <w:rsid w:val="00D43282"/>
    <w:rsid w:val="00D43C15"/>
    <w:rsid w:val="00D43C54"/>
    <w:rsid w:val="00D43EA4"/>
    <w:rsid w:val="00D44448"/>
    <w:rsid w:val="00D44508"/>
    <w:rsid w:val="00D4499D"/>
    <w:rsid w:val="00D46063"/>
    <w:rsid w:val="00D47810"/>
    <w:rsid w:val="00D5001E"/>
    <w:rsid w:val="00D505D0"/>
    <w:rsid w:val="00D5128E"/>
    <w:rsid w:val="00D52050"/>
    <w:rsid w:val="00D52248"/>
    <w:rsid w:val="00D52B46"/>
    <w:rsid w:val="00D52C9C"/>
    <w:rsid w:val="00D52FD0"/>
    <w:rsid w:val="00D53406"/>
    <w:rsid w:val="00D5347C"/>
    <w:rsid w:val="00D54385"/>
    <w:rsid w:val="00D5753A"/>
    <w:rsid w:val="00D61BB2"/>
    <w:rsid w:val="00D6259C"/>
    <w:rsid w:val="00D63B91"/>
    <w:rsid w:val="00D64A4A"/>
    <w:rsid w:val="00D6519D"/>
    <w:rsid w:val="00D65D48"/>
    <w:rsid w:val="00D6679C"/>
    <w:rsid w:val="00D72883"/>
    <w:rsid w:val="00D72F5D"/>
    <w:rsid w:val="00D7326D"/>
    <w:rsid w:val="00D73EE6"/>
    <w:rsid w:val="00D742D2"/>
    <w:rsid w:val="00D744DC"/>
    <w:rsid w:val="00D75CF7"/>
    <w:rsid w:val="00D75F59"/>
    <w:rsid w:val="00D776C3"/>
    <w:rsid w:val="00D77E23"/>
    <w:rsid w:val="00D80153"/>
    <w:rsid w:val="00D80374"/>
    <w:rsid w:val="00D809BA"/>
    <w:rsid w:val="00D81AC7"/>
    <w:rsid w:val="00D82860"/>
    <w:rsid w:val="00D82CD2"/>
    <w:rsid w:val="00D83BC8"/>
    <w:rsid w:val="00D83E45"/>
    <w:rsid w:val="00D842CD"/>
    <w:rsid w:val="00D8495C"/>
    <w:rsid w:val="00D85134"/>
    <w:rsid w:val="00D86737"/>
    <w:rsid w:val="00D8696A"/>
    <w:rsid w:val="00D86CD7"/>
    <w:rsid w:val="00D90F5A"/>
    <w:rsid w:val="00D91006"/>
    <w:rsid w:val="00D9153B"/>
    <w:rsid w:val="00D91E8B"/>
    <w:rsid w:val="00D92C0F"/>
    <w:rsid w:val="00D93339"/>
    <w:rsid w:val="00D93ED0"/>
    <w:rsid w:val="00D94257"/>
    <w:rsid w:val="00D95883"/>
    <w:rsid w:val="00D95903"/>
    <w:rsid w:val="00D95D78"/>
    <w:rsid w:val="00D97FAB"/>
    <w:rsid w:val="00DA0810"/>
    <w:rsid w:val="00DA0844"/>
    <w:rsid w:val="00DA1311"/>
    <w:rsid w:val="00DA3FCE"/>
    <w:rsid w:val="00DA401C"/>
    <w:rsid w:val="00DB162D"/>
    <w:rsid w:val="00DB2BE7"/>
    <w:rsid w:val="00DB2DB6"/>
    <w:rsid w:val="00DB4203"/>
    <w:rsid w:val="00DB6939"/>
    <w:rsid w:val="00DB7CA1"/>
    <w:rsid w:val="00DC04E6"/>
    <w:rsid w:val="00DC094F"/>
    <w:rsid w:val="00DC2279"/>
    <w:rsid w:val="00DC24B5"/>
    <w:rsid w:val="00DC25DA"/>
    <w:rsid w:val="00DC2E69"/>
    <w:rsid w:val="00DC3584"/>
    <w:rsid w:val="00DC36B5"/>
    <w:rsid w:val="00DC3CDE"/>
    <w:rsid w:val="00DC4579"/>
    <w:rsid w:val="00DC4AB5"/>
    <w:rsid w:val="00DC4C59"/>
    <w:rsid w:val="00DC5149"/>
    <w:rsid w:val="00DC5EA6"/>
    <w:rsid w:val="00DC68E1"/>
    <w:rsid w:val="00DC7DCC"/>
    <w:rsid w:val="00DC7FCE"/>
    <w:rsid w:val="00DD0CC9"/>
    <w:rsid w:val="00DD1B88"/>
    <w:rsid w:val="00DD1D1C"/>
    <w:rsid w:val="00DD1E89"/>
    <w:rsid w:val="00DD334C"/>
    <w:rsid w:val="00DD3C08"/>
    <w:rsid w:val="00DD562F"/>
    <w:rsid w:val="00DE0476"/>
    <w:rsid w:val="00DE18F7"/>
    <w:rsid w:val="00DE1B2F"/>
    <w:rsid w:val="00DE1C5A"/>
    <w:rsid w:val="00DE2AAC"/>
    <w:rsid w:val="00DE2E54"/>
    <w:rsid w:val="00DE42EE"/>
    <w:rsid w:val="00DE4321"/>
    <w:rsid w:val="00DE5E04"/>
    <w:rsid w:val="00DE6634"/>
    <w:rsid w:val="00DE66B6"/>
    <w:rsid w:val="00DF1125"/>
    <w:rsid w:val="00DF27AC"/>
    <w:rsid w:val="00DF28E7"/>
    <w:rsid w:val="00DF2FD1"/>
    <w:rsid w:val="00DF399A"/>
    <w:rsid w:val="00DF447B"/>
    <w:rsid w:val="00DF587A"/>
    <w:rsid w:val="00DF61C5"/>
    <w:rsid w:val="00DF6280"/>
    <w:rsid w:val="00DF7B14"/>
    <w:rsid w:val="00E00009"/>
    <w:rsid w:val="00E00F68"/>
    <w:rsid w:val="00E010CB"/>
    <w:rsid w:val="00E01EF4"/>
    <w:rsid w:val="00E02CF2"/>
    <w:rsid w:val="00E03D3A"/>
    <w:rsid w:val="00E04133"/>
    <w:rsid w:val="00E04260"/>
    <w:rsid w:val="00E04947"/>
    <w:rsid w:val="00E05177"/>
    <w:rsid w:val="00E06130"/>
    <w:rsid w:val="00E069F7"/>
    <w:rsid w:val="00E06C35"/>
    <w:rsid w:val="00E0710D"/>
    <w:rsid w:val="00E079ED"/>
    <w:rsid w:val="00E07F71"/>
    <w:rsid w:val="00E109A6"/>
    <w:rsid w:val="00E114D8"/>
    <w:rsid w:val="00E11C10"/>
    <w:rsid w:val="00E11E70"/>
    <w:rsid w:val="00E1256E"/>
    <w:rsid w:val="00E1347F"/>
    <w:rsid w:val="00E13F84"/>
    <w:rsid w:val="00E15A70"/>
    <w:rsid w:val="00E1621B"/>
    <w:rsid w:val="00E17616"/>
    <w:rsid w:val="00E21114"/>
    <w:rsid w:val="00E22B84"/>
    <w:rsid w:val="00E2480E"/>
    <w:rsid w:val="00E26045"/>
    <w:rsid w:val="00E267E2"/>
    <w:rsid w:val="00E26BDB"/>
    <w:rsid w:val="00E27297"/>
    <w:rsid w:val="00E27304"/>
    <w:rsid w:val="00E304D5"/>
    <w:rsid w:val="00E308A4"/>
    <w:rsid w:val="00E30BE8"/>
    <w:rsid w:val="00E3138C"/>
    <w:rsid w:val="00E319AF"/>
    <w:rsid w:val="00E33084"/>
    <w:rsid w:val="00E337F5"/>
    <w:rsid w:val="00E339E4"/>
    <w:rsid w:val="00E34593"/>
    <w:rsid w:val="00E34EBC"/>
    <w:rsid w:val="00E37211"/>
    <w:rsid w:val="00E37848"/>
    <w:rsid w:val="00E37BC9"/>
    <w:rsid w:val="00E4034D"/>
    <w:rsid w:val="00E404B3"/>
    <w:rsid w:val="00E40555"/>
    <w:rsid w:val="00E40F43"/>
    <w:rsid w:val="00E41666"/>
    <w:rsid w:val="00E41EE7"/>
    <w:rsid w:val="00E42084"/>
    <w:rsid w:val="00E430B4"/>
    <w:rsid w:val="00E445BF"/>
    <w:rsid w:val="00E44854"/>
    <w:rsid w:val="00E44DB7"/>
    <w:rsid w:val="00E45278"/>
    <w:rsid w:val="00E45809"/>
    <w:rsid w:val="00E45BEC"/>
    <w:rsid w:val="00E47C11"/>
    <w:rsid w:val="00E47EF9"/>
    <w:rsid w:val="00E503EF"/>
    <w:rsid w:val="00E5067C"/>
    <w:rsid w:val="00E50F50"/>
    <w:rsid w:val="00E5374C"/>
    <w:rsid w:val="00E55808"/>
    <w:rsid w:val="00E559EA"/>
    <w:rsid w:val="00E56272"/>
    <w:rsid w:val="00E5696D"/>
    <w:rsid w:val="00E56A36"/>
    <w:rsid w:val="00E56E45"/>
    <w:rsid w:val="00E5706F"/>
    <w:rsid w:val="00E57570"/>
    <w:rsid w:val="00E6161C"/>
    <w:rsid w:val="00E62DEC"/>
    <w:rsid w:val="00E63233"/>
    <w:rsid w:val="00E63292"/>
    <w:rsid w:val="00E63FE6"/>
    <w:rsid w:val="00E65960"/>
    <w:rsid w:val="00E65F8A"/>
    <w:rsid w:val="00E66ECB"/>
    <w:rsid w:val="00E67486"/>
    <w:rsid w:val="00E67708"/>
    <w:rsid w:val="00E70084"/>
    <w:rsid w:val="00E710D3"/>
    <w:rsid w:val="00E7216B"/>
    <w:rsid w:val="00E727CE"/>
    <w:rsid w:val="00E73D84"/>
    <w:rsid w:val="00E749E1"/>
    <w:rsid w:val="00E75840"/>
    <w:rsid w:val="00E7592D"/>
    <w:rsid w:val="00E75B4E"/>
    <w:rsid w:val="00E8007A"/>
    <w:rsid w:val="00E80578"/>
    <w:rsid w:val="00E80670"/>
    <w:rsid w:val="00E80B43"/>
    <w:rsid w:val="00E813C7"/>
    <w:rsid w:val="00E833CB"/>
    <w:rsid w:val="00E833D5"/>
    <w:rsid w:val="00E83614"/>
    <w:rsid w:val="00E83995"/>
    <w:rsid w:val="00E83B09"/>
    <w:rsid w:val="00E83CBA"/>
    <w:rsid w:val="00E83D2E"/>
    <w:rsid w:val="00E83FB2"/>
    <w:rsid w:val="00E844D4"/>
    <w:rsid w:val="00E859FA"/>
    <w:rsid w:val="00E87D1A"/>
    <w:rsid w:val="00E90615"/>
    <w:rsid w:val="00E91FE0"/>
    <w:rsid w:val="00E929C7"/>
    <w:rsid w:val="00E94344"/>
    <w:rsid w:val="00E94602"/>
    <w:rsid w:val="00E948FA"/>
    <w:rsid w:val="00E95AC2"/>
    <w:rsid w:val="00E96351"/>
    <w:rsid w:val="00E963B8"/>
    <w:rsid w:val="00E97167"/>
    <w:rsid w:val="00E97DBB"/>
    <w:rsid w:val="00EA0169"/>
    <w:rsid w:val="00EA04DA"/>
    <w:rsid w:val="00EA093A"/>
    <w:rsid w:val="00EA0C59"/>
    <w:rsid w:val="00EA2538"/>
    <w:rsid w:val="00EA2EAB"/>
    <w:rsid w:val="00EA3781"/>
    <w:rsid w:val="00EA3C05"/>
    <w:rsid w:val="00EA5023"/>
    <w:rsid w:val="00EA6858"/>
    <w:rsid w:val="00EA7061"/>
    <w:rsid w:val="00EA7C5B"/>
    <w:rsid w:val="00EB094D"/>
    <w:rsid w:val="00EB0E55"/>
    <w:rsid w:val="00EB13FE"/>
    <w:rsid w:val="00EB1ABD"/>
    <w:rsid w:val="00EB254B"/>
    <w:rsid w:val="00EB39F1"/>
    <w:rsid w:val="00EB460F"/>
    <w:rsid w:val="00EB472E"/>
    <w:rsid w:val="00EB5434"/>
    <w:rsid w:val="00EB5D6C"/>
    <w:rsid w:val="00EB6A94"/>
    <w:rsid w:val="00EB6A9B"/>
    <w:rsid w:val="00EB6EDA"/>
    <w:rsid w:val="00EB76D6"/>
    <w:rsid w:val="00EC0178"/>
    <w:rsid w:val="00EC049F"/>
    <w:rsid w:val="00EC06EB"/>
    <w:rsid w:val="00EC0F47"/>
    <w:rsid w:val="00EC11E3"/>
    <w:rsid w:val="00EC145B"/>
    <w:rsid w:val="00EC1D6A"/>
    <w:rsid w:val="00EC286C"/>
    <w:rsid w:val="00EC49E9"/>
    <w:rsid w:val="00ED024E"/>
    <w:rsid w:val="00ED0C3E"/>
    <w:rsid w:val="00ED194C"/>
    <w:rsid w:val="00ED2C26"/>
    <w:rsid w:val="00ED3898"/>
    <w:rsid w:val="00ED3F78"/>
    <w:rsid w:val="00ED5674"/>
    <w:rsid w:val="00ED5719"/>
    <w:rsid w:val="00ED5EC2"/>
    <w:rsid w:val="00ED7E72"/>
    <w:rsid w:val="00EE0DF2"/>
    <w:rsid w:val="00EE1124"/>
    <w:rsid w:val="00EE21DD"/>
    <w:rsid w:val="00EE28A3"/>
    <w:rsid w:val="00EE37B4"/>
    <w:rsid w:val="00EE56DF"/>
    <w:rsid w:val="00EE597D"/>
    <w:rsid w:val="00EE5ED7"/>
    <w:rsid w:val="00EE64CC"/>
    <w:rsid w:val="00EE6A4A"/>
    <w:rsid w:val="00EE6D6B"/>
    <w:rsid w:val="00EF1380"/>
    <w:rsid w:val="00EF13A7"/>
    <w:rsid w:val="00EF1A24"/>
    <w:rsid w:val="00EF1BF1"/>
    <w:rsid w:val="00EF428F"/>
    <w:rsid w:val="00EF45FB"/>
    <w:rsid w:val="00EF71E1"/>
    <w:rsid w:val="00EF7992"/>
    <w:rsid w:val="00EF79B8"/>
    <w:rsid w:val="00F01BD5"/>
    <w:rsid w:val="00F024E3"/>
    <w:rsid w:val="00F0264E"/>
    <w:rsid w:val="00F02815"/>
    <w:rsid w:val="00F0430F"/>
    <w:rsid w:val="00F05EAF"/>
    <w:rsid w:val="00F06D7C"/>
    <w:rsid w:val="00F07596"/>
    <w:rsid w:val="00F1049D"/>
    <w:rsid w:val="00F10591"/>
    <w:rsid w:val="00F119F0"/>
    <w:rsid w:val="00F1323A"/>
    <w:rsid w:val="00F147FD"/>
    <w:rsid w:val="00F154DD"/>
    <w:rsid w:val="00F15FC1"/>
    <w:rsid w:val="00F166CE"/>
    <w:rsid w:val="00F16B52"/>
    <w:rsid w:val="00F17267"/>
    <w:rsid w:val="00F17762"/>
    <w:rsid w:val="00F212DC"/>
    <w:rsid w:val="00F238E9"/>
    <w:rsid w:val="00F23C5A"/>
    <w:rsid w:val="00F23E91"/>
    <w:rsid w:val="00F24CFD"/>
    <w:rsid w:val="00F261BC"/>
    <w:rsid w:val="00F277D4"/>
    <w:rsid w:val="00F31104"/>
    <w:rsid w:val="00F33E65"/>
    <w:rsid w:val="00F34E93"/>
    <w:rsid w:val="00F36499"/>
    <w:rsid w:val="00F41651"/>
    <w:rsid w:val="00F4360B"/>
    <w:rsid w:val="00F43F5A"/>
    <w:rsid w:val="00F4441C"/>
    <w:rsid w:val="00F44511"/>
    <w:rsid w:val="00F4474B"/>
    <w:rsid w:val="00F44C9A"/>
    <w:rsid w:val="00F5097D"/>
    <w:rsid w:val="00F51368"/>
    <w:rsid w:val="00F513E5"/>
    <w:rsid w:val="00F5219B"/>
    <w:rsid w:val="00F52FBB"/>
    <w:rsid w:val="00F530A4"/>
    <w:rsid w:val="00F53138"/>
    <w:rsid w:val="00F534C0"/>
    <w:rsid w:val="00F540D7"/>
    <w:rsid w:val="00F54930"/>
    <w:rsid w:val="00F54ABB"/>
    <w:rsid w:val="00F55182"/>
    <w:rsid w:val="00F5523B"/>
    <w:rsid w:val="00F577EE"/>
    <w:rsid w:val="00F57A66"/>
    <w:rsid w:val="00F57E34"/>
    <w:rsid w:val="00F57F78"/>
    <w:rsid w:val="00F6043C"/>
    <w:rsid w:val="00F61CDD"/>
    <w:rsid w:val="00F623B6"/>
    <w:rsid w:val="00F62708"/>
    <w:rsid w:val="00F6280F"/>
    <w:rsid w:val="00F62819"/>
    <w:rsid w:val="00F6394B"/>
    <w:rsid w:val="00F64EA4"/>
    <w:rsid w:val="00F65D71"/>
    <w:rsid w:val="00F65E3F"/>
    <w:rsid w:val="00F664CF"/>
    <w:rsid w:val="00F6653B"/>
    <w:rsid w:val="00F67CB2"/>
    <w:rsid w:val="00F67E89"/>
    <w:rsid w:val="00F708D9"/>
    <w:rsid w:val="00F720FB"/>
    <w:rsid w:val="00F721C2"/>
    <w:rsid w:val="00F73009"/>
    <w:rsid w:val="00F739C8"/>
    <w:rsid w:val="00F80602"/>
    <w:rsid w:val="00F8060B"/>
    <w:rsid w:val="00F81376"/>
    <w:rsid w:val="00F844DF"/>
    <w:rsid w:val="00F84C20"/>
    <w:rsid w:val="00F85A9C"/>
    <w:rsid w:val="00F85F8D"/>
    <w:rsid w:val="00F87614"/>
    <w:rsid w:val="00F8790C"/>
    <w:rsid w:val="00F90565"/>
    <w:rsid w:val="00F90BED"/>
    <w:rsid w:val="00F92112"/>
    <w:rsid w:val="00F9230A"/>
    <w:rsid w:val="00F92366"/>
    <w:rsid w:val="00F92753"/>
    <w:rsid w:val="00F92E34"/>
    <w:rsid w:val="00F94C72"/>
    <w:rsid w:val="00F95140"/>
    <w:rsid w:val="00F9583E"/>
    <w:rsid w:val="00F9598E"/>
    <w:rsid w:val="00F959A8"/>
    <w:rsid w:val="00F967A9"/>
    <w:rsid w:val="00F96B32"/>
    <w:rsid w:val="00F9735A"/>
    <w:rsid w:val="00FA1E86"/>
    <w:rsid w:val="00FA2477"/>
    <w:rsid w:val="00FA42F4"/>
    <w:rsid w:val="00FA4418"/>
    <w:rsid w:val="00FA6502"/>
    <w:rsid w:val="00FA7E9E"/>
    <w:rsid w:val="00FB0303"/>
    <w:rsid w:val="00FB0730"/>
    <w:rsid w:val="00FB0BC1"/>
    <w:rsid w:val="00FB14A0"/>
    <w:rsid w:val="00FB4E4A"/>
    <w:rsid w:val="00FB5170"/>
    <w:rsid w:val="00FB5202"/>
    <w:rsid w:val="00FB6D3A"/>
    <w:rsid w:val="00FB7282"/>
    <w:rsid w:val="00FB7924"/>
    <w:rsid w:val="00FB7F35"/>
    <w:rsid w:val="00FC11D6"/>
    <w:rsid w:val="00FC167B"/>
    <w:rsid w:val="00FC309E"/>
    <w:rsid w:val="00FC48DD"/>
    <w:rsid w:val="00FC569E"/>
    <w:rsid w:val="00FC67E5"/>
    <w:rsid w:val="00FC6BFF"/>
    <w:rsid w:val="00FC7B5F"/>
    <w:rsid w:val="00FD04EB"/>
    <w:rsid w:val="00FD1036"/>
    <w:rsid w:val="00FD131D"/>
    <w:rsid w:val="00FD1FB3"/>
    <w:rsid w:val="00FD337B"/>
    <w:rsid w:val="00FD3710"/>
    <w:rsid w:val="00FD4F44"/>
    <w:rsid w:val="00FD5177"/>
    <w:rsid w:val="00FD60DF"/>
    <w:rsid w:val="00FD6E99"/>
    <w:rsid w:val="00FD7FD5"/>
    <w:rsid w:val="00FE0609"/>
    <w:rsid w:val="00FE0AE4"/>
    <w:rsid w:val="00FE1D5B"/>
    <w:rsid w:val="00FE3124"/>
    <w:rsid w:val="00FE35E1"/>
    <w:rsid w:val="00FE3AFC"/>
    <w:rsid w:val="00FE4560"/>
    <w:rsid w:val="00FE6963"/>
    <w:rsid w:val="00FE6D86"/>
    <w:rsid w:val="00FE746F"/>
    <w:rsid w:val="00FF01A4"/>
    <w:rsid w:val="00FF0DA7"/>
    <w:rsid w:val="00FF1CF6"/>
    <w:rsid w:val="00FF24F2"/>
    <w:rsid w:val="00FF3249"/>
    <w:rsid w:val="00FF3276"/>
    <w:rsid w:val="00FF3C71"/>
    <w:rsid w:val="00FF4397"/>
    <w:rsid w:val="00FF44B4"/>
    <w:rsid w:val="00FF463D"/>
    <w:rsid w:val="00FF5B26"/>
    <w:rsid w:val="00FF69CB"/>
    <w:rsid w:val="00FF7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B73DB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uiPriority="9"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99" w:qFormat="1"/>
    <w:lsdException w:name="Medium Shading 2 Accent 2" w:uiPriority="99"/>
    <w:lsdException w:name="Medium List 1 Accent 2" w:uiPriority="99"/>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99"/>
    <w:lsdException w:name="Colorful Shading Accent 2" w:uiPriority="99"/>
    <w:lsdException w:name="Colorful List Accent 2" w:uiPriority="99" w:qFormat="1"/>
    <w:lsdException w:name="Colorful Grid Accent 2" w:uiPriority="99"/>
    <w:lsdException w:name="Light Shading Accent 3" w:uiPriority="99"/>
    <w:lsdException w:name="Light List Accent 3" w:uiPriority="99"/>
    <w:lsdException w:name="Light Grid Accent 3" w:uiPriority="99" w:qFormat="1"/>
    <w:lsdException w:name="Medium Shading 1 Accent 3" w:uiPriority="99" w:qFormat="1"/>
    <w:lsdException w:name="Medium Shading 2 Accent 3" w:uiPriority="99" w:qFormat="1"/>
    <w:lsdException w:name="Medium List 1 Accent 3" w:uiPriority="99"/>
    <w:lsdException w:name="Medium List 2 Accent 3" w:uiPriority="99"/>
    <w:lsdException w:name="Medium Grid 1 Accent 3" w:uiPriority="99" w:qFormat="1"/>
    <w:lsdException w:name="Medium Grid 2 Accent 3" w:uiPriority="99"/>
    <w:lsdException w:name="Medium Grid 3 Accent 3" w:uiPriority="99"/>
    <w:lsdException w:name="Dark List Accent 3" w:uiPriority="99"/>
    <w:lsdException w:name="Colorful Shading Accent 3" w:uiPriority="99" w:qFormat="1"/>
    <w:lsdException w:name="Colorful List Accent 3" w:uiPriority="99" w:qFormat="1"/>
    <w:lsdException w:name="Colorful Grid Accent 3" w:uiPriority="99" w:qFormat="1"/>
    <w:lsdException w:name="Light Shading Accent 4" w:uiPriority="99"/>
    <w:lsdException w:name="Light List Accent 4" w:uiPriority="99"/>
    <w:lsdException w:name="Light Grid Accent 4" w:uiPriority="99" w:qFormat="1"/>
    <w:lsdException w:name="Medium Shading 1 Accent 4" w:uiPriority="99"/>
    <w:lsdException w:name="Medium Shading 2 Accent 4" w:uiPriority="99"/>
    <w:lsdException w:name="Medium List 1 Accent 4" w:uiPriority="99"/>
    <w:lsdException w:name="Medium List 2 Accent 4" w:uiPriority="99" w:qFormat="1"/>
    <w:lsdException w:name="Medium Grid 1 Accent 4" w:uiPriority="99" w:qFormat="1"/>
    <w:lsdException w:name="Medium Grid 2 Accent 4" w:uiPriority="99" w:qFormat="1"/>
    <w:lsdException w:name="Medium Grid 3 Accent 4" w:uiPriority="99"/>
    <w:lsdException w:name="Dark List Accent 4" w:uiPriority="99"/>
    <w:lsdException w:name="Colorful Shading Accent 4" w:uiPriority="99" w:qFormat="1"/>
    <w:lsdException w:name="Colorful List Accent 4" w:uiPriority="99"/>
    <w:lsdException w:name="Colorful Grid Accent 4" w:uiPriority="99"/>
    <w:lsdException w:name="Light Shading Accent 5" w:uiPriority="99"/>
    <w:lsdException w:name="Light List Accent 5" w:uiPriority="99" w:qFormat="1"/>
    <w:lsdException w:name="Light Grid Accent 5" w:uiPriority="99" w:qFormat="1"/>
    <w:lsdException w:name="Medium Shading 1 Accent 5" w:uiPriority="99" w:qFormat="1"/>
    <w:lsdException w:name="Medium Shading 2 Accent 5" w:uiPriority="99"/>
    <w:lsdException w:name="Medium List 1 Accent 5"/>
    <w:lsdException w:name="Medium List 2 Accent 5" w:qFormat="1"/>
    <w:lsdException w:name="Medium Grid 1 Accent 5"/>
    <w:lsdException w:name="Medium Grid 2 Accent 5"/>
    <w:lsdException w:name="Medium Grid 3 Accent 5"/>
    <w:lsdException w:name="Dark List Accent 5" w:qFormat="1"/>
    <w:lsdException w:name="Colorful Shading Accent 5" w:qFormat="1"/>
    <w:lsdException w:name="Colorful List Accent 5" w:qFormat="1"/>
    <w:lsdException w:name="Colorful Grid Accent 5"/>
    <w:lsdException w:name="Light Shading Accent 6" w:uiPriority="99"/>
    <w:lsdException w:name="Light List Accent 6" w:uiPriority="1" w:qFormat="1"/>
    <w:lsdException w:name="Light Grid Accent 6" w:uiPriority="60"/>
    <w:lsdException w:name="Medium Shading 1 Accent 6" w:uiPriority="61"/>
    <w:lsdException w:name="Medium Shading 2 Accent 6" w:uiPriority="62"/>
    <w:lsdException w:name="Medium List 1 Accent 6" w:uiPriority="63" w:qFormat="1"/>
    <w:lsdException w:name="Medium List 2 Accent 6" w:uiPriority="64" w:qFormat="1"/>
    <w:lsdException w:name="Medium Grid 1 Accent 6" w:uiPriority="65" w:qFormat="1"/>
    <w:lsdException w:name="Medium Grid 2 Accent 6" w:uiPriority="66"/>
    <w:lsdException w:name="Medium Grid 3 Accent 6" w:uiPriority="67"/>
    <w:lsdException w:name="Dark List Accent 6" w:uiPriority="68"/>
    <w:lsdException w:name="Colorful Shading Accent 6" w:uiPriority="69"/>
    <w:lsdException w:name="Colorful List Accent 6" w:uiPriority="70"/>
    <w:lsdException w:name="Colorful Grid Accent 6" w:uiPriority="71"/>
    <w:lsdException w:name="Subtle Emphasis" w:uiPriority="72" w:qFormat="1"/>
    <w:lsdException w:name="Intense Emphasis" w:uiPriority="73" w:qFormat="1"/>
    <w:lsdException w:name="Subtle Reference" w:uiPriority="60" w:qFormat="1"/>
    <w:lsdException w:name="Intense Reference" w:uiPriority="61" w:qFormat="1"/>
    <w:lsdException w:name="Book Title" w:uiPriority="62" w:qFormat="1"/>
    <w:lsdException w:name="Bibliography" w:semiHidden="1" w:uiPriority="63" w:unhideWhenUsed="1"/>
    <w:lsdException w:name="TOC Heading" w:semiHidden="1" w:uiPriority="64" w:unhideWhenUsed="1" w:qFormat="1"/>
    <w:lsdException w:name="Plain Table 1" w:uiPriority="65"/>
    <w:lsdException w:name="Plain Table 2" w:uiPriority="99"/>
    <w:lsdException w:name="Plain Table 3" w:uiPriority="34" w:qFormat="1"/>
    <w:lsdException w:name="Plain Table 4" w:uiPriority="29" w:qFormat="1"/>
    <w:lsdException w:name="Plain Table 5" w:uiPriority="30" w:qFormat="1"/>
    <w:lsdException w:name="Grid Table Light" w:uiPriority="66" w:qFormat="1"/>
    <w:lsdException w:name="Grid Table 1 Light" w:uiPriority="67" w:qFormat="1"/>
    <w:lsdException w:name="Grid Table 2" w:uiPriority="68"/>
    <w:lsdException w:name="Grid Table 3" w:uiPriority="69" w:qFormat="1"/>
    <w:lsdException w:name="Grid Table 4" w:uiPriority="70"/>
    <w:lsdException w:name="Grid Table 5 Dark" w:uiPriority="71"/>
    <w:lsdException w:name="Grid Table 6 Colorful" w:uiPriority="72" w:qFormat="1"/>
    <w:lsdException w:name="Grid Table 7 Colorful" w:uiPriority="73" w:qFormat="1"/>
    <w:lsdException w:name="Grid Table 1 Light Accent 1" w:uiPriority="60" w:qFormat="1"/>
    <w:lsdException w:name="Grid Table 2 Accent 1" w:uiPriority="61" w:qFormat="1"/>
    <w:lsdException w:name="Grid Table 3 Accent 1" w:uiPriority="62" w:qFormat="1"/>
    <w:lsdException w:name="Grid Table 4 Accent 1" w:uiPriority="63"/>
    <w:lsdException w:name="Grid Table 5 Dark Accent 1" w:uiPriority="64" w:qFormat="1"/>
    <w:lsdException w:name="Grid Table 6 Colorful Accent 1" w:uiPriority="65"/>
    <w:lsdException w:name="Grid Table 7 Colorful Accent 1" w:uiPriority="66"/>
    <w:lsdException w:name="Grid Table 1 Light Accent 2" w:uiPriority="67" w:qFormat="1"/>
    <w:lsdException w:name="Grid Table 2 Accent 2" w:uiPriority="68" w:qFormat="1"/>
    <w:lsdException w:name="Grid Table 3 Accent 2" w:uiPriority="69" w:qFormat="1"/>
    <w:lsdException w:name="Grid Table 4 Accent 2" w:uiPriority="70" w:qFormat="1"/>
    <w:lsdException w:name="Grid Table 5 Dark Accent 2" w:uiPriority="71" w:qFormat="1"/>
    <w:lsdException w:name="Grid Table 6 Colorful Accent 2" w:uiPriority="72"/>
    <w:lsdException w:name="Grid Table 7 Colorful Accent 2" w:uiPriority="73" w:qFormat="1"/>
    <w:lsdException w:name="Grid Table 1 Light Accent 3" w:uiPriority="60"/>
    <w:lsdException w:name="Grid Table 2 Accent 3" w:uiPriority="61"/>
    <w:lsdException w:name="Grid Table 3 Accent 3" w:uiPriority="62" w:qFormat="1"/>
    <w:lsdException w:name="Grid Table 4 Accent 3" w:uiPriority="63" w:qFormat="1"/>
    <w:lsdException w:name="Grid Table 5 Dark Accent 3" w:uiPriority="64" w:qFormat="1"/>
    <w:lsdException w:name="Grid Table 6 Colorful Accent 3" w:uiPriority="65" w:qFormat="1"/>
    <w:lsdException w:name="Grid Table 7 Colorful Accent 3" w:uiPriority="66" w:qFormat="1"/>
    <w:lsdException w:name="Grid Table 1 Light Accent 4" w:uiPriority="67"/>
    <w:lsdException w:name="Grid Table 2 Accent 4" w:uiPriority="68" w:qFormat="1"/>
    <w:lsdException w:name="Grid Table 3 Accent 4" w:uiPriority="69"/>
    <w:lsdException w:name="Grid Table 4 Accent 4" w:uiPriority="70"/>
    <w:lsdException w:name="Grid Table 5 Dark Accent 4" w:uiPriority="71" w:qFormat="1"/>
    <w:lsdException w:name="Grid Table 6 Colorful Accent 4" w:uiPriority="72" w:qFormat="1"/>
    <w:lsdException w:name="Grid Table 7 Colorful Accent 4" w:uiPriority="73" w:qFormat="1"/>
    <w:lsdException w:name="Grid Table 1 Light Accent 5" w:uiPriority="60" w:qFormat="1"/>
    <w:lsdException w:name="Grid Table 2 Accent 5" w:uiPriority="61" w:qFormat="1"/>
    <w:lsdException w:name="Grid Table 3 Accent 5" w:uiPriority="62"/>
    <w:lsdException w:name="Grid Table 4 Accent 5" w:uiPriority="63" w:qFormat="1"/>
    <w:lsdException w:name="Grid Table 5 Dark Accent 5" w:uiPriority="64"/>
    <w:lsdException w:name="Grid Table 6 Colorful Accent 5" w:uiPriority="65"/>
    <w:lsdException w:name="Grid Table 7 Colorful Accent 5" w:uiPriority="66" w:qFormat="1"/>
    <w:lsdException w:name="Grid Table 1 Light Accent 6" w:uiPriority="67" w:qFormat="1"/>
    <w:lsdException w:name="Grid Table 2 Accent 6" w:uiPriority="68" w:qFormat="1"/>
    <w:lsdException w:name="Grid Table 3 Accent 6" w:uiPriority="69" w:qFormat="1"/>
    <w:lsdException w:name="Grid Table 4 Accent 6" w:uiPriority="70" w:qFormat="1"/>
    <w:lsdException w:name="Grid Table 5 Dark Accent 6" w:uiPriority="71"/>
    <w:lsdException w:name="Grid Table 6 Colorful Accent 6" w:uiPriority="72" w:qFormat="1"/>
    <w:lsdException w:name="Grid Table 7 Colorful Accent 6" w:uiPriority="49"/>
    <w:lsdException w:name="List Table 1 Light" w:uiPriority="50"/>
    <w:lsdException w:name="List Table 2" w:uiPriority="51"/>
    <w:lsdException w:name="List Table 3" w:uiPriority="52"/>
    <w:lsdException w:name="List Table 4" w:uiPriority="46"/>
    <w:lsdException w:name="List Table 5 Dark" w:uiPriority="47"/>
    <w:lsdException w:name="List Table 6 Colorful" w:uiPriority="48"/>
    <w:lsdException w:name="List Table 7 Colorful" w:uiPriority="49"/>
    <w:lsdException w:name="List Table 1 Light Accent 1" w:uiPriority="50"/>
    <w:lsdException w:name="List Table 2 Accent 1" w:uiPriority="51"/>
    <w:lsdException w:name="List Table 3 Accent 1" w:uiPriority="52"/>
    <w:lsdException w:name="List Table 4 Accent 1" w:uiPriority="46"/>
    <w:lsdException w:name="List Table 5 Dark Accent 1" w:uiPriority="47"/>
    <w:lsdException w:name="List Table 6 Colorful Accent 1" w:uiPriority="48"/>
    <w:lsdException w:name="List Table 7 Colorful Accent 1" w:uiPriority="49"/>
    <w:lsdException w:name="List Table 1 Light Accent 2" w:uiPriority="50"/>
    <w:lsdException w:name="List Table 2 Accent 2" w:uiPriority="51"/>
    <w:lsdException w:name="List Table 3 Accent 2" w:uiPriority="52"/>
    <w:lsdException w:name="List Table 4 Accent 2" w:uiPriority="46"/>
    <w:lsdException w:name="List Table 5 Dark Accent 2" w:uiPriority="47"/>
    <w:lsdException w:name="List Table 6 Colorful Accent 2" w:uiPriority="48"/>
    <w:lsdException w:name="List Table 7 Colorful Accent 2" w:uiPriority="49"/>
    <w:lsdException w:name="List Table 1 Light Accent 3" w:uiPriority="50"/>
    <w:lsdException w:name="List Table 2 Accent 3" w:uiPriority="51"/>
    <w:lsdException w:name="List Table 3 Accent 3" w:uiPriority="52"/>
    <w:lsdException w:name="List Table 4 Accent 3" w:uiPriority="46"/>
    <w:lsdException w:name="List Table 5 Dark Accent 3" w:uiPriority="47"/>
    <w:lsdException w:name="List Table 6 Colorful Accent 3" w:uiPriority="48"/>
    <w:lsdException w:name="List Table 7 Colorful Accent 3" w:uiPriority="49"/>
    <w:lsdException w:name="List Table 1 Light Accent 4" w:uiPriority="50"/>
    <w:lsdException w:name="List Table 2 Accent 4" w:uiPriority="51"/>
    <w:lsdException w:name="List Table 3 Accent 4" w:uiPriority="52"/>
    <w:lsdException w:name="List Table 4 Accent 4" w:uiPriority="46"/>
    <w:lsdException w:name="List Table 5 Dark Accent 4" w:uiPriority="47"/>
    <w:lsdException w:name="List Table 6 Colorful Accent 4" w:uiPriority="48"/>
    <w:lsdException w:name="List Table 7 Colorful Accent 4" w:uiPriority="49"/>
    <w:lsdException w:name="List Table 1 Light Accent 5" w:uiPriority="50"/>
    <w:lsdException w:name="List Table 2 Accent 5" w:uiPriority="51"/>
    <w:lsdException w:name="List Table 3 Accent 5" w:uiPriority="52"/>
    <w:lsdException w:name="List Table 4 Accent 5" w:uiPriority="46"/>
    <w:lsdException w:name="List Table 5 Dark Accent 5" w:uiPriority="47"/>
    <w:lsdException w:name="List Table 6 Colorful Accent 5" w:uiPriority="48"/>
    <w:lsdException w:name="List Table 7 Colorful Accent 5" w:uiPriority="49"/>
    <w:lsdException w:name="List Table 1 Light Accent 6" w:uiPriority="50"/>
    <w:lsdException w:name="List Table 2 Accent 6" w:uiPriority="51"/>
    <w:lsdException w:name="List Table 3 Accent 6" w:uiPriority="52"/>
    <w:lsdException w:name="List Table 4 Accent 6" w:uiPriority="46"/>
    <w:lsdException w:name="List Table 5 Dark Accent 6" w:uiPriority="47"/>
    <w:lsdException w:name="List Table 6 Colorful Accent 6" w:uiPriority="48"/>
    <w:lsdException w:name="List Table 7 Colorful Accent 6" w:uiPriority="49"/>
    <w:lsdException w:name="Mention" w:uiPriority="50"/>
    <w:lsdException w:name="Smart Hyperlink" w:uiPriority="51"/>
    <w:lsdException w:name="Hashtag" w:uiPriority="52"/>
    <w:lsdException w:name="Unresolved Mention" w:uiPriority="46"/>
  </w:latentStyles>
  <w:style w:type="paragraph" w:default="1" w:styleId="Normal">
    <w:name w:val="Normal"/>
    <w:qFormat/>
    <w:rsid w:val="008E4B84"/>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3">
    <w:name w:val="heading 3"/>
    <w:basedOn w:val="Normal"/>
    <w:next w:val="Normal"/>
    <w:link w:val="Heading3Char"/>
    <w:uiPriority w:val="9"/>
    <w:qFormat/>
    <w:locked/>
    <w:rsid w:val="00714FC9"/>
    <w:pPr>
      <w:keepNext/>
      <w:keepLines/>
      <w:spacing w:before="40"/>
      <w:outlineLvl w:val="2"/>
    </w:pPr>
    <w:rPr>
      <w:rFonts w:ascii="Cambria" w:eastAsia="MS Gothic" w:hAnsi="Cambria"/>
      <w:color w:val="243F60"/>
      <w:sz w:val="24"/>
      <w:szCs w:val="24"/>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single space,fn,ALTS FOOTNOTE,FOOTNOTES,Footnote Text1,Fodnotetekst Tegn,footnote text Char,Fodnotetekst Tegn Char,single space Char,footnote text Char Char Char,Fodnotetekst Tegn Char1,single space Char1,ADB,Lábjegyzet-szöveg,Tegn1,ft,Ch"/>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tref,(NECG) Footnote Reference,Ref,de nota al pie,note bp,BVI fnr,16 Point,Superscript 6 Point,Footnote Reference Number,Footnote Reference_LVL6,Footnote Reference_LVL61,Footnote Reference_LVL62,Footnote Reference_LVL63,4_G,16 Poin"/>
    <w:link w:val="Char2"/>
    <w:uiPriority w:val="99"/>
    <w:qFormat/>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uiPriority w:val="99"/>
    <w:rsid w:val="0079421C"/>
    <w:rPr>
      <w:rFonts w:cs="Times New Roman"/>
      <w:color w:val="336699"/>
      <w:u w:val="none"/>
      <w:effect w:val="none"/>
    </w:rPr>
  </w:style>
  <w:style w:type="paragraph" w:customStyle="1" w:styleId="ColorfulList-Accent11">
    <w:name w:val="Colorful List - Accent 11"/>
    <w:aliases w:val="List Paragraph (numbered (a))"/>
    <w:basedOn w:val="Normal"/>
    <w:link w:val="ColorfulList-Accent1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uiPriority w:val="99"/>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uiPriority w:val="99"/>
    <w:rsid w:val="008543F5"/>
  </w:style>
  <w:style w:type="character" w:customStyle="1" w:styleId="CommentTextChar">
    <w:name w:val="Comment Text Char"/>
    <w:basedOn w:val="DefaultParagraphFont"/>
    <w:link w:val="CommentText"/>
    <w:uiPriority w:val="99"/>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link w:val="BodyText3"/>
    <w:semiHidden/>
    <w:rsid w:val="00D6679C"/>
    <w:rPr>
      <w:sz w:val="24"/>
      <w:lang w:val="en-US" w:eastAsia="en-US"/>
    </w:rPr>
  </w:style>
  <w:style w:type="character" w:customStyle="1" w:styleId="FootnoteTextChar">
    <w:name w:val="Footnote Text Char"/>
    <w:aliases w:val="single space Char2,fn Char,ALTS FOOTNOTE Char,FOOTNOTES Char,Footnote Text1 Char,Fodnotetekst Tegn Char2,footnote text Char Char,Fodnotetekst Tegn Char Char,single space Char Char,footnote text Char Char Char Char,ADB Char,Tegn1 Char"/>
    <w:link w:val="FootnoteText"/>
    <w:uiPriority w:val="99"/>
    <w:rsid w:val="00D6679C"/>
    <w:rPr>
      <w:rFonts w:ascii="Courier" w:hAnsi="Courier"/>
      <w:lang w:val="en-US" w:eastAsia="en-US"/>
    </w:rPr>
  </w:style>
  <w:style w:type="character" w:customStyle="1" w:styleId="ColorfulList-Accent1Char">
    <w:name w:val="Colorful List - Accent 1 Char"/>
    <w:aliases w:val="List Paragraph (numbered (a)) Char"/>
    <w:link w:val="ColorfulList-Accent11"/>
    <w:uiPriority w:val="34"/>
    <w:locked/>
    <w:rsid w:val="009A4543"/>
    <w:rPr>
      <w:lang w:val="en-US" w:eastAsia="en-US"/>
    </w:rPr>
  </w:style>
  <w:style w:type="paragraph" w:customStyle="1" w:styleId="ColorfulShading-Accent11">
    <w:name w:val="Colorful Shading - Accent 11"/>
    <w:hidden/>
    <w:uiPriority w:val="99"/>
    <w:semiHidden/>
    <w:rsid w:val="0050228C"/>
  </w:style>
  <w:style w:type="character" w:styleId="FollowedHyperlink">
    <w:name w:val="FollowedHyperlink"/>
    <w:unhideWhenUsed/>
    <w:rsid w:val="00704095"/>
    <w:rPr>
      <w:color w:val="800080"/>
      <w:u w:val="single"/>
    </w:rPr>
  </w:style>
  <w:style w:type="character" w:customStyle="1" w:styleId="Heading3Char">
    <w:name w:val="Heading 3 Char"/>
    <w:link w:val="Heading3"/>
    <w:uiPriority w:val="9"/>
    <w:rsid w:val="00714FC9"/>
    <w:rPr>
      <w:rFonts w:ascii="Cambria" w:eastAsia="MS Gothic" w:hAnsi="Cambria" w:cs="Times New Roman"/>
      <w:color w:val="243F60"/>
      <w:sz w:val="24"/>
      <w:szCs w:val="24"/>
      <w:lang w:val="en-US" w:eastAsia="en-US"/>
    </w:rPr>
  </w:style>
  <w:style w:type="character" w:customStyle="1" w:styleId="st1">
    <w:name w:val="st1"/>
    <w:rsid w:val="00714FC9"/>
  </w:style>
  <w:style w:type="paragraph" w:styleId="Caption">
    <w:name w:val="caption"/>
    <w:basedOn w:val="Normal"/>
    <w:next w:val="Normal"/>
    <w:uiPriority w:val="35"/>
    <w:qFormat/>
    <w:locked/>
    <w:rsid w:val="00714FC9"/>
    <w:pPr>
      <w:overflowPunct w:val="0"/>
      <w:autoSpaceDE w:val="0"/>
      <w:autoSpaceDN w:val="0"/>
      <w:adjustRightInd w:val="0"/>
      <w:textAlignment w:val="baseline"/>
    </w:pPr>
    <w:rPr>
      <w:b/>
      <w:bCs/>
    </w:rPr>
  </w:style>
  <w:style w:type="character" w:customStyle="1" w:styleId="hps">
    <w:name w:val="hps"/>
    <w:basedOn w:val="DefaultParagraphFont"/>
    <w:rsid w:val="00714FC9"/>
  </w:style>
  <w:style w:type="paragraph" w:customStyle="1" w:styleId="Paragraphedeliste1">
    <w:name w:val="Paragraphe de liste1"/>
    <w:basedOn w:val="Normal"/>
    <w:qFormat/>
    <w:rsid w:val="00714FC9"/>
    <w:pPr>
      <w:ind w:left="720"/>
    </w:pPr>
  </w:style>
  <w:style w:type="paragraph" w:customStyle="1" w:styleId="Listecouleur-Accent11">
    <w:name w:val="Liste couleur - Accent 11"/>
    <w:basedOn w:val="Normal"/>
    <w:uiPriority w:val="34"/>
    <w:qFormat/>
    <w:rsid w:val="00714FC9"/>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unhideWhenUsed/>
    <w:rsid w:val="00714FC9"/>
    <w:rPr>
      <w:rFonts w:ascii="Calibri" w:eastAsia="Calibri" w:hAnsi="Calibri"/>
    </w:rPr>
  </w:style>
  <w:style w:type="character" w:customStyle="1" w:styleId="EndnoteTextChar">
    <w:name w:val="Endnote Text Char"/>
    <w:link w:val="EndnoteText"/>
    <w:uiPriority w:val="99"/>
    <w:rsid w:val="00714FC9"/>
    <w:rPr>
      <w:rFonts w:ascii="Calibri" w:eastAsia="Calibri" w:hAnsi="Calibri" w:cs="Times New Roman"/>
      <w:lang w:val="en-US" w:eastAsia="en-US"/>
    </w:rPr>
  </w:style>
  <w:style w:type="character" w:styleId="EndnoteReference">
    <w:name w:val="endnote reference"/>
    <w:uiPriority w:val="99"/>
    <w:unhideWhenUsed/>
    <w:rsid w:val="00714FC9"/>
    <w:rPr>
      <w:vertAlign w:val="superscript"/>
    </w:rPr>
  </w:style>
  <w:style w:type="paragraph" w:customStyle="1" w:styleId="GridTable31">
    <w:name w:val="Grid Table 31"/>
    <w:basedOn w:val="Heading1"/>
    <w:next w:val="Normal"/>
    <w:uiPriority w:val="39"/>
    <w:unhideWhenUsed/>
    <w:qFormat/>
    <w:rsid w:val="00714FC9"/>
    <w:pPr>
      <w:keepLines/>
      <w:widowControl/>
      <w:suppressAutoHyphens w:val="0"/>
      <w:spacing w:before="480" w:line="276" w:lineRule="auto"/>
      <w:outlineLvl w:val="9"/>
    </w:pPr>
    <w:rPr>
      <w:rFonts w:ascii="Cambria" w:eastAsia="MS Gothic" w:hAnsi="Cambria"/>
      <w:bCs/>
      <w:color w:val="365F91"/>
      <w:spacing w:val="0"/>
      <w:szCs w:val="28"/>
      <w:lang w:val="fr-FR" w:eastAsia="fr-FR"/>
    </w:rPr>
  </w:style>
  <w:style w:type="paragraph" w:styleId="TOC2">
    <w:name w:val="toc 2"/>
    <w:basedOn w:val="Normal"/>
    <w:next w:val="Normal"/>
    <w:autoRedefine/>
    <w:uiPriority w:val="39"/>
    <w:rsid w:val="00714FC9"/>
    <w:pPr>
      <w:tabs>
        <w:tab w:val="left" w:pos="630"/>
        <w:tab w:val="left" w:pos="1260"/>
        <w:tab w:val="right" w:leader="dot" w:pos="9840"/>
      </w:tabs>
      <w:spacing w:after="100"/>
      <w:ind w:left="709"/>
    </w:pPr>
  </w:style>
  <w:style w:type="paragraph" w:styleId="TOC1">
    <w:name w:val="toc 1"/>
    <w:basedOn w:val="Normal"/>
    <w:next w:val="Normal"/>
    <w:autoRedefine/>
    <w:uiPriority w:val="39"/>
    <w:rsid w:val="00714FC9"/>
    <w:pPr>
      <w:spacing w:after="100"/>
    </w:pPr>
  </w:style>
  <w:style w:type="character" w:customStyle="1" w:styleId="st">
    <w:name w:val="st"/>
    <w:basedOn w:val="DefaultParagraphFont"/>
    <w:rsid w:val="00714FC9"/>
  </w:style>
  <w:style w:type="character" w:styleId="Emphasis">
    <w:name w:val="Emphasis"/>
    <w:uiPriority w:val="20"/>
    <w:qFormat/>
    <w:locked/>
    <w:rsid w:val="00714FC9"/>
    <w:rPr>
      <w:i/>
      <w:iCs/>
    </w:rPr>
  </w:style>
  <w:style w:type="character" w:customStyle="1" w:styleId="apple-converted-space">
    <w:name w:val="apple-converted-space"/>
    <w:basedOn w:val="DefaultParagraphFont"/>
    <w:rsid w:val="00714FC9"/>
  </w:style>
  <w:style w:type="character" w:customStyle="1" w:styleId="UnresolvedMention1">
    <w:name w:val="Unresolved Mention1"/>
    <w:uiPriority w:val="99"/>
    <w:semiHidden/>
    <w:unhideWhenUsed/>
    <w:rsid w:val="007C01A3"/>
    <w:rPr>
      <w:color w:val="808080"/>
      <w:shd w:val="clear" w:color="auto" w:fill="E6E6E6"/>
    </w:rPr>
  </w:style>
  <w:style w:type="paragraph" w:customStyle="1" w:styleId="SubtleEmphasis1">
    <w:name w:val="Subtle Emphasis1"/>
    <w:basedOn w:val="Normal"/>
    <w:uiPriority w:val="72"/>
    <w:qFormat/>
    <w:rsid w:val="00F67E89"/>
    <w:pPr>
      <w:ind w:left="720"/>
      <w:contextualSpacing/>
    </w:pPr>
  </w:style>
  <w:style w:type="character" w:customStyle="1" w:styleId="Funotenzeichen">
    <w:name w:val="Fußnotenzeichen"/>
    <w:rsid w:val="00D52248"/>
  </w:style>
  <w:style w:type="paragraph" w:customStyle="1" w:styleId="FootnoteText2">
    <w:name w:val="Footnote Text2"/>
    <w:basedOn w:val="Normal"/>
    <w:rsid w:val="00D52248"/>
    <w:pPr>
      <w:suppressAutoHyphens/>
    </w:pPr>
    <w:rPr>
      <w:rFonts w:ascii="Calibri" w:eastAsia="Calibri" w:hAnsi="Calibri" w:cs="Arial"/>
      <w:kern w:val="1"/>
      <w:lang w:val="en-GB" w:eastAsia="zh-CN"/>
    </w:rPr>
  </w:style>
  <w:style w:type="paragraph" w:customStyle="1" w:styleId="Char2">
    <w:name w:val="Char2"/>
    <w:basedOn w:val="Normal"/>
    <w:link w:val="FootnoteReference"/>
    <w:uiPriority w:val="99"/>
    <w:rsid w:val="002778BC"/>
    <w:pPr>
      <w:spacing w:after="160" w:line="240" w:lineRule="exact"/>
    </w:pPr>
    <w:rPr>
      <w:vertAlign w:val="superscript"/>
    </w:rPr>
  </w:style>
  <w:style w:type="paragraph" w:customStyle="1" w:styleId="MediumList1-Accent61">
    <w:name w:val="Medium List 1 - Accent 61"/>
    <w:basedOn w:val="Normal"/>
    <w:uiPriority w:val="63"/>
    <w:qFormat/>
    <w:rsid w:val="00C43985"/>
    <w:pPr>
      <w:ind w:left="720"/>
    </w:pPr>
  </w:style>
  <w:style w:type="paragraph" w:customStyle="1" w:styleId="MediumGrid3-Accent51">
    <w:name w:val="Medium Grid 3 - Accent 51"/>
    <w:hidden/>
    <w:unhideWhenUsed/>
    <w:rsid w:val="008D0FE6"/>
  </w:style>
  <w:style w:type="paragraph" w:customStyle="1" w:styleId="LightList-Accent51">
    <w:name w:val="Light List - Accent 51"/>
    <w:basedOn w:val="Normal"/>
    <w:uiPriority w:val="99"/>
    <w:qFormat/>
    <w:rsid w:val="00A2242A"/>
    <w:pPr>
      <w:ind w:left="720"/>
    </w:pPr>
  </w:style>
  <w:style w:type="paragraph" w:customStyle="1" w:styleId="LightGrid-Accent31">
    <w:name w:val="Light Grid - Accent 31"/>
    <w:basedOn w:val="Normal"/>
    <w:uiPriority w:val="99"/>
    <w:qFormat/>
    <w:rsid w:val="0036162D"/>
    <w:pPr>
      <w:ind w:left="720"/>
    </w:pPr>
  </w:style>
  <w:style w:type="character" w:customStyle="1" w:styleId="UnresolvedMention2">
    <w:name w:val="Unresolved Mention2"/>
    <w:uiPriority w:val="50"/>
    <w:rsid w:val="006C33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3426228">
      <w:bodyDiv w:val="1"/>
      <w:marLeft w:val="0"/>
      <w:marRight w:val="0"/>
      <w:marTop w:val="0"/>
      <w:marBottom w:val="0"/>
      <w:divBdr>
        <w:top w:val="none" w:sz="0" w:space="0" w:color="auto"/>
        <w:left w:val="none" w:sz="0" w:space="0" w:color="auto"/>
        <w:bottom w:val="none" w:sz="0" w:space="0" w:color="auto"/>
        <w:right w:val="none" w:sz="0" w:space="0" w:color="auto"/>
      </w:divBdr>
    </w:div>
    <w:div w:id="174803969">
      <w:bodyDiv w:val="1"/>
      <w:marLeft w:val="0"/>
      <w:marRight w:val="0"/>
      <w:marTop w:val="0"/>
      <w:marBottom w:val="0"/>
      <w:divBdr>
        <w:top w:val="none" w:sz="0" w:space="0" w:color="auto"/>
        <w:left w:val="none" w:sz="0" w:space="0" w:color="auto"/>
        <w:bottom w:val="none" w:sz="0" w:space="0" w:color="auto"/>
        <w:right w:val="none" w:sz="0" w:space="0" w:color="auto"/>
      </w:divBdr>
    </w:div>
    <w:div w:id="237373994">
      <w:bodyDiv w:val="1"/>
      <w:marLeft w:val="0"/>
      <w:marRight w:val="0"/>
      <w:marTop w:val="0"/>
      <w:marBottom w:val="0"/>
      <w:divBdr>
        <w:top w:val="none" w:sz="0" w:space="0" w:color="auto"/>
        <w:left w:val="none" w:sz="0" w:space="0" w:color="auto"/>
        <w:bottom w:val="none" w:sz="0" w:space="0" w:color="auto"/>
        <w:right w:val="none" w:sz="0" w:space="0" w:color="auto"/>
      </w:divBdr>
    </w:div>
    <w:div w:id="374935183">
      <w:bodyDiv w:val="1"/>
      <w:marLeft w:val="0"/>
      <w:marRight w:val="0"/>
      <w:marTop w:val="0"/>
      <w:marBottom w:val="0"/>
      <w:divBdr>
        <w:top w:val="none" w:sz="0" w:space="0" w:color="auto"/>
        <w:left w:val="none" w:sz="0" w:space="0" w:color="auto"/>
        <w:bottom w:val="none" w:sz="0" w:space="0" w:color="auto"/>
        <w:right w:val="none" w:sz="0" w:space="0" w:color="auto"/>
      </w:divBdr>
      <w:divsChild>
        <w:div w:id="225796283">
          <w:marLeft w:val="0"/>
          <w:marRight w:val="0"/>
          <w:marTop w:val="0"/>
          <w:marBottom w:val="0"/>
          <w:divBdr>
            <w:top w:val="none" w:sz="0" w:space="0" w:color="auto"/>
            <w:left w:val="none" w:sz="0" w:space="0" w:color="auto"/>
            <w:bottom w:val="none" w:sz="0" w:space="0" w:color="auto"/>
            <w:right w:val="none" w:sz="0" w:space="0" w:color="auto"/>
          </w:divBdr>
          <w:divsChild>
            <w:div w:id="1182430173">
              <w:marLeft w:val="0"/>
              <w:marRight w:val="0"/>
              <w:marTop w:val="0"/>
              <w:marBottom w:val="0"/>
              <w:divBdr>
                <w:top w:val="none" w:sz="0" w:space="0" w:color="auto"/>
                <w:left w:val="none" w:sz="0" w:space="0" w:color="auto"/>
                <w:bottom w:val="none" w:sz="0" w:space="0" w:color="auto"/>
                <w:right w:val="none" w:sz="0" w:space="0" w:color="auto"/>
              </w:divBdr>
              <w:divsChild>
                <w:div w:id="18647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226776">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240365076">
      <w:bodyDiv w:val="1"/>
      <w:marLeft w:val="0"/>
      <w:marRight w:val="0"/>
      <w:marTop w:val="0"/>
      <w:marBottom w:val="0"/>
      <w:divBdr>
        <w:top w:val="none" w:sz="0" w:space="0" w:color="auto"/>
        <w:left w:val="none" w:sz="0" w:space="0" w:color="auto"/>
        <w:bottom w:val="none" w:sz="0" w:space="0" w:color="auto"/>
        <w:right w:val="none" w:sz="0" w:space="0" w:color="auto"/>
      </w:divBdr>
    </w:div>
    <w:div w:id="1656638712">
      <w:bodyDiv w:val="1"/>
      <w:marLeft w:val="0"/>
      <w:marRight w:val="0"/>
      <w:marTop w:val="0"/>
      <w:marBottom w:val="0"/>
      <w:divBdr>
        <w:top w:val="none" w:sz="0" w:space="0" w:color="auto"/>
        <w:left w:val="none" w:sz="0" w:space="0" w:color="auto"/>
        <w:bottom w:val="none" w:sz="0" w:space="0" w:color="auto"/>
        <w:right w:val="none" w:sz="0" w:space="0" w:color="auto"/>
      </w:divBdr>
    </w:div>
    <w:div w:id="2011444641">
      <w:bodyDiv w:val="1"/>
      <w:marLeft w:val="0"/>
      <w:marRight w:val="0"/>
      <w:marTop w:val="0"/>
      <w:marBottom w:val="0"/>
      <w:divBdr>
        <w:top w:val="none" w:sz="0" w:space="0" w:color="auto"/>
        <w:left w:val="none" w:sz="0" w:space="0" w:color="auto"/>
        <w:bottom w:val="none" w:sz="0" w:space="0" w:color="auto"/>
        <w:right w:val="none" w:sz="0" w:space="0" w:color="auto"/>
      </w:divBdr>
      <w:divsChild>
        <w:div w:id="1335693813">
          <w:marLeft w:val="0"/>
          <w:marRight w:val="0"/>
          <w:marTop w:val="0"/>
          <w:marBottom w:val="0"/>
          <w:divBdr>
            <w:top w:val="none" w:sz="0" w:space="0" w:color="auto"/>
            <w:left w:val="none" w:sz="0" w:space="0" w:color="auto"/>
            <w:bottom w:val="none" w:sz="0" w:space="0" w:color="auto"/>
            <w:right w:val="none" w:sz="0" w:space="0" w:color="auto"/>
          </w:divBdr>
          <w:divsChild>
            <w:div w:id="1874727245">
              <w:marLeft w:val="0"/>
              <w:marRight w:val="0"/>
              <w:marTop w:val="0"/>
              <w:marBottom w:val="0"/>
              <w:divBdr>
                <w:top w:val="none" w:sz="0" w:space="0" w:color="auto"/>
                <w:left w:val="none" w:sz="0" w:space="0" w:color="auto"/>
                <w:bottom w:val="none" w:sz="0" w:space="0" w:color="auto"/>
                <w:right w:val="none" w:sz="0" w:space="0" w:color="auto"/>
              </w:divBdr>
              <w:divsChild>
                <w:div w:id="6969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60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9F42D-07FC-4E53-AA94-92FFEA65D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93D511-A53D-4AB1-94C2-44054B87164A}">
  <ds:schemaRefs>
    <ds:schemaRef ds:uri="http://schemas.microsoft.com/sharepoint/events"/>
  </ds:schemaRefs>
</ds:datastoreItem>
</file>

<file path=customXml/itemProps3.xml><?xml version="1.0" encoding="utf-8"?>
<ds:datastoreItem xmlns:ds="http://schemas.openxmlformats.org/officeDocument/2006/customXml" ds:itemID="{325F876C-AB30-4EDE-A5B9-D41EC0F40C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0EABD7-A205-4223-9B65-174A10756B1A}">
  <ds:schemaRefs>
    <ds:schemaRef ds:uri="http://schemas.microsoft.com/sharepoint/v3/contenttype/forms"/>
  </ds:schemaRefs>
</ds:datastoreItem>
</file>

<file path=customXml/itemProps5.xml><?xml version="1.0" encoding="utf-8"?>
<ds:datastoreItem xmlns:ds="http://schemas.openxmlformats.org/officeDocument/2006/customXml" ds:itemID="{1361263F-72E2-4B0E-B750-CA702BF7A4F6}">
  <ds:schemaRefs>
    <ds:schemaRef ds:uri="http://schemas.microsoft.com/office/2006/metadata/longProperties"/>
  </ds:schemaRefs>
</ds:datastoreItem>
</file>

<file path=customXml/itemProps6.xml><?xml version="1.0" encoding="utf-8"?>
<ds:datastoreItem xmlns:ds="http://schemas.openxmlformats.org/officeDocument/2006/customXml" ds:itemID="{67A59761-3FBA-48D6-A062-184A6A207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5707</Words>
  <Characters>34988</Characters>
  <Application>Microsoft Office Word</Application>
  <DocSecurity>0</DocSecurity>
  <Lines>660</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2018-05-31T19:05:00Z</dcterms:created>
  <dcterms:modified xsi:type="dcterms:W3CDTF">2018-05-31T19:11:00Z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UNITOFFICE-440-1349</vt:lpwstr>
  </property>
  <property fmtid="{D5CDD505-2E9C-101B-9397-08002B2CF9AE}" pid="3" name="_dlc_DocIdItemGuid">
    <vt:lpwstr>295dfed8-54a6-4ae1-ae16-5624aed8da97</vt:lpwstr>
  </property>
  <property fmtid="{D5CDD505-2E9C-101B-9397-08002B2CF9AE}" pid="4" name="_dlc_DocIdUrl">
    <vt:lpwstr>https://intranet.undp.org/unit/office/exo/sp2014/SP201417/_layouts/15/DocIdRedir.aspx?ID=UNITOFFICE-440-1349, UNITOFFICE-440-1349</vt:lpwstr>
  </property>
</Properties>
</file>