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31D7" w14:textId="2EA143D2" w:rsidR="00873FD4" w:rsidRPr="00382791" w:rsidRDefault="00873FD4" w:rsidP="005D7119">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sidR="000647A9">
        <w:rPr>
          <w:rFonts w:ascii="Calibri" w:eastAsia="Calibri" w:hAnsi="Calibri" w:cs="Times New Roman"/>
          <w:b/>
          <w:sz w:val="24"/>
          <w:szCs w:val="24"/>
        </w:rPr>
        <w:t xml:space="preserve">SOMALIA </w:t>
      </w:r>
      <w:r>
        <w:rPr>
          <w:rFonts w:ascii="Calibri" w:eastAsia="Calibri" w:hAnsi="Calibri" w:cs="Times New Roman"/>
          <w:b/>
          <w:sz w:val="24"/>
          <w:szCs w:val="24"/>
        </w:rPr>
        <w:t>(2021-2025)</w:t>
      </w:r>
    </w:p>
    <w:p w14:paraId="0127CEB0" w14:textId="77777777" w:rsidR="00873FD4" w:rsidRDefault="00873FD4" w:rsidP="00873FD4">
      <w:pPr>
        <w:spacing w:line="240" w:lineRule="auto"/>
        <w:jc w:val="center"/>
        <w:rPr>
          <w:rFonts w:cs="Times New Roman"/>
          <w:i/>
          <w:sz w:val="24"/>
          <w:szCs w:val="24"/>
        </w:rPr>
      </w:pPr>
      <w:r>
        <w:rPr>
          <w:rFonts w:cs="Times New Roman"/>
          <w:i/>
          <w:sz w:val="24"/>
          <w:szCs w:val="24"/>
        </w:rPr>
        <w:t>First regular session 2021</w:t>
      </w:r>
    </w:p>
    <w:tbl>
      <w:tblPr>
        <w:tblStyle w:val="TableGrid"/>
        <w:tblW w:w="14434" w:type="dxa"/>
        <w:tblLook w:val="04A0" w:firstRow="1" w:lastRow="0" w:firstColumn="1" w:lastColumn="0" w:noHBand="0" w:noVBand="1"/>
      </w:tblPr>
      <w:tblGrid>
        <w:gridCol w:w="7879"/>
        <w:gridCol w:w="6555"/>
      </w:tblGrid>
      <w:tr w:rsidR="000F7267" w:rsidRPr="00873FD4" w14:paraId="218C0B4A" w14:textId="75A8302A" w:rsidTr="00873FD4">
        <w:trPr>
          <w:trHeight w:val="476"/>
        </w:trPr>
        <w:tc>
          <w:tcPr>
            <w:tcW w:w="7879" w:type="dxa"/>
            <w:vAlign w:val="center"/>
          </w:tcPr>
          <w:p w14:paraId="4E86B9A0" w14:textId="6A46519E" w:rsidR="000F7267" w:rsidRPr="00873FD4" w:rsidRDefault="000F7267" w:rsidP="00A457DA">
            <w:pPr>
              <w:jc w:val="center"/>
              <w:rPr>
                <w:rFonts w:cstheme="minorHAnsi"/>
                <w:b/>
                <w:sz w:val="24"/>
                <w:szCs w:val="24"/>
              </w:rPr>
            </w:pPr>
            <w:r w:rsidRPr="00873FD4">
              <w:rPr>
                <w:rFonts w:cstheme="minorHAnsi"/>
                <w:b/>
                <w:sz w:val="24"/>
                <w:szCs w:val="24"/>
              </w:rPr>
              <w:t xml:space="preserve">Comments by </w:t>
            </w:r>
            <w:r w:rsidR="00873FD4" w:rsidRPr="00873FD4">
              <w:rPr>
                <w:rFonts w:cstheme="minorHAnsi"/>
                <w:b/>
                <w:sz w:val="24"/>
                <w:szCs w:val="24"/>
              </w:rPr>
              <w:t>Sweden</w:t>
            </w:r>
          </w:p>
        </w:tc>
        <w:tc>
          <w:tcPr>
            <w:tcW w:w="6555" w:type="dxa"/>
            <w:vAlign w:val="center"/>
          </w:tcPr>
          <w:p w14:paraId="504CA548" w14:textId="77ACFB91" w:rsidR="000F7267" w:rsidRPr="00873FD4" w:rsidRDefault="00D51353" w:rsidP="00A457DA">
            <w:pPr>
              <w:jc w:val="center"/>
              <w:rPr>
                <w:rFonts w:cstheme="minorHAnsi"/>
                <w:b/>
                <w:sz w:val="24"/>
                <w:szCs w:val="24"/>
              </w:rPr>
            </w:pPr>
            <w:r w:rsidRPr="00873FD4">
              <w:rPr>
                <w:rFonts w:cstheme="minorHAnsi"/>
                <w:b/>
                <w:sz w:val="24"/>
                <w:szCs w:val="24"/>
              </w:rPr>
              <w:t xml:space="preserve">Response by </w:t>
            </w:r>
            <w:r w:rsidR="00345FF6">
              <w:rPr>
                <w:rFonts w:cstheme="minorHAnsi"/>
                <w:b/>
                <w:sz w:val="24"/>
                <w:szCs w:val="24"/>
              </w:rPr>
              <w:t>the C</w:t>
            </w:r>
            <w:r w:rsidRPr="00873FD4">
              <w:rPr>
                <w:rFonts w:cstheme="minorHAnsi"/>
                <w:b/>
                <w:sz w:val="24"/>
                <w:szCs w:val="24"/>
              </w:rPr>
              <w:t xml:space="preserve">ountry </w:t>
            </w:r>
            <w:r w:rsidR="00345FF6">
              <w:rPr>
                <w:rFonts w:cstheme="minorHAnsi"/>
                <w:b/>
                <w:sz w:val="24"/>
                <w:szCs w:val="24"/>
              </w:rPr>
              <w:t>O</w:t>
            </w:r>
            <w:r w:rsidRPr="00873FD4">
              <w:rPr>
                <w:rFonts w:cstheme="minorHAnsi"/>
                <w:b/>
                <w:sz w:val="24"/>
                <w:szCs w:val="24"/>
              </w:rPr>
              <w:t xml:space="preserve">ffice </w:t>
            </w:r>
          </w:p>
        </w:tc>
      </w:tr>
      <w:tr w:rsidR="000F7267" w:rsidRPr="00873FD4" w14:paraId="59FFD639" w14:textId="276D95E5" w:rsidTr="00873FD4">
        <w:trPr>
          <w:trHeight w:val="5453"/>
        </w:trPr>
        <w:tc>
          <w:tcPr>
            <w:tcW w:w="7879" w:type="dxa"/>
          </w:tcPr>
          <w:p w14:paraId="106DA92D" w14:textId="7D166C31" w:rsidR="000F7267" w:rsidRPr="00873FD4" w:rsidRDefault="000F7267" w:rsidP="00873FD4">
            <w:pPr>
              <w:rPr>
                <w:rFonts w:cstheme="minorHAnsi"/>
                <w:sz w:val="24"/>
                <w:szCs w:val="24"/>
              </w:rPr>
            </w:pPr>
            <w:r w:rsidRPr="00873FD4">
              <w:rPr>
                <w:rFonts w:cstheme="minorHAnsi"/>
                <w:sz w:val="24"/>
                <w:szCs w:val="24"/>
              </w:rPr>
              <w:t xml:space="preserve">In September 2020, UNDP made a request to the Embassy of Sweden, to comment on the e-review of the zero-draft Country Programme Document 2021-25.  We reviewed the document and were happy to note that the CPD for Somalia, though general, was quite elaborate in areas of focus and was aligned to the UNCF 2021-2025 and Somalia’s NDP 9 2020-2024. It accordingly also corresponded to Sweden’s Strategy for Development Cooperation in Somalia 2018-2022.  Reviewing the final draft of the CDP, it is still a general read but gives a good indication of specific areas of focus under each programme priority area.  It is building on progress from the previous period but unfortunately does not mention lessons learnt and how these have informed this document, what did not work well and how that can be improved.  UNDP has had challenges at the political level, with consequences for programme results - Sexual Offences Bill (SOB) and Joint Security Sector Governance Programme (JSSGP) being examples of this.  Political risk is mentioned in small paragraph under programme risk.  Given the extent political risks impact on programming, UNDP should elaborate how engagement at the political level can be improved and reflect more on challenges faced in  working in a difficult political environment.  </w:t>
            </w:r>
          </w:p>
        </w:tc>
        <w:tc>
          <w:tcPr>
            <w:tcW w:w="6555" w:type="dxa"/>
          </w:tcPr>
          <w:p w14:paraId="33B78ABE" w14:textId="682CD1B1" w:rsidR="000C6EB6" w:rsidRPr="00873FD4" w:rsidRDefault="00E40F69" w:rsidP="00873FD4">
            <w:pPr>
              <w:pStyle w:val="NormalWeb"/>
              <w:numPr>
                <w:ilvl w:val="0"/>
                <w:numId w:val="18"/>
              </w:numPr>
              <w:shd w:val="clear" w:color="auto" w:fill="FFFFFF" w:themeFill="background1"/>
              <w:spacing w:before="0" w:beforeAutospacing="0" w:after="0" w:afterAutospacing="0"/>
              <w:jc w:val="both"/>
              <w:textAlignment w:val="baseline"/>
              <w:rPr>
                <w:rFonts w:asciiTheme="minorHAnsi" w:hAnsiTheme="minorHAnsi" w:cstheme="minorHAnsi"/>
              </w:rPr>
            </w:pPr>
            <w:r w:rsidRPr="00873FD4">
              <w:rPr>
                <w:rFonts w:asciiTheme="minorHAnsi" w:hAnsiTheme="minorHAnsi" w:cstheme="minorHAnsi"/>
              </w:rPr>
              <w:t xml:space="preserve">Paragraph 14 (page 4) </w:t>
            </w:r>
            <w:r w:rsidR="000C6EB6" w:rsidRPr="00873FD4">
              <w:rPr>
                <w:rFonts w:asciiTheme="minorHAnsi" w:hAnsiTheme="minorHAnsi" w:cstheme="minorHAnsi"/>
              </w:rPr>
              <w:t xml:space="preserve">indicates that the CPD is informed by lessons learned from previous programming periods, the independent country programme evaluation 2019, and sector-specific plans. </w:t>
            </w:r>
            <w:r w:rsidR="00C95EC5" w:rsidRPr="00873FD4">
              <w:rPr>
                <w:rFonts w:asciiTheme="minorHAnsi" w:hAnsiTheme="minorHAnsi" w:cstheme="minorHAnsi"/>
              </w:rPr>
              <w:t xml:space="preserve">Although </w:t>
            </w:r>
            <w:r w:rsidR="000C6EB6" w:rsidRPr="00873FD4">
              <w:rPr>
                <w:rFonts w:asciiTheme="minorHAnsi" w:hAnsiTheme="minorHAnsi" w:cstheme="minorHAnsi"/>
              </w:rPr>
              <w:t xml:space="preserve">specific lessons learned are outlined in the evaluation reports of respective </w:t>
            </w:r>
            <w:r w:rsidR="00C95EC5" w:rsidRPr="00873FD4">
              <w:rPr>
                <w:rFonts w:asciiTheme="minorHAnsi" w:hAnsiTheme="minorHAnsi" w:cstheme="minorHAnsi"/>
              </w:rPr>
              <w:t xml:space="preserve">programmes/projects, these have informed the strategies proposed for taking forward the CPD (2021-2025) </w:t>
            </w:r>
            <w:r w:rsidR="000C6EB6" w:rsidRPr="00873FD4">
              <w:rPr>
                <w:rFonts w:asciiTheme="minorHAnsi" w:hAnsiTheme="minorHAnsi" w:cstheme="minorHAnsi"/>
              </w:rPr>
              <w:t xml:space="preserve">such as </w:t>
            </w:r>
            <w:r w:rsidR="00B478FF" w:rsidRPr="00873FD4">
              <w:rPr>
                <w:rFonts w:asciiTheme="minorHAnsi" w:hAnsiTheme="minorHAnsi" w:cstheme="minorHAnsi"/>
              </w:rPr>
              <w:t xml:space="preserve">integrated </w:t>
            </w:r>
            <w:r w:rsidR="00386EDB" w:rsidRPr="00873FD4">
              <w:rPr>
                <w:rFonts w:asciiTheme="minorHAnsi" w:hAnsiTheme="minorHAnsi" w:cstheme="minorHAnsi"/>
              </w:rPr>
              <w:t xml:space="preserve">programming, </w:t>
            </w:r>
            <w:r w:rsidR="000C6EB6" w:rsidRPr="00873FD4">
              <w:rPr>
                <w:rFonts w:asciiTheme="minorHAnsi" w:hAnsiTheme="minorHAnsi" w:cstheme="minorHAnsi"/>
              </w:rPr>
              <w:t>capacity development, area-based and joint programming modalities</w:t>
            </w:r>
            <w:r w:rsidR="00386EDB" w:rsidRPr="00873FD4">
              <w:rPr>
                <w:rFonts w:asciiTheme="minorHAnsi" w:hAnsiTheme="minorHAnsi" w:cstheme="minorHAnsi"/>
              </w:rPr>
              <w:t>.</w:t>
            </w:r>
          </w:p>
          <w:p w14:paraId="3B8BB76D" w14:textId="77777777" w:rsidR="008D39B2" w:rsidRPr="00873FD4" w:rsidRDefault="008D39B2" w:rsidP="00873FD4">
            <w:pPr>
              <w:pStyle w:val="NormalWeb"/>
              <w:shd w:val="clear" w:color="auto" w:fill="FFFFFF" w:themeFill="background1"/>
              <w:spacing w:before="0" w:beforeAutospacing="0" w:after="0" w:afterAutospacing="0"/>
              <w:ind w:left="360"/>
              <w:jc w:val="both"/>
              <w:textAlignment w:val="baseline"/>
              <w:rPr>
                <w:rFonts w:asciiTheme="minorHAnsi" w:hAnsiTheme="minorHAnsi" w:cstheme="minorHAnsi"/>
              </w:rPr>
            </w:pPr>
          </w:p>
          <w:p w14:paraId="321C4AC2" w14:textId="7AF153D2" w:rsidR="000F7267" w:rsidRPr="00873FD4" w:rsidRDefault="008D39B2" w:rsidP="00873FD4">
            <w:pPr>
              <w:pStyle w:val="NormalWeb"/>
              <w:numPr>
                <w:ilvl w:val="0"/>
                <w:numId w:val="14"/>
              </w:numPr>
              <w:shd w:val="clear" w:color="auto" w:fill="FFFFFF" w:themeFill="background1"/>
              <w:spacing w:before="0" w:beforeAutospacing="0" w:after="0" w:afterAutospacing="0"/>
              <w:jc w:val="both"/>
              <w:textAlignment w:val="baseline"/>
              <w:rPr>
                <w:rFonts w:asciiTheme="minorHAnsi" w:hAnsiTheme="minorHAnsi" w:cstheme="minorHAnsi"/>
              </w:rPr>
            </w:pPr>
            <w:r w:rsidRPr="00873FD4">
              <w:rPr>
                <w:rFonts w:asciiTheme="minorHAnsi" w:hAnsiTheme="minorHAnsi" w:cstheme="minorHAnsi"/>
              </w:rPr>
              <w:t xml:space="preserve">Paragraph 23 (page 7) revised to reflect </w:t>
            </w:r>
            <w:r w:rsidR="001E0D9D" w:rsidRPr="00873FD4">
              <w:rPr>
                <w:rFonts w:asciiTheme="minorHAnsi" w:hAnsiTheme="minorHAnsi" w:cstheme="minorHAnsi"/>
              </w:rPr>
              <w:t>mitigation measures against political risks including continuous dialogue at the political level a</w:t>
            </w:r>
            <w:r w:rsidR="00CA01E6" w:rsidRPr="00873FD4">
              <w:rPr>
                <w:rFonts w:asciiTheme="minorHAnsi" w:hAnsiTheme="minorHAnsi" w:cstheme="minorHAnsi"/>
              </w:rPr>
              <w:t xml:space="preserve">s well as </w:t>
            </w:r>
            <w:r w:rsidR="001E0D9D" w:rsidRPr="00873FD4">
              <w:rPr>
                <w:rFonts w:asciiTheme="minorHAnsi" w:hAnsiTheme="minorHAnsi" w:cstheme="minorHAnsi"/>
              </w:rPr>
              <w:t xml:space="preserve">institutionalization of </w:t>
            </w:r>
            <w:r w:rsidR="00B95A6E" w:rsidRPr="00873FD4">
              <w:rPr>
                <w:rFonts w:asciiTheme="minorHAnsi" w:hAnsiTheme="minorHAnsi" w:cstheme="minorHAnsi"/>
              </w:rPr>
              <w:t xml:space="preserve">partnership and </w:t>
            </w:r>
            <w:r w:rsidR="001E0D9D" w:rsidRPr="00873FD4">
              <w:rPr>
                <w:rFonts w:asciiTheme="minorHAnsi" w:hAnsiTheme="minorHAnsi" w:cstheme="minorHAnsi"/>
              </w:rPr>
              <w:t xml:space="preserve">accountability frameworks. </w:t>
            </w:r>
            <w:r w:rsidR="001F3943" w:rsidRPr="00873FD4">
              <w:rPr>
                <w:rFonts w:asciiTheme="minorHAnsi" w:hAnsiTheme="minorHAnsi" w:cstheme="minorHAnsi"/>
              </w:rPr>
              <w:t>In addition, p</w:t>
            </w:r>
            <w:r w:rsidR="00FB2D05" w:rsidRPr="00873FD4">
              <w:rPr>
                <w:rFonts w:asciiTheme="minorHAnsi" w:hAnsiTheme="minorHAnsi" w:cstheme="minorHAnsi"/>
              </w:rPr>
              <w:t xml:space="preserve">aragraphs </w:t>
            </w:r>
            <w:r w:rsidR="00B07818" w:rsidRPr="00873FD4">
              <w:rPr>
                <w:rFonts w:asciiTheme="minorHAnsi" w:hAnsiTheme="minorHAnsi" w:cstheme="minorHAnsi"/>
              </w:rPr>
              <w:t xml:space="preserve">17 </w:t>
            </w:r>
            <w:r w:rsidR="001935A4" w:rsidRPr="00873FD4">
              <w:rPr>
                <w:rFonts w:asciiTheme="minorHAnsi" w:hAnsiTheme="minorHAnsi" w:cstheme="minorHAnsi"/>
              </w:rPr>
              <w:t xml:space="preserve">and </w:t>
            </w:r>
            <w:r w:rsidR="000F7267" w:rsidRPr="00873FD4">
              <w:rPr>
                <w:rFonts w:asciiTheme="minorHAnsi" w:hAnsiTheme="minorHAnsi" w:cstheme="minorHAnsi"/>
              </w:rPr>
              <w:t>18e</w:t>
            </w:r>
            <w:r w:rsidR="001935A4" w:rsidRPr="00873FD4">
              <w:rPr>
                <w:rFonts w:asciiTheme="minorHAnsi" w:hAnsiTheme="minorHAnsi" w:cstheme="minorHAnsi"/>
              </w:rPr>
              <w:t xml:space="preserve"> indicate </w:t>
            </w:r>
            <w:r w:rsidR="00B95A6E" w:rsidRPr="00873FD4">
              <w:rPr>
                <w:rFonts w:asciiTheme="minorHAnsi" w:hAnsiTheme="minorHAnsi" w:cstheme="minorHAnsi"/>
              </w:rPr>
              <w:t>partnership strategies that would be adopted</w:t>
            </w:r>
            <w:r w:rsidR="00CA01E6" w:rsidRPr="00873FD4">
              <w:rPr>
                <w:rFonts w:asciiTheme="minorHAnsi" w:hAnsiTheme="minorHAnsi" w:cstheme="minorHAnsi"/>
              </w:rPr>
              <w:t xml:space="preserve"> in taking forward sensitive and political issues </w:t>
            </w:r>
            <w:r w:rsidR="001F3943" w:rsidRPr="00873FD4">
              <w:rPr>
                <w:rFonts w:asciiTheme="minorHAnsi" w:hAnsiTheme="minorHAnsi" w:cstheme="minorHAnsi"/>
              </w:rPr>
              <w:t xml:space="preserve">such as the </w:t>
            </w:r>
            <w:r w:rsidR="000F7267" w:rsidRPr="00873FD4">
              <w:rPr>
                <w:rFonts w:asciiTheme="minorHAnsi" w:hAnsiTheme="minorHAnsi" w:cstheme="minorHAnsi"/>
              </w:rPr>
              <w:t>SOB</w:t>
            </w:r>
            <w:r w:rsidR="001F3943" w:rsidRPr="00873FD4">
              <w:rPr>
                <w:rFonts w:asciiTheme="minorHAnsi" w:hAnsiTheme="minorHAnsi" w:cstheme="minorHAnsi"/>
              </w:rPr>
              <w:t xml:space="preserve"> and </w:t>
            </w:r>
            <w:r w:rsidR="000F7267" w:rsidRPr="00873FD4">
              <w:rPr>
                <w:rFonts w:asciiTheme="minorHAnsi" w:hAnsiTheme="minorHAnsi" w:cstheme="minorHAnsi"/>
              </w:rPr>
              <w:t>human rights issues</w:t>
            </w:r>
            <w:r w:rsidR="00176100" w:rsidRPr="00873FD4">
              <w:rPr>
                <w:rFonts w:asciiTheme="minorHAnsi" w:hAnsiTheme="minorHAnsi" w:cstheme="minorHAnsi"/>
              </w:rPr>
              <w:t xml:space="preserve"> (see page 5)</w:t>
            </w:r>
            <w:r w:rsidR="001F3943" w:rsidRPr="00873FD4">
              <w:rPr>
                <w:rFonts w:asciiTheme="minorHAnsi" w:hAnsiTheme="minorHAnsi" w:cstheme="minorHAnsi"/>
              </w:rPr>
              <w:t>.</w:t>
            </w:r>
          </w:p>
        </w:tc>
      </w:tr>
      <w:tr w:rsidR="000F7267" w:rsidRPr="00873FD4" w14:paraId="1F829039" w14:textId="026CC2C8" w:rsidTr="000F7267">
        <w:trPr>
          <w:trHeight w:val="476"/>
        </w:trPr>
        <w:tc>
          <w:tcPr>
            <w:tcW w:w="7879" w:type="dxa"/>
            <w:vAlign w:val="center"/>
          </w:tcPr>
          <w:p w14:paraId="30A2FFE1" w14:textId="77777777" w:rsidR="000F7267" w:rsidRPr="00873FD4" w:rsidRDefault="000F7267" w:rsidP="00576B0F">
            <w:pPr>
              <w:rPr>
                <w:rFonts w:cstheme="minorHAnsi"/>
                <w:sz w:val="24"/>
                <w:szCs w:val="24"/>
                <w:lang w:val="en-US"/>
              </w:rPr>
            </w:pPr>
            <w:r w:rsidRPr="00873FD4">
              <w:rPr>
                <w:rFonts w:cstheme="minorHAnsi"/>
                <w:sz w:val="24"/>
                <w:szCs w:val="24"/>
                <w:lang w:val="en-US"/>
              </w:rPr>
              <w:t>Specific comments under each programme priorities:</w:t>
            </w:r>
          </w:p>
          <w:p w14:paraId="783F2870" w14:textId="77777777" w:rsidR="000F7267" w:rsidRPr="00873FD4" w:rsidRDefault="000F7267" w:rsidP="00576B0F">
            <w:pPr>
              <w:rPr>
                <w:rFonts w:cstheme="minorHAnsi"/>
                <w:sz w:val="24"/>
                <w:szCs w:val="24"/>
                <w:lang w:val="en-US"/>
              </w:rPr>
            </w:pPr>
          </w:p>
          <w:p w14:paraId="29FF3864" w14:textId="73E56603" w:rsidR="000F7267" w:rsidRPr="00873FD4" w:rsidRDefault="000F7267" w:rsidP="00576B0F">
            <w:pPr>
              <w:pStyle w:val="ListParagraph"/>
              <w:numPr>
                <w:ilvl w:val="0"/>
                <w:numId w:val="12"/>
              </w:numPr>
              <w:contextualSpacing w:val="0"/>
              <w:rPr>
                <w:rFonts w:eastAsia="Times New Roman" w:cstheme="minorHAnsi"/>
                <w:sz w:val="24"/>
                <w:szCs w:val="24"/>
                <w:lang w:val="en-US"/>
              </w:rPr>
            </w:pPr>
            <w:r w:rsidRPr="00873FD4">
              <w:rPr>
                <w:rFonts w:eastAsia="Times New Roman" w:cstheme="minorHAnsi"/>
                <w:b/>
                <w:bCs/>
                <w:sz w:val="24"/>
                <w:szCs w:val="24"/>
                <w:lang w:val="en-US"/>
              </w:rPr>
              <w:t>Governance, inclusive politics and reconciliation</w:t>
            </w:r>
            <w:r w:rsidRPr="00873FD4">
              <w:rPr>
                <w:rFonts w:eastAsia="Times New Roman" w:cstheme="minorHAnsi"/>
                <w:sz w:val="24"/>
                <w:szCs w:val="24"/>
                <w:lang w:val="en-US"/>
              </w:rPr>
              <w:t xml:space="preserve">: On the Constitution Review Process, the text refers to adopting the constitution but, in the results framework, it mentions targeting 18 articles.  The target should be the adoption of all articles after the review. In elections, the target in the results framework is 50% of voters registered but not sure </w:t>
            </w:r>
            <w:r w:rsidRPr="00873FD4">
              <w:rPr>
                <w:rFonts w:eastAsia="Times New Roman" w:cstheme="minorHAnsi"/>
                <w:sz w:val="24"/>
                <w:szCs w:val="24"/>
                <w:lang w:val="en-US"/>
              </w:rPr>
              <w:lastRenderedPageBreak/>
              <w:t>against what. In the preparations for one person one vote elections in 2020, the target was 3million voters. On women quota, the text refers to federal and member state levels, but the baseline used is for federal parliament (24%), which isn’t representative of the Federal Member State level</w:t>
            </w:r>
            <w:r w:rsidRPr="00873FD4">
              <w:rPr>
                <w:rFonts w:eastAsia="Times New Roman" w:cstheme="minorHAnsi"/>
                <w:sz w:val="24"/>
                <w:szCs w:val="24"/>
                <w:lang w:val="en-GB"/>
              </w:rPr>
              <w:t>.</w:t>
            </w:r>
          </w:p>
          <w:p w14:paraId="3F2316CA" w14:textId="12F8F2EE" w:rsidR="000F7267" w:rsidRPr="00873FD4" w:rsidRDefault="000F7267" w:rsidP="00576B0F">
            <w:pPr>
              <w:pStyle w:val="ListParagraph"/>
              <w:ind w:left="0"/>
              <w:rPr>
                <w:rFonts w:cstheme="minorHAnsi"/>
                <w:sz w:val="24"/>
                <w:szCs w:val="24"/>
                <w:highlight w:val="yellow"/>
                <w:lang w:val="en-US" w:eastAsia="sv-SE"/>
              </w:rPr>
            </w:pPr>
          </w:p>
          <w:p w14:paraId="738C54F9" w14:textId="69A4BD5B" w:rsidR="006B3D46" w:rsidRPr="00873FD4" w:rsidRDefault="006B3D46" w:rsidP="00576B0F">
            <w:pPr>
              <w:pStyle w:val="ListParagraph"/>
              <w:ind w:left="0"/>
              <w:rPr>
                <w:rFonts w:cstheme="minorHAnsi"/>
                <w:sz w:val="24"/>
                <w:szCs w:val="24"/>
                <w:highlight w:val="yellow"/>
                <w:lang w:val="en-US" w:eastAsia="sv-SE"/>
              </w:rPr>
            </w:pPr>
          </w:p>
          <w:p w14:paraId="70013149" w14:textId="78CCA691" w:rsidR="006B3D46" w:rsidRPr="00873FD4" w:rsidRDefault="006B3D46" w:rsidP="00576B0F">
            <w:pPr>
              <w:pStyle w:val="ListParagraph"/>
              <w:ind w:left="0"/>
              <w:rPr>
                <w:rFonts w:cstheme="minorHAnsi"/>
                <w:sz w:val="24"/>
                <w:szCs w:val="24"/>
                <w:highlight w:val="yellow"/>
                <w:lang w:val="en-US" w:eastAsia="sv-SE"/>
              </w:rPr>
            </w:pPr>
          </w:p>
          <w:p w14:paraId="5E1EFBFD" w14:textId="0874C770" w:rsidR="006B3D46" w:rsidRPr="00873FD4" w:rsidRDefault="006B3D46" w:rsidP="00576B0F">
            <w:pPr>
              <w:pStyle w:val="ListParagraph"/>
              <w:ind w:left="0"/>
              <w:rPr>
                <w:rFonts w:cstheme="minorHAnsi"/>
                <w:sz w:val="24"/>
                <w:szCs w:val="24"/>
                <w:highlight w:val="yellow"/>
                <w:lang w:val="en-US" w:eastAsia="sv-SE"/>
              </w:rPr>
            </w:pPr>
          </w:p>
          <w:p w14:paraId="0313BCC1" w14:textId="273CD9E8" w:rsidR="00DC65CB" w:rsidRPr="00873FD4" w:rsidRDefault="00DC65CB" w:rsidP="00576B0F">
            <w:pPr>
              <w:pStyle w:val="ListParagraph"/>
              <w:ind w:left="0"/>
              <w:rPr>
                <w:rFonts w:cstheme="minorHAnsi"/>
                <w:sz w:val="24"/>
                <w:szCs w:val="24"/>
                <w:highlight w:val="yellow"/>
                <w:lang w:val="en-US" w:eastAsia="sv-SE"/>
              </w:rPr>
            </w:pPr>
          </w:p>
          <w:p w14:paraId="6480700C" w14:textId="2E577A3E" w:rsidR="00DC65CB" w:rsidRPr="00873FD4" w:rsidRDefault="00DC65CB" w:rsidP="00576B0F">
            <w:pPr>
              <w:pStyle w:val="ListParagraph"/>
              <w:ind w:left="0"/>
              <w:rPr>
                <w:rFonts w:cstheme="minorHAnsi"/>
                <w:sz w:val="24"/>
                <w:szCs w:val="24"/>
                <w:highlight w:val="yellow"/>
                <w:lang w:val="en-US" w:eastAsia="sv-SE"/>
              </w:rPr>
            </w:pPr>
          </w:p>
          <w:p w14:paraId="6CF955FE" w14:textId="3464D754" w:rsidR="00DC65CB" w:rsidRPr="00873FD4" w:rsidRDefault="00DC65CB" w:rsidP="00576B0F">
            <w:pPr>
              <w:pStyle w:val="ListParagraph"/>
              <w:ind w:left="0"/>
              <w:rPr>
                <w:rFonts w:cstheme="minorHAnsi"/>
                <w:sz w:val="24"/>
                <w:szCs w:val="24"/>
                <w:highlight w:val="yellow"/>
                <w:lang w:val="en-US" w:eastAsia="sv-SE"/>
              </w:rPr>
            </w:pPr>
          </w:p>
          <w:p w14:paraId="1BA57447" w14:textId="356A9B90" w:rsidR="00DC65CB" w:rsidRPr="00873FD4" w:rsidRDefault="00DC65CB" w:rsidP="00576B0F">
            <w:pPr>
              <w:pStyle w:val="ListParagraph"/>
              <w:ind w:left="0"/>
              <w:rPr>
                <w:rFonts w:cstheme="minorHAnsi"/>
                <w:sz w:val="24"/>
                <w:szCs w:val="24"/>
                <w:highlight w:val="yellow"/>
                <w:lang w:val="en-US" w:eastAsia="sv-SE"/>
              </w:rPr>
            </w:pPr>
          </w:p>
          <w:p w14:paraId="55DEBFFF" w14:textId="5D788DED" w:rsidR="00DC65CB" w:rsidRPr="00873FD4" w:rsidRDefault="00DC65CB" w:rsidP="00576B0F">
            <w:pPr>
              <w:pStyle w:val="ListParagraph"/>
              <w:ind w:left="0"/>
              <w:rPr>
                <w:rFonts w:cstheme="minorHAnsi"/>
                <w:sz w:val="24"/>
                <w:szCs w:val="24"/>
                <w:highlight w:val="yellow"/>
                <w:lang w:val="en-US" w:eastAsia="sv-SE"/>
              </w:rPr>
            </w:pPr>
          </w:p>
          <w:p w14:paraId="74E99356" w14:textId="3FC64D11" w:rsidR="00DC65CB" w:rsidRPr="00873FD4" w:rsidRDefault="00DC65CB" w:rsidP="00576B0F">
            <w:pPr>
              <w:pStyle w:val="ListParagraph"/>
              <w:ind w:left="0"/>
              <w:rPr>
                <w:rFonts w:cstheme="minorHAnsi"/>
                <w:sz w:val="24"/>
                <w:szCs w:val="24"/>
                <w:highlight w:val="yellow"/>
                <w:lang w:val="en-US" w:eastAsia="sv-SE"/>
              </w:rPr>
            </w:pPr>
          </w:p>
          <w:p w14:paraId="358764B6" w14:textId="262F644C" w:rsidR="00DC65CB" w:rsidRPr="00873FD4" w:rsidRDefault="00DC65CB" w:rsidP="00576B0F">
            <w:pPr>
              <w:pStyle w:val="ListParagraph"/>
              <w:ind w:left="0"/>
              <w:rPr>
                <w:rFonts w:cstheme="minorHAnsi"/>
                <w:sz w:val="24"/>
                <w:szCs w:val="24"/>
                <w:highlight w:val="yellow"/>
                <w:lang w:val="en-US" w:eastAsia="sv-SE"/>
              </w:rPr>
            </w:pPr>
          </w:p>
          <w:p w14:paraId="03278AB5" w14:textId="1F010617" w:rsidR="00DC65CB" w:rsidRPr="00873FD4" w:rsidRDefault="00DC65CB" w:rsidP="00576B0F">
            <w:pPr>
              <w:pStyle w:val="ListParagraph"/>
              <w:ind w:left="0"/>
              <w:rPr>
                <w:rFonts w:cstheme="minorHAnsi"/>
                <w:sz w:val="24"/>
                <w:szCs w:val="24"/>
                <w:highlight w:val="yellow"/>
                <w:lang w:val="en-US" w:eastAsia="sv-SE"/>
              </w:rPr>
            </w:pPr>
          </w:p>
          <w:p w14:paraId="05536D03" w14:textId="6C89CF99" w:rsidR="00DC65CB" w:rsidRPr="00873FD4" w:rsidRDefault="00DC65CB" w:rsidP="00576B0F">
            <w:pPr>
              <w:pStyle w:val="ListParagraph"/>
              <w:ind w:left="0"/>
              <w:rPr>
                <w:rFonts w:cstheme="minorHAnsi"/>
                <w:sz w:val="24"/>
                <w:szCs w:val="24"/>
                <w:highlight w:val="yellow"/>
                <w:lang w:val="en-US" w:eastAsia="sv-SE"/>
              </w:rPr>
            </w:pPr>
          </w:p>
          <w:p w14:paraId="7DEE13AB" w14:textId="31758753" w:rsidR="00DC65CB" w:rsidRPr="00873FD4" w:rsidRDefault="00DC65CB" w:rsidP="00576B0F">
            <w:pPr>
              <w:pStyle w:val="ListParagraph"/>
              <w:ind w:left="0"/>
              <w:rPr>
                <w:rFonts w:cstheme="minorHAnsi"/>
                <w:sz w:val="24"/>
                <w:szCs w:val="24"/>
                <w:highlight w:val="yellow"/>
                <w:lang w:val="en-US" w:eastAsia="sv-SE"/>
              </w:rPr>
            </w:pPr>
          </w:p>
          <w:p w14:paraId="04D54CE7" w14:textId="05F3F3EB" w:rsidR="00DC65CB" w:rsidRPr="00873FD4" w:rsidRDefault="00DC65CB" w:rsidP="00576B0F">
            <w:pPr>
              <w:pStyle w:val="ListParagraph"/>
              <w:ind w:left="0"/>
              <w:rPr>
                <w:rFonts w:cstheme="minorHAnsi"/>
                <w:sz w:val="24"/>
                <w:szCs w:val="24"/>
                <w:highlight w:val="yellow"/>
                <w:lang w:val="en-US" w:eastAsia="sv-SE"/>
              </w:rPr>
            </w:pPr>
          </w:p>
          <w:p w14:paraId="7AE1221C" w14:textId="29E67EAA" w:rsidR="00DC65CB" w:rsidRPr="00873FD4" w:rsidRDefault="00DC65CB" w:rsidP="00576B0F">
            <w:pPr>
              <w:pStyle w:val="ListParagraph"/>
              <w:ind w:left="0"/>
              <w:rPr>
                <w:rFonts w:cstheme="minorHAnsi"/>
                <w:sz w:val="24"/>
                <w:szCs w:val="24"/>
                <w:highlight w:val="yellow"/>
                <w:lang w:val="en-US" w:eastAsia="sv-SE"/>
              </w:rPr>
            </w:pPr>
          </w:p>
          <w:p w14:paraId="0A960838" w14:textId="77777777" w:rsidR="00DC65CB" w:rsidRPr="00873FD4" w:rsidRDefault="00DC65CB" w:rsidP="00576B0F">
            <w:pPr>
              <w:pStyle w:val="ListParagraph"/>
              <w:ind w:left="0"/>
              <w:rPr>
                <w:rFonts w:cstheme="minorHAnsi"/>
                <w:sz w:val="24"/>
                <w:szCs w:val="24"/>
                <w:highlight w:val="yellow"/>
                <w:lang w:val="en-US" w:eastAsia="sv-SE"/>
              </w:rPr>
            </w:pPr>
          </w:p>
          <w:p w14:paraId="13535D37" w14:textId="002BB704" w:rsidR="006B3D46" w:rsidRPr="00873FD4" w:rsidRDefault="006B3D46" w:rsidP="00576B0F">
            <w:pPr>
              <w:pStyle w:val="ListParagraph"/>
              <w:ind w:left="0"/>
              <w:rPr>
                <w:rFonts w:cstheme="minorHAnsi"/>
                <w:sz w:val="24"/>
                <w:szCs w:val="24"/>
                <w:highlight w:val="yellow"/>
                <w:lang w:val="en-US" w:eastAsia="sv-SE"/>
              </w:rPr>
            </w:pPr>
          </w:p>
          <w:p w14:paraId="402E21A5" w14:textId="053F4C10" w:rsidR="000F7267" w:rsidRPr="00873FD4" w:rsidRDefault="000F7267" w:rsidP="00576B0F">
            <w:pPr>
              <w:pStyle w:val="ListParagraph"/>
              <w:rPr>
                <w:rFonts w:cstheme="minorHAnsi"/>
                <w:sz w:val="24"/>
                <w:szCs w:val="24"/>
                <w:lang w:val="en-US"/>
              </w:rPr>
            </w:pPr>
            <w:r w:rsidRPr="00873FD4">
              <w:rPr>
                <w:rFonts w:cstheme="minorHAnsi"/>
                <w:sz w:val="24"/>
                <w:szCs w:val="24"/>
                <w:lang w:val="en-US"/>
              </w:rPr>
              <w:t xml:space="preserve">On reconciliation, it is good to note the continued focus on the National Reconciliation Framework (NRF)/National Reconciliation Process (NRP). A reference to the inclusion of women and youth -in line with resolutions 1325 and 2250 – is missing and should be included. </w:t>
            </w:r>
          </w:p>
          <w:p w14:paraId="44CD7DC0" w14:textId="0A7B34A2" w:rsidR="000F7267" w:rsidRPr="00873FD4" w:rsidRDefault="000F7267" w:rsidP="00576B0F">
            <w:pPr>
              <w:rPr>
                <w:rFonts w:cstheme="minorHAnsi"/>
                <w:sz w:val="24"/>
                <w:szCs w:val="24"/>
                <w:lang w:val="en-US"/>
              </w:rPr>
            </w:pPr>
          </w:p>
          <w:p w14:paraId="339EED04" w14:textId="38C5F242" w:rsidR="00CC69FC" w:rsidRPr="00873FD4" w:rsidRDefault="00CC69FC" w:rsidP="00576B0F">
            <w:pPr>
              <w:rPr>
                <w:rFonts w:cstheme="minorHAnsi"/>
                <w:sz w:val="24"/>
                <w:szCs w:val="24"/>
                <w:lang w:val="en-US"/>
              </w:rPr>
            </w:pPr>
          </w:p>
          <w:p w14:paraId="1CEBA45F" w14:textId="170D948D" w:rsidR="00DC65CB" w:rsidRPr="00873FD4" w:rsidRDefault="00DC65CB" w:rsidP="00576B0F">
            <w:pPr>
              <w:rPr>
                <w:rFonts w:cstheme="minorHAnsi"/>
                <w:sz w:val="24"/>
                <w:szCs w:val="24"/>
                <w:lang w:val="en-US"/>
              </w:rPr>
            </w:pPr>
          </w:p>
          <w:p w14:paraId="7F0895FF" w14:textId="076F615C" w:rsidR="00DC65CB" w:rsidRPr="00873FD4" w:rsidRDefault="00DC65CB" w:rsidP="00576B0F">
            <w:pPr>
              <w:rPr>
                <w:rFonts w:cstheme="minorHAnsi"/>
                <w:sz w:val="24"/>
                <w:szCs w:val="24"/>
                <w:lang w:val="en-US"/>
              </w:rPr>
            </w:pPr>
          </w:p>
          <w:p w14:paraId="56F6B480" w14:textId="77777777" w:rsidR="00DC65CB" w:rsidRPr="00873FD4" w:rsidRDefault="00DC65CB" w:rsidP="00576B0F">
            <w:pPr>
              <w:rPr>
                <w:rFonts w:cstheme="minorHAnsi"/>
                <w:sz w:val="24"/>
                <w:szCs w:val="24"/>
                <w:lang w:val="en-US"/>
              </w:rPr>
            </w:pPr>
          </w:p>
          <w:p w14:paraId="1A5DFB2E" w14:textId="718D30CF" w:rsidR="000F7267" w:rsidRPr="00873FD4" w:rsidRDefault="000F7267" w:rsidP="00576B0F">
            <w:pPr>
              <w:pStyle w:val="ListParagraph"/>
              <w:numPr>
                <w:ilvl w:val="0"/>
                <w:numId w:val="12"/>
              </w:numPr>
              <w:contextualSpacing w:val="0"/>
              <w:rPr>
                <w:rFonts w:eastAsia="Times New Roman" w:cstheme="minorHAnsi"/>
                <w:sz w:val="24"/>
                <w:szCs w:val="24"/>
                <w:lang w:val="en-US"/>
              </w:rPr>
            </w:pPr>
            <w:r w:rsidRPr="00873FD4">
              <w:rPr>
                <w:rFonts w:eastAsia="Times New Roman" w:cstheme="minorHAnsi"/>
                <w:b/>
                <w:bCs/>
                <w:sz w:val="24"/>
                <w:szCs w:val="24"/>
                <w:lang w:val="en-US"/>
              </w:rPr>
              <w:t>Security, rule of law and access to justice</w:t>
            </w:r>
            <w:r w:rsidRPr="00873FD4">
              <w:rPr>
                <w:rFonts w:eastAsia="Times New Roman" w:cstheme="minorHAnsi"/>
                <w:sz w:val="24"/>
                <w:szCs w:val="24"/>
                <w:lang w:val="en-US"/>
              </w:rPr>
              <w:t xml:space="preserve">:  On Security, good to note promotion of civilian oversight, with increased involvement of civil society and media. There is no mention of the implementation of the Transitional plan. On Justice, restorative and transformative justice is a welcome addition pertinent to Somali context.  </w:t>
            </w:r>
          </w:p>
          <w:p w14:paraId="50967028" w14:textId="77777777" w:rsidR="000F7267" w:rsidRPr="00873FD4" w:rsidRDefault="000F7267" w:rsidP="00E81A01">
            <w:pPr>
              <w:pStyle w:val="ListParagraph"/>
              <w:contextualSpacing w:val="0"/>
              <w:rPr>
                <w:rFonts w:eastAsia="Times New Roman" w:cstheme="minorHAnsi"/>
                <w:sz w:val="24"/>
                <w:szCs w:val="24"/>
                <w:lang w:val="en-US"/>
              </w:rPr>
            </w:pPr>
          </w:p>
          <w:p w14:paraId="366DBC01" w14:textId="32A58808" w:rsidR="000F7267" w:rsidRPr="00873FD4" w:rsidRDefault="000F7267" w:rsidP="00E81A01">
            <w:pPr>
              <w:pStyle w:val="ListParagraph"/>
              <w:rPr>
                <w:rFonts w:cstheme="minorHAnsi"/>
                <w:sz w:val="24"/>
                <w:szCs w:val="24"/>
                <w:lang w:val="en-US"/>
              </w:rPr>
            </w:pPr>
            <w:r w:rsidRPr="00873FD4">
              <w:rPr>
                <w:rFonts w:cstheme="minorHAnsi"/>
                <w:sz w:val="24"/>
                <w:szCs w:val="24"/>
                <w:lang w:val="en-US"/>
              </w:rPr>
              <w:t>The CPD proposes to include an extra 27 CSOs to monitor human rights violations. However, the 13 Civil Society Organizations from the last period have not been as effective as expected. Without mention on lessons learnt or what they will do differently, it may be difficult to project more CSOs partners being more effective.</w:t>
            </w:r>
          </w:p>
          <w:p w14:paraId="2AD24A41" w14:textId="6D2FFE65" w:rsidR="000F7267" w:rsidRPr="00873FD4" w:rsidRDefault="000F7267" w:rsidP="00576B0F">
            <w:pPr>
              <w:rPr>
                <w:rFonts w:cstheme="minorHAnsi"/>
                <w:sz w:val="24"/>
                <w:szCs w:val="24"/>
                <w:lang w:val="en-US"/>
              </w:rPr>
            </w:pPr>
          </w:p>
          <w:p w14:paraId="653F6B37" w14:textId="4D010701" w:rsidR="007C2BCF" w:rsidRPr="00873FD4" w:rsidRDefault="007C2BCF" w:rsidP="00576B0F">
            <w:pPr>
              <w:rPr>
                <w:rFonts w:cstheme="minorHAnsi"/>
                <w:sz w:val="24"/>
                <w:szCs w:val="24"/>
                <w:lang w:val="en-US"/>
              </w:rPr>
            </w:pPr>
          </w:p>
          <w:p w14:paraId="3B768C07" w14:textId="4DE6BA24" w:rsidR="007C2BCF" w:rsidRPr="00873FD4" w:rsidRDefault="007C2BCF" w:rsidP="00576B0F">
            <w:pPr>
              <w:rPr>
                <w:rFonts w:cstheme="minorHAnsi"/>
                <w:sz w:val="24"/>
                <w:szCs w:val="24"/>
                <w:lang w:val="en-US"/>
              </w:rPr>
            </w:pPr>
          </w:p>
          <w:p w14:paraId="277FC980" w14:textId="6C6205D8" w:rsidR="007C2BCF" w:rsidRPr="00873FD4" w:rsidRDefault="007C2BCF" w:rsidP="00576B0F">
            <w:pPr>
              <w:rPr>
                <w:rFonts w:cstheme="minorHAnsi"/>
                <w:sz w:val="24"/>
                <w:szCs w:val="24"/>
                <w:lang w:val="en-US"/>
              </w:rPr>
            </w:pPr>
          </w:p>
          <w:p w14:paraId="07872137" w14:textId="6611E444" w:rsidR="007C2BCF" w:rsidRPr="00873FD4" w:rsidRDefault="007C2BCF" w:rsidP="00576B0F">
            <w:pPr>
              <w:rPr>
                <w:rFonts w:cstheme="minorHAnsi"/>
                <w:sz w:val="24"/>
                <w:szCs w:val="24"/>
                <w:lang w:val="en-US"/>
              </w:rPr>
            </w:pPr>
          </w:p>
          <w:p w14:paraId="576EE1C3" w14:textId="53D7E69B" w:rsidR="007C2BCF" w:rsidRPr="00873FD4" w:rsidRDefault="007C2BCF" w:rsidP="00576B0F">
            <w:pPr>
              <w:rPr>
                <w:rFonts w:cstheme="minorHAnsi"/>
                <w:sz w:val="24"/>
                <w:szCs w:val="24"/>
                <w:lang w:val="en-US"/>
              </w:rPr>
            </w:pPr>
          </w:p>
          <w:p w14:paraId="1CB6B050" w14:textId="2796A509" w:rsidR="007C2BCF" w:rsidRPr="00873FD4" w:rsidRDefault="007C2BCF" w:rsidP="00576B0F">
            <w:pPr>
              <w:rPr>
                <w:rFonts w:cstheme="minorHAnsi"/>
                <w:sz w:val="24"/>
                <w:szCs w:val="24"/>
                <w:lang w:val="en-US"/>
              </w:rPr>
            </w:pPr>
          </w:p>
          <w:p w14:paraId="5946180B" w14:textId="71154CAA" w:rsidR="007C2BCF" w:rsidRPr="00873FD4" w:rsidRDefault="007C2BCF" w:rsidP="00576B0F">
            <w:pPr>
              <w:rPr>
                <w:rFonts w:cstheme="minorHAnsi"/>
                <w:sz w:val="24"/>
                <w:szCs w:val="24"/>
                <w:lang w:val="en-US"/>
              </w:rPr>
            </w:pPr>
          </w:p>
          <w:p w14:paraId="592AFA76" w14:textId="70EDF689" w:rsidR="007C2BCF" w:rsidRDefault="007C2BCF" w:rsidP="00576B0F">
            <w:pPr>
              <w:rPr>
                <w:rFonts w:cstheme="minorHAnsi"/>
                <w:sz w:val="24"/>
                <w:szCs w:val="24"/>
                <w:lang w:val="en-US"/>
              </w:rPr>
            </w:pPr>
          </w:p>
          <w:p w14:paraId="7417D7A8" w14:textId="77777777" w:rsidR="00873FD4" w:rsidRPr="00873FD4" w:rsidRDefault="00873FD4" w:rsidP="00576B0F">
            <w:pPr>
              <w:rPr>
                <w:rFonts w:cstheme="minorHAnsi"/>
                <w:sz w:val="24"/>
                <w:szCs w:val="24"/>
                <w:lang w:val="en-US"/>
              </w:rPr>
            </w:pPr>
          </w:p>
          <w:p w14:paraId="60777BEC" w14:textId="7C8A4D6D" w:rsidR="000F7267" w:rsidRPr="00873FD4" w:rsidRDefault="000F7267" w:rsidP="00576B0F">
            <w:pPr>
              <w:pStyle w:val="ListParagraph"/>
              <w:numPr>
                <w:ilvl w:val="0"/>
                <w:numId w:val="12"/>
              </w:numPr>
              <w:contextualSpacing w:val="0"/>
              <w:rPr>
                <w:rFonts w:eastAsia="Times New Roman" w:cstheme="minorHAnsi"/>
                <w:sz w:val="24"/>
                <w:szCs w:val="24"/>
                <w:lang w:val="en-US"/>
              </w:rPr>
            </w:pPr>
            <w:r w:rsidRPr="00873FD4">
              <w:rPr>
                <w:rFonts w:eastAsia="Times New Roman" w:cstheme="minorHAnsi"/>
                <w:b/>
                <w:bCs/>
                <w:sz w:val="24"/>
                <w:szCs w:val="24"/>
                <w:lang w:val="en-US"/>
              </w:rPr>
              <w:t xml:space="preserve">Sustainable natural resources management for inclusive economic growth:  </w:t>
            </w:r>
            <w:r w:rsidRPr="00873FD4">
              <w:rPr>
                <w:rFonts w:eastAsia="Times New Roman" w:cstheme="minorHAnsi"/>
                <w:sz w:val="24"/>
                <w:szCs w:val="24"/>
                <w:lang w:val="en-US"/>
              </w:rPr>
              <w:t>Installation of Early Warning Systems is welcome, but it should extend to timely dissemination of such information. It’s important to include the private sector in Natural Resource Management, and address the legal bottlenecks that has been a challenge.  </w:t>
            </w:r>
          </w:p>
          <w:p w14:paraId="7B1CEB7A" w14:textId="77777777" w:rsidR="000F7267" w:rsidRPr="00873FD4" w:rsidRDefault="000F7267" w:rsidP="00576B0F">
            <w:pPr>
              <w:pStyle w:val="ListParagraph"/>
              <w:rPr>
                <w:rFonts w:cstheme="minorHAnsi"/>
                <w:sz w:val="24"/>
                <w:szCs w:val="24"/>
                <w:lang w:val="en-US"/>
              </w:rPr>
            </w:pPr>
          </w:p>
        </w:tc>
        <w:tc>
          <w:tcPr>
            <w:tcW w:w="6555" w:type="dxa"/>
          </w:tcPr>
          <w:p w14:paraId="5586BA22" w14:textId="77777777" w:rsidR="000F7267" w:rsidRPr="00873FD4" w:rsidRDefault="000F7267" w:rsidP="00576B0F">
            <w:pPr>
              <w:rPr>
                <w:rFonts w:cstheme="minorHAnsi"/>
                <w:sz w:val="24"/>
                <w:szCs w:val="24"/>
                <w:lang w:val="en-US"/>
              </w:rPr>
            </w:pPr>
          </w:p>
          <w:p w14:paraId="7E4041BD" w14:textId="6BB1B94E" w:rsidR="008F7FEA" w:rsidRPr="00873FD4" w:rsidRDefault="008F7FEA" w:rsidP="00576B0F">
            <w:pPr>
              <w:rPr>
                <w:rFonts w:cstheme="minorHAnsi"/>
                <w:sz w:val="24"/>
                <w:szCs w:val="24"/>
                <w:lang w:val="en-US"/>
              </w:rPr>
            </w:pPr>
          </w:p>
          <w:p w14:paraId="7153DF70" w14:textId="4B1A21D0" w:rsidR="008F7FEA" w:rsidRPr="00873FD4" w:rsidRDefault="00FB03F2" w:rsidP="001170A3">
            <w:pPr>
              <w:pStyle w:val="ListParagraph"/>
              <w:numPr>
                <w:ilvl w:val="0"/>
                <w:numId w:val="15"/>
              </w:numPr>
              <w:ind w:left="360"/>
              <w:rPr>
                <w:rFonts w:cstheme="minorHAnsi"/>
                <w:bCs/>
                <w:sz w:val="24"/>
                <w:szCs w:val="24"/>
                <w:lang w:val="en-US"/>
              </w:rPr>
            </w:pPr>
            <w:r w:rsidRPr="00873FD4">
              <w:rPr>
                <w:rFonts w:cstheme="minorHAnsi"/>
                <w:b/>
                <w:bCs/>
                <w:sz w:val="24"/>
                <w:szCs w:val="24"/>
                <w:lang w:val="en-US"/>
              </w:rPr>
              <w:t>Constitution review:</w:t>
            </w:r>
            <w:r w:rsidRPr="00873FD4">
              <w:rPr>
                <w:rFonts w:cstheme="minorHAnsi"/>
                <w:sz w:val="24"/>
                <w:szCs w:val="24"/>
                <w:lang w:val="en-US"/>
              </w:rPr>
              <w:t xml:space="preserve"> </w:t>
            </w:r>
            <w:r w:rsidR="00772077" w:rsidRPr="00873FD4">
              <w:rPr>
                <w:rFonts w:cstheme="minorHAnsi"/>
                <w:sz w:val="24"/>
                <w:szCs w:val="24"/>
                <w:lang w:val="en-US"/>
              </w:rPr>
              <w:t xml:space="preserve">Indicator, baseline and target under </w:t>
            </w:r>
            <w:r w:rsidRPr="00873FD4">
              <w:rPr>
                <w:rFonts w:eastAsia="Calibri" w:cstheme="minorHAnsi"/>
                <w:bCs/>
                <w:sz w:val="24"/>
                <w:szCs w:val="24"/>
              </w:rPr>
              <w:t>Output 1.2 on Constitution</w:t>
            </w:r>
            <w:r w:rsidRPr="00873FD4">
              <w:rPr>
                <w:rFonts w:eastAsia="Calibri" w:cstheme="minorHAnsi"/>
                <w:b/>
                <w:sz w:val="24"/>
                <w:szCs w:val="24"/>
              </w:rPr>
              <w:t xml:space="preserve"> </w:t>
            </w:r>
            <w:r w:rsidRPr="00873FD4">
              <w:rPr>
                <w:rFonts w:eastAsia="Calibri" w:cstheme="minorHAnsi"/>
                <w:bCs/>
                <w:sz w:val="24"/>
                <w:szCs w:val="24"/>
              </w:rPr>
              <w:t>adjusted (see page 9).</w:t>
            </w:r>
          </w:p>
          <w:p w14:paraId="26DD6AC8" w14:textId="77777777" w:rsidR="008F7FEA" w:rsidRPr="00873FD4" w:rsidRDefault="008F7FEA" w:rsidP="001170A3">
            <w:pPr>
              <w:rPr>
                <w:rFonts w:cstheme="minorHAnsi"/>
                <w:sz w:val="24"/>
                <w:szCs w:val="24"/>
                <w:lang w:val="en-US"/>
              </w:rPr>
            </w:pPr>
          </w:p>
          <w:p w14:paraId="251FF24E" w14:textId="77777777" w:rsidR="00153109" w:rsidRPr="00873FD4" w:rsidRDefault="00821916" w:rsidP="00153109">
            <w:pPr>
              <w:pStyle w:val="CommentText"/>
              <w:numPr>
                <w:ilvl w:val="0"/>
                <w:numId w:val="15"/>
              </w:numPr>
              <w:ind w:left="360"/>
              <w:rPr>
                <w:rFonts w:cstheme="minorHAnsi"/>
                <w:sz w:val="24"/>
                <w:szCs w:val="24"/>
              </w:rPr>
            </w:pPr>
            <w:r w:rsidRPr="00873FD4">
              <w:rPr>
                <w:rFonts w:cstheme="minorHAnsi"/>
                <w:b/>
                <w:bCs/>
                <w:sz w:val="24"/>
                <w:szCs w:val="24"/>
                <w:lang w:val="en-US"/>
              </w:rPr>
              <w:t>Elections:</w:t>
            </w:r>
            <w:r w:rsidRPr="00873FD4">
              <w:rPr>
                <w:rFonts w:cstheme="minorHAnsi"/>
                <w:sz w:val="24"/>
                <w:szCs w:val="24"/>
                <w:lang w:val="en-US"/>
              </w:rPr>
              <w:t xml:space="preserve"> Target revised to read – “</w:t>
            </w:r>
            <w:r w:rsidRPr="00873FD4">
              <w:rPr>
                <w:rFonts w:cstheme="minorHAnsi"/>
                <w:b/>
                <w:bCs/>
                <w:sz w:val="24"/>
                <w:szCs w:val="24"/>
                <w:lang w:val="en-US"/>
              </w:rPr>
              <w:t>50% turnout of registered voters</w:t>
            </w:r>
            <w:r w:rsidRPr="00873FD4">
              <w:rPr>
                <w:rFonts w:cstheme="minorHAnsi"/>
                <w:sz w:val="24"/>
                <w:szCs w:val="24"/>
                <w:lang w:val="en-US"/>
              </w:rPr>
              <w:t>”</w:t>
            </w:r>
            <w:r w:rsidR="00F37438" w:rsidRPr="00873FD4">
              <w:rPr>
                <w:rFonts w:cstheme="minorHAnsi"/>
                <w:sz w:val="24"/>
                <w:szCs w:val="24"/>
                <w:lang w:val="en-US"/>
              </w:rPr>
              <w:t xml:space="preserve"> </w:t>
            </w:r>
            <w:r w:rsidRPr="00873FD4">
              <w:rPr>
                <w:rFonts w:cstheme="minorHAnsi"/>
                <w:sz w:val="24"/>
                <w:szCs w:val="24"/>
              </w:rPr>
              <w:t xml:space="preserve">based on the figures/data for the </w:t>
            </w:r>
            <w:r w:rsidRPr="00873FD4">
              <w:rPr>
                <w:rFonts w:cstheme="minorHAnsi"/>
                <w:sz w:val="24"/>
                <w:szCs w:val="24"/>
              </w:rPr>
              <w:lastRenderedPageBreak/>
              <w:t>preparations for one person one vote elections in 2020 which was 3 million voters</w:t>
            </w:r>
            <w:r w:rsidR="005702BC" w:rsidRPr="00873FD4">
              <w:rPr>
                <w:rFonts w:cstheme="minorHAnsi"/>
                <w:sz w:val="24"/>
                <w:szCs w:val="24"/>
              </w:rPr>
              <w:t xml:space="preserve"> (see p</w:t>
            </w:r>
            <w:r w:rsidR="00E93FB6" w:rsidRPr="00873FD4">
              <w:rPr>
                <w:rFonts w:cstheme="minorHAnsi"/>
                <w:sz w:val="24"/>
                <w:szCs w:val="24"/>
              </w:rPr>
              <w:t xml:space="preserve">p </w:t>
            </w:r>
            <w:r w:rsidR="00D30465" w:rsidRPr="00873FD4">
              <w:rPr>
                <w:rFonts w:cstheme="minorHAnsi"/>
                <w:sz w:val="24"/>
                <w:szCs w:val="24"/>
              </w:rPr>
              <w:t>9 and 10</w:t>
            </w:r>
            <w:r w:rsidR="00C11D14" w:rsidRPr="00873FD4">
              <w:rPr>
                <w:rFonts w:cstheme="minorHAnsi"/>
                <w:sz w:val="24"/>
                <w:szCs w:val="24"/>
              </w:rPr>
              <w:t>)</w:t>
            </w:r>
            <w:r w:rsidRPr="00873FD4">
              <w:rPr>
                <w:rFonts w:cstheme="minorHAnsi"/>
                <w:sz w:val="24"/>
                <w:szCs w:val="24"/>
              </w:rPr>
              <w:t>.</w:t>
            </w:r>
          </w:p>
          <w:p w14:paraId="559F5F1E" w14:textId="77777777" w:rsidR="00153109" w:rsidRPr="00873FD4" w:rsidRDefault="00153109" w:rsidP="00153109">
            <w:pPr>
              <w:pStyle w:val="ListParagraph"/>
              <w:rPr>
                <w:rFonts w:cstheme="minorHAnsi"/>
                <w:b/>
                <w:bCs/>
                <w:sz w:val="24"/>
                <w:szCs w:val="24"/>
                <w:lang w:val="en-US"/>
              </w:rPr>
            </w:pPr>
          </w:p>
          <w:p w14:paraId="3A8DCCCF" w14:textId="5594FC24" w:rsidR="00167B3C" w:rsidRPr="00873FD4" w:rsidRDefault="00EF7B49" w:rsidP="006F650F">
            <w:pPr>
              <w:pStyle w:val="CommentText"/>
              <w:numPr>
                <w:ilvl w:val="0"/>
                <w:numId w:val="15"/>
              </w:numPr>
              <w:ind w:left="360"/>
              <w:rPr>
                <w:rFonts w:cstheme="minorHAnsi"/>
                <w:sz w:val="24"/>
                <w:szCs w:val="24"/>
              </w:rPr>
            </w:pPr>
            <w:r w:rsidRPr="00873FD4">
              <w:rPr>
                <w:rFonts w:cstheme="minorHAnsi"/>
                <w:b/>
                <w:bCs/>
                <w:sz w:val="24"/>
                <w:szCs w:val="24"/>
                <w:lang w:val="en-US"/>
              </w:rPr>
              <w:t>30% women’s quota:</w:t>
            </w:r>
            <w:r w:rsidRPr="00873FD4">
              <w:rPr>
                <w:rFonts w:cstheme="minorHAnsi"/>
                <w:sz w:val="24"/>
                <w:szCs w:val="24"/>
                <w:lang w:val="en-US"/>
              </w:rPr>
              <w:t xml:space="preserve"> </w:t>
            </w:r>
            <w:r w:rsidR="00506201" w:rsidRPr="00873FD4">
              <w:rPr>
                <w:rFonts w:cstheme="minorHAnsi"/>
                <w:sz w:val="24"/>
                <w:szCs w:val="24"/>
              </w:rPr>
              <w:t xml:space="preserve">Kindly note that </w:t>
            </w:r>
            <w:r w:rsidR="001642D5" w:rsidRPr="00873FD4">
              <w:rPr>
                <w:rFonts w:cstheme="minorHAnsi"/>
                <w:sz w:val="24"/>
                <w:szCs w:val="24"/>
              </w:rPr>
              <w:t xml:space="preserve">the </w:t>
            </w:r>
            <w:r w:rsidR="00506201" w:rsidRPr="00873FD4">
              <w:rPr>
                <w:rFonts w:cstheme="minorHAnsi"/>
                <w:sz w:val="24"/>
                <w:szCs w:val="24"/>
              </w:rPr>
              <w:t xml:space="preserve">baseline </w:t>
            </w:r>
            <w:r w:rsidR="00405723" w:rsidRPr="00873FD4">
              <w:rPr>
                <w:rFonts w:cstheme="minorHAnsi"/>
                <w:sz w:val="24"/>
                <w:szCs w:val="24"/>
              </w:rPr>
              <w:t xml:space="preserve">for women’s quota </w:t>
            </w:r>
            <w:r w:rsidR="00506201" w:rsidRPr="00873FD4">
              <w:rPr>
                <w:rFonts w:cstheme="minorHAnsi"/>
                <w:sz w:val="24"/>
                <w:szCs w:val="24"/>
              </w:rPr>
              <w:t>in 2020 is given for the Federal Parliament as well as for each of the Federal Member States</w:t>
            </w:r>
            <w:r w:rsidR="00E00FDB" w:rsidRPr="00873FD4">
              <w:rPr>
                <w:rFonts w:cstheme="minorHAnsi"/>
                <w:sz w:val="24"/>
                <w:szCs w:val="24"/>
              </w:rPr>
              <w:t xml:space="preserve"> while the </w:t>
            </w:r>
            <w:r w:rsidR="00506201" w:rsidRPr="00873FD4">
              <w:rPr>
                <w:rFonts w:cstheme="minorHAnsi"/>
                <w:sz w:val="24"/>
                <w:szCs w:val="24"/>
              </w:rPr>
              <w:t>target of 30% is for all Parliaments</w:t>
            </w:r>
            <w:r w:rsidR="00772AB7" w:rsidRPr="00873FD4">
              <w:rPr>
                <w:rFonts w:cstheme="minorHAnsi"/>
                <w:sz w:val="24"/>
                <w:szCs w:val="24"/>
              </w:rPr>
              <w:t xml:space="preserve"> (Page 9, 1</w:t>
            </w:r>
            <w:r w:rsidR="00772AB7" w:rsidRPr="00873FD4">
              <w:rPr>
                <w:rFonts w:cstheme="minorHAnsi"/>
                <w:sz w:val="24"/>
                <w:szCs w:val="24"/>
                <w:vertAlign w:val="superscript"/>
              </w:rPr>
              <w:t>st</w:t>
            </w:r>
            <w:r w:rsidR="00772AB7" w:rsidRPr="00873FD4">
              <w:rPr>
                <w:rFonts w:cstheme="minorHAnsi"/>
                <w:sz w:val="24"/>
                <w:szCs w:val="24"/>
              </w:rPr>
              <w:t xml:space="preserve"> column</w:t>
            </w:r>
            <w:r w:rsidR="00CB42C5" w:rsidRPr="00873FD4">
              <w:rPr>
                <w:rFonts w:cstheme="minorHAnsi"/>
                <w:sz w:val="24"/>
                <w:szCs w:val="24"/>
              </w:rPr>
              <w:t xml:space="preserve">). </w:t>
            </w:r>
            <w:r w:rsidR="00483151" w:rsidRPr="00873FD4">
              <w:rPr>
                <w:rFonts w:cstheme="minorHAnsi"/>
                <w:sz w:val="24"/>
                <w:szCs w:val="24"/>
              </w:rPr>
              <w:t xml:space="preserve">However, </w:t>
            </w:r>
            <w:r w:rsidR="00A13D55" w:rsidRPr="00873FD4">
              <w:rPr>
                <w:rFonts w:cstheme="minorHAnsi"/>
                <w:sz w:val="24"/>
                <w:szCs w:val="24"/>
              </w:rPr>
              <w:t xml:space="preserve">the </w:t>
            </w:r>
            <w:r w:rsidR="00321DB2" w:rsidRPr="00873FD4">
              <w:rPr>
                <w:rFonts w:cstheme="minorHAnsi"/>
                <w:sz w:val="24"/>
                <w:szCs w:val="24"/>
              </w:rPr>
              <w:t xml:space="preserve">24% </w:t>
            </w:r>
            <w:r w:rsidR="00483151" w:rsidRPr="00873FD4">
              <w:rPr>
                <w:rFonts w:cstheme="minorHAnsi"/>
                <w:sz w:val="24"/>
                <w:szCs w:val="24"/>
              </w:rPr>
              <w:t>b</w:t>
            </w:r>
            <w:r w:rsidR="00CB42C5" w:rsidRPr="00873FD4">
              <w:rPr>
                <w:rFonts w:cstheme="minorHAnsi"/>
                <w:sz w:val="24"/>
                <w:szCs w:val="24"/>
              </w:rPr>
              <w:t xml:space="preserve">aseline </w:t>
            </w:r>
            <w:r w:rsidR="00321DB2" w:rsidRPr="00873FD4">
              <w:rPr>
                <w:rFonts w:cstheme="minorHAnsi"/>
                <w:sz w:val="24"/>
                <w:szCs w:val="24"/>
              </w:rPr>
              <w:t>relates to</w:t>
            </w:r>
            <w:r w:rsidR="00507A15" w:rsidRPr="00873FD4">
              <w:rPr>
                <w:rFonts w:cstheme="minorHAnsi"/>
                <w:sz w:val="24"/>
                <w:szCs w:val="24"/>
              </w:rPr>
              <w:t xml:space="preserve"> indicator </w:t>
            </w:r>
            <w:r w:rsidR="00153109" w:rsidRPr="00873FD4">
              <w:rPr>
                <w:rFonts w:eastAsia="Calibri" w:cstheme="minorHAnsi"/>
                <w:sz w:val="24"/>
                <w:szCs w:val="24"/>
              </w:rPr>
              <w:t xml:space="preserve">1.4.2: Proportion of women in elected positions </w:t>
            </w:r>
            <w:r w:rsidR="00507A15" w:rsidRPr="00873FD4">
              <w:rPr>
                <w:rFonts w:eastAsia="Calibri" w:cstheme="minorHAnsi"/>
                <w:sz w:val="24"/>
                <w:szCs w:val="24"/>
              </w:rPr>
              <w:t>under</w:t>
            </w:r>
            <w:r w:rsidR="00FB130F" w:rsidRPr="00873FD4">
              <w:rPr>
                <w:rFonts w:cstheme="minorHAnsi"/>
                <w:sz w:val="24"/>
                <w:szCs w:val="24"/>
              </w:rPr>
              <w:t> Output 1.4. Strengthened electoral institutions and systems for credible elections</w:t>
            </w:r>
            <w:r w:rsidR="00FF5822" w:rsidRPr="00873FD4">
              <w:rPr>
                <w:rFonts w:cstheme="minorHAnsi"/>
                <w:sz w:val="24"/>
                <w:szCs w:val="24"/>
              </w:rPr>
              <w:t>,</w:t>
            </w:r>
            <w:r w:rsidR="00B008ED" w:rsidRPr="00873FD4">
              <w:rPr>
                <w:rFonts w:cstheme="minorHAnsi"/>
                <w:sz w:val="24"/>
                <w:szCs w:val="24"/>
              </w:rPr>
              <w:t xml:space="preserve"> is specific to the </w:t>
            </w:r>
            <w:r w:rsidR="00262D2F" w:rsidRPr="00873FD4">
              <w:rPr>
                <w:rFonts w:cstheme="minorHAnsi"/>
                <w:sz w:val="24"/>
                <w:szCs w:val="24"/>
              </w:rPr>
              <w:t>f</w:t>
            </w:r>
            <w:r w:rsidR="00FB130F" w:rsidRPr="00873FD4">
              <w:rPr>
                <w:rFonts w:cstheme="minorHAnsi"/>
                <w:sz w:val="24"/>
                <w:szCs w:val="24"/>
              </w:rPr>
              <w:t xml:space="preserve">ederal </w:t>
            </w:r>
            <w:r w:rsidR="00262D2F" w:rsidRPr="00873FD4">
              <w:rPr>
                <w:rFonts w:cstheme="minorHAnsi"/>
                <w:sz w:val="24"/>
                <w:szCs w:val="24"/>
              </w:rPr>
              <w:t>e</w:t>
            </w:r>
            <w:r w:rsidR="00FB130F" w:rsidRPr="00873FD4">
              <w:rPr>
                <w:rFonts w:cstheme="minorHAnsi"/>
                <w:sz w:val="24"/>
                <w:szCs w:val="24"/>
              </w:rPr>
              <w:t>lections</w:t>
            </w:r>
            <w:r w:rsidR="00B008ED" w:rsidRPr="00873FD4">
              <w:rPr>
                <w:rFonts w:cstheme="minorHAnsi"/>
                <w:sz w:val="24"/>
                <w:szCs w:val="24"/>
              </w:rPr>
              <w:t xml:space="preserve"> for which the </w:t>
            </w:r>
            <w:r w:rsidR="00FB4165" w:rsidRPr="00873FD4">
              <w:rPr>
                <w:rFonts w:cstheme="minorHAnsi"/>
                <w:sz w:val="24"/>
                <w:szCs w:val="24"/>
              </w:rPr>
              <w:t xml:space="preserve">IESG </w:t>
            </w:r>
            <w:r w:rsidR="00731A13" w:rsidRPr="00873FD4">
              <w:rPr>
                <w:rFonts w:cstheme="minorHAnsi"/>
                <w:sz w:val="24"/>
                <w:szCs w:val="24"/>
              </w:rPr>
              <w:t>provides</w:t>
            </w:r>
            <w:r w:rsidR="00C47FF9" w:rsidRPr="00873FD4">
              <w:rPr>
                <w:rFonts w:cstheme="minorHAnsi"/>
                <w:sz w:val="24"/>
                <w:szCs w:val="24"/>
              </w:rPr>
              <w:t xml:space="preserve"> support</w:t>
            </w:r>
            <w:r w:rsidR="00FB4165" w:rsidRPr="00873FD4">
              <w:rPr>
                <w:rFonts w:cstheme="minorHAnsi"/>
                <w:sz w:val="24"/>
                <w:szCs w:val="24"/>
              </w:rPr>
              <w:t xml:space="preserve"> through the NIEC</w:t>
            </w:r>
            <w:r w:rsidR="00F86CA2" w:rsidRPr="00873FD4">
              <w:rPr>
                <w:rFonts w:cstheme="minorHAnsi"/>
                <w:sz w:val="24"/>
                <w:szCs w:val="24"/>
              </w:rPr>
              <w:t xml:space="preserve">. Although </w:t>
            </w:r>
            <w:r w:rsidR="00767141" w:rsidRPr="00873FD4">
              <w:rPr>
                <w:rFonts w:cstheme="minorHAnsi"/>
                <w:sz w:val="24"/>
                <w:szCs w:val="24"/>
              </w:rPr>
              <w:t xml:space="preserve">NIEC is </w:t>
            </w:r>
            <w:r w:rsidR="00262D2F" w:rsidRPr="00873FD4">
              <w:rPr>
                <w:rFonts w:cstheme="minorHAnsi"/>
                <w:sz w:val="24"/>
                <w:szCs w:val="24"/>
              </w:rPr>
              <w:t xml:space="preserve">the mandated body for </w:t>
            </w:r>
            <w:r w:rsidR="00F86CA2" w:rsidRPr="00873FD4">
              <w:rPr>
                <w:rFonts w:cstheme="minorHAnsi"/>
                <w:sz w:val="24"/>
                <w:szCs w:val="24"/>
              </w:rPr>
              <w:t>implementing federal elections and referendums (</w:t>
            </w:r>
            <w:r w:rsidR="00DC65CB" w:rsidRPr="00873FD4">
              <w:rPr>
                <w:rFonts w:cstheme="minorHAnsi"/>
                <w:sz w:val="24"/>
                <w:szCs w:val="24"/>
              </w:rPr>
              <w:t>NIEC’s</w:t>
            </w:r>
            <w:r w:rsidR="00F86CA2" w:rsidRPr="00873FD4">
              <w:rPr>
                <w:rFonts w:cstheme="minorHAnsi"/>
                <w:sz w:val="24"/>
                <w:szCs w:val="24"/>
              </w:rPr>
              <w:t xml:space="preserve"> establishment law claims jurisdiction over all elections in the country</w:t>
            </w:r>
            <w:r w:rsidR="0069797C" w:rsidRPr="00873FD4">
              <w:rPr>
                <w:rFonts w:cstheme="minorHAnsi"/>
                <w:sz w:val="24"/>
                <w:szCs w:val="24"/>
              </w:rPr>
              <w:t>), t</w:t>
            </w:r>
            <w:r w:rsidR="00FB130F" w:rsidRPr="00873FD4">
              <w:rPr>
                <w:rFonts w:cstheme="minorHAnsi"/>
                <w:sz w:val="24"/>
                <w:szCs w:val="24"/>
              </w:rPr>
              <w:t xml:space="preserve">here is no clarity as yet that the FMS would accept the NIEC’s </w:t>
            </w:r>
            <w:r w:rsidR="007650FA" w:rsidRPr="00873FD4">
              <w:rPr>
                <w:rFonts w:cstheme="minorHAnsi"/>
                <w:sz w:val="24"/>
                <w:szCs w:val="24"/>
              </w:rPr>
              <w:t>support for FMS elections</w:t>
            </w:r>
            <w:r w:rsidR="0069797C" w:rsidRPr="00873FD4">
              <w:rPr>
                <w:rFonts w:cstheme="minorHAnsi"/>
                <w:sz w:val="24"/>
                <w:szCs w:val="24"/>
              </w:rPr>
              <w:t xml:space="preserve">. </w:t>
            </w:r>
            <w:r w:rsidR="00320FF3" w:rsidRPr="00873FD4">
              <w:rPr>
                <w:rFonts w:cstheme="minorHAnsi"/>
                <w:sz w:val="24"/>
                <w:szCs w:val="24"/>
              </w:rPr>
              <w:t>C</w:t>
            </w:r>
            <w:r w:rsidR="007650FA" w:rsidRPr="00873FD4">
              <w:rPr>
                <w:rFonts w:cstheme="minorHAnsi"/>
                <w:sz w:val="24"/>
                <w:szCs w:val="24"/>
              </w:rPr>
              <w:t>urrent</w:t>
            </w:r>
            <w:r w:rsidR="00320FF3" w:rsidRPr="00873FD4">
              <w:rPr>
                <w:rFonts w:cstheme="minorHAnsi"/>
                <w:sz w:val="24"/>
                <w:szCs w:val="24"/>
              </w:rPr>
              <w:t xml:space="preserve">ly only </w:t>
            </w:r>
            <w:r w:rsidR="0090502A" w:rsidRPr="00873FD4">
              <w:rPr>
                <w:rFonts w:cstheme="minorHAnsi"/>
                <w:sz w:val="24"/>
                <w:szCs w:val="24"/>
              </w:rPr>
              <w:t xml:space="preserve">two of the FMS have electoral management bodies, with the others </w:t>
            </w:r>
            <w:r w:rsidR="00C94828" w:rsidRPr="00873FD4">
              <w:rPr>
                <w:rFonts w:cstheme="minorHAnsi"/>
                <w:sz w:val="24"/>
                <w:szCs w:val="24"/>
              </w:rPr>
              <w:t xml:space="preserve">setting up </w:t>
            </w:r>
            <w:r w:rsidR="00320FF3" w:rsidRPr="00873FD4">
              <w:rPr>
                <w:rFonts w:cstheme="minorHAnsi"/>
                <w:sz w:val="24"/>
                <w:szCs w:val="24"/>
              </w:rPr>
              <w:t xml:space="preserve">own </w:t>
            </w:r>
            <w:r w:rsidR="00114F4A" w:rsidRPr="00873FD4">
              <w:rPr>
                <w:rFonts w:cstheme="minorHAnsi"/>
                <w:sz w:val="24"/>
                <w:szCs w:val="24"/>
              </w:rPr>
              <w:t>temp</w:t>
            </w:r>
            <w:r w:rsidR="00320FF3" w:rsidRPr="00873FD4">
              <w:rPr>
                <w:rFonts w:cstheme="minorHAnsi"/>
                <w:sz w:val="24"/>
                <w:szCs w:val="24"/>
              </w:rPr>
              <w:t xml:space="preserve">orary </w:t>
            </w:r>
            <w:r w:rsidR="00FB130F" w:rsidRPr="00873FD4">
              <w:rPr>
                <w:rFonts w:cstheme="minorHAnsi"/>
                <w:sz w:val="24"/>
                <w:szCs w:val="24"/>
              </w:rPr>
              <w:t>election bod</w:t>
            </w:r>
            <w:r w:rsidR="003E0DC2" w:rsidRPr="00873FD4">
              <w:rPr>
                <w:rFonts w:cstheme="minorHAnsi"/>
                <w:sz w:val="24"/>
                <w:szCs w:val="24"/>
              </w:rPr>
              <w:t>ies</w:t>
            </w:r>
            <w:r w:rsidR="00FB130F" w:rsidRPr="00873FD4">
              <w:rPr>
                <w:rFonts w:cstheme="minorHAnsi"/>
                <w:sz w:val="24"/>
                <w:szCs w:val="24"/>
              </w:rPr>
              <w:t xml:space="preserve"> with weak links to the NIEC</w:t>
            </w:r>
            <w:r w:rsidR="0090502A" w:rsidRPr="00873FD4">
              <w:rPr>
                <w:rFonts w:cstheme="minorHAnsi"/>
                <w:sz w:val="24"/>
                <w:szCs w:val="24"/>
              </w:rPr>
              <w:t>.</w:t>
            </w:r>
            <w:r w:rsidR="00E51CCB" w:rsidRPr="00873FD4">
              <w:rPr>
                <w:rFonts w:cstheme="minorHAnsi"/>
                <w:sz w:val="24"/>
                <w:szCs w:val="24"/>
              </w:rPr>
              <w:t xml:space="preserve"> For the </w:t>
            </w:r>
            <w:r w:rsidR="004B5B75" w:rsidRPr="00873FD4">
              <w:rPr>
                <w:rFonts w:cstheme="minorHAnsi"/>
                <w:sz w:val="24"/>
                <w:szCs w:val="24"/>
              </w:rPr>
              <w:t xml:space="preserve">2021-2025 </w:t>
            </w:r>
            <w:r w:rsidR="00E51CCB" w:rsidRPr="00873FD4">
              <w:rPr>
                <w:rFonts w:cstheme="minorHAnsi"/>
                <w:sz w:val="24"/>
                <w:szCs w:val="24"/>
              </w:rPr>
              <w:t>CPD</w:t>
            </w:r>
            <w:r w:rsidR="004B5B75" w:rsidRPr="00873FD4">
              <w:rPr>
                <w:rFonts w:cstheme="minorHAnsi"/>
                <w:sz w:val="24"/>
                <w:szCs w:val="24"/>
              </w:rPr>
              <w:t xml:space="preserve">, </w:t>
            </w:r>
            <w:r w:rsidR="0090502A" w:rsidRPr="00873FD4">
              <w:rPr>
                <w:rFonts w:cstheme="minorHAnsi"/>
                <w:sz w:val="24"/>
                <w:szCs w:val="24"/>
              </w:rPr>
              <w:t xml:space="preserve">the Country Office proposes to limit the support to the federal elections, thus the baseline </w:t>
            </w:r>
            <w:r w:rsidR="00167B3C" w:rsidRPr="00873FD4">
              <w:rPr>
                <w:rFonts w:cstheme="minorHAnsi"/>
                <w:sz w:val="24"/>
                <w:szCs w:val="24"/>
              </w:rPr>
              <w:t>and target indicated.</w:t>
            </w:r>
          </w:p>
          <w:p w14:paraId="6CF6E7A1" w14:textId="77777777" w:rsidR="00167B3C" w:rsidRPr="00873FD4" w:rsidRDefault="00167B3C" w:rsidP="00167B3C">
            <w:pPr>
              <w:pStyle w:val="ListParagraph"/>
              <w:rPr>
                <w:rFonts w:cstheme="minorHAnsi"/>
                <w:sz w:val="24"/>
                <w:szCs w:val="24"/>
              </w:rPr>
            </w:pPr>
          </w:p>
          <w:p w14:paraId="2282C8C8" w14:textId="1EA5C8C7" w:rsidR="00A979E3" w:rsidRPr="00873FD4" w:rsidRDefault="00261009" w:rsidP="00576B0F">
            <w:pPr>
              <w:pStyle w:val="CommentText"/>
              <w:numPr>
                <w:ilvl w:val="0"/>
                <w:numId w:val="15"/>
              </w:numPr>
              <w:ind w:left="360"/>
              <w:rPr>
                <w:rFonts w:cstheme="minorHAnsi"/>
                <w:sz w:val="24"/>
                <w:szCs w:val="24"/>
              </w:rPr>
            </w:pPr>
            <w:r w:rsidRPr="00873FD4">
              <w:rPr>
                <w:rFonts w:cstheme="minorHAnsi"/>
                <w:b/>
                <w:bCs/>
                <w:sz w:val="24"/>
                <w:szCs w:val="24"/>
                <w:lang w:val="en-US"/>
              </w:rPr>
              <w:t>Reconciliation</w:t>
            </w:r>
            <w:r w:rsidRPr="00873FD4">
              <w:rPr>
                <w:rFonts w:cstheme="minorHAnsi"/>
                <w:sz w:val="24"/>
                <w:szCs w:val="24"/>
                <w:lang w:val="en-US"/>
              </w:rPr>
              <w:t xml:space="preserve">: </w:t>
            </w:r>
            <w:r w:rsidR="003E51CE" w:rsidRPr="00873FD4">
              <w:rPr>
                <w:rFonts w:cstheme="minorHAnsi"/>
                <w:sz w:val="24"/>
                <w:szCs w:val="24"/>
                <w:lang w:val="en-US"/>
              </w:rPr>
              <w:t>Adjustments made</w:t>
            </w:r>
            <w:r w:rsidR="00F15B40" w:rsidRPr="00873FD4">
              <w:rPr>
                <w:rFonts w:cstheme="minorHAnsi"/>
                <w:sz w:val="24"/>
                <w:szCs w:val="24"/>
                <w:lang w:val="en-US"/>
              </w:rPr>
              <w:t xml:space="preserve"> (p. 5</w:t>
            </w:r>
            <w:r w:rsidR="006E6402" w:rsidRPr="00873FD4">
              <w:rPr>
                <w:rFonts w:cstheme="minorHAnsi"/>
                <w:sz w:val="24"/>
                <w:szCs w:val="24"/>
                <w:lang w:val="en-US"/>
              </w:rPr>
              <w:t xml:space="preserve"> footnote</w:t>
            </w:r>
            <w:r w:rsidR="00F15B40" w:rsidRPr="00873FD4">
              <w:rPr>
                <w:rFonts w:cstheme="minorHAnsi"/>
                <w:sz w:val="24"/>
                <w:szCs w:val="24"/>
                <w:lang w:val="en-US"/>
              </w:rPr>
              <w:t>)</w:t>
            </w:r>
            <w:r w:rsidR="003E51CE" w:rsidRPr="00873FD4">
              <w:rPr>
                <w:rFonts w:cstheme="minorHAnsi"/>
                <w:sz w:val="24"/>
                <w:szCs w:val="24"/>
                <w:lang w:val="en-US"/>
              </w:rPr>
              <w:t xml:space="preserve">/initiatives to be taken forward will be in line with the relevant </w:t>
            </w:r>
            <w:r w:rsidR="006705E9" w:rsidRPr="00873FD4">
              <w:rPr>
                <w:rFonts w:cstheme="minorHAnsi"/>
                <w:sz w:val="24"/>
                <w:szCs w:val="24"/>
                <w:lang w:val="en-US"/>
              </w:rPr>
              <w:t>UN General Assembly and/or Security Council Resolutions</w:t>
            </w:r>
            <w:r w:rsidR="00CC69FC" w:rsidRPr="00873FD4">
              <w:rPr>
                <w:rFonts w:cstheme="minorHAnsi"/>
                <w:sz w:val="24"/>
                <w:szCs w:val="24"/>
                <w:lang w:val="en-US"/>
              </w:rPr>
              <w:t xml:space="preserve"> including: SCR1325 (2000) on Women, Peace and Security; S/RES/2250 (2015) on Youth, Peace and Security; A/RES/72/182 on the protection of and assistance to </w:t>
            </w:r>
            <w:r w:rsidR="00CC69FC" w:rsidRPr="00873FD4">
              <w:rPr>
                <w:rFonts w:cstheme="minorHAnsi"/>
                <w:sz w:val="24"/>
                <w:szCs w:val="24"/>
                <w:lang w:val="en-US"/>
              </w:rPr>
              <w:lastRenderedPageBreak/>
              <w:t>Internally Displaced Persons (IDPs) and; S/RES/2475 (2019): Protecting Persons with Disabilities in Conflict.</w:t>
            </w:r>
            <w:r w:rsidR="000F7534" w:rsidRPr="00873FD4">
              <w:rPr>
                <w:rFonts w:cstheme="minorHAnsi"/>
                <w:sz w:val="24"/>
                <w:szCs w:val="24"/>
                <w:lang w:val="en-US"/>
              </w:rPr>
              <w:t xml:space="preserve"> </w:t>
            </w:r>
          </w:p>
          <w:p w14:paraId="4653800A" w14:textId="0C63CB3D" w:rsidR="008F7FEA" w:rsidRPr="00873FD4" w:rsidRDefault="008F7FEA" w:rsidP="00576B0F">
            <w:pPr>
              <w:rPr>
                <w:rFonts w:cstheme="minorHAnsi"/>
                <w:sz w:val="24"/>
                <w:szCs w:val="24"/>
                <w:lang w:val="en-US"/>
              </w:rPr>
            </w:pPr>
          </w:p>
          <w:p w14:paraId="6B78A133" w14:textId="367AA810" w:rsidR="008F7FEA" w:rsidRPr="00873FD4" w:rsidRDefault="00994DAF" w:rsidP="008D454F">
            <w:pPr>
              <w:pStyle w:val="ListParagraph"/>
              <w:numPr>
                <w:ilvl w:val="0"/>
                <w:numId w:val="19"/>
              </w:numPr>
              <w:rPr>
                <w:rFonts w:cstheme="minorHAnsi"/>
                <w:sz w:val="24"/>
                <w:szCs w:val="24"/>
                <w:lang w:val="en-US"/>
              </w:rPr>
            </w:pPr>
            <w:r w:rsidRPr="00873FD4">
              <w:rPr>
                <w:rFonts w:cstheme="minorHAnsi"/>
                <w:sz w:val="24"/>
                <w:szCs w:val="24"/>
                <w:lang w:val="en-US"/>
              </w:rPr>
              <w:t xml:space="preserve">Paragraph </w:t>
            </w:r>
            <w:r w:rsidR="00F245E3" w:rsidRPr="00873FD4">
              <w:rPr>
                <w:rFonts w:cstheme="minorHAnsi"/>
                <w:sz w:val="24"/>
                <w:szCs w:val="24"/>
                <w:lang w:val="en-US"/>
              </w:rPr>
              <w:t xml:space="preserve">19a (page 6) </w:t>
            </w:r>
            <w:r w:rsidR="0001235F" w:rsidRPr="00873FD4">
              <w:rPr>
                <w:rFonts w:cstheme="minorHAnsi"/>
                <w:sz w:val="24"/>
                <w:szCs w:val="24"/>
                <w:lang w:val="en-US"/>
              </w:rPr>
              <w:t xml:space="preserve">and Output 2.1 </w:t>
            </w:r>
            <w:r w:rsidR="00F245E3" w:rsidRPr="00873FD4">
              <w:rPr>
                <w:rFonts w:cstheme="minorHAnsi"/>
                <w:sz w:val="24"/>
                <w:szCs w:val="24"/>
                <w:lang w:val="en-US"/>
              </w:rPr>
              <w:t>adjusted to reflect implementation of the Somalia Transition Plan.</w:t>
            </w:r>
            <w:r w:rsidR="00202181" w:rsidRPr="00873FD4">
              <w:rPr>
                <w:rFonts w:cstheme="minorHAnsi"/>
                <w:sz w:val="24"/>
                <w:szCs w:val="24"/>
                <w:lang w:val="en-US"/>
              </w:rPr>
              <w:t xml:space="preserve"> </w:t>
            </w:r>
          </w:p>
          <w:p w14:paraId="77EDBEC1" w14:textId="77777777" w:rsidR="008F7FEA" w:rsidRPr="00873FD4" w:rsidRDefault="008F7FEA" w:rsidP="00576B0F">
            <w:pPr>
              <w:rPr>
                <w:rFonts w:cstheme="minorHAnsi"/>
                <w:sz w:val="24"/>
                <w:szCs w:val="24"/>
                <w:lang w:val="en-US"/>
              </w:rPr>
            </w:pPr>
          </w:p>
          <w:p w14:paraId="5DA0FC9A" w14:textId="25E8B148" w:rsidR="008F7FEA" w:rsidRPr="00873FD4" w:rsidRDefault="008F7FEA" w:rsidP="00576B0F">
            <w:pPr>
              <w:rPr>
                <w:rFonts w:cstheme="minorHAnsi"/>
                <w:sz w:val="24"/>
                <w:szCs w:val="24"/>
                <w:lang w:val="en-US"/>
              </w:rPr>
            </w:pPr>
          </w:p>
          <w:p w14:paraId="6AE5E4B4" w14:textId="1083CD85" w:rsidR="00E63EE5" w:rsidRPr="00873FD4" w:rsidRDefault="00E63EE5" w:rsidP="00576B0F">
            <w:pPr>
              <w:rPr>
                <w:rFonts w:cstheme="minorHAnsi"/>
                <w:sz w:val="24"/>
                <w:szCs w:val="24"/>
                <w:lang w:val="en-US"/>
              </w:rPr>
            </w:pPr>
          </w:p>
          <w:p w14:paraId="2B70322C" w14:textId="77777777" w:rsidR="00E63EE5" w:rsidRPr="00873FD4" w:rsidRDefault="00E63EE5" w:rsidP="00576B0F">
            <w:pPr>
              <w:rPr>
                <w:rFonts w:cstheme="minorHAnsi"/>
                <w:sz w:val="24"/>
                <w:szCs w:val="24"/>
                <w:lang w:val="en-US"/>
              </w:rPr>
            </w:pPr>
          </w:p>
          <w:p w14:paraId="19935895" w14:textId="6BB2393F" w:rsidR="008F7FEA" w:rsidRPr="00873FD4" w:rsidRDefault="00097841" w:rsidP="00B21BCD">
            <w:pPr>
              <w:pStyle w:val="ListParagraph"/>
              <w:numPr>
                <w:ilvl w:val="0"/>
                <w:numId w:val="17"/>
              </w:numPr>
              <w:rPr>
                <w:rFonts w:cstheme="minorHAnsi"/>
                <w:sz w:val="24"/>
                <w:szCs w:val="24"/>
                <w:lang w:val="en-US"/>
              </w:rPr>
            </w:pPr>
            <w:r w:rsidRPr="00873FD4">
              <w:rPr>
                <w:rFonts w:cstheme="minorHAnsi"/>
                <w:sz w:val="24"/>
                <w:szCs w:val="24"/>
              </w:rPr>
              <w:t xml:space="preserve">Through the Joint Programme on Human Rights, </w:t>
            </w:r>
            <w:r w:rsidR="001B5290" w:rsidRPr="00873FD4">
              <w:rPr>
                <w:rFonts w:cstheme="minorHAnsi"/>
                <w:sz w:val="24"/>
                <w:szCs w:val="24"/>
              </w:rPr>
              <w:t xml:space="preserve">the </w:t>
            </w:r>
            <w:r w:rsidR="00A751B7" w:rsidRPr="00873FD4">
              <w:rPr>
                <w:rFonts w:cstheme="minorHAnsi"/>
                <w:sz w:val="24"/>
                <w:szCs w:val="24"/>
              </w:rPr>
              <w:t xml:space="preserve">establishment of the CSO network </w:t>
            </w:r>
            <w:r w:rsidR="001B5290" w:rsidRPr="00873FD4">
              <w:rPr>
                <w:rFonts w:cstheme="minorHAnsi"/>
                <w:sz w:val="24"/>
                <w:szCs w:val="24"/>
              </w:rPr>
              <w:t xml:space="preserve">was initiated in late 2019, as well as </w:t>
            </w:r>
            <w:r w:rsidR="00A751B7" w:rsidRPr="00873FD4">
              <w:rPr>
                <w:rFonts w:cstheme="minorHAnsi"/>
                <w:sz w:val="24"/>
                <w:szCs w:val="24"/>
              </w:rPr>
              <w:t>w</w:t>
            </w:r>
            <w:r w:rsidR="005E3FA4" w:rsidRPr="00873FD4">
              <w:rPr>
                <w:rFonts w:cstheme="minorHAnsi"/>
                <w:sz w:val="24"/>
                <w:szCs w:val="24"/>
              </w:rPr>
              <w:t>ork on human rights monitoring by CSO</w:t>
            </w:r>
            <w:r w:rsidR="00D74E8C" w:rsidRPr="00873FD4">
              <w:rPr>
                <w:rFonts w:cstheme="minorHAnsi"/>
                <w:sz w:val="24"/>
                <w:szCs w:val="24"/>
              </w:rPr>
              <w:t>s</w:t>
            </w:r>
            <w:r w:rsidR="000362E1" w:rsidRPr="00873FD4">
              <w:rPr>
                <w:rFonts w:cstheme="minorHAnsi"/>
                <w:sz w:val="24"/>
                <w:szCs w:val="24"/>
              </w:rPr>
              <w:t>. Online</w:t>
            </w:r>
            <w:r w:rsidR="00C56DD9" w:rsidRPr="00873FD4">
              <w:rPr>
                <w:rFonts w:cstheme="minorHAnsi"/>
                <w:sz w:val="24"/>
                <w:szCs w:val="24"/>
              </w:rPr>
              <w:t xml:space="preserve"> </w:t>
            </w:r>
            <w:r w:rsidR="005E3FA4" w:rsidRPr="00873FD4">
              <w:rPr>
                <w:rFonts w:cstheme="minorHAnsi"/>
                <w:sz w:val="24"/>
                <w:szCs w:val="24"/>
              </w:rPr>
              <w:t xml:space="preserve">trainings on human rights monitoring </w:t>
            </w:r>
            <w:r w:rsidR="000362E1" w:rsidRPr="00873FD4">
              <w:rPr>
                <w:rFonts w:cstheme="minorHAnsi"/>
                <w:sz w:val="24"/>
                <w:szCs w:val="24"/>
              </w:rPr>
              <w:t xml:space="preserve">were </w:t>
            </w:r>
            <w:r w:rsidR="005E3FA4" w:rsidRPr="00873FD4">
              <w:rPr>
                <w:rFonts w:cstheme="minorHAnsi"/>
                <w:sz w:val="24"/>
                <w:szCs w:val="24"/>
              </w:rPr>
              <w:t xml:space="preserve">provided to the 13 CSO networks. </w:t>
            </w:r>
            <w:r w:rsidR="00C56DD9" w:rsidRPr="00873FD4">
              <w:rPr>
                <w:rFonts w:cstheme="minorHAnsi"/>
                <w:sz w:val="24"/>
                <w:szCs w:val="24"/>
              </w:rPr>
              <w:t xml:space="preserve">However, </w:t>
            </w:r>
            <w:r w:rsidR="007F46D2" w:rsidRPr="00873FD4">
              <w:rPr>
                <w:rFonts w:cstheme="minorHAnsi"/>
                <w:sz w:val="24"/>
                <w:szCs w:val="24"/>
              </w:rPr>
              <w:t xml:space="preserve">the </w:t>
            </w:r>
            <w:r w:rsidR="005E3FA4" w:rsidRPr="00873FD4">
              <w:rPr>
                <w:rFonts w:cstheme="minorHAnsi"/>
                <w:sz w:val="24"/>
                <w:szCs w:val="24"/>
              </w:rPr>
              <w:t>COVID</w:t>
            </w:r>
            <w:r w:rsidR="00C56DD9" w:rsidRPr="00873FD4">
              <w:rPr>
                <w:rFonts w:cstheme="minorHAnsi"/>
                <w:sz w:val="24"/>
                <w:szCs w:val="24"/>
              </w:rPr>
              <w:t>-19</w:t>
            </w:r>
            <w:r w:rsidR="005E3FA4" w:rsidRPr="00873FD4">
              <w:rPr>
                <w:rFonts w:cstheme="minorHAnsi"/>
                <w:sz w:val="24"/>
                <w:szCs w:val="24"/>
              </w:rPr>
              <w:t xml:space="preserve"> pandemic </w:t>
            </w:r>
            <w:r w:rsidR="00C56DD9" w:rsidRPr="00873FD4">
              <w:rPr>
                <w:rFonts w:cstheme="minorHAnsi"/>
                <w:sz w:val="24"/>
                <w:szCs w:val="24"/>
              </w:rPr>
              <w:t>disrupted/</w:t>
            </w:r>
            <w:r w:rsidR="005E3FA4" w:rsidRPr="00873FD4">
              <w:rPr>
                <w:rFonts w:cstheme="minorHAnsi"/>
                <w:sz w:val="24"/>
                <w:szCs w:val="24"/>
              </w:rPr>
              <w:t xml:space="preserve">delayed the implementation of </w:t>
            </w:r>
            <w:r w:rsidR="00C56DD9" w:rsidRPr="00873FD4">
              <w:rPr>
                <w:rFonts w:cstheme="minorHAnsi"/>
                <w:sz w:val="24"/>
                <w:szCs w:val="24"/>
              </w:rPr>
              <w:t xml:space="preserve">planned </w:t>
            </w:r>
            <w:r w:rsidR="005E3FA4" w:rsidRPr="00873FD4">
              <w:rPr>
                <w:rFonts w:cstheme="minorHAnsi"/>
                <w:sz w:val="24"/>
                <w:szCs w:val="24"/>
              </w:rPr>
              <w:t xml:space="preserve">activities. </w:t>
            </w:r>
            <w:r w:rsidR="00BA18B6" w:rsidRPr="00873FD4">
              <w:rPr>
                <w:rFonts w:cstheme="minorHAnsi"/>
                <w:sz w:val="24"/>
                <w:szCs w:val="24"/>
              </w:rPr>
              <w:t xml:space="preserve">For the </w:t>
            </w:r>
            <w:r w:rsidR="009C2118" w:rsidRPr="00873FD4">
              <w:rPr>
                <w:rFonts w:cstheme="minorHAnsi"/>
                <w:sz w:val="24"/>
                <w:szCs w:val="24"/>
              </w:rPr>
              <w:t>2021-2025 CPD</w:t>
            </w:r>
            <w:r w:rsidR="00BA18B6" w:rsidRPr="00873FD4">
              <w:rPr>
                <w:rFonts w:cstheme="minorHAnsi"/>
                <w:sz w:val="24"/>
                <w:szCs w:val="24"/>
              </w:rPr>
              <w:t xml:space="preserve">, it is proposed </w:t>
            </w:r>
            <w:r w:rsidR="009C2118" w:rsidRPr="00873FD4">
              <w:rPr>
                <w:rFonts w:cstheme="minorHAnsi"/>
                <w:sz w:val="24"/>
                <w:szCs w:val="24"/>
              </w:rPr>
              <w:t xml:space="preserve">to </w:t>
            </w:r>
            <w:r w:rsidR="00BA18B6" w:rsidRPr="00873FD4">
              <w:rPr>
                <w:rFonts w:cstheme="minorHAnsi"/>
                <w:sz w:val="24"/>
                <w:szCs w:val="24"/>
              </w:rPr>
              <w:t xml:space="preserve">progressively </w:t>
            </w:r>
            <w:r w:rsidR="009C2118" w:rsidRPr="00873FD4">
              <w:rPr>
                <w:rFonts w:cstheme="minorHAnsi"/>
                <w:sz w:val="24"/>
                <w:szCs w:val="24"/>
              </w:rPr>
              <w:t xml:space="preserve">expand </w:t>
            </w:r>
            <w:r w:rsidR="00BA18B6" w:rsidRPr="00873FD4">
              <w:rPr>
                <w:rFonts w:cstheme="minorHAnsi"/>
                <w:sz w:val="24"/>
                <w:szCs w:val="24"/>
              </w:rPr>
              <w:t xml:space="preserve">on the CSOs network and </w:t>
            </w:r>
            <w:r w:rsidR="004A3D33" w:rsidRPr="00873FD4">
              <w:rPr>
                <w:rFonts w:cstheme="minorHAnsi"/>
                <w:sz w:val="24"/>
                <w:szCs w:val="24"/>
              </w:rPr>
              <w:t xml:space="preserve">work with a higher number of CSOs including through online trainings and </w:t>
            </w:r>
            <w:r w:rsidR="00FA6555" w:rsidRPr="00873FD4">
              <w:rPr>
                <w:rFonts w:cstheme="minorHAnsi"/>
                <w:sz w:val="24"/>
                <w:szCs w:val="24"/>
              </w:rPr>
              <w:t>resumption of face-to-face engagements while adher</w:t>
            </w:r>
            <w:r w:rsidR="0096062E" w:rsidRPr="00873FD4">
              <w:rPr>
                <w:rFonts w:cstheme="minorHAnsi"/>
                <w:sz w:val="24"/>
                <w:szCs w:val="24"/>
              </w:rPr>
              <w:t>ing</w:t>
            </w:r>
            <w:r w:rsidR="00FA6555" w:rsidRPr="00873FD4">
              <w:rPr>
                <w:rFonts w:cstheme="minorHAnsi"/>
                <w:sz w:val="24"/>
                <w:szCs w:val="24"/>
              </w:rPr>
              <w:t xml:space="preserve"> to COVID-19</w:t>
            </w:r>
            <w:r w:rsidR="00A54EB7" w:rsidRPr="00873FD4">
              <w:rPr>
                <w:rFonts w:cstheme="minorHAnsi"/>
                <w:sz w:val="24"/>
                <w:szCs w:val="24"/>
              </w:rPr>
              <w:t xml:space="preserve"> prevention protocols. </w:t>
            </w:r>
            <w:r w:rsidR="005E3FA4" w:rsidRPr="00873FD4">
              <w:rPr>
                <w:rFonts w:cstheme="minorHAnsi"/>
                <w:sz w:val="24"/>
                <w:szCs w:val="24"/>
              </w:rPr>
              <w:t>Further</w:t>
            </w:r>
            <w:r w:rsidR="0096062E" w:rsidRPr="00873FD4">
              <w:rPr>
                <w:rFonts w:cstheme="minorHAnsi"/>
                <w:sz w:val="24"/>
                <w:szCs w:val="24"/>
              </w:rPr>
              <w:t>,</w:t>
            </w:r>
            <w:r w:rsidR="005E3FA4" w:rsidRPr="00873FD4">
              <w:rPr>
                <w:rFonts w:cstheme="minorHAnsi"/>
                <w:sz w:val="24"/>
                <w:szCs w:val="24"/>
              </w:rPr>
              <w:t xml:space="preserve"> with </w:t>
            </w:r>
            <w:r w:rsidR="00E63EE5" w:rsidRPr="00873FD4">
              <w:rPr>
                <w:rFonts w:cstheme="minorHAnsi"/>
                <w:sz w:val="24"/>
                <w:szCs w:val="24"/>
              </w:rPr>
              <w:t>the</w:t>
            </w:r>
            <w:r w:rsidR="005E3FA4" w:rsidRPr="00873FD4">
              <w:rPr>
                <w:rFonts w:cstheme="minorHAnsi"/>
                <w:sz w:val="24"/>
                <w:szCs w:val="24"/>
              </w:rPr>
              <w:t xml:space="preserve"> establishment of the Independent Human Rights Commission </w:t>
            </w:r>
            <w:r w:rsidR="00E63EE5" w:rsidRPr="00873FD4">
              <w:rPr>
                <w:rFonts w:cstheme="minorHAnsi"/>
                <w:sz w:val="24"/>
                <w:szCs w:val="24"/>
              </w:rPr>
              <w:t xml:space="preserve">as </w:t>
            </w:r>
            <w:r w:rsidR="00A36C17" w:rsidRPr="00873FD4">
              <w:rPr>
                <w:rFonts w:cstheme="minorHAnsi"/>
                <w:sz w:val="24"/>
                <w:szCs w:val="24"/>
              </w:rPr>
              <w:t xml:space="preserve">envisaged in the CPD, </w:t>
            </w:r>
            <w:r w:rsidR="005E3FA4" w:rsidRPr="00873FD4">
              <w:rPr>
                <w:rFonts w:cstheme="minorHAnsi"/>
                <w:sz w:val="24"/>
                <w:szCs w:val="24"/>
              </w:rPr>
              <w:t>the CSO</w:t>
            </w:r>
            <w:r w:rsidR="00B21BCD" w:rsidRPr="00873FD4">
              <w:rPr>
                <w:rFonts w:cstheme="minorHAnsi"/>
                <w:sz w:val="24"/>
                <w:szCs w:val="24"/>
              </w:rPr>
              <w:t>s</w:t>
            </w:r>
            <w:r w:rsidR="005E3FA4" w:rsidRPr="00873FD4">
              <w:rPr>
                <w:rFonts w:cstheme="minorHAnsi"/>
                <w:sz w:val="24"/>
                <w:szCs w:val="24"/>
              </w:rPr>
              <w:t xml:space="preserve"> can provide their monitoring reports to the Commission</w:t>
            </w:r>
            <w:r w:rsidR="00A36C17" w:rsidRPr="00873FD4">
              <w:rPr>
                <w:rFonts w:cstheme="minorHAnsi"/>
                <w:sz w:val="24"/>
                <w:szCs w:val="24"/>
              </w:rPr>
              <w:t>.</w:t>
            </w:r>
          </w:p>
          <w:p w14:paraId="30027E4C" w14:textId="77777777" w:rsidR="005322F6" w:rsidRPr="00873FD4" w:rsidRDefault="005322F6" w:rsidP="00576B0F">
            <w:pPr>
              <w:rPr>
                <w:rFonts w:cstheme="minorHAnsi"/>
                <w:sz w:val="24"/>
                <w:szCs w:val="24"/>
                <w:lang w:val="en-US"/>
              </w:rPr>
            </w:pPr>
          </w:p>
          <w:p w14:paraId="2275E3E0" w14:textId="10EF38A4" w:rsidR="00F70550" w:rsidRPr="00873FD4" w:rsidRDefault="00A34CD8" w:rsidP="00EF7D71">
            <w:pPr>
              <w:pStyle w:val="ListParagraph"/>
              <w:numPr>
                <w:ilvl w:val="0"/>
                <w:numId w:val="16"/>
              </w:numPr>
              <w:ind w:left="360"/>
              <w:rPr>
                <w:rFonts w:cstheme="minorHAnsi"/>
                <w:sz w:val="24"/>
                <w:szCs w:val="24"/>
                <w:lang w:val="en-US"/>
              </w:rPr>
            </w:pPr>
            <w:r w:rsidRPr="00873FD4">
              <w:rPr>
                <w:rFonts w:cstheme="minorHAnsi"/>
                <w:sz w:val="24"/>
                <w:szCs w:val="24"/>
                <w:lang w:val="en-US"/>
              </w:rPr>
              <w:t>Paragra</w:t>
            </w:r>
            <w:r w:rsidR="00E358FB" w:rsidRPr="00873FD4">
              <w:rPr>
                <w:rFonts w:cstheme="minorHAnsi"/>
                <w:sz w:val="24"/>
                <w:szCs w:val="24"/>
                <w:lang w:val="en-US"/>
              </w:rPr>
              <w:t>ph 20b adjusted to in</w:t>
            </w:r>
            <w:r w:rsidR="00355C66" w:rsidRPr="00873FD4">
              <w:rPr>
                <w:rFonts w:cstheme="minorHAnsi"/>
                <w:sz w:val="24"/>
                <w:szCs w:val="24"/>
                <w:lang w:val="en-US"/>
              </w:rPr>
              <w:t>fer</w:t>
            </w:r>
            <w:r w:rsidR="00E358FB" w:rsidRPr="00873FD4">
              <w:rPr>
                <w:rFonts w:cstheme="minorHAnsi"/>
                <w:sz w:val="24"/>
                <w:szCs w:val="24"/>
                <w:lang w:val="en-US"/>
              </w:rPr>
              <w:t xml:space="preserve"> the aspect of information sharing</w:t>
            </w:r>
            <w:r w:rsidR="00B45FAF" w:rsidRPr="00873FD4">
              <w:rPr>
                <w:rFonts w:cstheme="minorHAnsi"/>
                <w:sz w:val="24"/>
                <w:szCs w:val="24"/>
                <w:lang w:val="en-US"/>
              </w:rPr>
              <w:t xml:space="preserve">/utilization </w:t>
            </w:r>
            <w:r w:rsidR="00E358FB" w:rsidRPr="00873FD4">
              <w:rPr>
                <w:rFonts w:cstheme="minorHAnsi"/>
                <w:sz w:val="24"/>
                <w:szCs w:val="24"/>
                <w:lang w:val="en-US"/>
              </w:rPr>
              <w:t xml:space="preserve">of resultant information to inform necessary actions by communities and </w:t>
            </w:r>
            <w:r w:rsidR="00B45FAF" w:rsidRPr="00873FD4">
              <w:rPr>
                <w:rFonts w:cstheme="minorHAnsi"/>
                <w:sz w:val="24"/>
                <w:szCs w:val="24"/>
                <w:lang w:val="en-US"/>
              </w:rPr>
              <w:t>key institutions</w:t>
            </w:r>
            <w:r w:rsidR="00F474B1" w:rsidRPr="00873FD4">
              <w:rPr>
                <w:rFonts w:cstheme="minorHAnsi"/>
                <w:sz w:val="24"/>
                <w:szCs w:val="24"/>
                <w:lang w:val="en-US"/>
              </w:rPr>
              <w:t xml:space="preserve"> (see page 6)</w:t>
            </w:r>
            <w:r w:rsidR="00B45FAF" w:rsidRPr="00873FD4">
              <w:rPr>
                <w:rFonts w:cstheme="minorHAnsi"/>
                <w:sz w:val="24"/>
                <w:szCs w:val="24"/>
                <w:lang w:val="en-US"/>
              </w:rPr>
              <w:t>.</w:t>
            </w:r>
            <w:r w:rsidR="005F0138" w:rsidRPr="00873FD4">
              <w:rPr>
                <w:rFonts w:cstheme="minorHAnsi"/>
                <w:sz w:val="24"/>
                <w:szCs w:val="24"/>
                <w:lang w:val="en-US"/>
              </w:rPr>
              <w:t xml:space="preserve"> In addition, the aspect of </w:t>
            </w:r>
            <w:r w:rsidR="00335504" w:rsidRPr="00873FD4">
              <w:rPr>
                <w:rFonts w:cstheme="minorHAnsi"/>
                <w:sz w:val="24"/>
                <w:szCs w:val="24"/>
                <w:lang w:val="en-US"/>
              </w:rPr>
              <w:t xml:space="preserve">dissemination of </w:t>
            </w:r>
            <w:r w:rsidR="00526006" w:rsidRPr="00873FD4">
              <w:rPr>
                <w:rFonts w:cstheme="minorHAnsi"/>
                <w:sz w:val="24"/>
                <w:szCs w:val="24"/>
                <w:lang w:val="en-US"/>
              </w:rPr>
              <w:t xml:space="preserve">information </w:t>
            </w:r>
            <w:r w:rsidR="005443E4" w:rsidRPr="00873FD4">
              <w:rPr>
                <w:rFonts w:cstheme="minorHAnsi"/>
                <w:sz w:val="24"/>
                <w:szCs w:val="24"/>
                <w:lang w:val="en-US"/>
              </w:rPr>
              <w:t xml:space="preserve">on/arising from </w:t>
            </w:r>
            <w:r w:rsidR="00335504" w:rsidRPr="00873FD4">
              <w:rPr>
                <w:rFonts w:cstheme="minorHAnsi"/>
                <w:sz w:val="24"/>
                <w:szCs w:val="24"/>
                <w:lang w:val="en-US"/>
              </w:rPr>
              <w:t xml:space="preserve">Early Warning Systems </w:t>
            </w:r>
            <w:r w:rsidR="005443E4" w:rsidRPr="00873FD4">
              <w:rPr>
                <w:rFonts w:cstheme="minorHAnsi"/>
                <w:sz w:val="24"/>
                <w:szCs w:val="24"/>
                <w:lang w:val="en-US"/>
              </w:rPr>
              <w:t xml:space="preserve">is inferred </w:t>
            </w:r>
            <w:r w:rsidR="00F70550" w:rsidRPr="00873FD4">
              <w:rPr>
                <w:rFonts w:cstheme="minorHAnsi"/>
                <w:sz w:val="24"/>
                <w:szCs w:val="24"/>
                <w:lang w:val="en-US"/>
              </w:rPr>
              <w:t xml:space="preserve">in </w:t>
            </w:r>
            <w:r w:rsidR="005443E4" w:rsidRPr="00873FD4">
              <w:rPr>
                <w:rFonts w:cstheme="minorHAnsi"/>
                <w:sz w:val="24"/>
                <w:szCs w:val="24"/>
                <w:lang w:val="en-US"/>
              </w:rPr>
              <w:t>indicat</w:t>
            </w:r>
            <w:r w:rsidR="00F70550" w:rsidRPr="00873FD4">
              <w:rPr>
                <w:rFonts w:cstheme="minorHAnsi"/>
                <w:sz w:val="24"/>
                <w:szCs w:val="24"/>
                <w:lang w:val="en-US"/>
              </w:rPr>
              <w:t xml:space="preserve">or </w:t>
            </w:r>
            <w:r w:rsidR="005443E4" w:rsidRPr="00873FD4">
              <w:rPr>
                <w:rFonts w:cstheme="minorHAnsi"/>
                <w:sz w:val="24"/>
                <w:szCs w:val="24"/>
                <w:lang w:val="en-US"/>
              </w:rPr>
              <w:t xml:space="preserve">4.1.1: Number of target communities </w:t>
            </w:r>
            <w:r w:rsidR="005443E4" w:rsidRPr="00873FD4">
              <w:rPr>
                <w:rFonts w:cstheme="minorHAnsi"/>
                <w:sz w:val="24"/>
                <w:szCs w:val="24"/>
                <w:lang w:val="en-US"/>
              </w:rPr>
              <w:lastRenderedPageBreak/>
              <w:t>benefitting from early warning systems</w:t>
            </w:r>
            <w:r w:rsidR="00F70550" w:rsidRPr="00873FD4">
              <w:rPr>
                <w:rFonts w:cstheme="minorHAnsi"/>
                <w:sz w:val="24"/>
                <w:szCs w:val="24"/>
                <w:lang w:val="en-US"/>
              </w:rPr>
              <w:t xml:space="preserve"> under Output 4.1. Enhanced capacities of government institutions and communities at federal, state, local levels to mitigate and adapt to climate change</w:t>
            </w:r>
            <w:r w:rsidR="00805C80" w:rsidRPr="00873FD4">
              <w:rPr>
                <w:rFonts w:cstheme="minorHAnsi"/>
                <w:sz w:val="24"/>
                <w:szCs w:val="24"/>
                <w:lang w:val="en-US"/>
              </w:rPr>
              <w:t xml:space="preserve">. For the communities to </w:t>
            </w:r>
            <w:r w:rsidR="00927F07" w:rsidRPr="00873FD4">
              <w:rPr>
                <w:rFonts w:cstheme="minorHAnsi"/>
                <w:sz w:val="24"/>
                <w:szCs w:val="24"/>
                <w:lang w:val="en-US"/>
              </w:rPr>
              <w:t>‘</w:t>
            </w:r>
            <w:r w:rsidR="00805C80" w:rsidRPr="00873FD4">
              <w:rPr>
                <w:rFonts w:cstheme="minorHAnsi"/>
                <w:sz w:val="24"/>
                <w:szCs w:val="24"/>
                <w:lang w:val="en-US"/>
              </w:rPr>
              <w:t>benefit</w:t>
            </w:r>
            <w:r w:rsidR="00927F07" w:rsidRPr="00873FD4">
              <w:rPr>
                <w:rFonts w:cstheme="minorHAnsi"/>
                <w:sz w:val="24"/>
                <w:szCs w:val="24"/>
                <w:lang w:val="en-US"/>
              </w:rPr>
              <w:t>’</w:t>
            </w:r>
            <w:r w:rsidR="00805C80" w:rsidRPr="00873FD4">
              <w:rPr>
                <w:rFonts w:cstheme="minorHAnsi"/>
                <w:sz w:val="24"/>
                <w:szCs w:val="24"/>
                <w:lang w:val="en-US"/>
              </w:rPr>
              <w:t xml:space="preserve"> from the Early Warning Systems, the information generated must be disseminated</w:t>
            </w:r>
            <w:r w:rsidR="00927F07" w:rsidRPr="00873FD4">
              <w:rPr>
                <w:rFonts w:cstheme="minorHAnsi"/>
                <w:sz w:val="24"/>
                <w:szCs w:val="24"/>
                <w:lang w:val="en-US"/>
              </w:rPr>
              <w:t xml:space="preserve"> (see page </w:t>
            </w:r>
            <w:r w:rsidR="00731D9A" w:rsidRPr="00873FD4">
              <w:rPr>
                <w:rFonts w:cstheme="minorHAnsi"/>
                <w:sz w:val="24"/>
                <w:szCs w:val="24"/>
                <w:lang w:val="en-US"/>
              </w:rPr>
              <w:t>18)</w:t>
            </w:r>
            <w:r w:rsidR="00805C80" w:rsidRPr="00873FD4">
              <w:rPr>
                <w:rFonts w:cstheme="minorHAnsi"/>
                <w:sz w:val="24"/>
                <w:szCs w:val="24"/>
                <w:lang w:val="en-US"/>
              </w:rPr>
              <w:t>.</w:t>
            </w:r>
          </w:p>
          <w:p w14:paraId="693C9BDF" w14:textId="1FB3BCFA" w:rsidR="005443E4" w:rsidRPr="00873FD4" w:rsidRDefault="005443E4" w:rsidP="00EF7D71">
            <w:pPr>
              <w:rPr>
                <w:rFonts w:eastAsia="Calibri" w:cstheme="minorHAnsi"/>
                <w:sz w:val="24"/>
                <w:szCs w:val="24"/>
              </w:rPr>
            </w:pPr>
          </w:p>
          <w:p w14:paraId="21791F04" w14:textId="207FC85C" w:rsidR="005322F6" w:rsidRPr="00873FD4" w:rsidRDefault="008C612E" w:rsidP="00EF7D71">
            <w:pPr>
              <w:pStyle w:val="ListParagraph"/>
              <w:numPr>
                <w:ilvl w:val="0"/>
                <w:numId w:val="16"/>
              </w:numPr>
              <w:ind w:left="360"/>
              <w:rPr>
                <w:rFonts w:cstheme="minorHAnsi"/>
                <w:sz w:val="24"/>
                <w:szCs w:val="24"/>
                <w:lang w:val="en-US"/>
              </w:rPr>
            </w:pPr>
            <w:r w:rsidRPr="00873FD4">
              <w:rPr>
                <w:rFonts w:cstheme="minorHAnsi"/>
                <w:sz w:val="24"/>
                <w:szCs w:val="24"/>
                <w:lang w:val="en-US"/>
              </w:rPr>
              <w:t>Paragraph 20</w:t>
            </w:r>
            <w:r w:rsidR="00920263" w:rsidRPr="00873FD4">
              <w:rPr>
                <w:rFonts w:cstheme="minorHAnsi"/>
                <w:sz w:val="24"/>
                <w:szCs w:val="24"/>
                <w:lang w:val="en-US"/>
              </w:rPr>
              <w:t xml:space="preserve">d adjusted to strengthen the involvement/role of the </w:t>
            </w:r>
            <w:r w:rsidR="005322F6" w:rsidRPr="00873FD4">
              <w:rPr>
                <w:rFonts w:cstheme="minorHAnsi"/>
                <w:sz w:val="24"/>
                <w:szCs w:val="24"/>
                <w:lang w:val="en-US"/>
              </w:rPr>
              <w:t xml:space="preserve">private sector </w:t>
            </w:r>
            <w:r w:rsidR="00575D1B" w:rsidRPr="00873FD4">
              <w:rPr>
                <w:rFonts w:cstheme="minorHAnsi"/>
                <w:sz w:val="24"/>
                <w:szCs w:val="24"/>
                <w:lang w:val="en-US"/>
              </w:rPr>
              <w:t>in pro</w:t>
            </w:r>
            <w:r w:rsidR="00C53BB3" w:rsidRPr="00873FD4">
              <w:rPr>
                <w:rFonts w:cstheme="minorHAnsi"/>
                <w:sz w:val="24"/>
                <w:szCs w:val="24"/>
                <w:lang w:val="en-US"/>
              </w:rPr>
              <w:t xml:space="preserve">motion </w:t>
            </w:r>
            <w:r w:rsidR="004A6215" w:rsidRPr="00873FD4">
              <w:rPr>
                <w:rFonts w:cstheme="minorHAnsi"/>
                <w:sz w:val="24"/>
                <w:szCs w:val="24"/>
                <w:lang w:val="en-US"/>
              </w:rPr>
              <w:t xml:space="preserve">of </w:t>
            </w:r>
            <w:r w:rsidR="00575D1B" w:rsidRPr="00873FD4">
              <w:rPr>
                <w:rFonts w:cstheme="minorHAnsi"/>
                <w:sz w:val="24"/>
                <w:szCs w:val="24"/>
                <w:lang w:val="en-US"/>
              </w:rPr>
              <w:t>equitable access to sustainable energy</w:t>
            </w:r>
            <w:r w:rsidR="00F21F3A" w:rsidRPr="00873FD4">
              <w:rPr>
                <w:rFonts w:cstheme="minorHAnsi"/>
                <w:sz w:val="24"/>
                <w:szCs w:val="24"/>
                <w:lang w:val="en-US"/>
              </w:rPr>
              <w:t xml:space="preserve"> including through development of legal frameworks </w:t>
            </w:r>
            <w:r w:rsidR="00390A0C" w:rsidRPr="00873FD4">
              <w:rPr>
                <w:rFonts w:cstheme="minorHAnsi"/>
                <w:sz w:val="24"/>
                <w:szCs w:val="24"/>
              </w:rPr>
              <w:t>to regulate cost of energy</w:t>
            </w:r>
            <w:r w:rsidR="00F474B1" w:rsidRPr="00873FD4">
              <w:rPr>
                <w:rFonts w:cstheme="minorHAnsi"/>
                <w:sz w:val="24"/>
                <w:szCs w:val="24"/>
              </w:rPr>
              <w:t xml:space="preserve"> (see page 7)</w:t>
            </w:r>
            <w:r w:rsidR="00575D1B" w:rsidRPr="00873FD4">
              <w:rPr>
                <w:rFonts w:cstheme="minorHAnsi"/>
                <w:sz w:val="24"/>
                <w:szCs w:val="24"/>
                <w:lang w:val="en-US"/>
              </w:rPr>
              <w:t>.</w:t>
            </w:r>
          </w:p>
        </w:tc>
      </w:tr>
    </w:tbl>
    <w:p w14:paraId="2256BA0B" w14:textId="77777777" w:rsidR="000647A9" w:rsidRPr="005323D5" w:rsidRDefault="000647A9" w:rsidP="000647A9">
      <w:pPr>
        <w:spacing w:after="0" w:line="240" w:lineRule="auto"/>
        <w:jc w:val="center"/>
        <w:rPr>
          <w:rFonts w:cs="Times New Roman"/>
          <w:sz w:val="24"/>
          <w:szCs w:val="24"/>
        </w:rPr>
      </w:pPr>
      <w:r>
        <w:rPr>
          <w:rFonts w:cs="Times New Roman"/>
          <w:sz w:val="24"/>
          <w:szCs w:val="24"/>
        </w:rPr>
        <w:lastRenderedPageBreak/>
        <w:t>_______</w:t>
      </w:r>
    </w:p>
    <w:p w14:paraId="70823533" w14:textId="551BAE52" w:rsidR="001567CA" w:rsidRPr="005323D5" w:rsidRDefault="001567CA" w:rsidP="00576B0F">
      <w:pPr>
        <w:spacing w:after="0" w:line="240" w:lineRule="auto"/>
        <w:jc w:val="center"/>
        <w:rPr>
          <w:rFonts w:cs="Times New Roman"/>
          <w:sz w:val="24"/>
          <w:szCs w:val="24"/>
        </w:rPr>
      </w:pP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F4386" w14:textId="77777777" w:rsidR="00E67FA2" w:rsidRDefault="00E67FA2" w:rsidP="0053576A">
      <w:pPr>
        <w:spacing w:after="0" w:line="240" w:lineRule="auto"/>
      </w:pPr>
      <w:r>
        <w:separator/>
      </w:r>
    </w:p>
  </w:endnote>
  <w:endnote w:type="continuationSeparator" w:id="0">
    <w:p w14:paraId="73AA1F9E" w14:textId="77777777" w:rsidR="00E67FA2" w:rsidRDefault="00E67FA2"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261CF" w14:textId="77777777" w:rsidR="00E67FA2" w:rsidRDefault="00E67FA2" w:rsidP="0053576A">
      <w:pPr>
        <w:spacing w:after="0" w:line="240" w:lineRule="auto"/>
      </w:pPr>
      <w:r>
        <w:separator/>
      </w:r>
    </w:p>
  </w:footnote>
  <w:footnote w:type="continuationSeparator" w:id="0">
    <w:p w14:paraId="26740A3D" w14:textId="77777777" w:rsidR="00E67FA2" w:rsidRDefault="00E67FA2"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78F"/>
    <w:multiLevelType w:val="hybridMultilevel"/>
    <w:tmpl w:val="08529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FD80DE6"/>
    <w:multiLevelType w:val="hybridMultilevel"/>
    <w:tmpl w:val="E4C29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116B7"/>
    <w:multiLevelType w:val="hybridMultilevel"/>
    <w:tmpl w:val="34483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21E8C"/>
    <w:multiLevelType w:val="hybridMultilevel"/>
    <w:tmpl w:val="45AC3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C95D82"/>
    <w:multiLevelType w:val="hybridMultilevel"/>
    <w:tmpl w:val="13945A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0F9B"/>
    <w:multiLevelType w:val="hybridMultilevel"/>
    <w:tmpl w:val="D8A6F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D71D4"/>
    <w:multiLevelType w:val="hybridMultilevel"/>
    <w:tmpl w:val="429AA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3"/>
  </w:num>
  <w:num w:numId="4">
    <w:abstractNumId w:val="13"/>
  </w:num>
  <w:num w:numId="5">
    <w:abstractNumId w:val="6"/>
  </w:num>
  <w:num w:numId="6">
    <w:abstractNumId w:val="10"/>
  </w:num>
  <w:num w:numId="7">
    <w:abstractNumId w:val="9"/>
  </w:num>
  <w:num w:numId="8">
    <w:abstractNumId w:val="1"/>
  </w:num>
  <w:num w:numId="9">
    <w:abstractNumId w:val="15"/>
  </w:num>
  <w:num w:numId="10">
    <w:abstractNumId w:val="4"/>
  </w:num>
  <w:num w:numId="11">
    <w:abstractNumId w:val="17"/>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0"/>
  </w:num>
  <w:num w:numId="17">
    <w:abstractNumId w:val="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35F"/>
    <w:rsid w:val="00012624"/>
    <w:rsid w:val="00023C33"/>
    <w:rsid w:val="0002543D"/>
    <w:rsid w:val="000301C5"/>
    <w:rsid w:val="00031330"/>
    <w:rsid w:val="0003212B"/>
    <w:rsid w:val="0003213E"/>
    <w:rsid w:val="00035CCD"/>
    <w:rsid w:val="000362E1"/>
    <w:rsid w:val="0004201B"/>
    <w:rsid w:val="0004295E"/>
    <w:rsid w:val="000470F0"/>
    <w:rsid w:val="00052B13"/>
    <w:rsid w:val="00054870"/>
    <w:rsid w:val="00055EC9"/>
    <w:rsid w:val="00056EA8"/>
    <w:rsid w:val="00057DC3"/>
    <w:rsid w:val="000647A9"/>
    <w:rsid w:val="00075097"/>
    <w:rsid w:val="000756B5"/>
    <w:rsid w:val="000768F7"/>
    <w:rsid w:val="00081427"/>
    <w:rsid w:val="000829C1"/>
    <w:rsid w:val="00084180"/>
    <w:rsid w:val="000873D1"/>
    <w:rsid w:val="0008799D"/>
    <w:rsid w:val="0009138E"/>
    <w:rsid w:val="00097841"/>
    <w:rsid w:val="000A0608"/>
    <w:rsid w:val="000A1942"/>
    <w:rsid w:val="000A21E8"/>
    <w:rsid w:val="000A52D6"/>
    <w:rsid w:val="000B07E9"/>
    <w:rsid w:val="000B3CBB"/>
    <w:rsid w:val="000B3F1C"/>
    <w:rsid w:val="000B4895"/>
    <w:rsid w:val="000B4FED"/>
    <w:rsid w:val="000C0C64"/>
    <w:rsid w:val="000C190A"/>
    <w:rsid w:val="000C6EB6"/>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0F7267"/>
    <w:rsid w:val="000F7534"/>
    <w:rsid w:val="00101966"/>
    <w:rsid w:val="00103BFD"/>
    <w:rsid w:val="00107156"/>
    <w:rsid w:val="001119B1"/>
    <w:rsid w:val="00114444"/>
    <w:rsid w:val="00114F4A"/>
    <w:rsid w:val="00116943"/>
    <w:rsid w:val="0011704F"/>
    <w:rsid w:val="001170A3"/>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3109"/>
    <w:rsid w:val="001563BA"/>
    <w:rsid w:val="001567CA"/>
    <w:rsid w:val="00156E03"/>
    <w:rsid w:val="0016372C"/>
    <w:rsid w:val="001642D5"/>
    <w:rsid w:val="00164F3E"/>
    <w:rsid w:val="00166354"/>
    <w:rsid w:val="00167B3C"/>
    <w:rsid w:val="001714EE"/>
    <w:rsid w:val="00171A79"/>
    <w:rsid w:val="001723E9"/>
    <w:rsid w:val="00176100"/>
    <w:rsid w:val="001772A3"/>
    <w:rsid w:val="0018194D"/>
    <w:rsid w:val="001829F6"/>
    <w:rsid w:val="00184620"/>
    <w:rsid w:val="00187411"/>
    <w:rsid w:val="00191310"/>
    <w:rsid w:val="00191B02"/>
    <w:rsid w:val="00192C3C"/>
    <w:rsid w:val="001935A4"/>
    <w:rsid w:val="0019592A"/>
    <w:rsid w:val="0019670D"/>
    <w:rsid w:val="001A1E1B"/>
    <w:rsid w:val="001A454D"/>
    <w:rsid w:val="001A55BB"/>
    <w:rsid w:val="001A6187"/>
    <w:rsid w:val="001A66BA"/>
    <w:rsid w:val="001B13FD"/>
    <w:rsid w:val="001B3E1B"/>
    <w:rsid w:val="001B4D99"/>
    <w:rsid w:val="001B5290"/>
    <w:rsid w:val="001B7483"/>
    <w:rsid w:val="001B79D4"/>
    <w:rsid w:val="001B7D1B"/>
    <w:rsid w:val="001C02B6"/>
    <w:rsid w:val="001C0EE9"/>
    <w:rsid w:val="001C59D1"/>
    <w:rsid w:val="001C5AE9"/>
    <w:rsid w:val="001C74D1"/>
    <w:rsid w:val="001D0D5F"/>
    <w:rsid w:val="001D2E21"/>
    <w:rsid w:val="001D3016"/>
    <w:rsid w:val="001D73C9"/>
    <w:rsid w:val="001DAAAC"/>
    <w:rsid w:val="001E08F7"/>
    <w:rsid w:val="001E0D9D"/>
    <w:rsid w:val="001E1A7C"/>
    <w:rsid w:val="001E467A"/>
    <w:rsid w:val="001E4A47"/>
    <w:rsid w:val="001E7006"/>
    <w:rsid w:val="001E71D5"/>
    <w:rsid w:val="001E7F32"/>
    <w:rsid w:val="001F0745"/>
    <w:rsid w:val="001F279E"/>
    <w:rsid w:val="001F3074"/>
    <w:rsid w:val="001F3943"/>
    <w:rsid w:val="001F43EC"/>
    <w:rsid w:val="001F642C"/>
    <w:rsid w:val="001F65DC"/>
    <w:rsid w:val="00200532"/>
    <w:rsid w:val="0020125F"/>
    <w:rsid w:val="00202181"/>
    <w:rsid w:val="00202860"/>
    <w:rsid w:val="002035AF"/>
    <w:rsid w:val="0020544D"/>
    <w:rsid w:val="002054C5"/>
    <w:rsid w:val="002063B3"/>
    <w:rsid w:val="00207533"/>
    <w:rsid w:val="00210E0B"/>
    <w:rsid w:val="002112D8"/>
    <w:rsid w:val="002121AB"/>
    <w:rsid w:val="00213107"/>
    <w:rsid w:val="002137E0"/>
    <w:rsid w:val="00213D00"/>
    <w:rsid w:val="0021759B"/>
    <w:rsid w:val="00220B62"/>
    <w:rsid w:val="00221D16"/>
    <w:rsid w:val="00222F93"/>
    <w:rsid w:val="002230C9"/>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009"/>
    <w:rsid w:val="00261055"/>
    <w:rsid w:val="00261CF3"/>
    <w:rsid w:val="00262D2F"/>
    <w:rsid w:val="002640A6"/>
    <w:rsid w:val="00264458"/>
    <w:rsid w:val="00265C9A"/>
    <w:rsid w:val="002677E7"/>
    <w:rsid w:val="002718E1"/>
    <w:rsid w:val="00272B81"/>
    <w:rsid w:val="0027540E"/>
    <w:rsid w:val="00275955"/>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0FF3"/>
    <w:rsid w:val="0032142C"/>
    <w:rsid w:val="00321475"/>
    <w:rsid w:val="0032183A"/>
    <w:rsid w:val="00321DB2"/>
    <w:rsid w:val="003224C5"/>
    <w:rsid w:val="0032450B"/>
    <w:rsid w:val="00324E1A"/>
    <w:rsid w:val="00327093"/>
    <w:rsid w:val="00331CCB"/>
    <w:rsid w:val="00335504"/>
    <w:rsid w:val="00342161"/>
    <w:rsid w:val="00343F03"/>
    <w:rsid w:val="00345FF6"/>
    <w:rsid w:val="00346A3B"/>
    <w:rsid w:val="00354086"/>
    <w:rsid w:val="00354E71"/>
    <w:rsid w:val="003553E0"/>
    <w:rsid w:val="00355BD0"/>
    <w:rsid w:val="00355C66"/>
    <w:rsid w:val="003565D7"/>
    <w:rsid w:val="0035697F"/>
    <w:rsid w:val="00357134"/>
    <w:rsid w:val="00357FB7"/>
    <w:rsid w:val="00365131"/>
    <w:rsid w:val="00365B31"/>
    <w:rsid w:val="00370D2E"/>
    <w:rsid w:val="00372718"/>
    <w:rsid w:val="0037314A"/>
    <w:rsid w:val="0037448B"/>
    <w:rsid w:val="00377E5F"/>
    <w:rsid w:val="0038133F"/>
    <w:rsid w:val="003826EB"/>
    <w:rsid w:val="00386EDB"/>
    <w:rsid w:val="00386F71"/>
    <w:rsid w:val="00387E10"/>
    <w:rsid w:val="00390A0C"/>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0F5E"/>
    <w:rsid w:val="003D37D3"/>
    <w:rsid w:val="003D5641"/>
    <w:rsid w:val="003E0CC7"/>
    <w:rsid w:val="003E0DC2"/>
    <w:rsid w:val="003E28BC"/>
    <w:rsid w:val="003E51CE"/>
    <w:rsid w:val="003E58C9"/>
    <w:rsid w:val="003E7BB7"/>
    <w:rsid w:val="003F1B9C"/>
    <w:rsid w:val="003F584D"/>
    <w:rsid w:val="003F7B5A"/>
    <w:rsid w:val="00403076"/>
    <w:rsid w:val="004036FA"/>
    <w:rsid w:val="00405723"/>
    <w:rsid w:val="00405CD2"/>
    <w:rsid w:val="00405D9F"/>
    <w:rsid w:val="00406AA4"/>
    <w:rsid w:val="0041104F"/>
    <w:rsid w:val="00420069"/>
    <w:rsid w:val="00421675"/>
    <w:rsid w:val="004227EB"/>
    <w:rsid w:val="0042321E"/>
    <w:rsid w:val="00425E1A"/>
    <w:rsid w:val="004261B4"/>
    <w:rsid w:val="004300BB"/>
    <w:rsid w:val="0043021A"/>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3151"/>
    <w:rsid w:val="004879A3"/>
    <w:rsid w:val="0049029C"/>
    <w:rsid w:val="00490772"/>
    <w:rsid w:val="0049108A"/>
    <w:rsid w:val="00494A81"/>
    <w:rsid w:val="004A0BC6"/>
    <w:rsid w:val="004A1E61"/>
    <w:rsid w:val="004A2F72"/>
    <w:rsid w:val="004A3D33"/>
    <w:rsid w:val="004A446F"/>
    <w:rsid w:val="004A6011"/>
    <w:rsid w:val="004A6215"/>
    <w:rsid w:val="004B040F"/>
    <w:rsid w:val="004B5B75"/>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6201"/>
    <w:rsid w:val="00507485"/>
    <w:rsid w:val="0050782F"/>
    <w:rsid w:val="00507A15"/>
    <w:rsid w:val="00510044"/>
    <w:rsid w:val="0051202A"/>
    <w:rsid w:val="00513875"/>
    <w:rsid w:val="00515A78"/>
    <w:rsid w:val="0051707E"/>
    <w:rsid w:val="005175EF"/>
    <w:rsid w:val="00524F47"/>
    <w:rsid w:val="00526006"/>
    <w:rsid w:val="005263AE"/>
    <w:rsid w:val="0053058E"/>
    <w:rsid w:val="00530D48"/>
    <w:rsid w:val="00531551"/>
    <w:rsid w:val="005322F6"/>
    <w:rsid w:val="005323D5"/>
    <w:rsid w:val="005328FD"/>
    <w:rsid w:val="00534D0A"/>
    <w:rsid w:val="00534E03"/>
    <w:rsid w:val="005352A4"/>
    <w:rsid w:val="00535705"/>
    <w:rsid w:val="0053576A"/>
    <w:rsid w:val="00535FAD"/>
    <w:rsid w:val="005364EF"/>
    <w:rsid w:val="005443E4"/>
    <w:rsid w:val="00551EAC"/>
    <w:rsid w:val="005574FF"/>
    <w:rsid w:val="00560078"/>
    <w:rsid w:val="005615AE"/>
    <w:rsid w:val="00561AA4"/>
    <w:rsid w:val="00563ED2"/>
    <w:rsid w:val="0056474F"/>
    <w:rsid w:val="005702BC"/>
    <w:rsid w:val="0057197B"/>
    <w:rsid w:val="00575D1B"/>
    <w:rsid w:val="005769A5"/>
    <w:rsid w:val="00576B0F"/>
    <w:rsid w:val="00581AA7"/>
    <w:rsid w:val="00582240"/>
    <w:rsid w:val="005902A0"/>
    <w:rsid w:val="00591407"/>
    <w:rsid w:val="00594967"/>
    <w:rsid w:val="00594E11"/>
    <w:rsid w:val="00596B39"/>
    <w:rsid w:val="00597E6D"/>
    <w:rsid w:val="005A465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3FA4"/>
    <w:rsid w:val="005E5767"/>
    <w:rsid w:val="005E6B2E"/>
    <w:rsid w:val="005E7BCD"/>
    <w:rsid w:val="005E7E1A"/>
    <w:rsid w:val="005F0138"/>
    <w:rsid w:val="005F07E3"/>
    <w:rsid w:val="00600238"/>
    <w:rsid w:val="006012E8"/>
    <w:rsid w:val="00601AF5"/>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35494"/>
    <w:rsid w:val="0064189F"/>
    <w:rsid w:val="00642639"/>
    <w:rsid w:val="00644CA7"/>
    <w:rsid w:val="00644FBD"/>
    <w:rsid w:val="00646F8E"/>
    <w:rsid w:val="0065031F"/>
    <w:rsid w:val="006505B8"/>
    <w:rsid w:val="00650B9D"/>
    <w:rsid w:val="0065107F"/>
    <w:rsid w:val="00651822"/>
    <w:rsid w:val="00652962"/>
    <w:rsid w:val="00662466"/>
    <w:rsid w:val="00663AD3"/>
    <w:rsid w:val="00665492"/>
    <w:rsid w:val="00666B74"/>
    <w:rsid w:val="006705E9"/>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9797C"/>
    <w:rsid w:val="006A31E5"/>
    <w:rsid w:val="006A4609"/>
    <w:rsid w:val="006A4976"/>
    <w:rsid w:val="006A6744"/>
    <w:rsid w:val="006B06F5"/>
    <w:rsid w:val="006B17EA"/>
    <w:rsid w:val="006B22DD"/>
    <w:rsid w:val="006B3D46"/>
    <w:rsid w:val="006C1102"/>
    <w:rsid w:val="006C14E5"/>
    <w:rsid w:val="006D1F8F"/>
    <w:rsid w:val="006D25E3"/>
    <w:rsid w:val="006D4586"/>
    <w:rsid w:val="006D5781"/>
    <w:rsid w:val="006D5B1E"/>
    <w:rsid w:val="006D5DF2"/>
    <w:rsid w:val="006E30D6"/>
    <w:rsid w:val="006E6402"/>
    <w:rsid w:val="006E7FFD"/>
    <w:rsid w:val="006F00FD"/>
    <w:rsid w:val="006F2389"/>
    <w:rsid w:val="006F3317"/>
    <w:rsid w:val="006F6C34"/>
    <w:rsid w:val="006F76B4"/>
    <w:rsid w:val="00704AB0"/>
    <w:rsid w:val="00707A9C"/>
    <w:rsid w:val="007119E5"/>
    <w:rsid w:val="007134EA"/>
    <w:rsid w:val="00715C2C"/>
    <w:rsid w:val="00717653"/>
    <w:rsid w:val="007200BD"/>
    <w:rsid w:val="007245FA"/>
    <w:rsid w:val="00724BDE"/>
    <w:rsid w:val="00731A13"/>
    <w:rsid w:val="00731D9A"/>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650FA"/>
    <w:rsid w:val="00767141"/>
    <w:rsid w:val="00770050"/>
    <w:rsid w:val="00772077"/>
    <w:rsid w:val="00772AB7"/>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4B7A"/>
    <w:rsid w:val="007B5BFC"/>
    <w:rsid w:val="007B624D"/>
    <w:rsid w:val="007B7021"/>
    <w:rsid w:val="007C0E22"/>
    <w:rsid w:val="007C0E51"/>
    <w:rsid w:val="007C1559"/>
    <w:rsid w:val="007C2BCF"/>
    <w:rsid w:val="007C2DEB"/>
    <w:rsid w:val="007C487F"/>
    <w:rsid w:val="007C7A58"/>
    <w:rsid w:val="007D1C0B"/>
    <w:rsid w:val="007D1E2D"/>
    <w:rsid w:val="007D21DD"/>
    <w:rsid w:val="007D72D6"/>
    <w:rsid w:val="007E0044"/>
    <w:rsid w:val="007E14FE"/>
    <w:rsid w:val="007E4A1F"/>
    <w:rsid w:val="007E4FCF"/>
    <w:rsid w:val="007E7842"/>
    <w:rsid w:val="007F3664"/>
    <w:rsid w:val="007F46D2"/>
    <w:rsid w:val="007F4FA2"/>
    <w:rsid w:val="007F776A"/>
    <w:rsid w:val="007F798A"/>
    <w:rsid w:val="0080064F"/>
    <w:rsid w:val="00800C4E"/>
    <w:rsid w:val="00801A75"/>
    <w:rsid w:val="00803F68"/>
    <w:rsid w:val="00805C80"/>
    <w:rsid w:val="008074E6"/>
    <w:rsid w:val="00811721"/>
    <w:rsid w:val="00813A85"/>
    <w:rsid w:val="00814B3C"/>
    <w:rsid w:val="00814E46"/>
    <w:rsid w:val="0081605D"/>
    <w:rsid w:val="00821916"/>
    <w:rsid w:val="00822C44"/>
    <w:rsid w:val="00823593"/>
    <w:rsid w:val="008306BF"/>
    <w:rsid w:val="00831AF6"/>
    <w:rsid w:val="008331C2"/>
    <w:rsid w:val="00833AFD"/>
    <w:rsid w:val="008348C2"/>
    <w:rsid w:val="00837260"/>
    <w:rsid w:val="008421D3"/>
    <w:rsid w:val="00844533"/>
    <w:rsid w:val="00847FBA"/>
    <w:rsid w:val="008502D0"/>
    <w:rsid w:val="008504A6"/>
    <w:rsid w:val="00850626"/>
    <w:rsid w:val="00851CBF"/>
    <w:rsid w:val="00854341"/>
    <w:rsid w:val="008554B1"/>
    <w:rsid w:val="008570D0"/>
    <w:rsid w:val="00860942"/>
    <w:rsid w:val="0086099D"/>
    <w:rsid w:val="008635F6"/>
    <w:rsid w:val="008676B8"/>
    <w:rsid w:val="00873FD4"/>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612E"/>
    <w:rsid w:val="008C721C"/>
    <w:rsid w:val="008D02EA"/>
    <w:rsid w:val="008D0862"/>
    <w:rsid w:val="008D1EF2"/>
    <w:rsid w:val="008D2B5A"/>
    <w:rsid w:val="008D39B2"/>
    <w:rsid w:val="008D4157"/>
    <w:rsid w:val="008D454F"/>
    <w:rsid w:val="008E1A63"/>
    <w:rsid w:val="008E741D"/>
    <w:rsid w:val="008F474E"/>
    <w:rsid w:val="008F4AA1"/>
    <w:rsid w:val="008F5281"/>
    <w:rsid w:val="008F7F90"/>
    <w:rsid w:val="008F7FEA"/>
    <w:rsid w:val="00900C01"/>
    <w:rsid w:val="00901343"/>
    <w:rsid w:val="0090502A"/>
    <w:rsid w:val="00920263"/>
    <w:rsid w:val="00920BC8"/>
    <w:rsid w:val="00921135"/>
    <w:rsid w:val="00921CE6"/>
    <w:rsid w:val="009230AD"/>
    <w:rsid w:val="0092549C"/>
    <w:rsid w:val="00927F07"/>
    <w:rsid w:val="00930BBF"/>
    <w:rsid w:val="009338FB"/>
    <w:rsid w:val="00934851"/>
    <w:rsid w:val="00934F1B"/>
    <w:rsid w:val="009361BB"/>
    <w:rsid w:val="0094011F"/>
    <w:rsid w:val="00940753"/>
    <w:rsid w:val="00941174"/>
    <w:rsid w:val="00943CE7"/>
    <w:rsid w:val="00946BC3"/>
    <w:rsid w:val="00952F85"/>
    <w:rsid w:val="00953ECE"/>
    <w:rsid w:val="0095475C"/>
    <w:rsid w:val="00956ACE"/>
    <w:rsid w:val="009601E3"/>
    <w:rsid w:val="0096062E"/>
    <w:rsid w:val="0096086F"/>
    <w:rsid w:val="0096272D"/>
    <w:rsid w:val="0096477F"/>
    <w:rsid w:val="00964AA9"/>
    <w:rsid w:val="00976662"/>
    <w:rsid w:val="0097752D"/>
    <w:rsid w:val="00981DCD"/>
    <w:rsid w:val="0098421D"/>
    <w:rsid w:val="00984B4D"/>
    <w:rsid w:val="00984BD6"/>
    <w:rsid w:val="009856E9"/>
    <w:rsid w:val="009858E0"/>
    <w:rsid w:val="00990AD6"/>
    <w:rsid w:val="00994DAF"/>
    <w:rsid w:val="00995DCB"/>
    <w:rsid w:val="0099682A"/>
    <w:rsid w:val="009A1984"/>
    <w:rsid w:val="009A396B"/>
    <w:rsid w:val="009A67A7"/>
    <w:rsid w:val="009A6B8F"/>
    <w:rsid w:val="009A6EF3"/>
    <w:rsid w:val="009B0180"/>
    <w:rsid w:val="009B66ED"/>
    <w:rsid w:val="009B6909"/>
    <w:rsid w:val="009C1FDA"/>
    <w:rsid w:val="009C2118"/>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3D55"/>
    <w:rsid w:val="00A14EDE"/>
    <w:rsid w:val="00A160E9"/>
    <w:rsid w:val="00A2169D"/>
    <w:rsid w:val="00A22E6A"/>
    <w:rsid w:val="00A237E4"/>
    <w:rsid w:val="00A24B69"/>
    <w:rsid w:val="00A270A8"/>
    <w:rsid w:val="00A31E24"/>
    <w:rsid w:val="00A34CD8"/>
    <w:rsid w:val="00A35D1B"/>
    <w:rsid w:val="00A36C17"/>
    <w:rsid w:val="00A36E4E"/>
    <w:rsid w:val="00A43196"/>
    <w:rsid w:val="00A43F85"/>
    <w:rsid w:val="00A457DA"/>
    <w:rsid w:val="00A5258A"/>
    <w:rsid w:val="00A54508"/>
    <w:rsid w:val="00A54EB7"/>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51B7"/>
    <w:rsid w:val="00A762F5"/>
    <w:rsid w:val="00A7727B"/>
    <w:rsid w:val="00A84841"/>
    <w:rsid w:val="00A85E2D"/>
    <w:rsid w:val="00A91FEF"/>
    <w:rsid w:val="00A94DA9"/>
    <w:rsid w:val="00A96579"/>
    <w:rsid w:val="00A9699A"/>
    <w:rsid w:val="00A979E3"/>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E3485"/>
    <w:rsid w:val="00AF0BF1"/>
    <w:rsid w:val="00AF2323"/>
    <w:rsid w:val="00AF5D06"/>
    <w:rsid w:val="00AF6129"/>
    <w:rsid w:val="00B008ED"/>
    <w:rsid w:val="00B0424F"/>
    <w:rsid w:val="00B04898"/>
    <w:rsid w:val="00B048CA"/>
    <w:rsid w:val="00B07818"/>
    <w:rsid w:val="00B105D2"/>
    <w:rsid w:val="00B10684"/>
    <w:rsid w:val="00B116F6"/>
    <w:rsid w:val="00B1534A"/>
    <w:rsid w:val="00B17A69"/>
    <w:rsid w:val="00B207DF"/>
    <w:rsid w:val="00B21BCD"/>
    <w:rsid w:val="00B2213F"/>
    <w:rsid w:val="00B2589B"/>
    <w:rsid w:val="00B30E74"/>
    <w:rsid w:val="00B321E7"/>
    <w:rsid w:val="00B32F12"/>
    <w:rsid w:val="00B34722"/>
    <w:rsid w:val="00B34DBE"/>
    <w:rsid w:val="00B3632D"/>
    <w:rsid w:val="00B405D0"/>
    <w:rsid w:val="00B4255F"/>
    <w:rsid w:val="00B45FAF"/>
    <w:rsid w:val="00B45FB9"/>
    <w:rsid w:val="00B4650F"/>
    <w:rsid w:val="00B46F79"/>
    <w:rsid w:val="00B478FF"/>
    <w:rsid w:val="00B50121"/>
    <w:rsid w:val="00B50327"/>
    <w:rsid w:val="00B53AA0"/>
    <w:rsid w:val="00B5461D"/>
    <w:rsid w:val="00B56E74"/>
    <w:rsid w:val="00B6035B"/>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5A6E"/>
    <w:rsid w:val="00B964E0"/>
    <w:rsid w:val="00BA01E8"/>
    <w:rsid w:val="00BA09C0"/>
    <w:rsid w:val="00BA0C7B"/>
    <w:rsid w:val="00BA18B6"/>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1D14"/>
    <w:rsid w:val="00C154CB"/>
    <w:rsid w:val="00C20E57"/>
    <w:rsid w:val="00C23183"/>
    <w:rsid w:val="00C24187"/>
    <w:rsid w:val="00C27EE5"/>
    <w:rsid w:val="00C31B82"/>
    <w:rsid w:val="00C32891"/>
    <w:rsid w:val="00C3356E"/>
    <w:rsid w:val="00C36665"/>
    <w:rsid w:val="00C36E48"/>
    <w:rsid w:val="00C40C74"/>
    <w:rsid w:val="00C41E6E"/>
    <w:rsid w:val="00C42280"/>
    <w:rsid w:val="00C42334"/>
    <w:rsid w:val="00C43EA6"/>
    <w:rsid w:val="00C461AF"/>
    <w:rsid w:val="00C46783"/>
    <w:rsid w:val="00C47FF9"/>
    <w:rsid w:val="00C509B4"/>
    <w:rsid w:val="00C50ED1"/>
    <w:rsid w:val="00C53BB3"/>
    <w:rsid w:val="00C54090"/>
    <w:rsid w:val="00C568B5"/>
    <w:rsid w:val="00C56DD9"/>
    <w:rsid w:val="00C60661"/>
    <w:rsid w:val="00C60CB6"/>
    <w:rsid w:val="00C60D3B"/>
    <w:rsid w:val="00C62133"/>
    <w:rsid w:val="00C626C2"/>
    <w:rsid w:val="00C62F76"/>
    <w:rsid w:val="00C65488"/>
    <w:rsid w:val="00C86E73"/>
    <w:rsid w:val="00C90295"/>
    <w:rsid w:val="00C928AE"/>
    <w:rsid w:val="00C94828"/>
    <w:rsid w:val="00C94BAC"/>
    <w:rsid w:val="00C94E69"/>
    <w:rsid w:val="00C95251"/>
    <w:rsid w:val="00C95EC5"/>
    <w:rsid w:val="00C96190"/>
    <w:rsid w:val="00C97D9D"/>
    <w:rsid w:val="00CA01E6"/>
    <w:rsid w:val="00CA0371"/>
    <w:rsid w:val="00CA1466"/>
    <w:rsid w:val="00CA3F5F"/>
    <w:rsid w:val="00CA4CC0"/>
    <w:rsid w:val="00CA7E2D"/>
    <w:rsid w:val="00CB0BE8"/>
    <w:rsid w:val="00CB0D61"/>
    <w:rsid w:val="00CB1418"/>
    <w:rsid w:val="00CB19D4"/>
    <w:rsid w:val="00CB42C5"/>
    <w:rsid w:val="00CB4315"/>
    <w:rsid w:val="00CB4CC8"/>
    <w:rsid w:val="00CB5DBF"/>
    <w:rsid w:val="00CB728F"/>
    <w:rsid w:val="00CC2851"/>
    <w:rsid w:val="00CC42BB"/>
    <w:rsid w:val="00CC453D"/>
    <w:rsid w:val="00CC52B5"/>
    <w:rsid w:val="00CC5DA6"/>
    <w:rsid w:val="00CC69FC"/>
    <w:rsid w:val="00CD1D6F"/>
    <w:rsid w:val="00CD3837"/>
    <w:rsid w:val="00CD3FA0"/>
    <w:rsid w:val="00CD445D"/>
    <w:rsid w:val="00CD5B6D"/>
    <w:rsid w:val="00CD65A9"/>
    <w:rsid w:val="00CD67C8"/>
    <w:rsid w:val="00CE3184"/>
    <w:rsid w:val="00CE7727"/>
    <w:rsid w:val="00CF7C4E"/>
    <w:rsid w:val="00D00E6F"/>
    <w:rsid w:val="00D0153C"/>
    <w:rsid w:val="00D02786"/>
    <w:rsid w:val="00D05A18"/>
    <w:rsid w:val="00D05D42"/>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465"/>
    <w:rsid w:val="00D30B8E"/>
    <w:rsid w:val="00D320A1"/>
    <w:rsid w:val="00D32D95"/>
    <w:rsid w:val="00D339E9"/>
    <w:rsid w:val="00D34EA8"/>
    <w:rsid w:val="00D351FE"/>
    <w:rsid w:val="00D35527"/>
    <w:rsid w:val="00D4192F"/>
    <w:rsid w:val="00D41FE1"/>
    <w:rsid w:val="00D4231A"/>
    <w:rsid w:val="00D51353"/>
    <w:rsid w:val="00D54F79"/>
    <w:rsid w:val="00D61AEF"/>
    <w:rsid w:val="00D61F79"/>
    <w:rsid w:val="00D62CBE"/>
    <w:rsid w:val="00D647C5"/>
    <w:rsid w:val="00D679B6"/>
    <w:rsid w:val="00D67C6B"/>
    <w:rsid w:val="00D71904"/>
    <w:rsid w:val="00D74E8C"/>
    <w:rsid w:val="00D755EF"/>
    <w:rsid w:val="00D76E86"/>
    <w:rsid w:val="00D77A74"/>
    <w:rsid w:val="00D801BA"/>
    <w:rsid w:val="00D814A7"/>
    <w:rsid w:val="00D8290D"/>
    <w:rsid w:val="00D84572"/>
    <w:rsid w:val="00D93D57"/>
    <w:rsid w:val="00D96542"/>
    <w:rsid w:val="00DA00C9"/>
    <w:rsid w:val="00DA3F81"/>
    <w:rsid w:val="00DA503F"/>
    <w:rsid w:val="00DA5D1C"/>
    <w:rsid w:val="00DA7E83"/>
    <w:rsid w:val="00DB00A1"/>
    <w:rsid w:val="00DB083F"/>
    <w:rsid w:val="00DB153D"/>
    <w:rsid w:val="00DB49C6"/>
    <w:rsid w:val="00DB4FF6"/>
    <w:rsid w:val="00DB520A"/>
    <w:rsid w:val="00DB56A9"/>
    <w:rsid w:val="00DB684E"/>
    <w:rsid w:val="00DB7331"/>
    <w:rsid w:val="00DC0420"/>
    <w:rsid w:val="00DC05EE"/>
    <w:rsid w:val="00DC24CF"/>
    <w:rsid w:val="00DC3B04"/>
    <w:rsid w:val="00DC492E"/>
    <w:rsid w:val="00DC65CB"/>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0FDB"/>
    <w:rsid w:val="00E03066"/>
    <w:rsid w:val="00E0332F"/>
    <w:rsid w:val="00E03BC0"/>
    <w:rsid w:val="00E0433B"/>
    <w:rsid w:val="00E056A3"/>
    <w:rsid w:val="00E10A6B"/>
    <w:rsid w:val="00E10F54"/>
    <w:rsid w:val="00E14545"/>
    <w:rsid w:val="00E1586C"/>
    <w:rsid w:val="00E21F5F"/>
    <w:rsid w:val="00E2469D"/>
    <w:rsid w:val="00E278F9"/>
    <w:rsid w:val="00E30CCD"/>
    <w:rsid w:val="00E31D5E"/>
    <w:rsid w:val="00E358FB"/>
    <w:rsid w:val="00E368F9"/>
    <w:rsid w:val="00E40F69"/>
    <w:rsid w:val="00E425C4"/>
    <w:rsid w:val="00E43FF3"/>
    <w:rsid w:val="00E456F2"/>
    <w:rsid w:val="00E509F8"/>
    <w:rsid w:val="00E51CCB"/>
    <w:rsid w:val="00E55BAF"/>
    <w:rsid w:val="00E576EA"/>
    <w:rsid w:val="00E57E7A"/>
    <w:rsid w:val="00E61165"/>
    <w:rsid w:val="00E611D7"/>
    <w:rsid w:val="00E61F87"/>
    <w:rsid w:val="00E622A0"/>
    <w:rsid w:val="00E6295A"/>
    <w:rsid w:val="00E63EE5"/>
    <w:rsid w:val="00E65348"/>
    <w:rsid w:val="00E655CE"/>
    <w:rsid w:val="00E6692C"/>
    <w:rsid w:val="00E6746F"/>
    <w:rsid w:val="00E67FA2"/>
    <w:rsid w:val="00E70CC8"/>
    <w:rsid w:val="00E74913"/>
    <w:rsid w:val="00E81A01"/>
    <w:rsid w:val="00E858A9"/>
    <w:rsid w:val="00E90B42"/>
    <w:rsid w:val="00E90BA2"/>
    <w:rsid w:val="00E93FB6"/>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B49"/>
    <w:rsid w:val="00EF7C8B"/>
    <w:rsid w:val="00EF7D71"/>
    <w:rsid w:val="00F01E2D"/>
    <w:rsid w:val="00F03575"/>
    <w:rsid w:val="00F042FC"/>
    <w:rsid w:val="00F04C47"/>
    <w:rsid w:val="00F10570"/>
    <w:rsid w:val="00F106EE"/>
    <w:rsid w:val="00F11227"/>
    <w:rsid w:val="00F14267"/>
    <w:rsid w:val="00F15B40"/>
    <w:rsid w:val="00F15F1F"/>
    <w:rsid w:val="00F1770D"/>
    <w:rsid w:val="00F21F3A"/>
    <w:rsid w:val="00F2214F"/>
    <w:rsid w:val="00F245E3"/>
    <w:rsid w:val="00F248D2"/>
    <w:rsid w:val="00F25E34"/>
    <w:rsid w:val="00F26504"/>
    <w:rsid w:val="00F27008"/>
    <w:rsid w:val="00F3217D"/>
    <w:rsid w:val="00F3633B"/>
    <w:rsid w:val="00F3667D"/>
    <w:rsid w:val="00F3734F"/>
    <w:rsid w:val="00F37438"/>
    <w:rsid w:val="00F400B0"/>
    <w:rsid w:val="00F42B8A"/>
    <w:rsid w:val="00F45213"/>
    <w:rsid w:val="00F474B1"/>
    <w:rsid w:val="00F5119E"/>
    <w:rsid w:val="00F51582"/>
    <w:rsid w:val="00F51BA7"/>
    <w:rsid w:val="00F55CDA"/>
    <w:rsid w:val="00F610CF"/>
    <w:rsid w:val="00F61B64"/>
    <w:rsid w:val="00F63E29"/>
    <w:rsid w:val="00F64177"/>
    <w:rsid w:val="00F6752E"/>
    <w:rsid w:val="00F70550"/>
    <w:rsid w:val="00F72E1B"/>
    <w:rsid w:val="00F74435"/>
    <w:rsid w:val="00F8239A"/>
    <w:rsid w:val="00F82EC2"/>
    <w:rsid w:val="00F8428C"/>
    <w:rsid w:val="00F84E91"/>
    <w:rsid w:val="00F8614C"/>
    <w:rsid w:val="00F86CA2"/>
    <w:rsid w:val="00F955FC"/>
    <w:rsid w:val="00F9562D"/>
    <w:rsid w:val="00F960ED"/>
    <w:rsid w:val="00FA0264"/>
    <w:rsid w:val="00FA072F"/>
    <w:rsid w:val="00FA1642"/>
    <w:rsid w:val="00FA2753"/>
    <w:rsid w:val="00FA4008"/>
    <w:rsid w:val="00FA5A96"/>
    <w:rsid w:val="00FA6555"/>
    <w:rsid w:val="00FB00E5"/>
    <w:rsid w:val="00FB03F2"/>
    <w:rsid w:val="00FB130F"/>
    <w:rsid w:val="00FB2D05"/>
    <w:rsid w:val="00FB383D"/>
    <w:rsid w:val="00FB4165"/>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582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EB6"/>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9841">
      <w:bodyDiv w:val="1"/>
      <w:marLeft w:val="0"/>
      <w:marRight w:val="0"/>
      <w:marTop w:val="0"/>
      <w:marBottom w:val="0"/>
      <w:divBdr>
        <w:top w:val="none" w:sz="0" w:space="0" w:color="auto"/>
        <w:left w:val="none" w:sz="0" w:space="0" w:color="auto"/>
        <w:bottom w:val="none" w:sz="0" w:space="0" w:color="auto"/>
        <w:right w:val="none" w:sz="0" w:space="0" w:color="auto"/>
      </w:divBdr>
    </w:div>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70059749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5261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FD7A0395E004CA331CFE4DA0F603C" ma:contentTypeVersion="13" ma:contentTypeDescription="Create a new document." ma:contentTypeScope="" ma:versionID="fccf0c663fc314b9cad982c7e2c1ebe6">
  <xsd:schema xmlns:xsd="http://www.w3.org/2001/XMLSchema" xmlns:xs="http://www.w3.org/2001/XMLSchema" xmlns:p="http://schemas.microsoft.com/office/2006/metadata/properties" xmlns:ns3="b92343ac-8ac8-4e04-b6e3-0231ecd0d0a6" xmlns:ns4="e9358a38-236f-454c-a66b-06091b2c1c89" targetNamespace="http://schemas.microsoft.com/office/2006/metadata/properties" ma:root="true" ma:fieldsID="078669cd623a8a3e3bd01187a66b70eb" ns3:_="" ns4:_="">
    <xsd:import namespace="b92343ac-8ac8-4e04-b6e3-0231ecd0d0a6"/>
    <xsd:import namespace="e9358a38-236f-454c-a66b-06091b2c1c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343ac-8ac8-4e04-b6e3-0231ecd0d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58a38-236f-454c-a66b-06091b2c1c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7D897-2D5D-4E20-95E6-A88E4E41474A}">
  <ds:schemaRefs>
    <ds:schemaRef ds:uri="http://schemas.openxmlformats.org/officeDocument/2006/bibliography"/>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D85F937F-E1A4-41FC-8810-13182C7C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343ac-8ac8-4e04-b6e3-0231ecd0d0a6"/>
    <ds:schemaRef ds:uri="e9358a38-236f-454c-a66b-06091b2c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1064</Words>
  <Characters>6832</Characters>
  <Application>Microsoft Office Word</Application>
  <DocSecurity>0</DocSecurity>
  <Lines>195</Lines>
  <Paragraphs>92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6</cp:revision>
  <cp:lastPrinted>2019-10-23T14:31:00Z</cp:lastPrinted>
  <dcterms:created xsi:type="dcterms:W3CDTF">2020-12-08T13:27:00Z</dcterms:created>
  <dcterms:modified xsi:type="dcterms:W3CDTF">2020-12-08T13:49:00Z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0x01010082BFD7A0395E004CA331CFE4DA0F603C</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