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6726" w14:textId="2EEA5DF9" w:rsidR="00D4192F" w:rsidRPr="005323D5" w:rsidRDefault="00A04A4C" w:rsidP="00A457DA">
      <w:pPr>
        <w:spacing w:line="240" w:lineRule="auto"/>
        <w:jc w:val="center"/>
        <w:rPr>
          <w:rFonts w:cs="Times New Roman"/>
          <w:b/>
          <w:sz w:val="24"/>
          <w:szCs w:val="24"/>
        </w:rPr>
      </w:pPr>
      <w:r>
        <w:rPr>
          <w:rFonts w:cs="Times New Roman"/>
          <w:b/>
          <w:sz w:val="24"/>
          <w:szCs w:val="24"/>
        </w:rPr>
        <w:t>COMMENTS ON THE UNDP DRAFT COUNTRY PROGRAMME DOCUMENT FOR VENEZUELA (2023-2026)</w:t>
      </w:r>
    </w:p>
    <w:p w14:paraId="53F340D5" w14:textId="5B61267E" w:rsidR="00DA5D1C" w:rsidRDefault="00874A37" w:rsidP="00A457DA">
      <w:pPr>
        <w:spacing w:line="240" w:lineRule="auto"/>
        <w:jc w:val="center"/>
        <w:rPr>
          <w:rFonts w:cs="Times New Roman"/>
          <w:i/>
          <w:sz w:val="24"/>
          <w:szCs w:val="24"/>
        </w:rPr>
      </w:pPr>
      <w:r>
        <w:rPr>
          <w:rFonts w:cs="Times New Roman"/>
          <w:i/>
          <w:sz w:val="24"/>
          <w:szCs w:val="24"/>
        </w:rPr>
        <w:t>First</w:t>
      </w:r>
      <w:r w:rsidR="00423221">
        <w:rPr>
          <w:rFonts w:cs="Times New Roman"/>
          <w:i/>
          <w:sz w:val="24"/>
          <w:szCs w:val="24"/>
        </w:rPr>
        <w:t xml:space="preserve"> regular </w:t>
      </w:r>
      <w:r w:rsidR="00EB1427" w:rsidRPr="00A457DA">
        <w:rPr>
          <w:rFonts w:cs="Times New Roman"/>
          <w:i/>
          <w:sz w:val="24"/>
          <w:szCs w:val="24"/>
        </w:rPr>
        <w:t>s</w:t>
      </w:r>
      <w:r w:rsidR="00DA5D1C" w:rsidRPr="00A457DA">
        <w:rPr>
          <w:rFonts w:cs="Times New Roman"/>
          <w:i/>
          <w:sz w:val="24"/>
          <w:szCs w:val="24"/>
        </w:rPr>
        <w:t>ession</w:t>
      </w:r>
      <w:r w:rsidR="00EB1427" w:rsidRPr="00A457DA">
        <w:rPr>
          <w:rFonts w:cs="Times New Roman"/>
          <w:i/>
          <w:sz w:val="24"/>
          <w:szCs w:val="24"/>
        </w:rPr>
        <w:t xml:space="preserve"> 202</w:t>
      </w:r>
      <w:r>
        <w:rPr>
          <w:rFonts w:cs="Times New Roman"/>
          <w:i/>
          <w:sz w:val="24"/>
          <w:szCs w:val="24"/>
        </w:rPr>
        <w:t>3</w:t>
      </w:r>
    </w:p>
    <w:tbl>
      <w:tblPr>
        <w:tblStyle w:val="TableGrid"/>
        <w:tblW w:w="14035" w:type="dxa"/>
        <w:tblLook w:val="04A0" w:firstRow="1" w:lastRow="0" w:firstColumn="1" w:lastColumn="0" w:noHBand="0" w:noVBand="1"/>
      </w:tblPr>
      <w:tblGrid>
        <w:gridCol w:w="7375"/>
        <w:gridCol w:w="6660"/>
      </w:tblGrid>
      <w:tr w:rsidR="00B37A83" w:rsidRPr="005323D5" w14:paraId="4881DD26" w14:textId="77777777" w:rsidTr="002074E7">
        <w:trPr>
          <w:trHeight w:val="476"/>
        </w:trPr>
        <w:tc>
          <w:tcPr>
            <w:tcW w:w="7375" w:type="dxa"/>
            <w:vAlign w:val="center"/>
          </w:tcPr>
          <w:p w14:paraId="7A32D8EB" w14:textId="6A219049" w:rsidR="00B37A83" w:rsidRPr="00A457DA" w:rsidRDefault="00B37A83" w:rsidP="009014C7">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Canada</w:t>
            </w:r>
          </w:p>
        </w:tc>
        <w:tc>
          <w:tcPr>
            <w:tcW w:w="6660" w:type="dxa"/>
            <w:vAlign w:val="center"/>
          </w:tcPr>
          <w:p w14:paraId="0BB8B845" w14:textId="44FA17E6" w:rsidR="00B37A83" w:rsidRPr="00534E03" w:rsidRDefault="00B37A83" w:rsidP="009014C7">
            <w:pPr>
              <w:jc w:val="center"/>
              <w:rPr>
                <w:rFonts w:cs="Times New Roman"/>
                <w:b/>
                <w:sz w:val="24"/>
                <w:szCs w:val="24"/>
              </w:rPr>
            </w:pPr>
            <w:r>
              <w:rPr>
                <w:rFonts w:cs="Times New Roman"/>
                <w:b/>
                <w:sz w:val="24"/>
                <w:szCs w:val="24"/>
              </w:rPr>
              <w:t xml:space="preserve">UNDP </w:t>
            </w:r>
            <w:r w:rsidR="002074E7">
              <w:rPr>
                <w:rFonts w:cs="Times New Roman"/>
                <w:b/>
                <w:sz w:val="24"/>
                <w:szCs w:val="24"/>
              </w:rPr>
              <w:t>r</w:t>
            </w:r>
            <w:r>
              <w:rPr>
                <w:rFonts w:cs="Times New Roman"/>
                <w:b/>
                <w:sz w:val="24"/>
                <w:szCs w:val="24"/>
              </w:rPr>
              <w:t>esponse</w:t>
            </w:r>
          </w:p>
        </w:tc>
      </w:tr>
      <w:tr w:rsidR="00B37A83" w:rsidRPr="005323D5" w14:paraId="08CDB1B8" w14:textId="77777777" w:rsidTr="00C84DB0">
        <w:trPr>
          <w:trHeight w:val="476"/>
        </w:trPr>
        <w:tc>
          <w:tcPr>
            <w:tcW w:w="7375" w:type="dxa"/>
            <w:vAlign w:val="center"/>
          </w:tcPr>
          <w:p w14:paraId="390DC97B" w14:textId="77777777" w:rsidR="00B37A83" w:rsidRPr="00534E03" w:rsidRDefault="00B37A83" w:rsidP="009014C7">
            <w:pPr>
              <w:pStyle w:val="ListParagraph"/>
              <w:numPr>
                <w:ilvl w:val="0"/>
                <w:numId w:val="12"/>
              </w:numPr>
              <w:rPr>
                <w:rFonts w:cs="Times New Roman"/>
                <w:sz w:val="24"/>
                <w:szCs w:val="24"/>
              </w:rPr>
            </w:pPr>
            <w:r w:rsidRPr="00C83891">
              <w:rPr>
                <w:rFonts w:cs="Times New Roman"/>
                <w:sz w:val="24"/>
                <w:szCs w:val="24"/>
              </w:rPr>
              <w:t>Canada would like to thank UNDP for sharing its draft program document outlining UNDP assistance to Venezuela for 2023-2026</w:t>
            </w:r>
          </w:p>
        </w:tc>
        <w:tc>
          <w:tcPr>
            <w:tcW w:w="6660" w:type="dxa"/>
          </w:tcPr>
          <w:p w14:paraId="60F742E2" w14:textId="720016B6" w:rsidR="00B37A83" w:rsidRPr="00C83891" w:rsidRDefault="00C7085C" w:rsidP="009014C7">
            <w:pPr>
              <w:pStyle w:val="ListParagraph"/>
              <w:numPr>
                <w:ilvl w:val="0"/>
                <w:numId w:val="12"/>
              </w:numPr>
              <w:rPr>
                <w:rFonts w:cs="Times New Roman"/>
                <w:sz w:val="24"/>
                <w:szCs w:val="24"/>
              </w:rPr>
            </w:pPr>
            <w:r>
              <w:rPr>
                <w:rFonts w:cs="Times New Roman"/>
                <w:sz w:val="24"/>
                <w:szCs w:val="24"/>
              </w:rPr>
              <w:t>This is n</w:t>
            </w:r>
            <w:r w:rsidR="00B37A83">
              <w:rPr>
                <w:rFonts w:cs="Times New Roman"/>
                <w:sz w:val="24"/>
                <w:szCs w:val="24"/>
              </w:rPr>
              <w:t>oted with thanks.</w:t>
            </w:r>
          </w:p>
        </w:tc>
      </w:tr>
      <w:tr w:rsidR="00B37A83" w:rsidRPr="005323D5" w14:paraId="20F40CB3" w14:textId="77777777" w:rsidTr="00C84DB0">
        <w:trPr>
          <w:trHeight w:val="476"/>
        </w:trPr>
        <w:tc>
          <w:tcPr>
            <w:tcW w:w="7375" w:type="dxa"/>
            <w:vAlign w:val="center"/>
          </w:tcPr>
          <w:p w14:paraId="56279C9C" w14:textId="77777777" w:rsidR="00B37A83" w:rsidRPr="00A457DA" w:rsidRDefault="00B37A83" w:rsidP="009014C7">
            <w:pPr>
              <w:pStyle w:val="ListParagraph"/>
              <w:numPr>
                <w:ilvl w:val="0"/>
                <w:numId w:val="12"/>
              </w:numPr>
              <w:rPr>
                <w:rFonts w:cs="Times New Roman"/>
                <w:sz w:val="24"/>
                <w:szCs w:val="24"/>
              </w:rPr>
            </w:pPr>
            <w:r>
              <w:rPr>
                <w:rFonts w:cs="Times New Roman"/>
                <w:sz w:val="24"/>
                <w:szCs w:val="24"/>
              </w:rPr>
              <w:t>We a</w:t>
            </w:r>
            <w:r w:rsidRPr="00C83891">
              <w:rPr>
                <w:rFonts w:cs="Times New Roman"/>
                <w:sz w:val="24"/>
                <w:szCs w:val="24"/>
              </w:rPr>
              <w:t>ppreciate</w:t>
            </w:r>
            <w:r>
              <w:rPr>
                <w:rFonts w:cs="Times New Roman"/>
                <w:sz w:val="24"/>
                <w:szCs w:val="24"/>
              </w:rPr>
              <w:t xml:space="preserve"> the priority placed on </w:t>
            </w:r>
            <w:r w:rsidRPr="00C83891">
              <w:rPr>
                <w:rFonts w:cs="Times New Roman"/>
                <w:sz w:val="24"/>
                <w:szCs w:val="24"/>
              </w:rPr>
              <w:t>strengthen</w:t>
            </w:r>
            <w:r>
              <w:rPr>
                <w:rFonts w:cs="Times New Roman"/>
                <w:sz w:val="24"/>
                <w:szCs w:val="24"/>
              </w:rPr>
              <w:t xml:space="preserve">ing Venezuela’s </w:t>
            </w:r>
            <w:r w:rsidRPr="00C83891">
              <w:rPr>
                <w:rFonts w:cs="Times New Roman"/>
                <w:sz w:val="24"/>
                <w:szCs w:val="24"/>
              </w:rPr>
              <w:t xml:space="preserve">national statistical and geographic system to support </w:t>
            </w:r>
            <w:r>
              <w:rPr>
                <w:rFonts w:cs="Times New Roman"/>
                <w:sz w:val="24"/>
                <w:szCs w:val="24"/>
              </w:rPr>
              <w:t>evidence</w:t>
            </w:r>
            <w:r w:rsidRPr="00C83891">
              <w:rPr>
                <w:rFonts w:cs="Times New Roman"/>
                <w:sz w:val="24"/>
                <w:szCs w:val="24"/>
              </w:rPr>
              <w:t xml:space="preserve">-based decision-making, as well as government programmes </w:t>
            </w:r>
            <w:r>
              <w:rPr>
                <w:rFonts w:cs="Times New Roman"/>
                <w:sz w:val="24"/>
                <w:szCs w:val="24"/>
              </w:rPr>
              <w:t xml:space="preserve">focused on </w:t>
            </w:r>
            <w:r w:rsidRPr="00C83891">
              <w:rPr>
                <w:rFonts w:cs="Times New Roman"/>
                <w:sz w:val="24"/>
                <w:szCs w:val="24"/>
              </w:rPr>
              <w:t>poverty reduction, productive development, public services management, malaria control and health. The generation and sharing of reliable, gender-disaggregated data is critical for fostering data-driven decisions and achieving the Sustainable Development Goals (SDGs), while protecting the rights of individuals and organisations. We would encourage UNDP to maintain (and augment) its efforts for the promotion of open data.</w:t>
            </w:r>
          </w:p>
        </w:tc>
        <w:tc>
          <w:tcPr>
            <w:tcW w:w="6660" w:type="dxa"/>
          </w:tcPr>
          <w:p w14:paraId="48AFF26D" w14:textId="40AA4C21" w:rsidR="00B37A83" w:rsidRDefault="00B37A83" w:rsidP="009014C7">
            <w:pPr>
              <w:pStyle w:val="ListParagraph"/>
              <w:numPr>
                <w:ilvl w:val="0"/>
                <w:numId w:val="12"/>
              </w:numPr>
              <w:rPr>
                <w:rFonts w:cs="Times New Roman"/>
                <w:sz w:val="24"/>
                <w:szCs w:val="24"/>
              </w:rPr>
            </w:pPr>
            <w:r>
              <w:rPr>
                <w:rFonts w:cs="Times New Roman"/>
                <w:sz w:val="24"/>
                <w:szCs w:val="24"/>
              </w:rPr>
              <w:t>Data spread and dissemination is a priority area of the CPD</w:t>
            </w:r>
            <w:r w:rsidR="00190901">
              <w:rPr>
                <w:rFonts w:cs="Times New Roman"/>
                <w:sz w:val="24"/>
                <w:szCs w:val="24"/>
              </w:rPr>
              <w:t>,</w:t>
            </w:r>
            <w:r>
              <w:rPr>
                <w:rFonts w:cs="Times New Roman"/>
                <w:sz w:val="24"/>
                <w:szCs w:val="24"/>
              </w:rPr>
              <w:t xml:space="preserve"> as stated in Outputs 4.1 and 4.2 of the results </w:t>
            </w:r>
            <w:proofErr w:type="gramStart"/>
            <w:r>
              <w:rPr>
                <w:rFonts w:cs="Times New Roman"/>
                <w:sz w:val="24"/>
                <w:szCs w:val="24"/>
              </w:rPr>
              <w:t>framework</w:t>
            </w:r>
            <w:proofErr w:type="gramEnd"/>
            <w:r>
              <w:rPr>
                <w:rFonts w:cs="Times New Roman"/>
                <w:sz w:val="24"/>
                <w:szCs w:val="24"/>
              </w:rPr>
              <w:t>. This will be linked to efforts on open government mentioned in Output 4.3.</w:t>
            </w:r>
          </w:p>
        </w:tc>
      </w:tr>
      <w:tr w:rsidR="00B37A83" w:rsidRPr="005323D5" w14:paraId="3573F851" w14:textId="77777777" w:rsidTr="00C84DB0">
        <w:trPr>
          <w:trHeight w:val="476"/>
        </w:trPr>
        <w:tc>
          <w:tcPr>
            <w:tcW w:w="7375" w:type="dxa"/>
            <w:vAlign w:val="center"/>
          </w:tcPr>
          <w:p w14:paraId="4D980558" w14:textId="77777777" w:rsidR="00B37A83" w:rsidRPr="00A4045F" w:rsidRDefault="00B37A83" w:rsidP="009014C7">
            <w:pPr>
              <w:pStyle w:val="ListParagraph"/>
              <w:numPr>
                <w:ilvl w:val="0"/>
                <w:numId w:val="12"/>
              </w:numPr>
              <w:rPr>
                <w:rFonts w:cs="Times New Roman"/>
                <w:sz w:val="24"/>
                <w:szCs w:val="24"/>
              </w:rPr>
            </w:pPr>
            <w:r>
              <w:rPr>
                <w:rFonts w:cs="Times New Roman"/>
                <w:sz w:val="24"/>
                <w:szCs w:val="24"/>
              </w:rPr>
              <w:t xml:space="preserve">We appreciate UNDP’s support to </w:t>
            </w:r>
            <w:r w:rsidRPr="00C83891">
              <w:rPr>
                <w:rFonts w:cs="Times New Roman"/>
                <w:sz w:val="24"/>
                <w:szCs w:val="24"/>
              </w:rPr>
              <w:t xml:space="preserve">national efforts </w:t>
            </w:r>
            <w:r>
              <w:rPr>
                <w:rFonts w:cs="Times New Roman"/>
                <w:sz w:val="24"/>
                <w:szCs w:val="24"/>
              </w:rPr>
              <w:t xml:space="preserve">promoting </w:t>
            </w:r>
            <w:r w:rsidRPr="00C83891">
              <w:rPr>
                <w:rFonts w:cs="Times New Roman"/>
                <w:sz w:val="24"/>
                <w:szCs w:val="24"/>
              </w:rPr>
              <w:t>socially inclusive and environmentally sustainable economic development. W</w:t>
            </w:r>
            <w:r>
              <w:rPr>
                <w:rFonts w:cs="Times New Roman"/>
                <w:sz w:val="24"/>
                <w:szCs w:val="24"/>
              </w:rPr>
              <w:t xml:space="preserve">e encourage UNDP collaboration with </w:t>
            </w:r>
            <w:r w:rsidRPr="00C83891">
              <w:rPr>
                <w:rFonts w:cs="Times New Roman"/>
                <w:sz w:val="24"/>
                <w:szCs w:val="24"/>
              </w:rPr>
              <w:t xml:space="preserve">FAO </w:t>
            </w:r>
            <w:r>
              <w:rPr>
                <w:rFonts w:cs="Times New Roman"/>
                <w:sz w:val="24"/>
                <w:szCs w:val="24"/>
              </w:rPr>
              <w:t xml:space="preserve">in areas such as </w:t>
            </w:r>
            <w:r w:rsidRPr="00C83891">
              <w:rPr>
                <w:rFonts w:cs="Times New Roman"/>
                <w:sz w:val="24"/>
                <w:szCs w:val="24"/>
              </w:rPr>
              <w:t xml:space="preserve">promoting production, responsible consumption, respect for the environment, and </w:t>
            </w:r>
            <w:r>
              <w:rPr>
                <w:rFonts w:cs="Times New Roman"/>
                <w:sz w:val="24"/>
                <w:szCs w:val="24"/>
              </w:rPr>
              <w:t xml:space="preserve">in </w:t>
            </w:r>
            <w:r w:rsidRPr="00C83891">
              <w:rPr>
                <w:rFonts w:cs="Times New Roman"/>
                <w:sz w:val="24"/>
                <w:szCs w:val="24"/>
              </w:rPr>
              <w:t xml:space="preserve">addressing scientific and technological challenges of the productive sector; and </w:t>
            </w:r>
            <w:r>
              <w:rPr>
                <w:rFonts w:cs="Times New Roman"/>
                <w:sz w:val="24"/>
                <w:szCs w:val="24"/>
              </w:rPr>
              <w:t xml:space="preserve">with </w:t>
            </w:r>
            <w:r w:rsidRPr="00C83891">
              <w:rPr>
                <w:rFonts w:cs="Times New Roman"/>
                <w:sz w:val="24"/>
                <w:szCs w:val="24"/>
              </w:rPr>
              <w:t xml:space="preserve">UNEP </w:t>
            </w:r>
            <w:r>
              <w:rPr>
                <w:rFonts w:cs="Times New Roman"/>
                <w:sz w:val="24"/>
                <w:szCs w:val="24"/>
              </w:rPr>
              <w:t xml:space="preserve">in </w:t>
            </w:r>
            <w:r w:rsidRPr="00C83891">
              <w:rPr>
                <w:rFonts w:cs="Times New Roman"/>
                <w:sz w:val="24"/>
                <w:szCs w:val="24"/>
              </w:rPr>
              <w:t>promoting integrated disaster risk management</w:t>
            </w:r>
            <w:r>
              <w:rPr>
                <w:rFonts w:cs="Times New Roman"/>
                <w:sz w:val="24"/>
                <w:szCs w:val="24"/>
              </w:rPr>
              <w:t xml:space="preserve"> by </w:t>
            </w:r>
            <w:r w:rsidRPr="00C83891">
              <w:rPr>
                <w:rFonts w:cs="Times New Roman"/>
                <w:sz w:val="24"/>
                <w:szCs w:val="24"/>
              </w:rPr>
              <w:t>State institutions and communities</w:t>
            </w:r>
            <w:r>
              <w:rPr>
                <w:rFonts w:cs="Times New Roman"/>
                <w:sz w:val="24"/>
                <w:szCs w:val="24"/>
              </w:rPr>
              <w:t xml:space="preserve">. </w:t>
            </w:r>
          </w:p>
        </w:tc>
        <w:tc>
          <w:tcPr>
            <w:tcW w:w="6660" w:type="dxa"/>
          </w:tcPr>
          <w:p w14:paraId="5C11E466" w14:textId="270981CB" w:rsidR="00B37A83" w:rsidRDefault="00C7085C" w:rsidP="009014C7">
            <w:pPr>
              <w:pStyle w:val="ListParagraph"/>
              <w:numPr>
                <w:ilvl w:val="0"/>
                <w:numId w:val="12"/>
              </w:numPr>
              <w:rPr>
                <w:rFonts w:cs="Times New Roman"/>
                <w:sz w:val="24"/>
                <w:szCs w:val="24"/>
              </w:rPr>
            </w:pPr>
            <w:r>
              <w:rPr>
                <w:rFonts w:cs="Times New Roman"/>
                <w:sz w:val="24"/>
                <w:szCs w:val="24"/>
              </w:rPr>
              <w:t xml:space="preserve">This is noted with thanks.  This effort is present </w:t>
            </w:r>
            <w:r w:rsidR="00B37A83">
              <w:rPr>
                <w:rFonts w:cs="Times New Roman"/>
                <w:sz w:val="24"/>
                <w:szCs w:val="24"/>
              </w:rPr>
              <w:t>in the narrative and in the results framework</w:t>
            </w:r>
            <w:r w:rsidR="00561FDA">
              <w:rPr>
                <w:rFonts w:cs="Times New Roman"/>
                <w:sz w:val="24"/>
                <w:szCs w:val="24"/>
              </w:rPr>
              <w:t xml:space="preserve">; </w:t>
            </w:r>
            <w:r w:rsidR="00B37A83">
              <w:rPr>
                <w:rFonts w:cs="Times New Roman"/>
                <w:sz w:val="24"/>
                <w:szCs w:val="24"/>
              </w:rPr>
              <w:t xml:space="preserve">collaboration with FAO and UNEP </w:t>
            </w:r>
            <w:r w:rsidR="00561FDA">
              <w:rPr>
                <w:rFonts w:cs="Times New Roman"/>
                <w:sz w:val="24"/>
                <w:szCs w:val="24"/>
              </w:rPr>
              <w:t xml:space="preserve">will be pursued </w:t>
            </w:r>
            <w:r w:rsidR="00B37A83">
              <w:rPr>
                <w:rFonts w:cs="Times New Roman"/>
                <w:sz w:val="24"/>
                <w:szCs w:val="24"/>
              </w:rPr>
              <w:t>in the mentioned areas. Both agencies will be among those with which UNDP intends to continue to work more closely during the next programmatic cycle.</w:t>
            </w:r>
          </w:p>
        </w:tc>
      </w:tr>
      <w:tr w:rsidR="00B37A83" w:rsidRPr="005323D5" w14:paraId="73BCE9EC" w14:textId="77777777" w:rsidTr="00C84DB0">
        <w:trPr>
          <w:trHeight w:val="476"/>
        </w:trPr>
        <w:tc>
          <w:tcPr>
            <w:tcW w:w="7375" w:type="dxa"/>
            <w:vAlign w:val="center"/>
          </w:tcPr>
          <w:p w14:paraId="3D0A1E68" w14:textId="77777777" w:rsidR="00B37A83" w:rsidRPr="00A4045F" w:rsidRDefault="00B37A83" w:rsidP="00B37A83">
            <w:pPr>
              <w:pStyle w:val="ListParagraph"/>
              <w:numPr>
                <w:ilvl w:val="0"/>
                <w:numId w:val="13"/>
              </w:numPr>
              <w:rPr>
                <w:rFonts w:cs="Times New Roman"/>
                <w:sz w:val="24"/>
                <w:szCs w:val="24"/>
              </w:rPr>
            </w:pPr>
            <w:r w:rsidRPr="00A4045F">
              <w:rPr>
                <w:rFonts w:cs="Times New Roman"/>
                <w:sz w:val="24"/>
                <w:szCs w:val="24"/>
              </w:rPr>
              <w:t xml:space="preserve">We encourage UNDP to collaborate and coordinate with the Ministry of Health, PAHO, WHO and UNAIDs in its work to improve the capacity of the national health system to attend to populations that are the most in need; and in its work as the </w:t>
            </w:r>
            <w:r w:rsidRPr="00A4045F">
              <w:rPr>
                <w:rFonts w:cs="Times New Roman"/>
                <w:sz w:val="24"/>
                <w:szCs w:val="24"/>
              </w:rPr>
              <w:lastRenderedPageBreak/>
              <w:t>principal recipient of the Global Fund to Fight AIDS, Tuberculosis and Malaria</w:t>
            </w:r>
            <w:r>
              <w:rPr>
                <w:rFonts w:cs="Times New Roman"/>
                <w:sz w:val="24"/>
                <w:szCs w:val="24"/>
              </w:rPr>
              <w:t>,</w:t>
            </w:r>
            <w:r w:rsidRPr="00A4045F">
              <w:rPr>
                <w:rFonts w:cs="Times New Roman"/>
                <w:sz w:val="24"/>
                <w:szCs w:val="24"/>
              </w:rPr>
              <w:t xml:space="preserve"> to improve the response to the resurgence of malaria. </w:t>
            </w:r>
          </w:p>
        </w:tc>
        <w:tc>
          <w:tcPr>
            <w:tcW w:w="6660" w:type="dxa"/>
          </w:tcPr>
          <w:p w14:paraId="483D5399" w14:textId="3E899778" w:rsidR="00B37A83" w:rsidRPr="00A4045F" w:rsidRDefault="00C84DB0" w:rsidP="00B37A83">
            <w:pPr>
              <w:pStyle w:val="ListParagraph"/>
              <w:numPr>
                <w:ilvl w:val="0"/>
                <w:numId w:val="13"/>
              </w:numPr>
              <w:rPr>
                <w:rFonts w:cs="Times New Roman"/>
                <w:sz w:val="24"/>
                <w:szCs w:val="24"/>
              </w:rPr>
            </w:pPr>
            <w:r>
              <w:rPr>
                <w:rFonts w:cs="Times New Roman"/>
                <w:sz w:val="24"/>
                <w:szCs w:val="24"/>
              </w:rPr>
              <w:lastRenderedPageBreak/>
              <w:t xml:space="preserve">This is noted with thanks.  This effort is present in the narrative and the results framework; </w:t>
            </w:r>
            <w:r w:rsidR="00B37A83">
              <w:rPr>
                <w:rFonts w:cs="Times New Roman"/>
                <w:sz w:val="24"/>
                <w:szCs w:val="24"/>
              </w:rPr>
              <w:t>collaboration with PAHO-WHO and UNAIDS</w:t>
            </w:r>
            <w:r>
              <w:rPr>
                <w:rFonts w:cs="Times New Roman"/>
                <w:sz w:val="24"/>
                <w:szCs w:val="24"/>
              </w:rPr>
              <w:t xml:space="preserve"> will be pursued</w:t>
            </w:r>
            <w:r w:rsidR="00B37A83">
              <w:rPr>
                <w:rFonts w:cs="Times New Roman"/>
                <w:sz w:val="24"/>
                <w:szCs w:val="24"/>
              </w:rPr>
              <w:t xml:space="preserve"> in the mentioned areas. </w:t>
            </w:r>
            <w:r>
              <w:rPr>
                <w:rFonts w:cs="Times New Roman"/>
                <w:sz w:val="24"/>
                <w:szCs w:val="24"/>
              </w:rPr>
              <w:t>Both</w:t>
            </w:r>
            <w:r w:rsidR="00B37A83">
              <w:rPr>
                <w:rFonts w:cs="Times New Roman"/>
                <w:sz w:val="24"/>
                <w:szCs w:val="24"/>
              </w:rPr>
              <w:t xml:space="preserve"> agencies will certainly be among those with </w:t>
            </w:r>
            <w:r w:rsidR="00B37A83">
              <w:rPr>
                <w:rFonts w:cs="Times New Roman"/>
                <w:sz w:val="24"/>
                <w:szCs w:val="24"/>
              </w:rPr>
              <w:lastRenderedPageBreak/>
              <w:t>which UNDP intends to continue to work more closely during the next programmatic cycle.</w:t>
            </w:r>
          </w:p>
        </w:tc>
      </w:tr>
      <w:tr w:rsidR="00B968FE" w:rsidRPr="005323D5" w14:paraId="218C0B4A" w14:textId="3CD86722" w:rsidTr="00C84DB0">
        <w:trPr>
          <w:trHeight w:val="476"/>
        </w:trPr>
        <w:tc>
          <w:tcPr>
            <w:tcW w:w="7375" w:type="dxa"/>
            <w:vAlign w:val="center"/>
          </w:tcPr>
          <w:p w14:paraId="4E86B9A0" w14:textId="53B01294" w:rsidR="00B968FE" w:rsidRPr="00A457DA" w:rsidRDefault="00B968FE" w:rsidP="00BF3607">
            <w:pPr>
              <w:jc w:val="center"/>
              <w:rPr>
                <w:rFonts w:cs="Times New Roman"/>
                <w:b/>
                <w:sz w:val="24"/>
                <w:szCs w:val="24"/>
              </w:rPr>
            </w:pPr>
            <w:r w:rsidRPr="00534E03">
              <w:rPr>
                <w:rFonts w:cs="Times New Roman"/>
                <w:b/>
                <w:sz w:val="24"/>
                <w:szCs w:val="24"/>
              </w:rPr>
              <w:lastRenderedPageBreak/>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A04A4C">
              <w:rPr>
                <w:rFonts w:cs="Times New Roman"/>
                <w:b/>
                <w:sz w:val="24"/>
                <w:szCs w:val="24"/>
              </w:rPr>
              <w:t>Finland</w:t>
            </w:r>
          </w:p>
        </w:tc>
        <w:tc>
          <w:tcPr>
            <w:tcW w:w="6660" w:type="dxa"/>
          </w:tcPr>
          <w:p w14:paraId="54F95D0A" w14:textId="458E9844" w:rsidR="00B968FE" w:rsidRPr="00534E03" w:rsidRDefault="00B968FE" w:rsidP="00BF3607">
            <w:pPr>
              <w:jc w:val="center"/>
              <w:rPr>
                <w:rFonts w:cs="Times New Roman"/>
                <w:b/>
                <w:sz w:val="24"/>
                <w:szCs w:val="24"/>
              </w:rPr>
            </w:pPr>
          </w:p>
        </w:tc>
      </w:tr>
      <w:tr w:rsidR="00B968FE" w:rsidRPr="005323D5" w14:paraId="59FFD639" w14:textId="4446C0D4" w:rsidTr="00C84DB0">
        <w:trPr>
          <w:trHeight w:val="476"/>
        </w:trPr>
        <w:tc>
          <w:tcPr>
            <w:tcW w:w="7375" w:type="dxa"/>
            <w:vAlign w:val="center"/>
          </w:tcPr>
          <w:p w14:paraId="106DA92D" w14:textId="511DF3BE" w:rsidR="00B968FE" w:rsidRPr="00534E03" w:rsidRDefault="00B968FE" w:rsidP="00534E03">
            <w:pPr>
              <w:pStyle w:val="ListParagraph"/>
              <w:numPr>
                <w:ilvl w:val="0"/>
                <w:numId w:val="12"/>
              </w:numPr>
              <w:rPr>
                <w:rFonts w:cs="Times New Roman"/>
                <w:sz w:val="24"/>
                <w:szCs w:val="24"/>
              </w:rPr>
            </w:pPr>
            <w:r>
              <w:rPr>
                <w:rFonts w:cs="Times New Roman"/>
                <w:sz w:val="24"/>
                <w:szCs w:val="24"/>
              </w:rPr>
              <w:t xml:space="preserve">The results framework seems a bit unbalanced in e.g. estimated costs for Output 1 are quite high compared to all the other outputs. </w:t>
            </w:r>
          </w:p>
        </w:tc>
        <w:tc>
          <w:tcPr>
            <w:tcW w:w="6660" w:type="dxa"/>
          </w:tcPr>
          <w:p w14:paraId="6960691E" w14:textId="00B3A71B" w:rsidR="00B968FE" w:rsidRDefault="006C6EA2" w:rsidP="00534E03">
            <w:pPr>
              <w:pStyle w:val="ListParagraph"/>
              <w:numPr>
                <w:ilvl w:val="0"/>
                <w:numId w:val="12"/>
              </w:numPr>
              <w:rPr>
                <w:rFonts w:cs="Times New Roman"/>
                <w:sz w:val="24"/>
                <w:szCs w:val="24"/>
              </w:rPr>
            </w:pPr>
            <w:r>
              <w:rPr>
                <w:rFonts w:cs="Times New Roman"/>
                <w:sz w:val="24"/>
                <w:szCs w:val="24"/>
              </w:rPr>
              <w:t>The comment is well n</w:t>
            </w:r>
            <w:r w:rsidR="00A04FD9">
              <w:rPr>
                <w:rFonts w:cs="Times New Roman"/>
                <w:sz w:val="24"/>
                <w:szCs w:val="24"/>
              </w:rPr>
              <w:t>oted</w:t>
            </w:r>
            <w:r>
              <w:rPr>
                <w:rFonts w:cs="Times New Roman"/>
                <w:sz w:val="24"/>
                <w:szCs w:val="24"/>
              </w:rPr>
              <w:t xml:space="preserve"> and appreciated</w:t>
            </w:r>
            <w:r w:rsidR="00A04FD9">
              <w:rPr>
                <w:rFonts w:cs="Times New Roman"/>
                <w:sz w:val="24"/>
                <w:szCs w:val="24"/>
              </w:rPr>
              <w:t xml:space="preserve">. </w:t>
            </w:r>
            <w:r>
              <w:rPr>
                <w:rFonts w:cs="Times New Roman"/>
                <w:sz w:val="24"/>
                <w:szCs w:val="24"/>
              </w:rPr>
              <w:t xml:space="preserve">The </w:t>
            </w:r>
            <w:r w:rsidR="00757053">
              <w:rPr>
                <w:rFonts w:cs="Times New Roman"/>
                <w:sz w:val="24"/>
                <w:szCs w:val="24"/>
              </w:rPr>
              <w:t xml:space="preserve">Framework </w:t>
            </w:r>
            <w:r w:rsidR="00A04FD9">
              <w:rPr>
                <w:rFonts w:cs="Times New Roman"/>
                <w:sz w:val="24"/>
                <w:szCs w:val="24"/>
              </w:rPr>
              <w:t xml:space="preserve">is based on the most current and realistic estimates </w:t>
            </w:r>
            <w:r w:rsidR="00E14B5C">
              <w:rPr>
                <w:rFonts w:cs="Times New Roman"/>
                <w:sz w:val="24"/>
                <w:szCs w:val="24"/>
              </w:rPr>
              <w:t>of</w:t>
            </w:r>
            <w:r w:rsidR="00A04FD9">
              <w:rPr>
                <w:rFonts w:cs="Times New Roman"/>
                <w:sz w:val="24"/>
                <w:szCs w:val="24"/>
              </w:rPr>
              <w:t xml:space="preserve"> resource mobilization</w:t>
            </w:r>
            <w:r w:rsidR="00DC4862">
              <w:rPr>
                <w:rFonts w:cs="Times New Roman"/>
                <w:sz w:val="24"/>
                <w:szCs w:val="24"/>
              </w:rPr>
              <w:t xml:space="preserve">, which </w:t>
            </w:r>
            <w:r w:rsidR="00A04FD9">
              <w:rPr>
                <w:rFonts w:cs="Times New Roman"/>
                <w:sz w:val="24"/>
                <w:szCs w:val="24"/>
              </w:rPr>
              <w:t xml:space="preserve">will be </w:t>
            </w:r>
            <w:r w:rsidR="00757053">
              <w:rPr>
                <w:rFonts w:cs="Times New Roman"/>
                <w:sz w:val="24"/>
                <w:szCs w:val="24"/>
              </w:rPr>
              <w:t>adjusted</w:t>
            </w:r>
            <w:r w:rsidR="00A04FD9">
              <w:rPr>
                <w:rFonts w:cs="Times New Roman"/>
                <w:sz w:val="24"/>
                <w:szCs w:val="24"/>
              </w:rPr>
              <w:t xml:space="preserve"> during the implementation period of the CPD</w:t>
            </w:r>
            <w:r w:rsidR="00DC4862">
              <w:rPr>
                <w:rFonts w:cs="Times New Roman"/>
                <w:sz w:val="24"/>
                <w:szCs w:val="24"/>
              </w:rPr>
              <w:t xml:space="preserve"> as circumstances, needs, and availability of resources evolve</w:t>
            </w:r>
            <w:r w:rsidR="00A04FD9">
              <w:rPr>
                <w:rFonts w:cs="Times New Roman"/>
                <w:sz w:val="24"/>
                <w:szCs w:val="24"/>
              </w:rPr>
              <w:t>.</w:t>
            </w:r>
          </w:p>
        </w:tc>
      </w:tr>
      <w:tr w:rsidR="00B968FE" w:rsidRPr="005323D5" w14:paraId="1F829039" w14:textId="658219A8" w:rsidTr="00C84DB0">
        <w:trPr>
          <w:trHeight w:val="476"/>
        </w:trPr>
        <w:tc>
          <w:tcPr>
            <w:tcW w:w="7375" w:type="dxa"/>
            <w:vAlign w:val="center"/>
          </w:tcPr>
          <w:p w14:paraId="7B1CEB7A" w14:textId="3E624B29" w:rsidR="00B968FE" w:rsidRPr="00A457DA" w:rsidRDefault="00B968FE" w:rsidP="00BF3607">
            <w:pPr>
              <w:pStyle w:val="ListParagraph"/>
              <w:numPr>
                <w:ilvl w:val="0"/>
                <w:numId w:val="12"/>
              </w:numPr>
              <w:rPr>
                <w:rFonts w:cs="Times New Roman"/>
                <w:sz w:val="24"/>
                <w:szCs w:val="24"/>
              </w:rPr>
            </w:pPr>
            <w:r>
              <w:rPr>
                <w:rFonts w:cs="Times New Roman"/>
                <w:sz w:val="24"/>
                <w:szCs w:val="24"/>
              </w:rPr>
              <w:t>Output 4.1. focuses on strengthening statistical systems and data disaggregation, yet it does not list UNFPA or any other UN Agency that works on statistics as a partner. We would strongly encourage collaboration with other UN Agencies, who work on strengthening statistical systems and data disaggregation</w:t>
            </w:r>
          </w:p>
        </w:tc>
        <w:tc>
          <w:tcPr>
            <w:tcW w:w="6660" w:type="dxa"/>
          </w:tcPr>
          <w:p w14:paraId="4B1F1E0B" w14:textId="3672B216" w:rsidR="00B968FE" w:rsidRDefault="00757053" w:rsidP="00BF3607">
            <w:pPr>
              <w:pStyle w:val="ListParagraph"/>
              <w:numPr>
                <w:ilvl w:val="0"/>
                <w:numId w:val="12"/>
              </w:numPr>
              <w:rPr>
                <w:rFonts w:cs="Times New Roman"/>
                <w:sz w:val="24"/>
                <w:szCs w:val="24"/>
              </w:rPr>
            </w:pPr>
            <w:r>
              <w:rPr>
                <w:rFonts w:cs="Times New Roman"/>
                <w:sz w:val="24"/>
                <w:szCs w:val="24"/>
              </w:rPr>
              <w:t>The comment is well noted and appreciated</w:t>
            </w:r>
            <w:r w:rsidR="00D02516">
              <w:rPr>
                <w:rFonts w:cs="Times New Roman"/>
                <w:sz w:val="24"/>
                <w:szCs w:val="24"/>
              </w:rPr>
              <w:t>. During the implementation</w:t>
            </w:r>
            <w:r w:rsidR="00DC4862">
              <w:rPr>
                <w:rFonts w:cs="Times New Roman"/>
                <w:sz w:val="24"/>
                <w:szCs w:val="24"/>
              </w:rPr>
              <w:t>,</w:t>
            </w:r>
            <w:r w:rsidR="00D02516">
              <w:rPr>
                <w:rFonts w:cs="Times New Roman"/>
                <w:sz w:val="24"/>
                <w:szCs w:val="24"/>
              </w:rPr>
              <w:t xml:space="preserve"> collaboration with other UN Agencies, Funds and Programme</w:t>
            </w:r>
            <w:r w:rsidR="00DC4862">
              <w:rPr>
                <w:rFonts w:cs="Times New Roman"/>
                <w:sz w:val="24"/>
                <w:szCs w:val="24"/>
              </w:rPr>
              <w:t>,</w:t>
            </w:r>
            <w:r w:rsidR="00D02516">
              <w:rPr>
                <w:rFonts w:cs="Times New Roman"/>
                <w:sz w:val="24"/>
                <w:szCs w:val="24"/>
              </w:rPr>
              <w:t xml:space="preserve"> including UNFPA, UNICEF and UN</w:t>
            </w:r>
            <w:r w:rsidR="00251132">
              <w:rPr>
                <w:rFonts w:cs="Times New Roman"/>
                <w:sz w:val="24"/>
                <w:szCs w:val="24"/>
              </w:rPr>
              <w:t xml:space="preserve"> </w:t>
            </w:r>
            <w:r w:rsidR="00D02516">
              <w:rPr>
                <w:rFonts w:cs="Times New Roman"/>
                <w:sz w:val="24"/>
                <w:szCs w:val="24"/>
              </w:rPr>
              <w:t>S</w:t>
            </w:r>
            <w:r w:rsidR="00251132">
              <w:rPr>
                <w:rFonts w:cs="Times New Roman"/>
                <w:sz w:val="24"/>
                <w:szCs w:val="24"/>
              </w:rPr>
              <w:t xml:space="preserve">tatistics </w:t>
            </w:r>
            <w:r w:rsidR="00D02516">
              <w:rPr>
                <w:rFonts w:cs="Times New Roman"/>
                <w:sz w:val="24"/>
                <w:szCs w:val="24"/>
              </w:rPr>
              <w:t>D</w:t>
            </w:r>
            <w:r w:rsidR="00251132">
              <w:rPr>
                <w:rFonts w:cs="Times New Roman"/>
                <w:sz w:val="24"/>
                <w:szCs w:val="24"/>
              </w:rPr>
              <w:t>ivision</w:t>
            </w:r>
            <w:r w:rsidR="00D02516">
              <w:rPr>
                <w:rFonts w:cs="Times New Roman"/>
                <w:sz w:val="24"/>
                <w:szCs w:val="24"/>
              </w:rPr>
              <w:t xml:space="preserve"> will be promoted.</w:t>
            </w:r>
          </w:p>
        </w:tc>
      </w:tr>
      <w:tr w:rsidR="00B968FE" w:rsidRPr="005323D5" w14:paraId="08712356" w14:textId="680114D5" w:rsidTr="00C84DB0">
        <w:trPr>
          <w:trHeight w:val="476"/>
        </w:trPr>
        <w:tc>
          <w:tcPr>
            <w:tcW w:w="7375" w:type="dxa"/>
            <w:vAlign w:val="center"/>
          </w:tcPr>
          <w:p w14:paraId="42D1DF52" w14:textId="4D46FBD3" w:rsidR="00B968FE" w:rsidRPr="00A457DA" w:rsidRDefault="00B968FE" w:rsidP="00BF3607">
            <w:pPr>
              <w:pStyle w:val="ListParagraph"/>
              <w:numPr>
                <w:ilvl w:val="0"/>
                <w:numId w:val="12"/>
              </w:numPr>
              <w:rPr>
                <w:rFonts w:cs="Times New Roman"/>
                <w:sz w:val="24"/>
                <w:szCs w:val="24"/>
              </w:rPr>
            </w:pPr>
            <w:r>
              <w:rPr>
                <w:rFonts w:cs="Times New Roman"/>
                <w:sz w:val="24"/>
                <w:szCs w:val="24"/>
              </w:rPr>
              <w:t xml:space="preserve">Finland would encourage UNDP to consider how it could integrate persons with disabilities/disability inclusion in this CPD as it is currently lacking in the programme. </w:t>
            </w:r>
          </w:p>
        </w:tc>
        <w:tc>
          <w:tcPr>
            <w:tcW w:w="6660" w:type="dxa"/>
          </w:tcPr>
          <w:p w14:paraId="0C892E89" w14:textId="31BC291C" w:rsidR="00B968FE" w:rsidRDefault="00510F33" w:rsidP="00BF3607">
            <w:pPr>
              <w:pStyle w:val="ListParagraph"/>
              <w:numPr>
                <w:ilvl w:val="0"/>
                <w:numId w:val="12"/>
              </w:numPr>
              <w:rPr>
                <w:rFonts w:cs="Times New Roman"/>
                <w:sz w:val="24"/>
                <w:szCs w:val="24"/>
              </w:rPr>
            </w:pPr>
            <w:r>
              <w:rPr>
                <w:rFonts w:cs="Times New Roman"/>
                <w:sz w:val="24"/>
                <w:szCs w:val="24"/>
              </w:rPr>
              <w:t>Although not explicitly mentioned</w:t>
            </w:r>
            <w:r w:rsidR="00DC4862">
              <w:rPr>
                <w:rFonts w:cs="Times New Roman"/>
                <w:sz w:val="24"/>
                <w:szCs w:val="24"/>
              </w:rPr>
              <w:t xml:space="preserve">, </w:t>
            </w:r>
            <w:r>
              <w:rPr>
                <w:rFonts w:cs="Times New Roman"/>
                <w:sz w:val="24"/>
                <w:szCs w:val="24"/>
              </w:rPr>
              <w:t>people with disabilities and their inclusion will be a main target group of the intervention in line with the equity and human rights approach fostered by the CPD and in alignment with the global policies such as the UN Disability Inclusion Strategy and the recently launched UNDP Disability Inclusion Network.</w:t>
            </w:r>
          </w:p>
        </w:tc>
      </w:tr>
      <w:tr w:rsidR="007530CE" w:rsidRPr="005323D5" w14:paraId="4A15AEC4" w14:textId="77777777" w:rsidTr="00AE0DCD">
        <w:trPr>
          <w:trHeight w:val="476"/>
        </w:trPr>
        <w:tc>
          <w:tcPr>
            <w:tcW w:w="7375" w:type="dxa"/>
            <w:vAlign w:val="center"/>
          </w:tcPr>
          <w:p w14:paraId="765A5DDA" w14:textId="36515B87" w:rsidR="007530CE" w:rsidRPr="00A457DA" w:rsidRDefault="007530CE" w:rsidP="009014C7">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AE0DCD">
              <w:rPr>
                <w:rFonts w:cs="Times New Roman"/>
                <w:b/>
                <w:sz w:val="24"/>
                <w:szCs w:val="24"/>
              </w:rPr>
              <w:t>the United Kingdom</w:t>
            </w:r>
            <w:r w:rsidRPr="00A457DA">
              <w:rPr>
                <w:rFonts w:cs="Times New Roman"/>
                <w:b/>
                <w:sz w:val="24"/>
                <w:szCs w:val="24"/>
              </w:rPr>
              <w:t xml:space="preserve"> </w:t>
            </w:r>
          </w:p>
        </w:tc>
        <w:tc>
          <w:tcPr>
            <w:tcW w:w="6660" w:type="dxa"/>
          </w:tcPr>
          <w:p w14:paraId="03CF7DB1" w14:textId="72B683B1" w:rsidR="007530CE" w:rsidRPr="00534E03" w:rsidRDefault="007530CE" w:rsidP="009014C7">
            <w:pPr>
              <w:jc w:val="center"/>
              <w:rPr>
                <w:rFonts w:cs="Times New Roman"/>
                <w:b/>
                <w:sz w:val="24"/>
                <w:szCs w:val="24"/>
              </w:rPr>
            </w:pPr>
          </w:p>
        </w:tc>
      </w:tr>
      <w:tr w:rsidR="007530CE" w:rsidRPr="005323D5" w14:paraId="0FF22B63" w14:textId="77777777" w:rsidTr="00AE0DCD">
        <w:trPr>
          <w:trHeight w:val="476"/>
        </w:trPr>
        <w:tc>
          <w:tcPr>
            <w:tcW w:w="7375" w:type="dxa"/>
            <w:vAlign w:val="center"/>
          </w:tcPr>
          <w:p w14:paraId="3CDE6946" w14:textId="77777777" w:rsidR="007530CE" w:rsidRPr="00AE0DCD" w:rsidRDefault="007530CE" w:rsidP="00AE0DCD">
            <w:pPr>
              <w:pStyle w:val="ListParagraph"/>
              <w:numPr>
                <w:ilvl w:val="0"/>
                <w:numId w:val="12"/>
              </w:numPr>
              <w:rPr>
                <w:rFonts w:cs="Times New Roman"/>
                <w:sz w:val="24"/>
                <w:szCs w:val="24"/>
              </w:rPr>
            </w:pPr>
            <w:r w:rsidRPr="00AE0DCD">
              <w:rPr>
                <w:rFonts w:cs="Times New Roman"/>
                <w:sz w:val="24"/>
                <w:szCs w:val="24"/>
              </w:rPr>
              <w:t>Data used in the initial programme rationale is insufficient, selective and outdated. In particular, it fails to reflect the wider humanitarian crisis under which the programme would be delivered. In addition, it only mentions positive GDP growth in 2022 but does not refer to the erosion of nearly 80% of GDP from previous years. It is unlikely that this year’s GDP growth rate will be sustained. No mention of domestic drivers affecting macro-</w:t>
            </w:r>
            <w:r w:rsidRPr="00AE0DCD">
              <w:rPr>
                <w:rFonts w:cs="Times New Roman"/>
                <w:sz w:val="24"/>
                <w:szCs w:val="24"/>
              </w:rPr>
              <w:lastRenderedPageBreak/>
              <w:t>economic performance; it only stresses “external restrictions” (UNDP).</w:t>
            </w:r>
          </w:p>
          <w:p w14:paraId="3B7974A0" w14:textId="77777777" w:rsidR="007530CE" w:rsidRPr="00AE0DCD" w:rsidRDefault="007530CE" w:rsidP="00AE0DCD">
            <w:pPr>
              <w:pStyle w:val="ListParagraph"/>
              <w:rPr>
                <w:rFonts w:cs="Times New Roman"/>
                <w:sz w:val="24"/>
                <w:szCs w:val="24"/>
              </w:rPr>
            </w:pPr>
          </w:p>
          <w:p w14:paraId="5962DF33" w14:textId="2669C1AA" w:rsidR="007530CE" w:rsidRPr="00AE0DCD" w:rsidRDefault="007530CE" w:rsidP="00AE0DCD">
            <w:pPr>
              <w:pStyle w:val="ListParagraph"/>
              <w:numPr>
                <w:ilvl w:val="0"/>
                <w:numId w:val="12"/>
              </w:numPr>
              <w:rPr>
                <w:rFonts w:cs="Times New Roman"/>
                <w:sz w:val="24"/>
                <w:szCs w:val="24"/>
              </w:rPr>
            </w:pPr>
            <w:r w:rsidRPr="00AE0DCD">
              <w:rPr>
                <w:rFonts w:cs="Times New Roman"/>
                <w:sz w:val="24"/>
                <w:szCs w:val="24"/>
              </w:rPr>
              <w:t xml:space="preserve">Proposed work includes improving State capacity to generate evidence and data, in partnership with ministries and other Government agencies such as the National Statistics Institute (INE) and the National Nutrition Institute. However, efforts should include increasing transparency and access to reliable data in order to support improved diagnostics and evidence-based </w:t>
            </w:r>
            <w:proofErr w:type="gramStart"/>
            <w:r w:rsidRPr="00AE0DCD">
              <w:rPr>
                <w:rFonts w:cs="Times New Roman"/>
                <w:sz w:val="24"/>
                <w:szCs w:val="24"/>
              </w:rPr>
              <w:t>policy-making</w:t>
            </w:r>
            <w:proofErr w:type="gramEnd"/>
            <w:r w:rsidRPr="00AE0DCD">
              <w:rPr>
                <w:rFonts w:cs="Times New Roman"/>
                <w:sz w:val="24"/>
                <w:szCs w:val="24"/>
              </w:rPr>
              <w:t>.</w:t>
            </w:r>
          </w:p>
        </w:tc>
        <w:tc>
          <w:tcPr>
            <w:tcW w:w="6660" w:type="dxa"/>
          </w:tcPr>
          <w:p w14:paraId="41199C44" w14:textId="77777777" w:rsidR="007530CE" w:rsidRDefault="007530CE" w:rsidP="00AE0DCD">
            <w:pPr>
              <w:pStyle w:val="ListParagraph"/>
              <w:numPr>
                <w:ilvl w:val="0"/>
                <w:numId w:val="12"/>
              </w:numPr>
              <w:rPr>
                <w:rFonts w:eastAsiaTheme="minorEastAsia"/>
                <w:sz w:val="24"/>
                <w:szCs w:val="24"/>
              </w:rPr>
            </w:pPr>
            <w:r w:rsidRPr="00644A50">
              <w:rPr>
                <w:rFonts w:eastAsiaTheme="minorEastAsia"/>
                <w:sz w:val="24"/>
                <w:szCs w:val="24"/>
              </w:rPr>
              <w:lastRenderedPageBreak/>
              <w:t xml:space="preserve">The CPD for the </w:t>
            </w:r>
            <w:r>
              <w:rPr>
                <w:rFonts w:eastAsiaTheme="minorEastAsia"/>
                <w:sz w:val="24"/>
                <w:szCs w:val="24"/>
              </w:rPr>
              <w:t>Bolivarian Republic of Venezuela</w:t>
            </w:r>
            <w:r w:rsidRPr="00644A50">
              <w:rPr>
                <w:rFonts w:eastAsiaTheme="minorEastAsia"/>
                <w:sz w:val="24"/>
                <w:szCs w:val="24"/>
              </w:rPr>
              <w:t>, in line with the QCPR and UNDS reform requirements, is aligned with and derived from the</w:t>
            </w:r>
            <w:r>
              <w:rPr>
                <w:rFonts w:eastAsiaTheme="minorEastAsia"/>
                <w:sz w:val="24"/>
                <w:szCs w:val="24"/>
              </w:rPr>
              <w:t xml:space="preserve"> UN Sustainable Development Framework signed in September 2022</w:t>
            </w:r>
            <w:r w:rsidRPr="00644A50">
              <w:rPr>
                <w:rFonts w:eastAsiaTheme="minorEastAsia"/>
                <w:sz w:val="24"/>
                <w:szCs w:val="24"/>
              </w:rPr>
              <w:t>.</w:t>
            </w:r>
            <w:r>
              <w:rPr>
                <w:rFonts w:eastAsiaTheme="minorEastAsia"/>
                <w:sz w:val="24"/>
                <w:szCs w:val="24"/>
              </w:rPr>
              <w:t xml:space="preserve"> The description of the current situation in Venezuela is also aligned with</w:t>
            </w:r>
            <w:r>
              <w:t xml:space="preserve"> </w:t>
            </w:r>
            <w:r w:rsidRPr="00B73EC3">
              <w:rPr>
                <w:rFonts w:eastAsiaTheme="minorEastAsia"/>
                <w:sz w:val="24"/>
                <w:szCs w:val="24"/>
              </w:rPr>
              <w:t>and derived from</w:t>
            </w:r>
            <w:r>
              <w:rPr>
                <w:rFonts w:eastAsiaTheme="minorEastAsia"/>
                <w:sz w:val="24"/>
                <w:szCs w:val="24"/>
              </w:rPr>
              <w:t xml:space="preserve"> the UNSDCF.</w:t>
            </w:r>
          </w:p>
          <w:p w14:paraId="0E8CB665" w14:textId="77777777" w:rsidR="007530CE" w:rsidRDefault="007530CE" w:rsidP="009014C7">
            <w:pPr>
              <w:rPr>
                <w:rFonts w:eastAsiaTheme="minorEastAsia"/>
                <w:sz w:val="24"/>
                <w:szCs w:val="24"/>
              </w:rPr>
            </w:pPr>
          </w:p>
          <w:p w14:paraId="473E046D" w14:textId="7F1D1644" w:rsidR="007530CE" w:rsidRDefault="007530CE" w:rsidP="009D78C0">
            <w:pPr>
              <w:pStyle w:val="ListParagraph"/>
              <w:numPr>
                <w:ilvl w:val="0"/>
                <w:numId w:val="12"/>
              </w:numPr>
              <w:rPr>
                <w:rFonts w:eastAsiaTheme="minorEastAsia"/>
                <w:sz w:val="24"/>
                <w:szCs w:val="24"/>
              </w:rPr>
            </w:pPr>
            <w:r>
              <w:rPr>
                <w:rFonts w:cs="Times New Roman"/>
                <w:sz w:val="24"/>
                <w:szCs w:val="24"/>
              </w:rPr>
              <w:lastRenderedPageBreak/>
              <w:t>Data spread and dissemination is a priority area of the CPD</w:t>
            </w:r>
            <w:r w:rsidR="001473C1">
              <w:rPr>
                <w:rFonts w:cs="Times New Roman"/>
                <w:sz w:val="24"/>
                <w:szCs w:val="24"/>
              </w:rPr>
              <w:t>,</w:t>
            </w:r>
            <w:r>
              <w:rPr>
                <w:rFonts w:cs="Times New Roman"/>
                <w:sz w:val="24"/>
                <w:szCs w:val="24"/>
              </w:rPr>
              <w:t xml:space="preserve"> </w:t>
            </w:r>
            <w:r w:rsidRPr="009D78C0">
              <w:rPr>
                <w:rFonts w:eastAsiaTheme="minorEastAsia"/>
                <w:sz w:val="24"/>
                <w:szCs w:val="24"/>
              </w:rPr>
              <w:t>as</w:t>
            </w:r>
            <w:r>
              <w:rPr>
                <w:rFonts w:cs="Times New Roman"/>
                <w:sz w:val="24"/>
                <w:szCs w:val="24"/>
              </w:rPr>
              <w:t xml:space="preserve"> stated in Outputs 4.1 and 4.2 of the results </w:t>
            </w:r>
            <w:proofErr w:type="gramStart"/>
            <w:r>
              <w:rPr>
                <w:rFonts w:cs="Times New Roman"/>
                <w:sz w:val="24"/>
                <w:szCs w:val="24"/>
              </w:rPr>
              <w:t>framework</w:t>
            </w:r>
            <w:proofErr w:type="gramEnd"/>
            <w:r>
              <w:rPr>
                <w:rFonts w:cs="Times New Roman"/>
                <w:sz w:val="24"/>
                <w:szCs w:val="24"/>
              </w:rPr>
              <w:t xml:space="preserve">. This will be linked to efforts on open government mentioned in Output 4.3. </w:t>
            </w:r>
            <w:r w:rsidR="001473C1">
              <w:rPr>
                <w:rFonts w:cs="Times New Roman"/>
                <w:sz w:val="24"/>
                <w:szCs w:val="24"/>
              </w:rPr>
              <w:t>This</w:t>
            </w:r>
            <w:r>
              <w:rPr>
                <w:rFonts w:cs="Times New Roman"/>
                <w:sz w:val="24"/>
                <w:szCs w:val="24"/>
              </w:rPr>
              <w:t xml:space="preserve"> will</w:t>
            </w:r>
            <w:r w:rsidR="001473C1">
              <w:rPr>
                <w:rFonts w:cs="Times New Roman"/>
                <w:sz w:val="24"/>
                <w:szCs w:val="24"/>
              </w:rPr>
              <w:t>,</w:t>
            </w:r>
            <w:r>
              <w:rPr>
                <w:rFonts w:cs="Times New Roman"/>
                <w:sz w:val="24"/>
                <w:szCs w:val="24"/>
              </w:rPr>
              <w:t xml:space="preserve"> in turn</w:t>
            </w:r>
            <w:r w:rsidR="001473C1">
              <w:rPr>
                <w:rFonts w:cs="Times New Roman"/>
                <w:sz w:val="24"/>
                <w:szCs w:val="24"/>
              </w:rPr>
              <w:t>,</w:t>
            </w:r>
            <w:r>
              <w:rPr>
                <w:rFonts w:cs="Times New Roman"/>
                <w:sz w:val="24"/>
                <w:szCs w:val="24"/>
              </w:rPr>
              <w:t xml:space="preserve"> help to promote g</w:t>
            </w:r>
            <w:r w:rsidRPr="002B4D1F">
              <w:rPr>
                <w:rFonts w:cs="Times New Roman"/>
                <w:sz w:val="24"/>
                <w:szCs w:val="24"/>
              </w:rPr>
              <w:t>ood governance at the national and local levels</w:t>
            </w:r>
            <w:r>
              <w:rPr>
                <w:rFonts w:cs="Times New Roman"/>
                <w:sz w:val="24"/>
                <w:szCs w:val="24"/>
              </w:rPr>
              <w:t>, which</w:t>
            </w:r>
            <w:r w:rsidR="00F87889">
              <w:rPr>
                <w:rFonts w:cs="Times New Roman"/>
                <w:sz w:val="24"/>
                <w:szCs w:val="24"/>
              </w:rPr>
              <w:t>,</w:t>
            </w:r>
            <w:r>
              <w:rPr>
                <w:rFonts w:cs="Times New Roman"/>
                <w:sz w:val="24"/>
                <w:szCs w:val="24"/>
              </w:rPr>
              <w:t xml:space="preserve"> as mentioned in paragraph 12</w:t>
            </w:r>
            <w:r w:rsidR="00F87889">
              <w:rPr>
                <w:rFonts w:cs="Times New Roman"/>
                <w:sz w:val="24"/>
                <w:szCs w:val="24"/>
              </w:rPr>
              <w:t>,</w:t>
            </w:r>
            <w:r w:rsidRPr="002B4D1F">
              <w:rPr>
                <w:rFonts w:cs="Times New Roman"/>
                <w:sz w:val="24"/>
                <w:szCs w:val="24"/>
              </w:rPr>
              <w:t xml:space="preserve"> will contribute to improving the development of sectoral plans, </w:t>
            </w:r>
            <w:r w:rsidR="00F87889">
              <w:rPr>
                <w:rFonts w:cs="Times New Roman"/>
                <w:sz w:val="24"/>
                <w:szCs w:val="24"/>
              </w:rPr>
              <w:t xml:space="preserve">and </w:t>
            </w:r>
            <w:r w:rsidRPr="002B4D1F">
              <w:rPr>
                <w:rFonts w:cs="Times New Roman"/>
                <w:sz w:val="24"/>
                <w:szCs w:val="24"/>
              </w:rPr>
              <w:t>the design, implementation and evaluation of public policies</w:t>
            </w:r>
            <w:r>
              <w:rPr>
                <w:rFonts w:cs="Times New Roman"/>
                <w:sz w:val="24"/>
                <w:szCs w:val="24"/>
              </w:rPr>
              <w:t>.</w:t>
            </w:r>
          </w:p>
          <w:p w14:paraId="785C81F2" w14:textId="77777777" w:rsidR="007530CE" w:rsidRDefault="007530CE" w:rsidP="009014C7">
            <w:pPr>
              <w:pStyle w:val="ListParagraph"/>
              <w:contextualSpacing w:val="0"/>
              <w:rPr>
                <w:rFonts w:ascii="Helvetica" w:hAnsi="Helvetica" w:cs="Helvetica"/>
              </w:rPr>
            </w:pPr>
          </w:p>
        </w:tc>
      </w:tr>
      <w:tr w:rsidR="00C75EC4" w:rsidRPr="005323D5" w14:paraId="39E46000" w14:textId="77777777" w:rsidTr="00C75EC4">
        <w:trPr>
          <w:trHeight w:val="476"/>
        </w:trPr>
        <w:tc>
          <w:tcPr>
            <w:tcW w:w="7375" w:type="dxa"/>
            <w:vAlign w:val="center"/>
          </w:tcPr>
          <w:p w14:paraId="2F22B320" w14:textId="462FA2CD" w:rsidR="00C75EC4" w:rsidRPr="00A457DA" w:rsidRDefault="00C75EC4" w:rsidP="009014C7">
            <w:pPr>
              <w:jc w:val="center"/>
              <w:rPr>
                <w:rFonts w:cs="Times New Roman"/>
                <w:b/>
                <w:sz w:val="24"/>
                <w:szCs w:val="24"/>
              </w:rPr>
            </w:pPr>
            <w:r w:rsidRPr="00534E03">
              <w:rPr>
                <w:rFonts w:cs="Times New Roman"/>
                <w:b/>
                <w:sz w:val="24"/>
                <w:szCs w:val="24"/>
              </w:rPr>
              <w:lastRenderedPageBreak/>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the European Union</w:t>
            </w:r>
          </w:p>
        </w:tc>
        <w:tc>
          <w:tcPr>
            <w:tcW w:w="6660" w:type="dxa"/>
          </w:tcPr>
          <w:p w14:paraId="613E9B9A" w14:textId="1551805F" w:rsidR="00C75EC4" w:rsidRPr="00534E03" w:rsidRDefault="00C75EC4" w:rsidP="009014C7">
            <w:pPr>
              <w:jc w:val="center"/>
              <w:rPr>
                <w:rFonts w:cs="Times New Roman"/>
                <w:b/>
                <w:sz w:val="24"/>
                <w:szCs w:val="24"/>
              </w:rPr>
            </w:pPr>
          </w:p>
        </w:tc>
      </w:tr>
      <w:tr w:rsidR="00C75EC4" w:rsidRPr="005323D5" w14:paraId="5AE5B2D3" w14:textId="77777777" w:rsidTr="00C75EC4">
        <w:trPr>
          <w:trHeight w:val="476"/>
        </w:trPr>
        <w:tc>
          <w:tcPr>
            <w:tcW w:w="7375" w:type="dxa"/>
            <w:vAlign w:val="center"/>
          </w:tcPr>
          <w:p w14:paraId="0943BFE9" w14:textId="77777777" w:rsidR="00C75EC4" w:rsidRPr="00534E03" w:rsidRDefault="00C75EC4" w:rsidP="009014C7">
            <w:pPr>
              <w:pStyle w:val="ListParagraph"/>
              <w:numPr>
                <w:ilvl w:val="0"/>
                <w:numId w:val="12"/>
              </w:numPr>
              <w:rPr>
                <w:rFonts w:cs="Times New Roman"/>
                <w:sz w:val="24"/>
                <w:szCs w:val="24"/>
              </w:rPr>
            </w:pPr>
            <w:r>
              <w:rPr>
                <w:rFonts w:cs="Times New Roman"/>
                <w:sz w:val="24"/>
                <w:szCs w:val="24"/>
              </w:rPr>
              <w:t>The CPD takes into account the three strategic priorities the particular challenges of the country in terms of social cohesion, access to basic service and governance</w:t>
            </w:r>
          </w:p>
        </w:tc>
        <w:tc>
          <w:tcPr>
            <w:tcW w:w="6660" w:type="dxa"/>
          </w:tcPr>
          <w:p w14:paraId="0726144E" w14:textId="6B22FB12" w:rsidR="00C75EC4" w:rsidRDefault="00C75EC4" w:rsidP="009014C7">
            <w:pPr>
              <w:pStyle w:val="ListParagraph"/>
              <w:numPr>
                <w:ilvl w:val="0"/>
                <w:numId w:val="12"/>
              </w:numPr>
              <w:rPr>
                <w:rFonts w:cs="Times New Roman"/>
                <w:sz w:val="24"/>
                <w:szCs w:val="24"/>
              </w:rPr>
            </w:pPr>
            <w:r>
              <w:rPr>
                <w:rFonts w:cs="Times New Roman"/>
                <w:sz w:val="24"/>
                <w:szCs w:val="24"/>
              </w:rPr>
              <w:t>UNDP thanks the EU for the comment.</w:t>
            </w:r>
          </w:p>
        </w:tc>
      </w:tr>
      <w:tr w:rsidR="00C75EC4" w:rsidRPr="005323D5" w14:paraId="7D061077" w14:textId="77777777" w:rsidTr="00C75EC4">
        <w:trPr>
          <w:trHeight w:val="476"/>
        </w:trPr>
        <w:tc>
          <w:tcPr>
            <w:tcW w:w="7375" w:type="dxa"/>
            <w:vAlign w:val="center"/>
          </w:tcPr>
          <w:p w14:paraId="390A3539" w14:textId="051FABB3" w:rsidR="00C75EC4" w:rsidRPr="00A457DA" w:rsidRDefault="00C75EC4" w:rsidP="009014C7">
            <w:pPr>
              <w:pStyle w:val="ListParagraph"/>
              <w:numPr>
                <w:ilvl w:val="0"/>
                <w:numId w:val="12"/>
              </w:numPr>
              <w:rPr>
                <w:rFonts w:cs="Times New Roman"/>
                <w:sz w:val="24"/>
                <w:szCs w:val="24"/>
              </w:rPr>
            </w:pPr>
            <w:r>
              <w:rPr>
                <w:rFonts w:cs="Times New Roman"/>
                <w:sz w:val="24"/>
                <w:szCs w:val="24"/>
              </w:rPr>
              <w:t>Principle of Leaving no one behind is well developed as a cross cutting issue all through the strategic development and cooperation framework results, however in the case of gender and people with disabilities both could be targeted more clearly and through better identified expected source of data.</w:t>
            </w:r>
          </w:p>
        </w:tc>
        <w:tc>
          <w:tcPr>
            <w:tcW w:w="6660" w:type="dxa"/>
          </w:tcPr>
          <w:p w14:paraId="57A8AD1D" w14:textId="7A0693AA" w:rsidR="00C75EC4" w:rsidRDefault="00C75EC4" w:rsidP="009014C7">
            <w:pPr>
              <w:pStyle w:val="ListParagraph"/>
              <w:numPr>
                <w:ilvl w:val="0"/>
                <w:numId w:val="12"/>
              </w:numPr>
              <w:rPr>
                <w:rFonts w:cs="Times New Roman"/>
                <w:sz w:val="24"/>
                <w:szCs w:val="24"/>
              </w:rPr>
            </w:pPr>
            <w:r>
              <w:rPr>
                <w:rFonts w:cs="Times New Roman"/>
                <w:sz w:val="24"/>
                <w:szCs w:val="24"/>
              </w:rPr>
              <w:t>The comment is well received and will be taken into account during the implementation of the CPD.</w:t>
            </w:r>
          </w:p>
        </w:tc>
      </w:tr>
      <w:tr w:rsidR="00C75EC4" w:rsidRPr="005323D5" w14:paraId="40998214" w14:textId="77777777" w:rsidTr="00C75EC4">
        <w:trPr>
          <w:trHeight w:val="476"/>
        </w:trPr>
        <w:tc>
          <w:tcPr>
            <w:tcW w:w="7375" w:type="dxa"/>
            <w:vAlign w:val="center"/>
          </w:tcPr>
          <w:p w14:paraId="6CB2AAC0" w14:textId="77777777" w:rsidR="00C75EC4" w:rsidRPr="00A457DA" w:rsidRDefault="00C75EC4" w:rsidP="009014C7">
            <w:pPr>
              <w:pStyle w:val="ListParagraph"/>
              <w:numPr>
                <w:ilvl w:val="0"/>
                <w:numId w:val="12"/>
              </w:numPr>
              <w:rPr>
                <w:rFonts w:cs="Times New Roman"/>
                <w:sz w:val="24"/>
                <w:szCs w:val="24"/>
              </w:rPr>
            </w:pPr>
            <w:r>
              <w:rPr>
                <w:rFonts w:cs="Times New Roman"/>
                <w:sz w:val="24"/>
                <w:szCs w:val="24"/>
              </w:rPr>
              <w:t>The sectors of intervention are aligned with the sectors on which the EUD is working through the regional MIP and the CSO thematic line (access to basic services)</w:t>
            </w:r>
          </w:p>
        </w:tc>
        <w:tc>
          <w:tcPr>
            <w:tcW w:w="6660" w:type="dxa"/>
          </w:tcPr>
          <w:p w14:paraId="1D4D7BF7" w14:textId="2B0AB6D0" w:rsidR="00C75EC4" w:rsidRDefault="00C75EC4" w:rsidP="009014C7">
            <w:pPr>
              <w:pStyle w:val="ListParagraph"/>
              <w:numPr>
                <w:ilvl w:val="0"/>
                <w:numId w:val="12"/>
              </w:numPr>
              <w:rPr>
                <w:rFonts w:cs="Times New Roman"/>
                <w:sz w:val="24"/>
                <w:szCs w:val="24"/>
              </w:rPr>
            </w:pPr>
            <w:r>
              <w:rPr>
                <w:rFonts w:cs="Times New Roman"/>
                <w:sz w:val="24"/>
                <w:szCs w:val="24"/>
              </w:rPr>
              <w:t>UNDP thanks the EU for the comment.</w:t>
            </w:r>
          </w:p>
        </w:tc>
      </w:tr>
    </w:tbl>
    <w:p w14:paraId="70823533" w14:textId="4A083B24" w:rsidR="001567CA" w:rsidRPr="005323D5" w:rsidRDefault="00534E03" w:rsidP="00A457DA">
      <w:pPr>
        <w:spacing w:after="0" w:line="240" w:lineRule="auto"/>
        <w:jc w:val="center"/>
        <w:rPr>
          <w:rFonts w:cs="Times New Roman"/>
          <w:sz w:val="24"/>
          <w:szCs w:val="24"/>
        </w:rPr>
      </w:pPr>
      <w:r>
        <w:rPr>
          <w:rFonts w:cs="Times New Roman"/>
          <w:sz w:val="24"/>
          <w:szCs w:val="24"/>
        </w:rPr>
        <w:t>_______</w:t>
      </w:r>
    </w:p>
    <w:sectPr w:rsidR="001567CA"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5BBE" w14:textId="77777777" w:rsidR="005B2494" w:rsidRDefault="005B2494" w:rsidP="0053576A">
      <w:pPr>
        <w:spacing w:after="0" w:line="240" w:lineRule="auto"/>
      </w:pPr>
      <w:r>
        <w:separator/>
      </w:r>
    </w:p>
  </w:endnote>
  <w:endnote w:type="continuationSeparator" w:id="0">
    <w:p w14:paraId="42DD6F3A" w14:textId="77777777" w:rsidR="005B2494" w:rsidRDefault="005B2494"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47225"/>
      <w:docPartObj>
        <w:docPartGallery w:val="Page Numbers (Bottom of Page)"/>
        <w:docPartUnique/>
      </w:docPartObj>
    </w:sdtPr>
    <w:sdtEndPr>
      <w:rPr>
        <w:noProof/>
      </w:rPr>
    </w:sdtEndPr>
    <w:sdtContent>
      <w:p w14:paraId="38025EC7" w14:textId="592DF0D1" w:rsidR="005E0D1A" w:rsidRDefault="005E0D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C712" w14:textId="77777777" w:rsidR="005B2494" w:rsidRDefault="005B2494" w:rsidP="0053576A">
      <w:pPr>
        <w:spacing w:after="0" w:line="240" w:lineRule="auto"/>
      </w:pPr>
      <w:r>
        <w:separator/>
      </w:r>
    </w:p>
  </w:footnote>
  <w:footnote w:type="continuationSeparator" w:id="0">
    <w:p w14:paraId="6EC8B530" w14:textId="77777777" w:rsidR="005B2494" w:rsidRDefault="005B2494"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E1EFA"/>
    <w:multiLevelType w:val="hybridMultilevel"/>
    <w:tmpl w:val="15CA3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4"/>
  </w:num>
  <w:num w:numId="8">
    <w:abstractNumId w:val="0"/>
  </w:num>
  <w:num w:numId="9">
    <w:abstractNumId w:val="9"/>
  </w:num>
  <w:num w:numId="10">
    <w:abstractNumId w:val="2"/>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0NjM0sTS3MDUyNDJT0lEKTi0uzszPAykwqgUAAy7NgSwAAAA="/>
  </w:docVars>
  <w:rsids>
    <w:rsidRoot w:val="00EA056A"/>
    <w:rsid w:val="0000038F"/>
    <w:rsid w:val="0000647B"/>
    <w:rsid w:val="00007370"/>
    <w:rsid w:val="00011DB6"/>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473C1"/>
    <w:rsid w:val="00150E35"/>
    <w:rsid w:val="00151ABC"/>
    <w:rsid w:val="00152EA6"/>
    <w:rsid w:val="001563BA"/>
    <w:rsid w:val="001567CA"/>
    <w:rsid w:val="00156E03"/>
    <w:rsid w:val="0016372C"/>
    <w:rsid w:val="00164F3E"/>
    <w:rsid w:val="00166354"/>
    <w:rsid w:val="001714EE"/>
    <w:rsid w:val="00171A79"/>
    <w:rsid w:val="001723E9"/>
    <w:rsid w:val="0018100D"/>
    <w:rsid w:val="0018194D"/>
    <w:rsid w:val="001829F6"/>
    <w:rsid w:val="00184620"/>
    <w:rsid w:val="00187411"/>
    <w:rsid w:val="0019090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4E7"/>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132"/>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3221"/>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0F33"/>
    <w:rsid w:val="0051202A"/>
    <w:rsid w:val="00513875"/>
    <w:rsid w:val="00515A78"/>
    <w:rsid w:val="00515FB1"/>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1FDA"/>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2494"/>
    <w:rsid w:val="005B3994"/>
    <w:rsid w:val="005B3DD4"/>
    <w:rsid w:val="005B593B"/>
    <w:rsid w:val="005C2563"/>
    <w:rsid w:val="005D06AF"/>
    <w:rsid w:val="005D09B5"/>
    <w:rsid w:val="005D16BC"/>
    <w:rsid w:val="005D425B"/>
    <w:rsid w:val="005D7672"/>
    <w:rsid w:val="005E03FC"/>
    <w:rsid w:val="005E0D1A"/>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5A1A"/>
    <w:rsid w:val="006874E2"/>
    <w:rsid w:val="00691DAB"/>
    <w:rsid w:val="00692E79"/>
    <w:rsid w:val="006951F2"/>
    <w:rsid w:val="00695401"/>
    <w:rsid w:val="006A31E5"/>
    <w:rsid w:val="006A4609"/>
    <w:rsid w:val="006A4976"/>
    <w:rsid w:val="006A6744"/>
    <w:rsid w:val="006B06F5"/>
    <w:rsid w:val="006B17EA"/>
    <w:rsid w:val="006B22DD"/>
    <w:rsid w:val="006C1102"/>
    <w:rsid w:val="006C6EA2"/>
    <w:rsid w:val="006D1F8F"/>
    <w:rsid w:val="006D25E3"/>
    <w:rsid w:val="006D4586"/>
    <w:rsid w:val="006D5781"/>
    <w:rsid w:val="006D5B1E"/>
    <w:rsid w:val="006D5DF2"/>
    <w:rsid w:val="006E30D6"/>
    <w:rsid w:val="006F00FD"/>
    <w:rsid w:val="006F2389"/>
    <w:rsid w:val="006F3317"/>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0CE"/>
    <w:rsid w:val="00753B5D"/>
    <w:rsid w:val="007560AC"/>
    <w:rsid w:val="00756A4D"/>
    <w:rsid w:val="00757053"/>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74A37"/>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1C2"/>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D78C0"/>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A4C"/>
    <w:rsid w:val="00A04B7A"/>
    <w:rsid w:val="00A04E2E"/>
    <w:rsid w:val="00A04FD9"/>
    <w:rsid w:val="00A067A9"/>
    <w:rsid w:val="00A117E9"/>
    <w:rsid w:val="00A12A18"/>
    <w:rsid w:val="00A14EDE"/>
    <w:rsid w:val="00A160E9"/>
    <w:rsid w:val="00A2169D"/>
    <w:rsid w:val="00A22E6A"/>
    <w:rsid w:val="00A237E4"/>
    <w:rsid w:val="00A24B69"/>
    <w:rsid w:val="00A270A8"/>
    <w:rsid w:val="00A31E24"/>
    <w:rsid w:val="00A35D1B"/>
    <w:rsid w:val="00A36E4E"/>
    <w:rsid w:val="00A41C94"/>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A553D"/>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0DCD"/>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37A83"/>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968FE"/>
    <w:rsid w:val="00BA01E8"/>
    <w:rsid w:val="00BA0C7B"/>
    <w:rsid w:val="00BA3C95"/>
    <w:rsid w:val="00BB61CE"/>
    <w:rsid w:val="00BB69DB"/>
    <w:rsid w:val="00BC2970"/>
    <w:rsid w:val="00BC3252"/>
    <w:rsid w:val="00BC3381"/>
    <w:rsid w:val="00BC478F"/>
    <w:rsid w:val="00BC4CA8"/>
    <w:rsid w:val="00BC6217"/>
    <w:rsid w:val="00BD0483"/>
    <w:rsid w:val="00BD31A4"/>
    <w:rsid w:val="00BD58FA"/>
    <w:rsid w:val="00BD73D4"/>
    <w:rsid w:val="00BE0DB4"/>
    <w:rsid w:val="00BE5BED"/>
    <w:rsid w:val="00BE79CF"/>
    <w:rsid w:val="00BF15F8"/>
    <w:rsid w:val="00BF2483"/>
    <w:rsid w:val="00BF3607"/>
    <w:rsid w:val="00BF3B97"/>
    <w:rsid w:val="00BF46FB"/>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4840"/>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7085C"/>
    <w:rsid w:val="00C75EC4"/>
    <w:rsid w:val="00C84DB0"/>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2516"/>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862"/>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3066"/>
    <w:rsid w:val="00E0332F"/>
    <w:rsid w:val="00E03BC0"/>
    <w:rsid w:val="00E0433B"/>
    <w:rsid w:val="00E10A6B"/>
    <w:rsid w:val="00E10F54"/>
    <w:rsid w:val="00E14545"/>
    <w:rsid w:val="00E14B5C"/>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6BA8"/>
    <w:rsid w:val="00F6752E"/>
    <w:rsid w:val="00F72E1B"/>
    <w:rsid w:val="00F74435"/>
    <w:rsid w:val="00F8239A"/>
    <w:rsid w:val="00F82EC2"/>
    <w:rsid w:val="00F8428C"/>
    <w:rsid w:val="00F84E91"/>
    <w:rsid w:val="00F8614C"/>
    <w:rsid w:val="00F87889"/>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7530CE"/>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4.xml><?xml version="1.0" encoding="utf-8"?>
<ds:datastoreItem xmlns:ds="http://schemas.openxmlformats.org/officeDocument/2006/customXml" ds:itemID="{1D6F631D-ECDF-4719-8E02-9E0B1328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5552</Characters>
  <Application>Microsoft Office Word</Application>
  <DocSecurity>4</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2019-10-23T14:31:00Z</cp:lastPrinted>
  <dcterms:created xsi:type="dcterms:W3CDTF">2022-12-04T22:33:00Z</dcterms:created>
  <dcterms:modified xsi:type="dcterms:W3CDTF">2022-12-04T22:33:00Z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