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9684F" w14:textId="77777777" w:rsidR="00461411" w:rsidRPr="00E01BBE" w:rsidRDefault="00461411" w:rsidP="00461411">
      <w:pPr>
        <w:tabs>
          <w:tab w:val="left" w:pos="8789"/>
        </w:tabs>
        <w:spacing w:before="60"/>
        <w:ind w:right="288"/>
        <w:rPr>
          <w:b/>
          <w:color w:val="000000"/>
        </w:rPr>
      </w:pPr>
      <w:r>
        <w:rPr>
          <w:b/>
          <w:color w:val="000000"/>
        </w:rPr>
        <w:t>Second</w:t>
      </w:r>
      <w:r w:rsidRPr="00E01BBE">
        <w:rPr>
          <w:b/>
          <w:color w:val="000000"/>
        </w:rPr>
        <w:t xml:space="preserve"> regular session 2022</w:t>
      </w:r>
    </w:p>
    <w:p w14:paraId="3C138055" w14:textId="6DF14B43" w:rsidR="00461411" w:rsidRPr="00E01BBE" w:rsidRDefault="00B1561B" w:rsidP="0046141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Pr>
          <w:color w:val="000000"/>
          <w:lang w:val="en-GB"/>
        </w:rPr>
        <w:t xml:space="preserve">29 August to </w:t>
      </w:r>
      <w:r w:rsidR="00145CB0">
        <w:rPr>
          <w:color w:val="000000"/>
          <w:lang w:val="en-GB"/>
        </w:rPr>
        <w:t>1</w:t>
      </w:r>
      <w:r>
        <w:rPr>
          <w:color w:val="000000"/>
          <w:lang w:val="en-GB"/>
        </w:rPr>
        <w:t xml:space="preserve"> </w:t>
      </w:r>
      <w:r w:rsidR="00461411">
        <w:rPr>
          <w:color w:val="000000"/>
        </w:rPr>
        <w:t xml:space="preserve">September </w:t>
      </w:r>
      <w:r w:rsidR="00461411" w:rsidRPr="00E01BBE">
        <w:rPr>
          <w:color w:val="000000"/>
        </w:rPr>
        <w:t>2022, New York</w:t>
      </w:r>
    </w:p>
    <w:p w14:paraId="532F0A5B" w14:textId="1A5E8B18" w:rsidR="00461411" w:rsidRPr="00E01BBE" w:rsidRDefault="00461411" w:rsidP="0046141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E01BBE">
        <w:rPr>
          <w:color w:val="000000"/>
        </w:rPr>
        <w:t xml:space="preserve">Item </w:t>
      </w:r>
      <w:r w:rsidR="00145CB0">
        <w:rPr>
          <w:color w:val="000000"/>
        </w:rPr>
        <w:t>3</w:t>
      </w:r>
      <w:r w:rsidRPr="00E01BBE">
        <w:rPr>
          <w:color w:val="000000"/>
        </w:rPr>
        <w:t xml:space="preserve"> of the provisional agenda</w:t>
      </w:r>
    </w:p>
    <w:p w14:paraId="4EAD17DB" w14:textId="77777777" w:rsidR="00461411" w:rsidRPr="00E01BBE" w:rsidRDefault="00461411" w:rsidP="00461411">
      <w:pPr>
        <w:ind w:right="1260"/>
        <w:rPr>
          <w:b/>
          <w:color w:val="000000"/>
        </w:rPr>
      </w:pPr>
      <w:r w:rsidRPr="00E01BBE">
        <w:rPr>
          <w:b/>
          <w:color w:val="000000"/>
        </w:rPr>
        <w:t>Country programmes and related matters</w:t>
      </w:r>
    </w:p>
    <w:p w14:paraId="6178FB62" w14:textId="77777777" w:rsidR="00461411" w:rsidRPr="00E01BBE" w:rsidRDefault="00461411" w:rsidP="00461411">
      <w:pPr>
        <w:jc w:val="both"/>
        <w:rPr>
          <w:b/>
        </w:rPr>
      </w:pPr>
    </w:p>
    <w:p w14:paraId="7950BBBC" w14:textId="77777777" w:rsidR="00461411" w:rsidRPr="00E01BBE" w:rsidRDefault="00461411" w:rsidP="00461411">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rPr>
      </w:pPr>
    </w:p>
    <w:p w14:paraId="293F1309" w14:textId="05B24542" w:rsidR="00461411" w:rsidRDefault="00461411"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jc w:val="center"/>
        <w:outlineLvl w:val="0"/>
        <w:rPr>
          <w:color w:val="000000"/>
          <w:kern w:val="14"/>
          <w:sz w:val="28"/>
          <w:lang w:eastAsia="fr-FR"/>
        </w:rPr>
      </w:pPr>
      <w:r w:rsidRPr="00E01BBE">
        <w:rPr>
          <w:b/>
          <w:sz w:val="28"/>
          <w:szCs w:val="28"/>
        </w:rPr>
        <w:t xml:space="preserve">Draft country programme document for </w:t>
      </w:r>
      <w:r>
        <w:rPr>
          <w:b/>
          <w:sz w:val="28"/>
          <w:szCs w:val="28"/>
        </w:rPr>
        <w:t>Ghana</w:t>
      </w:r>
      <w:r w:rsidRPr="00E01BBE">
        <w:rPr>
          <w:b/>
          <w:sz w:val="28"/>
          <w:szCs w:val="28"/>
        </w:rPr>
        <w:t xml:space="preserve"> (202</w:t>
      </w:r>
      <w:r>
        <w:rPr>
          <w:b/>
          <w:sz w:val="28"/>
          <w:szCs w:val="28"/>
        </w:rPr>
        <w:t>3</w:t>
      </w:r>
      <w:r w:rsidRPr="00E01BBE">
        <w:rPr>
          <w:b/>
          <w:sz w:val="28"/>
          <w:szCs w:val="28"/>
        </w:rPr>
        <w:t>-202</w:t>
      </w:r>
      <w:r>
        <w:rPr>
          <w:b/>
          <w:sz w:val="28"/>
          <w:szCs w:val="28"/>
        </w:rPr>
        <w:t>7</w:t>
      </w:r>
      <w:r w:rsidRPr="00E01BBE">
        <w:rPr>
          <w:b/>
          <w:sz w:val="28"/>
          <w:szCs w:val="28"/>
        </w:rPr>
        <w:t>)</w:t>
      </w:r>
      <w:r w:rsidRPr="00E01BBE">
        <w:rPr>
          <w:b/>
          <w:sz w:val="28"/>
          <w:szCs w:val="28"/>
        </w:rPr>
        <w:br/>
      </w:r>
    </w:p>
    <w:p w14:paraId="73C9FDEF" w14:textId="77777777" w:rsidR="00461411" w:rsidRPr="007C36D9" w:rsidRDefault="00461411"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720" w:right="328"/>
        <w:outlineLvl w:val="0"/>
        <w:rPr>
          <w:color w:val="000000"/>
          <w:kern w:val="14"/>
          <w:sz w:val="28"/>
          <w:lang w:eastAsia="fr-FR"/>
        </w:rPr>
      </w:pPr>
    </w:p>
    <w:p w14:paraId="271FA679" w14:textId="77777777" w:rsidR="00461411" w:rsidRPr="007C36D9" w:rsidRDefault="00461411"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eastAsia="fr-FR"/>
        </w:rPr>
      </w:pPr>
      <w:r w:rsidRPr="007C36D9">
        <w:rPr>
          <w:color w:val="000000"/>
          <w:kern w:val="14"/>
          <w:sz w:val="28"/>
          <w:lang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461411" w:rsidRPr="007C36D9" w14:paraId="06110C97" w14:textId="77777777" w:rsidTr="00B9471B">
        <w:tc>
          <w:tcPr>
            <w:tcW w:w="1260" w:type="dxa"/>
            <w:shd w:val="clear" w:color="auto" w:fill="auto"/>
          </w:tcPr>
          <w:p w14:paraId="0442321F" w14:textId="77777777" w:rsidR="00461411" w:rsidRPr="007C36D9" w:rsidRDefault="00461411" w:rsidP="00B9471B">
            <w:pPr>
              <w:tabs>
                <w:tab w:val="left" w:pos="1620"/>
              </w:tabs>
              <w:suppressAutoHyphens/>
              <w:spacing w:after="120"/>
              <w:jc w:val="right"/>
              <w:rPr>
                <w:i/>
                <w:color w:val="000000"/>
                <w:spacing w:val="4"/>
                <w:w w:val="103"/>
                <w:kern w:val="14"/>
                <w:sz w:val="14"/>
                <w:lang w:eastAsia="fr-FR"/>
              </w:rPr>
            </w:pPr>
            <w:r w:rsidRPr="007C36D9">
              <w:rPr>
                <w:i/>
                <w:color w:val="000000"/>
                <w:spacing w:val="4"/>
                <w:w w:val="103"/>
                <w:kern w:val="14"/>
                <w:sz w:val="14"/>
                <w:lang w:eastAsia="fr-FR"/>
              </w:rPr>
              <w:t>Chapter</w:t>
            </w:r>
          </w:p>
        </w:tc>
        <w:tc>
          <w:tcPr>
            <w:tcW w:w="8280" w:type="dxa"/>
            <w:gridSpan w:val="2"/>
            <w:shd w:val="clear" w:color="auto" w:fill="auto"/>
          </w:tcPr>
          <w:p w14:paraId="7A8991A5" w14:textId="77777777" w:rsidR="00461411" w:rsidRPr="007C36D9" w:rsidRDefault="00461411" w:rsidP="00B9471B">
            <w:pPr>
              <w:tabs>
                <w:tab w:val="left" w:pos="1620"/>
              </w:tabs>
              <w:suppressAutoHyphens/>
              <w:spacing w:after="120"/>
              <w:rPr>
                <w:i/>
                <w:color w:val="000000"/>
                <w:spacing w:val="4"/>
                <w:w w:val="103"/>
                <w:kern w:val="14"/>
                <w:sz w:val="14"/>
                <w:lang w:eastAsia="fr-FR"/>
              </w:rPr>
            </w:pPr>
          </w:p>
        </w:tc>
        <w:tc>
          <w:tcPr>
            <w:tcW w:w="362" w:type="dxa"/>
            <w:shd w:val="clear" w:color="auto" w:fill="auto"/>
          </w:tcPr>
          <w:p w14:paraId="0AA5649A" w14:textId="77777777" w:rsidR="00461411" w:rsidRPr="007C36D9" w:rsidRDefault="00461411" w:rsidP="00B9471B">
            <w:pPr>
              <w:tabs>
                <w:tab w:val="left" w:pos="1620"/>
              </w:tabs>
              <w:suppressAutoHyphens/>
              <w:spacing w:after="120"/>
              <w:jc w:val="right"/>
              <w:rPr>
                <w:i/>
                <w:color w:val="000000"/>
                <w:spacing w:val="4"/>
                <w:w w:val="103"/>
                <w:kern w:val="14"/>
                <w:sz w:val="14"/>
                <w:lang w:eastAsia="fr-FR"/>
              </w:rPr>
            </w:pPr>
            <w:r w:rsidRPr="007C36D9">
              <w:rPr>
                <w:i/>
                <w:iCs/>
                <w:color w:val="000000"/>
                <w:kern w:val="14"/>
                <w:sz w:val="14"/>
                <w:lang w:eastAsia="fr-FR"/>
              </w:rPr>
              <w:t>Page</w:t>
            </w:r>
          </w:p>
        </w:tc>
      </w:tr>
      <w:tr w:rsidR="00461411" w:rsidRPr="007C36D9" w14:paraId="196D92D0" w14:textId="77777777" w:rsidTr="00B9471B">
        <w:tc>
          <w:tcPr>
            <w:tcW w:w="9540" w:type="dxa"/>
            <w:gridSpan w:val="3"/>
            <w:shd w:val="clear" w:color="auto" w:fill="auto"/>
          </w:tcPr>
          <w:p w14:paraId="571CA983" w14:textId="77777777" w:rsidR="00461411" w:rsidRPr="007C36D9" w:rsidRDefault="00461411" w:rsidP="00461411">
            <w:pPr>
              <w:numPr>
                <w:ilvl w:val="0"/>
                <w:numId w:val="56"/>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eastAsia="fr-FR"/>
              </w:rPr>
            </w:pPr>
            <w:r w:rsidRPr="007C36D9">
              <w:rPr>
                <w:color w:val="000000"/>
                <w:kern w:val="14"/>
                <w:lang w:eastAsia="fr-FR"/>
              </w:rPr>
              <w:tab/>
              <w:t xml:space="preserve">UNDP within the </w:t>
            </w:r>
            <w:bookmarkStart w:id="0" w:name="_Hlk102471570"/>
            <w:r w:rsidRPr="007C36D9">
              <w:rPr>
                <w:color w:val="000000"/>
                <w:kern w:val="14"/>
                <w:lang w:eastAsia="fr-FR"/>
              </w:rPr>
              <w:t>United Nations Sustainable Development Cooperation Framework</w:t>
            </w:r>
            <w:bookmarkEnd w:id="0"/>
            <w:r w:rsidRPr="007C36D9">
              <w:rPr>
                <w:color w:val="000000"/>
                <w:sz w:val="24"/>
                <w:szCs w:val="24"/>
                <w:lang w:eastAsia="fr-FR"/>
              </w:rPr>
              <w:tab/>
            </w:r>
          </w:p>
        </w:tc>
        <w:tc>
          <w:tcPr>
            <w:tcW w:w="362" w:type="dxa"/>
            <w:vMerge w:val="restart"/>
            <w:shd w:val="clear" w:color="auto" w:fill="auto"/>
            <w:vAlign w:val="bottom"/>
          </w:tcPr>
          <w:p w14:paraId="019FEA53" w14:textId="77777777" w:rsidR="00461411" w:rsidRPr="007C36D9" w:rsidRDefault="00461411" w:rsidP="00B9471B">
            <w:pPr>
              <w:tabs>
                <w:tab w:val="left" w:pos="1620"/>
              </w:tabs>
              <w:suppressAutoHyphens/>
              <w:spacing w:after="120" w:line="240" w:lineRule="exact"/>
              <w:jc w:val="right"/>
              <w:rPr>
                <w:color w:val="000000"/>
                <w:spacing w:val="4"/>
                <w:w w:val="103"/>
                <w:kern w:val="14"/>
                <w:lang w:eastAsia="fr-FR"/>
              </w:rPr>
            </w:pPr>
            <w:r w:rsidRPr="007C36D9">
              <w:rPr>
                <w:color w:val="000000"/>
                <w:kern w:val="14"/>
                <w:lang w:eastAsia="fr-FR"/>
              </w:rPr>
              <w:t>2</w:t>
            </w:r>
          </w:p>
          <w:p w14:paraId="6EED1C8F" w14:textId="2FC484DF" w:rsidR="00461411" w:rsidRPr="007C36D9" w:rsidRDefault="00187BA9" w:rsidP="00B9471B">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3</w:t>
            </w:r>
          </w:p>
        </w:tc>
      </w:tr>
      <w:tr w:rsidR="00461411" w:rsidRPr="007C36D9" w14:paraId="59501F8B" w14:textId="77777777" w:rsidTr="00B9471B">
        <w:tc>
          <w:tcPr>
            <w:tcW w:w="9540" w:type="dxa"/>
            <w:gridSpan w:val="3"/>
            <w:shd w:val="clear" w:color="auto" w:fill="auto"/>
          </w:tcPr>
          <w:p w14:paraId="1BA5F421" w14:textId="77777777" w:rsidR="00461411" w:rsidRPr="007C36D9" w:rsidRDefault="00461411" w:rsidP="00461411">
            <w:pPr>
              <w:numPr>
                <w:ilvl w:val="0"/>
                <w:numId w:val="56"/>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eastAsia="fr-FR"/>
              </w:rPr>
            </w:pPr>
            <w:r w:rsidRPr="007C36D9">
              <w:rPr>
                <w:color w:val="000000"/>
                <w:kern w:val="14"/>
                <w:lang w:eastAsia="fr-FR"/>
              </w:rPr>
              <w:tab/>
              <w:t>Programme priorities and partnerships</w:t>
            </w:r>
            <w:r w:rsidRPr="007C36D9">
              <w:rPr>
                <w:color w:val="000000"/>
                <w:lang w:eastAsia="fr-FR"/>
              </w:rPr>
              <w:t>………………………………………………….</w:t>
            </w:r>
            <w:r w:rsidRPr="007C36D9">
              <w:rPr>
                <w:color w:val="000000"/>
                <w:lang w:eastAsia="fr-FR"/>
              </w:rPr>
              <w:tab/>
              <w:t>……….…</w:t>
            </w:r>
          </w:p>
        </w:tc>
        <w:tc>
          <w:tcPr>
            <w:tcW w:w="362" w:type="dxa"/>
            <w:vMerge/>
            <w:shd w:val="clear" w:color="auto" w:fill="auto"/>
            <w:vAlign w:val="bottom"/>
          </w:tcPr>
          <w:p w14:paraId="4893632A" w14:textId="77777777" w:rsidR="00461411" w:rsidRPr="007C36D9" w:rsidRDefault="00461411" w:rsidP="00B9471B">
            <w:pPr>
              <w:tabs>
                <w:tab w:val="left" w:pos="1620"/>
              </w:tabs>
              <w:suppressAutoHyphens/>
              <w:spacing w:after="120" w:line="240" w:lineRule="exact"/>
              <w:jc w:val="right"/>
              <w:rPr>
                <w:color w:val="000000"/>
                <w:spacing w:val="4"/>
                <w:w w:val="103"/>
                <w:kern w:val="14"/>
                <w:lang w:eastAsia="fr-FR"/>
              </w:rPr>
            </w:pPr>
          </w:p>
        </w:tc>
      </w:tr>
      <w:tr w:rsidR="00461411" w:rsidRPr="007C36D9" w14:paraId="5E92E0F3" w14:textId="77777777" w:rsidTr="00B9471B">
        <w:tc>
          <w:tcPr>
            <w:tcW w:w="9540" w:type="dxa"/>
            <w:gridSpan w:val="3"/>
            <w:shd w:val="clear" w:color="auto" w:fill="auto"/>
          </w:tcPr>
          <w:p w14:paraId="71D6F6CD" w14:textId="77777777" w:rsidR="00461411" w:rsidRPr="007C36D9" w:rsidRDefault="00461411" w:rsidP="00461411">
            <w:pPr>
              <w:numPr>
                <w:ilvl w:val="0"/>
                <w:numId w:val="56"/>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eastAsia="fr-FR"/>
              </w:rPr>
            </w:pPr>
            <w:r w:rsidRPr="007C36D9">
              <w:rPr>
                <w:color w:val="000000"/>
                <w:kern w:val="14"/>
                <w:lang w:eastAsia="fr-FR"/>
              </w:rPr>
              <w:tab/>
              <w:t xml:space="preserve">Programme and risk management </w:t>
            </w:r>
            <w:r w:rsidRPr="007C36D9">
              <w:rPr>
                <w:color w:val="000000"/>
                <w:lang w:eastAsia="fr-FR"/>
              </w:rPr>
              <w:t>……………………………………………….…………………</w:t>
            </w:r>
          </w:p>
        </w:tc>
        <w:tc>
          <w:tcPr>
            <w:tcW w:w="362" w:type="dxa"/>
            <w:vMerge w:val="restart"/>
            <w:shd w:val="clear" w:color="auto" w:fill="auto"/>
            <w:vAlign w:val="bottom"/>
          </w:tcPr>
          <w:p w14:paraId="5EC71879" w14:textId="6B413B76" w:rsidR="00461411" w:rsidRPr="007C36D9" w:rsidRDefault="00187BA9" w:rsidP="00B9471B">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7</w:t>
            </w:r>
          </w:p>
          <w:p w14:paraId="1702B97E" w14:textId="5599115E" w:rsidR="00461411" w:rsidRPr="007C36D9" w:rsidRDefault="00187BA9" w:rsidP="00B9471B">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7</w:t>
            </w:r>
          </w:p>
        </w:tc>
      </w:tr>
      <w:tr w:rsidR="00461411" w:rsidRPr="007C36D9" w14:paraId="77201C49" w14:textId="77777777" w:rsidTr="00B9471B">
        <w:tc>
          <w:tcPr>
            <w:tcW w:w="9540" w:type="dxa"/>
            <w:gridSpan w:val="3"/>
            <w:shd w:val="clear" w:color="auto" w:fill="auto"/>
          </w:tcPr>
          <w:p w14:paraId="43CCC3BC" w14:textId="77777777" w:rsidR="00461411" w:rsidRPr="007C36D9" w:rsidRDefault="00461411" w:rsidP="00461411">
            <w:pPr>
              <w:numPr>
                <w:ilvl w:val="0"/>
                <w:numId w:val="56"/>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eastAsia="fr-FR"/>
              </w:rPr>
            </w:pPr>
            <w:r w:rsidRPr="007C36D9">
              <w:rPr>
                <w:color w:val="000000"/>
                <w:kern w:val="14"/>
                <w:lang w:eastAsia="fr-FR"/>
              </w:rPr>
              <w:tab/>
              <w:t>Monitoring and evaluation</w:t>
            </w:r>
            <w:r w:rsidRPr="007C36D9">
              <w:rPr>
                <w:color w:val="000000"/>
                <w:sz w:val="24"/>
                <w:szCs w:val="24"/>
                <w:lang w:eastAsia="fr-FR"/>
              </w:rPr>
              <w:tab/>
            </w:r>
            <w:r w:rsidRPr="007C36D9">
              <w:rPr>
                <w:color w:val="000000"/>
                <w:lang w:eastAsia="fr-FR"/>
              </w:rPr>
              <w:t>…………………………………………………….……………………</w:t>
            </w:r>
          </w:p>
        </w:tc>
        <w:tc>
          <w:tcPr>
            <w:tcW w:w="362" w:type="dxa"/>
            <w:vMerge/>
            <w:shd w:val="clear" w:color="auto" w:fill="auto"/>
            <w:vAlign w:val="bottom"/>
          </w:tcPr>
          <w:p w14:paraId="217DEDFF" w14:textId="77777777" w:rsidR="00461411" w:rsidRPr="007C36D9" w:rsidRDefault="00461411" w:rsidP="00B9471B">
            <w:pPr>
              <w:tabs>
                <w:tab w:val="left" w:pos="1620"/>
              </w:tabs>
              <w:suppressAutoHyphens/>
              <w:spacing w:after="120" w:line="240" w:lineRule="exact"/>
              <w:jc w:val="right"/>
              <w:rPr>
                <w:color w:val="000000"/>
                <w:spacing w:val="4"/>
                <w:w w:val="103"/>
                <w:kern w:val="14"/>
                <w:lang w:eastAsia="fr-FR"/>
              </w:rPr>
            </w:pPr>
          </w:p>
        </w:tc>
      </w:tr>
      <w:tr w:rsidR="00461411" w:rsidRPr="007C36D9" w14:paraId="6D51F709" w14:textId="77777777" w:rsidTr="00B9471B">
        <w:tc>
          <w:tcPr>
            <w:tcW w:w="9369" w:type="dxa"/>
            <w:gridSpan w:val="2"/>
            <w:shd w:val="clear" w:color="auto" w:fill="auto"/>
          </w:tcPr>
          <w:p w14:paraId="25EA15C1" w14:textId="77777777" w:rsidR="00461411" w:rsidRPr="007C36D9" w:rsidRDefault="00461411" w:rsidP="00B9471B">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eastAsia="fr-FR"/>
              </w:rPr>
            </w:pPr>
            <w:r w:rsidRPr="007C36D9">
              <w:rPr>
                <w:color w:val="000000"/>
                <w:kern w:val="14"/>
                <w:lang w:eastAsia="fr-FR"/>
              </w:rPr>
              <w:t>Annex</w:t>
            </w:r>
          </w:p>
        </w:tc>
        <w:tc>
          <w:tcPr>
            <w:tcW w:w="533" w:type="dxa"/>
            <w:gridSpan w:val="2"/>
            <w:shd w:val="clear" w:color="auto" w:fill="auto"/>
            <w:vAlign w:val="bottom"/>
          </w:tcPr>
          <w:p w14:paraId="2051630F" w14:textId="77777777" w:rsidR="00461411" w:rsidRPr="007C36D9" w:rsidRDefault="00461411" w:rsidP="00B9471B">
            <w:pPr>
              <w:tabs>
                <w:tab w:val="left" w:pos="1620"/>
              </w:tabs>
              <w:suppressAutoHyphens/>
              <w:spacing w:after="120" w:line="240" w:lineRule="exact"/>
              <w:jc w:val="right"/>
              <w:rPr>
                <w:color w:val="000000"/>
                <w:spacing w:val="4"/>
                <w:w w:val="103"/>
                <w:kern w:val="14"/>
                <w:lang w:eastAsia="fr-FR"/>
              </w:rPr>
            </w:pPr>
          </w:p>
        </w:tc>
      </w:tr>
      <w:tr w:rsidR="00461411" w:rsidRPr="007C36D9" w14:paraId="230CA8A9" w14:textId="77777777" w:rsidTr="00B9471B">
        <w:tc>
          <w:tcPr>
            <w:tcW w:w="9369" w:type="dxa"/>
            <w:gridSpan w:val="2"/>
            <w:shd w:val="clear" w:color="auto" w:fill="auto"/>
          </w:tcPr>
          <w:p w14:paraId="7C7F0422" w14:textId="70157A44" w:rsidR="00461411" w:rsidRPr="007C36D9" w:rsidRDefault="00461411" w:rsidP="00B9471B">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spacing w:val="60"/>
                <w:w w:val="103"/>
                <w:kern w:val="14"/>
                <w:sz w:val="17"/>
                <w:lang w:eastAsia="fr-FR"/>
              </w:rPr>
            </w:pPr>
            <w:r w:rsidRPr="007C36D9">
              <w:rPr>
                <w:color w:val="000000"/>
                <w:kern w:val="14"/>
                <w:lang w:eastAsia="fr-FR"/>
              </w:rPr>
              <w:t xml:space="preserve">Results and resources framework for </w:t>
            </w:r>
            <w:r w:rsidR="00597CD2">
              <w:rPr>
                <w:color w:val="000000"/>
                <w:kern w:val="14"/>
                <w:lang w:eastAsia="fr-FR"/>
              </w:rPr>
              <w:t>Ghana</w:t>
            </w:r>
            <w:r>
              <w:rPr>
                <w:color w:val="000000"/>
                <w:kern w:val="14"/>
                <w:lang w:eastAsia="fr-FR"/>
              </w:rPr>
              <w:t xml:space="preserve"> (2</w:t>
            </w:r>
            <w:r w:rsidRPr="007C36D9">
              <w:rPr>
                <w:color w:val="000000"/>
                <w:kern w:val="14"/>
                <w:lang w:eastAsia="fr-FR"/>
              </w:rPr>
              <w:t>02</w:t>
            </w:r>
            <w:r>
              <w:rPr>
                <w:color w:val="000000"/>
                <w:kern w:val="14"/>
                <w:lang w:eastAsia="fr-FR"/>
              </w:rPr>
              <w:t>3</w:t>
            </w:r>
            <w:r w:rsidRPr="007C36D9">
              <w:rPr>
                <w:color w:val="000000"/>
                <w:kern w:val="14"/>
                <w:lang w:eastAsia="fr-FR"/>
              </w:rPr>
              <w:t>-2027)</w:t>
            </w:r>
            <w:r w:rsidRPr="007C36D9">
              <w:rPr>
                <w:color w:val="000000"/>
                <w:sz w:val="24"/>
                <w:szCs w:val="24"/>
                <w:lang w:eastAsia="fr-FR"/>
              </w:rPr>
              <w:tab/>
            </w:r>
          </w:p>
        </w:tc>
        <w:tc>
          <w:tcPr>
            <w:tcW w:w="533" w:type="dxa"/>
            <w:gridSpan w:val="2"/>
            <w:shd w:val="clear" w:color="auto" w:fill="auto"/>
            <w:vAlign w:val="bottom"/>
          </w:tcPr>
          <w:p w14:paraId="2FCE93E6" w14:textId="0C62C390" w:rsidR="00461411" w:rsidRPr="007C36D9" w:rsidRDefault="00187BA9" w:rsidP="00B9471B">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9</w:t>
            </w:r>
          </w:p>
        </w:tc>
      </w:tr>
    </w:tbl>
    <w:p w14:paraId="2440D3D7" w14:textId="4044CC0E" w:rsidR="00A918A7" w:rsidRPr="004F3B24" w:rsidRDefault="00785474" w:rsidP="00015875">
      <w:pPr>
        <w:pStyle w:val="Heading2"/>
        <w:numPr>
          <w:ilvl w:val="0"/>
          <w:numId w:val="55"/>
        </w:numPr>
        <w:tabs>
          <w:tab w:val="left" w:pos="1260"/>
        </w:tabs>
        <w:spacing w:after="200" w:line="240" w:lineRule="exact"/>
        <w:ind w:left="900" w:right="720" w:hanging="360"/>
        <w:jc w:val="both"/>
        <w:rPr>
          <w:rFonts w:ascii="Times New Roman" w:hAnsi="Times New Roman"/>
          <w:b w:val="0"/>
          <w:sz w:val="20"/>
        </w:rPr>
      </w:pPr>
      <w:r w:rsidRPr="003C26C1">
        <w:br w:type="page"/>
      </w:r>
      <w:r w:rsidR="007C2934" w:rsidRPr="009F5BF2">
        <w:rPr>
          <w:rFonts w:ascii="Times New Roman" w:hAnsi="Times New Roman"/>
          <w:bCs/>
          <w:color w:val="000000"/>
          <w:sz w:val="24"/>
          <w:szCs w:val="24"/>
        </w:rPr>
        <w:lastRenderedPageBreak/>
        <w:t>UNDP</w:t>
      </w:r>
      <w:r w:rsidR="0072070F" w:rsidRPr="009F5BF2">
        <w:rPr>
          <w:rFonts w:ascii="Times New Roman" w:hAnsi="Times New Roman"/>
          <w:bCs/>
          <w:color w:val="000000"/>
          <w:sz w:val="24"/>
          <w:szCs w:val="24"/>
        </w:rPr>
        <w:t xml:space="preserve"> within</w:t>
      </w:r>
      <w:r w:rsidR="007C2934" w:rsidRPr="009F5BF2">
        <w:rPr>
          <w:rFonts w:ascii="Times New Roman" w:hAnsi="Times New Roman"/>
          <w:bCs/>
          <w:color w:val="000000"/>
          <w:sz w:val="24"/>
          <w:szCs w:val="24"/>
        </w:rPr>
        <w:t xml:space="preserve"> the </w:t>
      </w:r>
      <w:r w:rsidR="00015875" w:rsidRPr="00015875">
        <w:rPr>
          <w:rFonts w:ascii="Times New Roman" w:hAnsi="Times New Roman"/>
          <w:bCs/>
          <w:color w:val="000000"/>
          <w:sz w:val="24"/>
          <w:szCs w:val="24"/>
        </w:rPr>
        <w:t>United Nations Sustainable Development Cooperation Framework</w:t>
      </w:r>
      <w:r w:rsidR="00D67C3D">
        <w:rPr>
          <w:rFonts w:ascii="Times New Roman" w:hAnsi="Times New Roman"/>
          <w:bCs/>
          <w:color w:val="000000"/>
          <w:sz w:val="24"/>
          <w:szCs w:val="24"/>
        </w:rPr>
        <w:t xml:space="preserve"> (UNSDCF)</w:t>
      </w:r>
    </w:p>
    <w:p w14:paraId="1CFAB012" w14:textId="77B6727D" w:rsidR="00D53D9D" w:rsidRPr="004F3B24" w:rsidRDefault="00977B11" w:rsidP="00103EA9">
      <w:pPr>
        <w:pStyle w:val="xmsonormal"/>
        <w:numPr>
          <w:ilvl w:val="0"/>
          <w:numId w:val="50"/>
        </w:numPr>
        <w:shd w:val="clear" w:color="auto" w:fill="FFFFFF"/>
        <w:tabs>
          <w:tab w:val="left" w:pos="1260"/>
        </w:tabs>
        <w:spacing w:before="0" w:beforeAutospacing="0" w:after="120" w:afterAutospacing="0" w:line="240" w:lineRule="exact"/>
        <w:ind w:left="900" w:right="720" w:firstLine="0"/>
        <w:jc w:val="both"/>
        <w:rPr>
          <w:sz w:val="20"/>
          <w:szCs w:val="20"/>
          <w:lang w:val="en-US" w:eastAsia="en-US"/>
        </w:rPr>
      </w:pPr>
      <w:bookmarkStart w:id="1" w:name="_Hlk102056365"/>
      <w:r w:rsidRPr="004F3B24">
        <w:rPr>
          <w:sz w:val="20"/>
          <w:szCs w:val="20"/>
          <w:lang w:val="en-US" w:eastAsia="en-US"/>
        </w:rPr>
        <w:t xml:space="preserve">Ghana is a lower-middle income country with a population </w:t>
      </w:r>
      <w:r w:rsidR="00B1561B">
        <w:rPr>
          <w:sz w:val="20"/>
          <w:szCs w:val="20"/>
          <w:lang w:val="en-US" w:eastAsia="en-US"/>
        </w:rPr>
        <w:t>estimate of</w:t>
      </w:r>
      <w:r w:rsidRPr="004F3B24">
        <w:rPr>
          <w:sz w:val="20"/>
          <w:szCs w:val="20"/>
          <w:lang w:val="en-US" w:eastAsia="en-US"/>
        </w:rPr>
        <w:t xml:space="preserve"> 30.8 million people in 2021, </w:t>
      </w:r>
      <w:r w:rsidR="00B1561B">
        <w:rPr>
          <w:sz w:val="20"/>
          <w:szCs w:val="20"/>
          <w:lang w:val="en-US" w:eastAsia="en-US"/>
        </w:rPr>
        <w:t xml:space="preserve">which is </w:t>
      </w:r>
      <w:r w:rsidRPr="004F3B24">
        <w:rPr>
          <w:sz w:val="20"/>
          <w:szCs w:val="20"/>
          <w:lang w:val="en-US" w:eastAsia="en-US"/>
        </w:rPr>
        <w:t>a five-fold increase since independence</w:t>
      </w:r>
      <w:r w:rsidR="00B1561B">
        <w:rPr>
          <w:sz w:val="20"/>
          <w:szCs w:val="20"/>
          <w:lang w:val="en-US" w:eastAsia="en-US"/>
        </w:rPr>
        <w:t xml:space="preserve"> in </w:t>
      </w:r>
      <w:r w:rsidR="00395B84">
        <w:rPr>
          <w:sz w:val="20"/>
          <w:szCs w:val="20"/>
          <w:lang w:val="en-US" w:eastAsia="en-US"/>
        </w:rPr>
        <w:t>1957</w:t>
      </w:r>
      <w:r w:rsidRPr="004F3B24">
        <w:rPr>
          <w:sz w:val="20"/>
          <w:szCs w:val="20"/>
          <w:lang w:val="en-US" w:eastAsia="en-US"/>
        </w:rPr>
        <w:t>, with females (50.7</w:t>
      </w:r>
      <w:r w:rsidR="00080805">
        <w:rPr>
          <w:sz w:val="20"/>
          <w:szCs w:val="20"/>
          <w:lang w:val="en-US" w:eastAsia="en-US"/>
        </w:rPr>
        <w:t xml:space="preserve"> per</w:t>
      </w:r>
      <w:r w:rsidR="00B1561B">
        <w:rPr>
          <w:sz w:val="20"/>
          <w:szCs w:val="20"/>
          <w:lang w:val="en-US" w:eastAsia="en-US"/>
        </w:rPr>
        <w:t xml:space="preserve"> </w:t>
      </w:r>
      <w:r w:rsidR="00080805">
        <w:rPr>
          <w:sz w:val="20"/>
          <w:szCs w:val="20"/>
          <w:lang w:val="en-US" w:eastAsia="en-US"/>
        </w:rPr>
        <w:t>cent</w:t>
      </w:r>
      <w:r w:rsidRPr="004F3B24">
        <w:rPr>
          <w:sz w:val="20"/>
          <w:szCs w:val="20"/>
          <w:lang w:val="en-US" w:eastAsia="en-US"/>
        </w:rPr>
        <w:t>) outnumbering males (49.3</w:t>
      </w:r>
      <w:r w:rsidR="00080805">
        <w:rPr>
          <w:sz w:val="20"/>
          <w:szCs w:val="20"/>
          <w:lang w:val="en-US" w:eastAsia="en-US"/>
        </w:rPr>
        <w:t xml:space="preserve"> per</w:t>
      </w:r>
      <w:r w:rsidR="00B1561B">
        <w:rPr>
          <w:sz w:val="20"/>
          <w:szCs w:val="20"/>
          <w:lang w:val="en-US" w:eastAsia="en-US"/>
        </w:rPr>
        <w:t xml:space="preserve"> </w:t>
      </w:r>
      <w:r w:rsidR="00080805">
        <w:rPr>
          <w:sz w:val="20"/>
          <w:szCs w:val="20"/>
          <w:lang w:val="en-US" w:eastAsia="en-US"/>
        </w:rPr>
        <w:t>cent</w:t>
      </w:r>
      <w:r w:rsidRPr="004F3B24">
        <w:rPr>
          <w:sz w:val="20"/>
          <w:szCs w:val="20"/>
          <w:lang w:val="en-US" w:eastAsia="en-US"/>
        </w:rPr>
        <w:t xml:space="preserve">) by </w:t>
      </w:r>
      <w:r w:rsidR="00B1561B">
        <w:rPr>
          <w:sz w:val="20"/>
          <w:szCs w:val="20"/>
          <w:lang w:val="en-US" w:eastAsia="en-US"/>
        </w:rPr>
        <w:t>almost half a</w:t>
      </w:r>
      <w:r w:rsidRPr="004F3B24">
        <w:rPr>
          <w:sz w:val="20"/>
          <w:szCs w:val="20"/>
          <w:lang w:val="en-US" w:eastAsia="en-US"/>
        </w:rPr>
        <w:t xml:space="preserve"> million</w:t>
      </w:r>
      <w:r w:rsidR="00E035EE">
        <w:rPr>
          <w:sz w:val="20"/>
          <w:szCs w:val="20"/>
          <w:lang w:val="en-US" w:eastAsia="en-US"/>
        </w:rPr>
        <w:t>. Y</w:t>
      </w:r>
      <w:r w:rsidRPr="004F3B24">
        <w:rPr>
          <w:sz w:val="20"/>
          <w:szCs w:val="20"/>
          <w:lang w:val="en-US" w:eastAsia="en-US"/>
        </w:rPr>
        <w:t xml:space="preserve">outh and </w:t>
      </w:r>
      <w:r w:rsidR="00B1561B">
        <w:rPr>
          <w:sz w:val="20"/>
          <w:szCs w:val="20"/>
          <w:lang w:val="en-US" w:eastAsia="en-US"/>
        </w:rPr>
        <w:t>people living</w:t>
      </w:r>
      <w:r w:rsidR="00B1561B" w:rsidRPr="004F3B24">
        <w:rPr>
          <w:sz w:val="20"/>
          <w:szCs w:val="20"/>
          <w:lang w:val="en-US" w:eastAsia="en-US"/>
        </w:rPr>
        <w:t xml:space="preserve"> </w:t>
      </w:r>
      <w:r w:rsidRPr="004F3B24">
        <w:rPr>
          <w:sz w:val="20"/>
          <w:szCs w:val="20"/>
          <w:lang w:val="en-US" w:eastAsia="en-US"/>
        </w:rPr>
        <w:t xml:space="preserve">with </w:t>
      </w:r>
      <w:r w:rsidR="00B1561B">
        <w:rPr>
          <w:sz w:val="20"/>
          <w:szCs w:val="20"/>
          <w:lang w:val="en-US" w:eastAsia="en-US"/>
        </w:rPr>
        <w:t>disabilities</w:t>
      </w:r>
      <w:r w:rsidR="00B1561B" w:rsidRPr="004F3B24">
        <w:rPr>
          <w:sz w:val="20"/>
          <w:szCs w:val="20"/>
          <w:lang w:val="en-US" w:eastAsia="en-US"/>
        </w:rPr>
        <w:t xml:space="preserve"> </w:t>
      </w:r>
      <w:r w:rsidRPr="004F3B24">
        <w:rPr>
          <w:sz w:val="20"/>
          <w:szCs w:val="20"/>
          <w:lang w:val="en-US" w:eastAsia="en-US"/>
        </w:rPr>
        <w:t>constitut</w:t>
      </w:r>
      <w:r w:rsidR="00E035EE">
        <w:rPr>
          <w:sz w:val="20"/>
          <w:szCs w:val="20"/>
          <w:lang w:val="en-US" w:eastAsia="en-US"/>
        </w:rPr>
        <w:t>e</w:t>
      </w:r>
      <w:r w:rsidRPr="004F3B24">
        <w:rPr>
          <w:sz w:val="20"/>
          <w:szCs w:val="20"/>
          <w:lang w:val="en-US" w:eastAsia="en-US"/>
        </w:rPr>
        <w:t xml:space="preserve"> 38 per</w:t>
      </w:r>
      <w:r w:rsidR="00B1561B">
        <w:rPr>
          <w:sz w:val="20"/>
          <w:szCs w:val="20"/>
          <w:lang w:val="en-US" w:eastAsia="en-US"/>
        </w:rPr>
        <w:t xml:space="preserve"> </w:t>
      </w:r>
      <w:r w:rsidRPr="004F3B24">
        <w:rPr>
          <w:sz w:val="20"/>
          <w:szCs w:val="20"/>
          <w:lang w:val="en-US" w:eastAsia="en-US"/>
        </w:rPr>
        <w:t>cent and 7.8 per</w:t>
      </w:r>
      <w:r w:rsidR="00B1561B">
        <w:rPr>
          <w:sz w:val="20"/>
          <w:szCs w:val="20"/>
          <w:lang w:val="en-US" w:eastAsia="en-US"/>
        </w:rPr>
        <w:t xml:space="preserve"> </w:t>
      </w:r>
      <w:r w:rsidRPr="004F3B24">
        <w:rPr>
          <w:sz w:val="20"/>
          <w:szCs w:val="20"/>
          <w:lang w:val="en-US" w:eastAsia="en-US"/>
        </w:rPr>
        <w:t>cent</w:t>
      </w:r>
      <w:r w:rsidR="00B1561B">
        <w:rPr>
          <w:sz w:val="20"/>
          <w:szCs w:val="20"/>
          <w:lang w:val="en-US" w:eastAsia="en-US"/>
        </w:rPr>
        <w:t xml:space="preserve"> of the population,</w:t>
      </w:r>
      <w:r w:rsidRPr="004F3B24">
        <w:rPr>
          <w:sz w:val="20"/>
          <w:szCs w:val="20"/>
          <w:lang w:val="en-US" w:eastAsia="en-US"/>
        </w:rPr>
        <w:t xml:space="preserve"> respectively. The country’s </w:t>
      </w:r>
      <w:r w:rsidR="00395B84">
        <w:rPr>
          <w:sz w:val="20"/>
          <w:szCs w:val="20"/>
          <w:lang w:val="en-US" w:eastAsia="en-US"/>
        </w:rPr>
        <w:t>Human Development Index (</w:t>
      </w:r>
      <w:r w:rsidRPr="004F3B24">
        <w:rPr>
          <w:sz w:val="20"/>
          <w:szCs w:val="20"/>
          <w:lang w:val="en-US" w:eastAsia="en-US"/>
        </w:rPr>
        <w:t>HDI</w:t>
      </w:r>
      <w:r w:rsidR="00395B84">
        <w:rPr>
          <w:sz w:val="20"/>
          <w:szCs w:val="20"/>
          <w:lang w:val="en-US" w:eastAsia="en-US"/>
        </w:rPr>
        <w:t>)</w:t>
      </w:r>
      <w:r w:rsidRPr="004F3B24">
        <w:rPr>
          <w:sz w:val="20"/>
          <w:szCs w:val="20"/>
          <w:lang w:val="en-US" w:eastAsia="en-US"/>
        </w:rPr>
        <w:t xml:space="preserve"> value for 2019 was 0.611, which places it in the medium human development category</w:t>
      </w:r>
      <w:r w:rsidR="00E035EE">
        <w:rPr>
          <w:sz w:val="20"/>
          <w:szCs w:val="20"/>
          <w:lang w:val="en-US" w:eastAsia="en-US"/>
        </w:rPr>
        <w:t>,</w:t>
      </w:r>
      <w:r w:rsidRPr="004F3B24">
        <w:rPr>
          <w:sz w:val="20"/>
          <w:szCs w:val="20"/>
          <w:lang w:val="en-US" w:eastAsia="en-US"/>
        </w:rPr>
        <w:t xml:space="preserve"> </w:t>
      </w:r>
      <w:r w:rsidR="00B1561B">
        <w:rPr>
          <w:sz w:val="20"/>
          <w:szCs w:val="20"/>
          <w:lang w:val="en-US" w:eastAsia="en-US"/>
        </w:rPr>
        <w:t xml:space="preserve">with a </w:t>
      </w:r>
      <w:r w:rsidRPr="004F3B24">
        <w:rPr>
          <w:sz w:val="20"/>
          <w:szCs w:val="20"/>
          <w:lang w:val="en-US" w:eastAsia="en-US"/>
        </w:rPr>
        <w:t xml:space="preserve">ranking </w:t>
      </w:r>
      <w:r w:rsidR="00B1561B">
        <w:rPr>
          <w:sz w:val="20"/>
          <w:szCs w:val="20"/>
          <w:lang w:val="en-US" w:eastAsia="en-US"/>
        </w:rPr>
        <w:t>of</w:t>
      </w:r>
      <w:r w:rsidR="00B1561B" w:rsidRPr="004F3B24">
        <w:rPr>
          <w:sz w:val="20"/>
          <w:szCs w:val="20"/>
          <w:lang w:val="en-US" w:eastAsia="en-US"/>
        </w:rPr>
        <w:t xml:space="preserve"> </w:t>
      </w:r>
      <w:r w:rsidRPr="004F3B24">
        <w:rPr>
          <w:sz w:val="20"/>
          <w:szCs w:val="20"/>
          <w:lang w:val="en-US" w:eastAsia="en-US"/>
        </w:rPr>
        <w:t>138 out of 189 countries. The Gender Inequality Index value of 0.538</w:t>
      </w:r>
      <w:r w:rsidR="00E035EE">
        <w:rPr>
          <w:sz w:val="20"/>
          <w:szCs w:val="20"/>
          <w:lang w:val="en-US" w:eastAsia="en-US"/>
        </w:rPr>
        <w:t xml:space="preserve"> </w:t>
      </w:r>
      <w:r w:rsidRPr="004F3B24">
        <w:rPr>
          <w:sz w:val="20"/>
          <w:szCs w:val="20"/>
          <w:lang w:val="en-US" w:eastAsia="en-US"/>
        </w:rPr>
        <w:t xml:space="preserve">also </w:t>
      </w:r>
      <w:r w:rsidR="00B1561B">
        <w:rPr>
          <w:sz w:val="20"/>
          <w:szCs w:val="20"/>
          <w:lang w:val="en-US" w:eastAsia="en-US"/>
        </w:rPr>
        <w:t>places</w:t>
      </w:r>
      <w:r w:rsidR="00B1561B" w:rsidRPr="004F3B24">
        <w:rPr>
          <w:sz w:val="20"/>
          <w:szCs w:val="20"/>
          <w:lang w:val="en-US" w:eastAsia="en-US"/>
        </w:rPr>
        <w:t xml:space="preserve"> </w:t>
      </w:r>
      <w:r w:rsidRPr="004F3B24">
        <w:rPr>
          <w:sz w:val="20"/>
          <w:szCs w:val="20"/>
          <w:lang w:val="en-US" w:eastAsia="en-US"/>
        </w:rPr>
        <w:t xml:space="preserve">the country at 138 out of 189 countries. </w:t>
      </w:r>
      <w:r w:rsidR="00B1561B">
        <w:rPr>
          <w:sz w:val="20"/>
          <w:szCs w:val="20"/>
          <w:lang w:val="en-US" w:eastAsia="en-US"/>
        </w:rPr>
        <w:t xml:space="preserve">In 2020, </w:t>
      </w:r>
      <w:r w:rsidR="00D53D9D" w:rsidRPr="004F3B24">
        <w:rPr>
          <w:sz w:val="20"/>
          <w:szCs w:val="20"/>
          <w:lang w:val="en-US" w:eastAsia="en-US"/>
        </w:rPr>
        <w:t>45.6 per</w:t>
      </w:r>
      <w:r w:rsidR="00B1561B">
        <w:rPr>
          <w:sz w:val="20"/>
          <w:szCs w:val="20"/>
          <w:lang w:val="en-US" w:eastAsia="en-US"/>
        </w:rPr>
        <w:t xml:space="preserve"> </w:t>
      </w:r>
      <w:r w:rsidR="00D53D9D" w:rsidRPr="004F3B24">
        <w:rPr>
          <w:sz w:val="20"/>
          <w:szCs w:val="20"/>
          <w:lang w:val="en-US" w:eastAsia="en-US"/>
        </w:rPr>
        <w:t xml:space="preserve">cent of Ghana’s population </w:t>
      </w:r>
      <w:r w:rsidR="00B1561B">
        <w:rPr>
          <w:sz w:val="20"/>
          <w:szCs w:val="20"/>
          <w:lang w:val="en-US" w:eastAsia="en-US"/>
        </w:rPr>
        <w:t>was categorized as</w:t>
      </w:r>
      <w:r w:rsidR="00B1561B" w:rsidRPr="004F3B24">
        <w:rPr>
          <w:sz w:val="20"/>
          <w:szCs w:val="20"/>
          <w:lang w:val="en-US" w:eastAsia="en-US"/>
        </w:rPr>
        <w:t xml:space="preserve"> </w:t>
      </w:r>
      <w:r w:rsidR="00D53D9D" w:rsidRPr="004F3B24">
        <w:rPr>
          <w:sz w:val="20"/>
          <w:szCs w:val="20"/>
          <w:lang w:val="en-US" w:eastAsia="en-US"/>
        </w:rPr>
        <w:t>multi</w:t>
      </w:r>
      <w:r w:rsidR="00B1561B">
        <w:rPr>
          <w:sz w:val="20"/>
          <w:szCs w:val="20"/>
          <w:lang w:val="en-US" w:eastAsia="en-US"/>
        </w:rPr>
        <w:t>-</w:t>
      </w:r>
      <w:r w:rsidR="00D53D9D" w:rsidRPr="004F3B24">
        <w:rPr>
          <w:sz w:val="20"/>
          <w:szCs w:val="20"/>
          <w:lang w:val="en-US" w:eastAsia="en-US"/>
        </w:rPr>
        <w:t xml:space="preserve">dimensionally poor, </w:t>
      </w:r>
      <w:r w:rsidR="00B1561B">
        <w:rPr>
          <w:sz w:val="20"/>
          <w:szCs w:val="20"/>
          <w:lang w:val="en-US" w:eastAsia="en-US"/>
        </w:rPr>
        <w:t>posing a threat to</w:t>
      </w:r>
      <w:r w:rsidR="00B1561B" w:rsidRPr="004F3B24">
        <w:rPr>
          <w:sz w:val="20"/>
          <w:szCs w:val="20"/>
          <w:lang w:val="en-US" w:eastAsia="en-US"/>
        </w:rPr>
        <w:t xml:space="preserve"> </w:t>
      </w:r>
      <w:r w:rsidR="00B1561B">
        <w:rPr>
          <w:sz w:val="20"/>
          <w:szCs w:val="20"/>
          <w:lang w:val="en-US" w:eastAsia="en-US"/>
        </w:rPr>
        <w:t>national</w:t>
      </w:r>
      <w:r w:rsidR="00D53D9D" w:rsidRPr="004F3B24">
        <w:rPr>
          <w:sz w:val="20"/>
          <w:szCs w:val="20"/>
          <w:lang w:val="en-US" w:eastAsia="en-US"/>
        </w:rPr>
        <w:t xml:space="preserve"> progress to </w:t>
      </w:r>
      <w:r w:rsidR="00B1561B">
        <w:rPr>
          <w:sz w:val="20"/>
          <w:szCs w:val="20"/>
          <w:lang w:val="en-US" w:eastAsia="en-US"/>
        </w:rPr>
        <w:t>achieve</w:t>
      </w:r>
      <w:r w:rsidR="00B1561B" w:rsidRPr="004F3B24">
        <w:rPr>
          <w:sz w:val="20"/>
          <w:szCs w:val="20"/>
          <w:lang w:val="en-US" w:eastAsia="en-US"/>
        </w:rPr>
        <w:t xml:space="preserve"> </w:t>
      </w:r>
      <w:r w:rsidR="00D53D9D" w:rsidRPr="004F3B24">
        <w:rPr>
          <w:sz w:val="20"/>
          <w:szCs w:val="20"/>
          <w:lang w:val="en-US" w:eastAsia="en-US"/>
        </w:rPr>
        <w:t>the Sustainable Development Goals (SDGs).</w:t>
      </w:r>
      <w:r w:rsidR="00D53D9D" w:rsidRPr="004F3B24">
        <w:rPr>
          <w:sz w:val="20"/>
          <w:szCs w:val="20"/>
          <w:vertAlign w:val="superscript"/>
          <w:lang w:val="en-US" w:eastAsia="en-US"/>
        </w:rPr>
        <w:footnoteReference w:id="2"/>
      </w:r>
      <w:r w:rsidR="00D53D9D" w:rsidRPr="004F3B24">
        <w:rPr>
          <w:sz w:val="20"/>
          <w:szCs w:val="20"/>
          <w:vertAlign w:val="superscript"/>
          <w:lang w:val="en-US" w:eastAsia="en-US"/>
        </w:rPr>
        <w:t xml:space="preserve"> </w:t>
      </w:r>
      <w:r w:rsidR="00D53D9D" w:rsidRPr="004F3B24">
        <w:rPr>
          <w:sz w:val="20"/>
          <w:szCs w:val="20"/>
          <w:lang w:val="en-US" w:eastAsia="en-US"/>
        </w:rPr>
        <w:t>In general, high rates of rural poverty and spatial inequality have driven rapid rural-urban and north-south migration without a corresponding increase in decent urban employment opportunities and basic services</w:t>
      </w:r>
      <w:r w:rsidR="00575904" w:rsidRPr="004F3B24">
        <w:rPr>
          <w:sz w:val="20"/>
          <w:szCs w:val="20"/>
          <w:lang w:val="en-US" w:eastAsia="en-US"/>
        </w:rPr>
        <w:t>, with youth and women most affected</w:t>
      </w:r>
      <w:r w:rsidR="00D53D9D" w:rsidRPr="004F3B24">
        <w:rPr>
          <w:sz w:val="20"/>
          <w:szCs w:val="20"/>
          <w:lang w:val="en-US" w:eastAsia="en-US"/>
        </w:rPr>
        <w:t xml:space="preserve">. </w:t>
      </w:r>
    </w:p>
    <w:p w14:paraId="6C4A3D68" w14:textId="799FC324" w:rsidR="00340A68" w:rsidRPr="004F3B24" w:rsidRDefault="00D53D9D" w:rsidP="00103EA9">
      <w:pPr>
        <w:pStyle w:val="xmsonormal"/>
        <w:numPr>
          <w:ilvl w:val="0"/>
          <w:numId w:val="50"/>
        </w:numPr>
        <w:shd w:val="clear" w:color="auto" w:fill="FFFFFF"/>
        <w:tabs>
          <w:tab w:val="left" w:pos="1260"/>
        </w:tabs>
        <w:spacing w:before="0" w:beforeAutospacing="0" w:after="120" w:afterAutospacing="0" w:line="240" w:lineRule="exact"/>
        <w:ind w:left="900" w:right="720" w:firstLine="0"/>
        <w:jc w:val="both"/>
        <w:rPr>
          <w:sz w:val="20"/>
          <w:szCs w:val="20"/>
          <w:lang w:val="en-US" w:eastAsia="en-US"/>
        </w:rPr>
      </w:pPr>
      <w:r w:rsidRPr="004F3B24">
        <w:rPr>
          <w:sz w:val="20"/>
          <w:szCs w:val="20"/>
          <w:lang w:val="en-US" w:eastAsia="en-US"/>
        </w:rPr>
        <w:t xml:space="preserve">The United Nations Common Country Assessment (CCA) notes </w:t>
      </w:r>
      <w:r w:rsidR="00985E6B" w:rsidRPr="004F3B24">
        <w:rPr>
          <w:sz w:val="20"/>
          <w:szCs w:val="20"/>
        </w:rPr>
        <w:t xml:space="preserve">considerable progress </w:t>
      </w:r>
      <w:r w:rsidR="00B1561B">
        <w:rPr>
          <w:sz w:val="20"/>
          <w:szCs w:val="20"/>
        </w:rPr>
        <w:t>was</w:t>
      </w:r>
      <w:r w:rsidR="00F0656F" w:rsidRPr="004F3B24">
        <w:rPr>
          <w:sz w:val="20"/>
          <w:szCs w:val="20"/>
        </w:rPr>
        <w:t xml:space="preserve"> </w:t>
      </w:r>
      <w:r w:rsidR="00985E6B" w:rsidRPr="004F3B24">
        <w:rPr>
          <w:sz w:val="20"/>
          <w:szCs w:val="20"/>
        </w:rPr>
        <w:t>made in advancing national development priorities and the SDGs</w:t>
      </w:r>
      <w:r w:rsidR="00AB0650" w:rsidRPr="004F3B24">
        <w:rPr>
          <w:sz w:val="20"/>
          <w:szCs w:val="20"/>
        </w:rPr>
        <w:t xml:space="preserve"> </w:t>
      </w:r>
      <w:r w:rsidR="00AB0650" w:rsidRPr="004F3B24">
        <w:rPr>
          <w:color w:val="000000"/>
          <w:sz w:val="20"/>
          <w:szCs w:val="20"/>
        </w:rPr>
        <w:t>in the last few decades</w:t>
      </w:r>
      <w:r w:rsidR="006119F8" w:rsidRPr="004F3B24">
        <w:rPr>
          <w:sz w:val="20"/>
          <w:szCs w:val="20"/>
        </w:rPr>
        <w:t>.</w:t>
      </w:r>
      <w:r w:rsidR="006119F8" w:rsidRPr="004F3B24">
        <w:rPr>
          <w:rStyle w:val="FootnoteReference"/>
          <w:sz w:val="20"/>
          <w:szCs w:val="20"/>
        </w:rPr>
        <w:footnoteReference w:id="3"/>
      </w:r>
      <w:r w:rsidR="00F15C8C" w:rsidRPr="004F3B24">
        <w:rPr>
          <w:sz w:val="20"/>
          <w:szCs w:val="20"/>
        </w:rPr>
        <w:t xml:space="preserve"> </w:t>
      </w:r>
      <w:r w:rsidR="00307B8C">
        <w:rPr>
          <w:sz w:val="20"/>
          <w:szCs w:val="20"/>
        </w:rPr>
        <w:t>However, in t</w:t>
      </w:r>
      <w:r w:rsidR="00F15C8C" w:rsidRPr="004F3B24">
        <w:rPr>
          <w:sz w:val="20"/>
          <w:szCs w:val="20"/>
        </w:rPr>
        <w:t xml:space="preserve">he report </w:t>
      </w:r>
      <w:r w:rsidR="00307B8C">
        <w:rPr>
          <w:sz w:val="20"/>
          <w:szCs w:val="20"/>
        </w:rPr>
        <w:t>it is noted</w:t>
      </w:r>
      <w:r w:rsidR="00F15C8C" w:rsidRPr="004F3B24">
        <w:rPr>
          <w:sz w:val="20"/>
          <w:szCs w:val="20"/>
        </w:rPr>
        <w:t xml:space="preserve"> </w:t>
      </w:r>
      <w:r w:rsidR="00340A68" w:rsidRPr="004F3B24">
        <w:rPr>
          <w:sz w:val="20"/>
          <w:szCs w:val="20"/>
        </w:rPr>
        <w:t xml:space="preserve">that </w:t>
      </w:r>
      <w:r w:rsidR="006D3B21" w:rsidRPr="004F3B24">
        <w:rPr>
          <w:sz w:val="20"/>
          <w:szCs w:val="20"/>
          <w:lang w:val="en-US" w:eastAsia="en-US"/>
        </w:rPr>
        <w:t>d</w:t>
      </w:r>
      <w:r w:rsidR="00340A68" w:rsidRPr="004F3B24">
        <w:rPr>
          <w:sz w:val="20"/>
          <w:szCs w:val="20"/>
          <w:lang w:val="en-US" w:eastAsia="en-US"/>
        </w:rPr>
        <w:t xml:space="preserve">espite strong </w:t>
      </w:r>
      <w:r w:rsidR="00307B8C">
        <w:rPr>
          <w:sz w:val="20"/>
          <w:szCs w:val="20"/>
          <w:lang w:val="en-US" w:eastAsia="en-US"/>
        </w:rPr>
        <w:t>gross domestic product (</w:t>
      </w:r>
      <w:r w:rsidR="00340A68" w:rsidRPr="004F3B24">
        <w:rPr>
          <w:sz w:val="20"/>
          <w:szCs w:val="20"/>
          <w:lang w:val="en-US" w:eastAsia="en-US"/>
        </w:rPr>
        <w:t>GDP</w:t>
      </w:r>
      <w:r w:rsidR="00307B8C">
        <w:rPr>
          <w:sz w:val="20"/>
          <w:szCs w:val="20"/>
          <w:lang w:val="en-US" w:eastAsia="en-US"/>
        </w:rPr>
        <w:t>)</w:t>
      </w:r>
      <w:r w:rsidR="00340A68" w:rsidRPr="004F3B24">
        <w:rPr>
          <w:sz w:val="20"/>
          <w:szCs w:val="20"/>
          <w:lang w:val="en-US" w:eastAsia="en-US"/>
        </w:rPr>
        <w:t xml:space="preserve"> growth figures over the last decade, Ghana’s economy has yet to show significant structural transformation </w:t>
      </w:r>
      <w:r w:rsidR="00307B8C">
        <w:rPr>
          <w:sz w:val="20"/>
          <w:szCs w:val="20"/>
          <w:lang w:val="en-US" w:eastAsia="en-US"/>
        </w:rPr>
        <w:t>and related</w:t>
      </w:r>
      <w:r w:rsidR="00307B8C" w:rsidRPr="004F3B24">
        <w:rPr>
          <w:sz w:val="20"/>
          <w:szCs w:val="20"/>
          <w:lang w:val="en-US" w:eastAsia="en-US"/>
        </w:rPr>
        <w:t xml:space="preserve"> </w:t>
      </w:r>
      <w:r w:rsidR="00340A68" w:rsidRPr="004F3B24">
        <w:rPr>
          <w:sz w:val="20"/>
          <w:szCs w:val="20"/>
          <w:lang w:val="en-US" w:eastAsia="en-US"/>
        </w:rPr>
        <w:t xml:space="preserve">progress on the income ladder. The economy remains heavily dependent on the agricultural sector in spite of the growing prominence of the services sector in </w:t>
      </w:r>
      <w:r w:rsidR="00307B8C">
        <w:rPr>
          <w:sz w:val="20"/>
          <w:szCs w:val="20"/>
          <w:lang w:val="en-US" w:eastAsia="en-US"/>
        </w:rPr>
        <w:t>contributing</w:t>
      </w:r>
      <w:r w:rsidR="00307B8C" w:rsidRPr="004F3B24">
        <w:rPr>
          <w:sz w:val="20"/>
          <w:szCs w:val="20"/>
          <w:lang w:val="en-US" w:eastAsia="en-US"/>
        </w:rPr>
        <w:t xml:space="preserve"> </w:t>
      </w:r>
      <w:r w:rsidR="00340A68" w:rsidRPr="004F3B24">
        <w:rPr>
          <w:sz w:val="20"/>
          <w:szCs w:val="20"/>
          <w:lang w:val="en-US" w:eastAsia="en-US"/>
        </w:rPr>
        <w:t>to GDP and the absorption of labour.</w:t>
      </w:r>
      <w:r w:rsidR="00340A68" w:rsidRPr="004F3B24">
        <w:rPr>
          <w:sz w:val="20"/>
          <w:szCs w:val="20"/>
          <w:vertAlign w:val="superscript"/>
          <w:lang w:val="en-US" w:eastAsia="en-US"/>
        </w:rPr>
        <w:footnoteReference w:id="4"/>
      </w:r>
      <w:r w:rsidR="00340A68" w:rsidRPr="004F3B24">
        <w:rPr>
          <w:sz w:val="20"/>
          <w:szCs w:val="20"/>
          <w:lang w:val="en-US" w:eastAsia="en-US"/>
        </w:rPr>
        <w:t xml:space="preserve"> </w:t>
      </w:r>
      <w:r w:rsidR="00307B8C">
        <w:rPr>
          <w:sz w:val="20"/>
          <w:szCs w:val="20"/>
          <w:lang w:val="en-US" w:eastAsia="en-US"/>
        </w:rPr>
        <w:t>Moreover, the</w:t>
      </w:r>
      <w:r w:rsidR="00307B8C" w:rsidRPr="004F3B24">
        <w:rPr>
          <w:sz w:val="20"/>
          <w:szCs w:val="20"/>
          <w:lang w:val="en-US" w:eastAsia="en-US"/>
        </w:rPr>
        <w:t xml:space="preserve"> </w:t>
      </w:r>
      <w:r w:rsidR="00340A68" w:rsidRPr="004F3B24">
        <w:rPr>
          <w:sz w:val="20"/>
          <w:szCs w:val="20"/>
          <w:lang w:val="en-US" w:eastAsia="en-US"/>
        </w:rPr>
        <w:t xml:space="preserve">COVID-19 pandemic had </w:t>
      </w:r>
      <w:r w:rsidR="00307B8C">
        <w:rPr>
          <w:sz w:val="20"/>
          <w:szCs w:val="20"/>
          <w:lang w:val="en-US" w:eastAsia="en-US"/>
        </w:rPr>
        <w:t xml:space="preserve">a </w:t>
      </w:r>
      <w:r w:rsidR="00340A68" w:rsidRPr="004F3B24">
        <w:rPr>
          <w:sz w:val="20"/>
          <w:szCs w:val="20"/>
          <w:lang w:val="en-US" w:eastAsia="en-US"/>
        </w:rPr>
        <w:t>severe impact on economic activities, slowing economic growth from 6.5 per</w:t>
      </w:r>
      <w:r w:rsidR="00307B8C">
        <w:rPr>
          <w:sz w:val="20"/>
          <w:szCs w:val="20"/>
          <w:lang w:val="en-US" w:eastAsia="en-US"/>
        </w:rPr>
        <w:t xml:space="preserve"> </w:t>
      </w:r>
      <w:r w:rsidR="00340A68" w:rsidRPr="004F3B24">
        <w:rPr>
          <w:sz w:val="20"/>
          <w:szCs w:val="20"/>
          <w:lang w:val="en-US" w:eastAsia="en-US"/>
        </w:rPr>
        <w:t>cent in 2019 to 0.4 per</w:t>
      </w:r>
      <w:r w:rsidR="00307B8C">
        <w:rPr>
          <w:sz w:val="20"/>
          <w:szCs w:val="20"/>
          <w:lang w:val="en-US" w:eastAsia="en-US"/>
        </w:rPr>
        <w:t xml:space="preserve"> </w:t>
      </w:r>
      <w:r w:rsidR="00340A68" w:rsidRPr="004F3B24">
        <w:rPr>
          <w:sz w:val="20"/>
          <w:szCs w:val="20"/>
          <w:lang w:val="en-US" w:eastAsia="en-US"/>
        </w:rPr>
        <w:t>cent in 2020. The pandemic particularly affected the micro and small enterprise (MSME) sector</w:t>
      </w:r>
      <w:r w:rsidR="00307B8C">
        <w:rPr>
          <w:sz w:val="20"/>
          <w:szCs w:val="20"/>
          <w:lang w:val="en-US" w:eastAsia="en-US"/>
        </w:rPr>
        <w:t xml:space="preserve"> that</w:t>
      </w:r>
      <w:r w:rsidR="00340A68" w:rsidRPr="004F3B24">
        <w:rPr>
          <w:sz w:val="20"/>
          <w:szCs w:val="20"/>
          <w:lang w:val="en-US" w:eastAsia="en-US"/>
        </w:rPr>
        <w:t xml:space="preserve"> generates up to 70 per</w:t>
      </w:r>
      <w:r w:rsidR="00307B8C">
        <w:rPr>
          <w:sz w:val="20"/>
          <w:szCs w:val="20"/>
          <w:lang w:val="en-US" w:eastAsia="en-US"/>
        </w:rPr>
        <w:t xml:space="preserve"> </w:t>
      </w:r>
      <w:r w:rsidR="00340A68" w:rsidRPr="004F3B24">
        <w:rPr>
          <w:sz w:val="20"/>
          <w:szCs w:val="20"/>
          <w:lang w:val="en-US" w:eastAsia="en-US"/>
        </w:rPr>
        <w:t xml:space="preserve">cent of </w:t>
      </w:r>
      <w:r w:rsidR="00307B8C">
        <w:rPr>
          <w:sz w:val="20"/>
          <w:szCs w:val="20"/>
          <w:lang w:val="en-US" w:eastAsia="en-US"/>
        </w:rPr>
        <w:t xml:space="preserve">the national </w:t>
      </w:r>
      <w:r w:rsidR="00340A68" w:rsidRPr="004F3B24">
        <w:rPr>
          <w:sz w:val="20"/>
          <w:szCs w:val="20"/>
          <w:lang w:val="en-US" w:eastAsia="en-US"/>
        </w:rPr>
        <w:t>GDP.</w:t>
      </w:r>
      <w:r w:rsidR="00B04449" w:rsidRPr="004F3B24">
        <w:rPr>
          <w:sz w:val="20"/>
          <w:szCs w:val="20"/>
          <w:lang w:val="en-US" w:eastAsia="en-US"/>
        </w:rPr>
        <w:t xml:space="preserve"> </w:t>
      </w:r>
      <w:r w:rsidR="00307B8C">
        <w:rPr>
          <w:sz w:val="20"/>
          <w:szCs w:val="20"/>
          <w:lang w:val="en-US" w:eastAsia="en-US"/>
        </w:rPr>
        <w:t xml:space="preserve">Although </w:t>
      </w:r>
      <w:r w:rsidR="00B04449" w:rsidRPr="004F3B24">
        <w:rPr>
          <w:sz w:val="20"/>
          <w:szCs w:val="20"/>
          <w:lang w:val="en-US" w:eastAsia="en-US"/>
        </w:rPr>
        <w:t xml:space="preserve">Ghana’s economy is recovering from the impact of the COVID-19 </w:t>
      </w:r>
      <w:r w:rsidR="00DE3889" w:rsidRPr="004F3B24">
        <w:rPr>
          <w:sz w:val="20"/>
          <w:szCs w:val="20"/>
          <w:lang w:val="en-US" w:eastAsia="en-US"/>
        </w:rPr>
        <w:t>pandemic</w:t>
      </w:r>
      <w:r w:rsidR="00307B8C">
        <w:rPr>
          <w:sz w:val="20"/>
          <w:szCs w:val="20"/>
          <w:lang w:val="en-US" w:eastAsia="en-US"/>
        </w:rPr>
        <w:t xml:space="preserve"> it</w:t>
      </w:r>
      <w:r w:rsidR="00DE3889" w:rsidRPr="004F3B24">
        <w:rPr>
          <w:sz w:val="20"/>
          <w:szCs w:val="20"/>
          <w:lang w:val="en-US" w:eastAsia="en-US"/>
        </w:rPr>
        <w:t xml:space="preserve"> </w:t>
      </w:r>
      <w:r w:rsidR="00B04449" w:rsidRPr="004F3B24">
        <w:rPr>
          <w:sz w:val="20"/>
          <w:szCs w:val="20"/>
          <w:lang w:val="en-US" w:eastAsia="en-US"/>
        </w:rPr>
        <w:t xml:space="preserve">now </w:t>
      </w:r>
      <w:r w:rsidR="00307B8C">
        <w:rPr>
          <w:sz w:val="20"/>
          <w:szCs w:val="20"/>
          <w:lang w:val="en-US" w:eastAsia="en-US"/>
        </w:rPr>
        <w:t>faces</w:t>
      </w:r>
      <w:r w:rsidR="00307B8C" w:rsidRPr="004F3B24">
        <w:rPr>
          <w:sz w:val="20"/>
          <w:szCs w:val="20"/>
          <w:lang w:val="en-US" w:eastAsia="en-US"/>
        </w:rPr>
        <w:t xml:space="preserve"> </w:t>
      </w:r>
      <w:r w:rsidR="00B04449" w:rsidRPr="004F3B24">
        <w:rPr>
          <w:sz w:val="20"/>
          <w:szCs w:val="20"/>
          <w:lang w:val="en-US" w:eastAsia="en-US"/>
        </w:rPr>
        <w:t>new challenge</w:t>
      </w:r>
      <w:r w:rsidR="00307B8C">
        <w:rPr>
          <w:sz w:val="20"/>
          <w:szCs w:val="20"/>
          <w:lang w:val="en-US" w:eastAsia="en-US"/>
        </w:rPr>
        <w:t>s</w:t>
      </w:r>
      <w:r w:rsidR="00B04449" w:rsidRPr="004F3B24">
        <w:rPr>
          <w:sz w:val="20"/>
          <w:szCs w:val="20"/>
          <w:lang w:val="en-US" w:eastAsia="en-US"/>
        </w:rPr>
        <w:t xml:space="preserve"> brought on by the Russia-Ukraine crisis </w:t>
      </w:r>
      <w:r w:rsidR="00307B8C">
        <w:rPr>
          <w:sz w:val="20"/>
          <w:szCs w:val="20"/>
          <w:lang w:val="en-US" w:eastAsia="en-US"/>
        </w:rPr>
        <w:t>by way of</w:t>
      </w:r>
      <w:r w:rsidR="00B04449" w:rsidRPr="004F3B24">
        <w:rPr>
          <w:sz w:val="20"/>
          <w:szCs w:val="20"/>
          <w:lang w:val="en-US" w:eastAsia="en-US"/>
        </w:rPr>
        <w:t xml:space="preserve"> global oil price shocks, fuel-pump </w:t>
      </w:r>
      <w:r w:rsidR="00307B8C" w:rsidRPr="004F3B24">
        <w:rPr>
          <w:sz w:val="20"/>
          <w:szCs w:val="20"/>
          <w:lang w:val="en-US" w:eastAsia="en-US"/>
        </w:rPr>
        <w:t>pric</w:t>
      </w:r>
      <w:r w:rsidR="00307B8C">
        <w:rPr>
          <w:sz w:val="20"/>
          <w:szCs w:val="20"/>
          <w:lang w:val="en-US" w:eastAsia="en-US"/>
        </w:rPr>
        <w:t>es,</w:t>
      </w:r>
      <w:r w:rsidR="00307B8C" w:rsidRPr="004F3B24">
        <w:rPr>
          <w:sz w:val="20"/>
          <w:szCs w:val="20"/>
          <w:lang w:val="en-US" w:eastAsia="en-US"/>
        </w:rPr>
        <w:t xml:space="preserve"> </w:t>
      </w:r>
      <w:r w:rsidR="00B04449" w:rsidRPr="004F3B24">
        <w:rPr>
          <w:sz w:val="20"/>
          <w:szCs w:val="20"/>
          <w:lang w:val="en-US" w:eastAsia="en-US"/>
        </w:rPr>
        <w:t xml:space="preserve">and food </w:t>
      </w:r>
      <w:r w:rsidR="00307B8C">
        <w:rPr>
          <w:sz w:val="20"/>
          <w:szCs w:val="20"/>
          <w:lang w:val="en-US" w:eastAsia="en-US"/>
        </w:rPr>
        <w:t>cost</w:t>
      </w:r>
      <w:r w:rsidR="00307B8C" w:rsidRPr="004F3B24">
        <w:rPr>
          <w:sz w:val="20"/>
          <w:szCs w:val="20"/>
          <w:lang w:val="en-US" w:eastAsia="en-US"/>
        </w:rPr>
        <w:t xml:space="preserve"> </w:t>
      </w:r>
      <w:r w:rsidR="00B04449" w:rsidRPr="004F3B24">
        <w:rPr>
          <w:sz w:val="20"/>
          <w:szCs w:val="20"/>
          <w:lang w:val="en-US" w:eastAsia="en-US"/>
        </w:rPr>
        <w:t>increases.</w:t>
      </w:r>
      <w:r w:rsidR="00B04449" w:rsidRPr="004F3B24">
        <w:rPr>
          <w:rStyle w:val="FootnoteReference"/>
          <w:sz w:val="20"/>
          <w:szCs w:val="20"/>
          <w:lang w:val="en-US" w:eastAsia="en-US"/>
        </w:rPr>
        <w:footnoteReference w:id="5"/>
      </w:r>
    </w:p>
    <w:p w14:paraId="7ABA32E7" w14:textId="312F4678" w:rsidR="00656D0E" w:rsidRDefault="006D3B21" w:rsidP="00103EA9">
      <w:pPr>
        <w:pStyle w:val="xmsonormal"/>
        <w:numPr>
          <w:ilvl w:val="0"/>
          <w:numId w:val="50"/>
        </w:numPr>
        <w:shd w:val="clear" w:color="auto" w:fill="FFFFFF"/>
        <w:tabs>
          <w:tab w:val="left" w:pos="1260"/>
        </w:tabs>
        <w:spacing w:before="0" w:beforeAutospacing="0" w:after="120" w:afterAutospacing="0" w:line="240" w:lineRule="exact"/>
        <w:ind w:left="900" w:right="720" w:firstLine="0"/>
        <w:jc w:val="both"/>
        <w:rPr>
          <w:sz w:val="20"/>
          <w:szCs w:val="20"/>
          <w:lang w:val="en-US" w:eastAsia="en-US"/>
        </w:rPr>
      </w:pPr>
      <w:r w:rsidRPr="004F3B24">
        <w:rPr>
          <w:sz w:val="20"/>
          <w:szCs w:val="20"/>
          <w:lang w:val="en-US" w:eastAsia="en-US"/>
        </w:rPr>
        <w:t xml:space="preserve">The CCA also indicates that </w:t>
      </w:r>
      <w:r w:rsidR="006E4834" w:rsidRPr="004F3B24">
        <w:rPr>
          <w:sz w:val="20"/>
          <w:szCs w:val="20"/>
          <w:lang w:val="en-US" w:eastAsia="en-US"/>
        </w:rPr>
        <w:t>p</w:t>
      </w:r>
      <w:r w:rsidR="00826A13" w:rsidRPr="004F3B24">
        <w:rPr>
          <w:sz w:val="20"/>
          <w:szCs w:val="20"/>
          <w:lang w:val="en-US" w:eastAsia="en-US"/>
        </w:rPr>
        <w:t>overty</w:t>
      </w:r>
      <w:r w:rsidR="00307B8C">
        <w:rPr>
          <w:sz w:val="20"/>
          <w:szCs w:val="20"/>
          <w:lang w:val="en-US" w:eastAsia="en-US"/>
        </w:rPr>
        <w:t>,</w:t>
      </w:r>
      <w:r w:rsidR="00826A13" w:rsidRPr="004F3B24">
        <w:rPr>
          <w:sz w:val="20"/>
          <w:szCs w:val="20"/>
          <w:lang w:val="en-US" w:eastAsia="en-US"/>
        </w:rPr>
        <w:t xml:space="preserve"> livelihoods, gender</w:t>
      </w:r>
      <w:r w:rsidR="00307B8C">
        <w:rPr>
          <w:sz w:val="20"/>
          <w:szCs w:val="20"/>
          <w:lang w:val="en-US" w:eastAsia="en-US"/>
        </w:rPr>
        <w:t>,</w:t>
      </w:r>
      <w:r w:rsidR="00826A13" w:rsidRPr="004F3B24">
        <w:rPr>
          <w:sz w:val="20"/>
          <w:szCs w:val="20"/>
          <w:lang w:val="en-US" w:eastAsia="en-US"/>
        </w:rPr>
        <w:t xml:space="preserve"> and geograph</w:t>
      </w:r>
      <w:r w:rsidR="00307B8C">
        <w:rPr>
          <w:sz w:val="20"/>
          <w:szCs w:val="20"/>
          <w:lang w:val="en-US" w:eastAsia="en-US"/>
        </w:rPr>
        <w:t xml:space="preserve">y </w:t>
      </w:r>
      <w:r w:rsidR="00F15C8C" w:rsidRPr="004F3B24">
        <w:rPr>
          <w:sz w:val="20"/>
          <w:szCs w:val="20"/>
          <w:lang w:val="en-US" w:eastAsia="en-US"/>
        </w:rPr>
        <w:t>continue to</w:t>
      </w:r>
      <w:r w:rsidR="00826A13" w:rsidRPr="004F3B24">
        <w:rPr>
          <w:sz w:val="20"/>
          <w:szCs w:val="20"/>
          <w:lang w:val="en-US" w:eastAsia="en-US"/>
        </w:rPr>
        <w:t xml:space="preserve"> determine the level of climate change vulnerabilities in Ghana. People </w:t>
      </w:r>
      <w:r w:rsidR="00307B8C">
        <w:rPr>
          <w:sz w:val="20"/>
          <w:szCs w:val="20"/>
          <w:lang w:val="en-US" w:eastAsia="en-US"/>
        </w:rPr>
        <w:t xml:space="preserve">living </w:t>
      </w:r>
      <w:r w:rsidR="00826A13" w:rsidRPr="004F3B24">
        <w:rPr>
          <w:sz w:val="20"/>
          <w:szCs w:val="20"/>
          <w:lang w:val="en-US" w:eastAsia="en-US"/>
        </w:rPr>
        <w:t>under the poverty line are assumed to have reduced capacity to adapt to climate change.</w:t>
      </w:r>
      <w:r w:rsidR="00826A13" w:rsidRPr="004F3B24">
        <w:rPr>
          <w:sz w:val="20"/>
          <w:szCs w:val="20"/>
          <w:vertAlign w:val="superscript"/>
          <w:lang w:val="en-US" w:eastAsia="en-US"/>
        </w:rPr>
        <w:footnoteReference w:id="6"/>
      </w:r>
      <w:r w:rsidR="00826A13" w:rsidRPr="004F3B24">
        <w:rPr>
          <w:sz w:val="20"/>
          <w:szCs w:val="20"/>
          <w:lang w:val="en-US" w:eastAsia="en-US"/>
        </w:rPr>
        <w:t xml:space="preserve"> </w:t>
      </w:r>
      <w:r w:rsidR="00AB0650" w:rsidRPr="004F3B24">
        <w:rPr>
          <w:sz w:val="20"/>
          <w:szCs w:val="20"/>
          <w:lang w:val="en-US" w:eastAsia="en-US"/>
        </w:rPr>
        <w:t xml:space="preserve">The report </w:t>
      </w:r>
      <w:r w:rsidR="00826A13" w:rsidRPr="004F3B24">
        <w:rPr>
          <w:sz w:val="20"/>
          <w:szCs w:val="20"/>
          <w:lang w:val="en-US" w:eastAsia="en-US"/>
        </w:rPr>
        <w:t xml:space="preserve">notes that despite </w:t>
      </w:r>
      <w:r w:rsidR="00307B8C">
        <w:rPr>
          <w:sz w:val="20"/>
          <w:szCs w:val="20"/>
          <w:lang w:val="en-US" w:eastAsia="en-US"/>
        </w:rPr>
        <w:t xml:space="preserve">the </w:t>
      </w:r>
      <w:r w:rsidR="00564418">
        <w:rPr>
          <w:sz w:val="20"/>
          <w:szCs w:val="20"/>
          <w:lang w:val="en-US" w:eastAsia="en-US"/>
        </w:rPr>
        <w:t xml:space="preserve">upward </w:t>
      </w:r>
      <w:r w:rsidR="00826A13" w:rsidRPr="004F3B24">
        <w:rPr>
          <w:sz w:val="20"/>
          <w:szCs w:val="20"/>
          <w:lang w:val="en-US" w:eastAsia="en-US"/>
        </w:rPr>
        <w:t xml:space="preserve">democratic </w:t>
      </w:r>
      <w:r w:rsidR="00DB40EF">
        <w:rPr>
          <w:sz w:val="20"/>
          <w:szCs w:val="20"/>
          <w:lang w:val="en-US" w:eastAsia="en-US"/>
        </w:rPr>
        <w:t>governance trajectory</w:t>
      </w:r>
      <w:r w:rsidR="00826A13" w:rsidRPr="004F3B24">
        <w:rPr>
          <w:sz w:val="20"/>
          <w:szCs w:val="20"/>
          <w:lang w:val="en-US" w:eastAsia="en-US"/>
        </w:rPr>
        <w:t xml:space="preserve">, </w:t>
      </w:r>
      <w:r w:rsidR="00564418">
        <w:rPr>
          <w:sz w:val="20"/>
          <w:szCs w:val="20"/>
          <w:lang w:val="en-US" w:eastAsia="en-US"/>
        </w:rPr>
        <w:t xml:space="preserve">national </w:t>
      </w:r>
      <w:r w:rsidR="00826A13" w:rsidRPr="004F3B24">
        <w:rPr>
          <w:sz w:val="20"/>
          <w:szCs w:val="20"/>
          <w:lang w:val="en-US" w:eastAsia="en-US"/>
        </w:rPr>
        <w:t>capacity gaps in public service delivery</w:t>
      </w:r>
      <w:r w:rsidR="00564418">
        <w:rPr>
          <w:sz w:val="20"/>
          <w:szCs w:val="20"/>
          <w:lang w:val="en-US" w:eastAsia="en-US"/>
        </w:rPr>
        <w:t>,</w:t>
      </w:r>
      <w:r w:rsidR="00826A13" w:rsidRPr="004F3B24">
        <w:rPr>
          <w:sz w:val="20"/>
          <w:szCs w:val="20"/>
          <w:lang w:val="en-US" w:eastAsia="en-US"/>
        </w:rPr>
        <w:t xml:space="preserve"> contested rule of law and human rights</w:t>
      </w:r>
      <w:r w:rsidR="00564418">
        <w:rPr>
          <w:sz w:val="20"/>
          <w:szCs w:val="20"/>
          <w:lang w:val="en-US" w:eastAsia="en-US"/>
        </w:rPr>
        <w:t xml:space="preserve"> aspects, and</w:t>
      </w:r>
      <w:r w:rsidR="00826A13" w:rsidRPr="004F3B24">
        <w:rPr>
          <w:sz w:val="20"/>
          <w:szCs w:val="20"/>
          <w:lang w:val="en-US" w:eastAsia="en-US"/>
        </w:rPr>
        <w:t xml:space="preserve"> limited participation of citizens </w:t>
      </w:r>
      <w:r w:rsidR="00564418">
        <w:rPr>
          <w:sz w:val="20"/>
          <w:szCs w:val="20"/>
          <w:lang w:val="en-US" w:eastAsia="en-US"/>
        </w:rPr>
        <w:t>(</w:t>
      </w:r>
      <w:r w:rsidR="00826A13" w:rsidRPr="004F3B24">
        <w:rPr>
          <w:sz w:val="20"/>
          <w:szCs w:val="20"/>
          <w:lang w:val="en-US" w:eastAsia="en-US"/>
        </w:rPr>
        <w:t>especially women, youth and other marginali</w:t>
      </w:r>
      <w:r w:rsidR="00564418">
        <w:rPr>
          <w:sz w:val="20"/>
          <w:szCs w:val="20"/>
          <w:lang w:val="en-US" w:eastAsia="en-US"/>
        </w:rPr>
        <w:t>z</w:t>
      </w:r>
      <w:r w:rsidR="00826A13" w:rsidRPr="004F3B24">
        <w:rPr>
          <w:sz w:val="20"/>
          <w:szCs w:val="20"/>
          <w:lang w:val="en-US" w:eastAsia="en-US"/>
        </w:rPr>
        <w:t>ed groups</w:t>
      </w:r>
      <w:r w:rsidR="00564418">
        <w:rPr>
          <w:sz w:val="20"/>
          <w:szCs w:val="20"/>
          <w:lang w:val="en-US" w:eastAsia="en-US"/>
        </w:rPr>
        <w:t>)</w:t>
      </w:r>
      <w:r w:rsidR="00826A13" w:rsidRPr="004F3B24">
        <w:rPr>
          <w:sz w:val="20"/>
          <w:szCs w:val="20"/>
          <w:lang w:val="en-US" w:eastAsia="en-US"/>
        </w:rPr>
        <w:t xml:space="preserve"> have contributed to a weakening of social contract</w:t>
      </w:r>
      <w:r w:rsidR="00564418">
        <w:rPr>
          <w:sz w:val="20"/>
          <w:szCs w:val="20"/>
          <w:lang w:val="en-US" w:eastAsia="en-US"/>
        </w:rPr>
        <w:t>s</w:t>
      </w:r>
      <w:r w:rsidR="00826A13" w:rsidRPr="004F3B24">
        <w:rPr>
          <w:sz w:val="20"/>
          <w:szCs w:val="20"/>
          <w:lang w:val="en-US" w:eastAsia="en-US"/>
        </w:rPr>
        <w:t xml:space="preserve"> and created a deficit of trust in key institutions. In addition, Ghana</w:t>
      </w:r>
      <w:r w:rsidR="00F67B1D" w:rsidRPr="004F3B24">
        <w:rPr>
          <w:sz w:val="20"/>
          <w:szCs w:val="20"/>
          <w:lang w:val="en-US" w:eastAsia="en-US"/>
        </w:rPr>
        <w:t>’s</w:t>
      </w:r>
      <w:r w:rsidR="00826A13" w:rsidRPr="004F3B24">
        <w:rPr>
          <w:sz w:val="20"/>
          <w:szCs w:val="20"/>
          <w:lang w:val="en-US" w:eastAsia="en-US"/>
        </w:rPr>
        <w:t xml:space="preserve"> peace dividend is coming under stress</w:t>
      </w:r>
      <w:r w:rsidR="00F67B1D" w:rsidRPr="004F3B24">
        <w:rPr>
          <w:sz w:val="20"/>
          <w:szCs w:val="20"/>
          <w:lang w:val="en-US" w:eastAsia="en-US"/>
        </w:rPr>
        <w:t xml:space="preserve"> as new</w:t>
      </w:r>
      <w:r w:rsidR="00826A13" w:rsidRPr="004F3B24">
        <w:rPr>
          <w:sz w:val="20"/>
          <w:szCs w:val="20"/>
          <w:lang w:val="en-US" w:eastAsia="en-US"/>
        </w:rPr>
        <w:t xml:space="preserve"> conflict drivers and </w:t>
      </w:r>
      <w:r w:rsidR="00564418">
        <w:rPr>
          <w:sz w:val="20"/>
          <w:szCs w:val="20"/>
          <w:lang w:val="en-US" w:eastAsia="en-US"/>
        </w:rPr>
        <w:t xml:space="preserve">internal and sub-regional </w:t>
      </w:r>
      <w:r w:rsidR="00826A13" w:rsidRPr="004F3B24">
        <w:rPr>
          <w:sz w:val="20"/>
          <w:szCs w:val="20"/>
          <w:lang w:val="en-US" w:eastAsia="en-US"/>
        </w:rPr>
        <w:t xml:space="preserve">threats </w:t>
      </w:r>
      <w:r w:rsidR="00F67B1D" w:rsidRPr="004F3B24">
        <w:rPr>
          <w:sz w:val="20"/>
          <w:szCs w:val="20"/>
          <w:lang w:val="en-US" w:eastAsia="en-US"/>
        </w:rPr>
        <w:t xml:space="preserve">to stability </w:t>
      </w:r>
      <w:r w:rsidR="00564418">
        <w:rPr>
          <w:sz w:val="20"/>
          <w:szCs w:val="20"/>
          <w:lang w:val="en-US" w:eastAsia="en-US"/>
        </w:rPr>
        <w:t>emerge</w:t>
      </w:r>
      <w:r w:rsidR="00826A13" w:rsidRPr="004F3B24">
        <w:rPr>
          <w:sz w:val="20"/>
          <w:szCs w:val="20"/>
          <w:lang w:val="en-US" w:eastAsia="en-US"/>
        </w:rPr>
        <w:t xml:space="preserve">. </w:t>
      </w:r>
    </w:p>
    <w:p w14:paraId="29D1A8BA" w14:textId="114E4A0A" w:rsidR="001B56AD" w:rsidRDefault="00891DA4" w:rsidP="00103EA9">
      <w:pPr>
        <w:pStyle w:val="xmsonormal"/>
        <w:numPr>
          <w:ilvl w:val="0"/>
          <w:numId w:val="50"/>
        </w:numPr>
        <w:shd w:val="clear" w:color="auto" w:fill="FFFFFF"/>
        <w:tabs>
          <w:tab w:val="left" w:pos="1260"/>
        </w:tabs>
        <w:spacing w:before="0" w:beforeAutospacing="0" w:after="120" w:afterAutospacing="0" w:line="240" w:lineRule="exact"/>
        <w:ind w:left="900" w:right="720" w:firstLine="0"/>
        <w:jc w:val="both"/>
        <w:rPr>
          <w:sz w:val="20"/>
          <w:szCs w:val="20"/>
          <w:lang w:val="en-US" w:eastAsia="en-US"/>
        </w:rPr>
      </w:pPr>
      <w:r w:rsidRPr="004F3B24">
        <w:rPr>
          <w:sz w:val="20"/>
          <w:szCs w:val="20"/>
          <w:lang w:val="en-US" w:eastAsia="en-US"/>
        </w:rPr>
        <w:t xml:space="preserve">Ghana’s vision for fulfilling </w:t>
      </w:r>
      <w:r w:rsidR="00A3122E" w:rsidRPr="004F3B24">
        <w:rPr>
          <w:sz w:val="20"/>
          <w:szCs w:val="20"/>
          <w:lang w:val="en-US" w:eastAsia="en-US"/>
        </w:rPr>
        <w:t>its</w:t>
      </w:r>
      <w:r w:rsidRPr="004F3B24">
        <w:rPr>
          <w:sz w:val="20"/>
          <w:szCs w:val="20"/>
          <w:lang w:val="en-US" w:eastAsia="en-US"/>
        </w:rPr>
        <w:t xml:space="preserve"> development potential, </w:t>
      </w:r>
      <w:r w:rsidR="00A3122E" w:rsidRPr="004F3B24">
        <w:rPr>
          <w:sz w:val="20"/>
          <w:szCs w:val="20"/>
          <w:lang w:val="en-US" w:eastAsia="en-US"/>
        </w:rPr>
        <w:t xml:space="preserve">addressing identified challenges, </w:t>
      </w:r>
      <w:r w:rsidRPr="004F3B24">
        <w:rPr>
          <w:sz w:val="20"/>
          <w:szCs w:val="20"/>
          <w:lang w:val="en-US" w:eastAsia="en-US"/>
        </w:rPr>
        <w:t xml:space="preserve">consolidating </w:t>
      </w:r>
      <w:r w:rsidR="000372D6" w:rsidRPr="004F3B24">
        <w:rPr>
          <w:sz w:val="20"/>
          <w:szCs w:val="20"/>
          <w:lang w:val="en-US" w:eastAsia="en-US"/>
        </w:rPr>
        <w:t>its</w:t>
      </w:r>
      <w:r w:rsidRPr="004F3B24">
        <w:rPr>
          <w:sz w:val="20"/>
          <w:szCs w:val="20"/>
          <w:lang w:val="en-US" w:eastAsia="en-US"/>
        </w:rPr>
        <w:t xml:space="preserve"> status as a </w:t>
      </w:r>
      <w:r w:rsidR="00564418">
        <w:rPr>
          <w:sz w:val="20"/>
          <w:szCs w:val="20"/>
          <w:lang w:val="en-US" w:eastAsia="en-US"/>
        </w:rPr>
        <w:t>m</w:t>
      </w:r>
      <w:r w:rsidRPr="004F3B24">
        <w:rPr>
          <w:sz w:val="20"/>
          <w:szCs w:val="20"/>
          <w:lang w:val="en-US" w:eastAsia="en-US"/>
        </w:rPr>
        <w:t>iddle-</w:t>
      </w:r>
      <w:r w:rsidR="00564418">
        <w:rPr>
          <w:sz w:val="20"/>
          <w:szCs w:val="20"/>
          <w:lang w:val="en-US" w:eastAsia="en-US"/>
        </w:rPr>
        <w:t>i</w:t>
      </w:r>
      <w:r w:rsidRPr="004F3B24">
        <w:rPr>
          <w:sz w:val="20"/>
          <w:szCs w:val="20"/>
          <w:lang w:val="en-US" w:eastAsia="en-US"/>
        </w:rPr>
        <w:t xml:space="preserve">ncome </w:t>
      </w:r>
      <w:r w:rsidR="00564418">
        <w:rPr>
          <w:sz w:val="20"/>
          <w:szCs w:val="20"/>
          <w:lang w:val="en-US" w:eastAsia="en-US"/>
        </w:rPr>
        <w:t>c</w:t>
      </w:r>
      <w:r w:rsidRPr="004F3B24">
        <w:rPr>
          <w:sz w:val="20"/>
          <w:szCs w:val="20"/>
          <w:lang w:val="en-US" w:eastAsia="en-US"/>
        </w:rPr>
        <w:t xml:space="preserve">ountry and supporting Ghana Beyond Aid are defined in several major policy documents and national strategies. At the centre of different policies and strategies is the Coordinated Programme of Economic and Social Development Policies (CPESDP) 2017- 2024 that sets out the </w:t>
      </w:r>
      <w:r w:rsidR="00564418">
        <w:rPr>
          <w:sz w:val="20"/>
          <w:szCs w:val="20"/>
          <w:lang w:val="en-US" w:eastAsia="en-US"/>
        </w:rPr>
        <w:t>g</w:t>
      </w:r>
      <w:r w:rsidRPr="004F3B24">
        <w:rPr>
          <w:sz w:val="20"/>
          <w:szCs w:val="20"/>
          <w:lang w:val="en-US" w:eastAsia="en-US"/>
        </w:rPr>
        <w:t xml:space="preserve">overnment vision </w:t>
      </w:r>
      <w:r w:rsidR="00564418">
        <w:rPr>
          <w:sz w:val="20"/>
          <w:szCs w:val="20"/>
          <w:lang w:val="en-US" w:eastAsia="en-US"/>
        </w:rPr>
        <w:t>for</w:t>
      </w:r>
      <w:r w:rsidR="00564418" w:rsidRPr="004F3B24">
        <w:rPr>
          <w:sz w:val="20"/>
          <w:szCs w:val="20"/>
          <w:lang w:val="en-US" w:eastAsia="en-US"/>
        </w:rPr>
        <w:t xml:space="preserve"> </w:t>
      </w:r>
      <w:r w:rsidRPr="004F3B24">
        <w:rPr>
          <w:sz w:val="20"/>
          <w:szCs w:val="20"/>
          <w:lang w:val="en-US" w:eastAsia="en-US"/>
        </w:rPr>
        <w:t xml:space="preserve">creating an optimistic, self-confident, and prosperous nation. CPESDP calls for this to be done through the creative </w:t>
      </w:r>
      <w:r w:rsidR="00564418">
        <w:rPr>
          <w:sz w:val="20"/>
          <w:szCs w:val="20"/>
          <w:lang w:val="en-US" w:eastAsia="en-US"/>
        </w:rPr>
        <w:t>use</w:t>
      </w:r>
      <w:r w:rsidR="00564418" w:rsidRPr="004F3B24">
        <w:rPr>
          <w:sz w:val="20"/>
          <w:szCs w:val="20"/>
          <w:lang w:val="en-US" w:eastAsia="en-US"/>
        </w:rPr>
        <w:t xml:space="preserve"> </w:t>
      </w:r>
      <w:r w:rsidRPr="004F3B24">
        <w:rPr>
          <w:sz w:val="20"/>
          <w:szCs w:val="20"/>
          <w:lang w:val="en-US" w:eastAsia="en-US"/>
        </w:rPr>
        <w:t xml:space="preserve">of the country’s human and natural resources, and operating within a democratic, open and fair society </w:t>
      </w:r>
      <w:r w:rsidR="00564418">
        <w:rPr>
          <w:sz w:val="20"/>
          <w:szCs w:val="20"/>
          <w:lang w:val="en-US" w:eastAsia="en-US"/>
        </w:rPr>
        <w:t>where</w:t>
      </w:r>
      <w:r w:rsidRPr="004F3B24">
        <w:rPr>
          <w:sz w:val="20"/>
          <w:szCs w:val="20"/>
          <w:lang w:val="en-US" w:eastAsia="en-US"/>
        </w:rPr>
        <w:t xml:space="preserve"> mutual trust and economic opportunities exist for all. CPESDP also seeks to moderni</w:t>
      </w:r>
      <w:r w:rsidR="00564418">
        <w:rPr>
          <w:sz w:val="20"/>
          <w:szCs w:val="20"/>
          <w:lang w:val="en-US" w:eastAsia="en-US"/>
        </w:rPr>
        <w:t>z</w:t>
      </w:r>
      <w:r w:rsidRPr="004F3B24">
        <w:rPr>
          <w:sz w:val="20"/>
          <w:szCs w:val="20"/>
          <w:lang w:val="en-US" w:eastAsia="en-US"/>
        </w:rPr>
        <w:t>e and transform agriculture, promote industrial diversification, and accelerate youth employment with deliberate national strategies to locali</w:t>
      </w:r>
      <w:r w:rsidR="00564418">
        <w:rPr>
          <w:sz w:val="20"/>
          <w:szCs w:val="20"/>
          <w:lang w:val="en-US" w:eastAsia="en-US"/>
        </w:rPr>
        <w:t>z</w:t>
      </w:r>
      <w:r w:rsidRPr="004F3B24">
        <w:rPr>
          <w:sz w:val="20"/>
          <w:szCs w:val="20"/>
          <w:lang w:val="en-US" w:eastAsia="en-US"/>
        </w:rPr>
        <w:t>e and achieve the SDGs</w:t>
      </w:r>
      <w:r w:rsidR="00C33CB1">
        <w:rPr>
          <w:sz w:val="20"/>
          <w:szCs w:val="20"/>
          <w:lang w:val="en-US" w:eastAsia="en-US"/>
        </w:rPr>
        <w:t>,</w:t>
      </w:r>
      <w:r w:rsidRPr="004F3B24">
        <w:rPr>
          <w:sz w:val="20"/>
          <w:szCs w:val="20"/>
          <w:lang w:val="en-US" w:eastAsia="en-US"/>
        </w:rPr>
        <w:t xml:space="preserve"> leaving no one behind.</w:t>
      </w:r>
    </w:p>
    <w:p w14:paraId="65CF88B7" w14:textId="22100ADE" w:rsidR="00D041D1" w:rsidRPr="004F3B24" w:rsidRDefault="001B56AD" w:rsidP="00103EA9">
      <w:pPr>
        <w:pStyle w:val="xmsonormal"/>
        <w:numPr>
          <w:ilvl w:val="0"/>
          <w:numId w:val="50"/>
        </w:numPr>
        <w:shd w:val="clear" w:color="auto" w:fill="FFFFFF"/>
        <w:tabs>
          <w:tab w:val="left" w:pos="1260"/>
        </w:tabs>
        <w:spacing w:before="0" w:beforeAutospacing="0" w:after="120" w:afterAutospacing="0" w:line="240" w:lineRule="exact"/>
        <w:ind w:left="900" w:right="720" w:firstLine="0"/>
        <w:jc w:val="both"/>
        <w:rPr>
          <w:color w:val="FF0000"/>
          <w:sz w:val="20"/>
          <w:szCs w:val="20"/>
          <w:lang w:val="en-US" w:eastAsia="en-US"/>
        </w:rPr>
      </w:pPr>
      <w:r w:rsidRPr="004F3B24">
        <w:rPr>
          <w:sz w:val="20"/>
          <w:szCs w:val="20"/>
          <w:lang w:val="en-US" w:eastAsia="en-US"/>
        </w:rPr>
        <w:lastRenderedPageBreak/>
        <w:t xml:space="preserve">The UNSDCF articulates </w:t>
      </w:r>
      <w:r w:rsidR="00564418">
        <w:rPr>
          <w:sz w:val="20"/>
          <w:szCs w:val="20"/>
          <w:lang w:val="en-US" w:eastAsia="en-US"/>
        </w:rPr>
        <w:t>g</w:t>
      </w:r>
      <w:r w:rsidRPr="004F3B24">
        <w:rPr>
          <w:sz w:val="20"/>
          <w:szCs w:val="20"/>
          <w:lang w:val="en-US" w:eastAsia="en-US"/>
        </w:rPr>
        <w:t xml:space="preserve">overnment expectations of the UN </w:t>
      </w:r>
      <w:r w:rsidR="00564418">
        <w:rPr>
          <w:sz w:val="20"/>
          <w:szCs w:val="20"/>
          <w:lang w:val="en-US" w:eastAsia="en-US"/>
        </w:rPr>
        <w:t>d</w:t>
      </w:r>
      <w:r w:rsidRPr="004F3B24">
        <w:rPr>
          <w:sz w:val="20"/>
          <w:szCs w:val="20"/>
          <w:lang w:val="en-US" w:eastAsia="en-US"/>
        </w:rPr>
        <w:t xml:space="preserve">evelopment </w:t>
      </w:r>
      <w:r w:rsidR="00564418">
        <w:rPr>
          <w:sz w:val="20"/>
          <w:szCs w:val="20"/>
          <w:lang w:val="en-US" w:eastAsia="en-US"/>
        </w:rPr>
        <w:t>s</w:t>
      </w:r>
      <w:r w:rsidRPr="004F3B24">
        <w:rPr>
          <w:sz w:val="20"/>
          <w:szCs w:val="20"/>
          <w:lang w:val="en-US" w:eastAsia="en-US"/>
        </w:rPr>
        <w:t xml:space="preserve">ystem (UNDS) in delivering strategic priorities of the Government of Ghana. It </w:t>
      </w:r>
      <w:r w:rsidR="00B87671" w:rsidRPr="004F3B24">
        <w:rPr>
          <w:sz w:val="20"/>
          <w:szCs w:val="20"/>
          <w:lang w:val="en-US" w:eastAsia="en-US"/>
        </w:rPr>
        <w:t>centralizes</w:t>
      </w:r>
      <w:r w:rsidRPr="004F3B24">
        <w:rPr>
          <w:sz w:val="20"/>
          <w:szCs w:val="20"/>
          <w:lang w:val="en-US" w:eastAsia="en-US"/>
        </w:rPr>
        <w:t xml:space="preserve"> the economic transformation agenda and commitment to leav</w:t>
      </w:r>
      <w:r w:rsidR="007E283B">
        <w:rPr>
          <w:sz w:val="20"/>
          <w:szCs w:val="20"/>
          <w:lang w:val="en-US" w:eastAsia="en-US"/>
        </w:rPr>
        <w:t>e</w:t>
      </w:r>
      <w:r w:rsidRPr="004F3B24">
        <w:rPr>
          <w:sz w:val="20"/>
          <w:szCs w:val="20"/>
          <w:lang w:val="en-US" w:eastAsia="en-US"/>
        </w:rPr>
        <w:t xml:space="preserve"> no one behind, with special attention </w:t>
      </w:r>
      <w:r w:rsidR="007E283B">
        <w:rPr>
          <w:sz w:val="20"/>
          <w:szCs w:val="20"/>
          <w:lang w:val="en-US" w:eastAsia="en-US"/>
        </w:rPr>
        <w:t>on</w:t>
      </w:r>
      <w:r w:rsidR="007E283B" w:rsidRPr="004F3B24">
        <w:rPr>
          <w:sz w:val="20"/>
          <w:szCs w:val="20"/>
          <w:lang w:val="en-US" w:eastAsia="en-US"/>
        </w:rPr>
        <w:t xml:space="preserve"> </w:t>
      </w:r>
      <w:r w:rsidRPr="004F3B24">
        <w:rPr>
          <w:sz w:val="20"/>
          <w:szCs w:val="20"/>
          <w:lang w:val="en-US" w:eastAsia="en-US"/>
        </w:rPr>
        <w:t>the country’s youth</w:t>
      </w:r>
      <w:r w:rsidR="007E283B">
        <w:rPr>
          <w:sz w:val="20"/>
          <w:szCs w:val="20"/>
          <w:lang w:val="en-US" w:eastAsia="en-US"/>
        </w:rPr>
        <w:t xml:space="preserve"> and SDG </w:t>
      </w:r>
      <w:r w:rsidRPr="004F3B24">
        <w:rPr>
          <w:sz w:val="20"/>
          <w:szCs w:val="20"/>
          <w:lang w:val="en-US" w:eastAsia="en-US"/>
        </w:rPr>
        <w:t>achievement.</w:t>
      </w:r>
      <w:r w:rsidRPr="00673EE5">
        <w:rPr>
          <w:sz w:val="20"/>
          <w:szCs w:val="20"/>
          <w:lang w:val="en-US" w:eastAsia="en-US"/>
        </w:rPr>
        <w:t xml:space="preserve"> </w:t>
      </w:r>
      <w:r w:rsidR="007E283B">
        <w:rPr>
          <w:sz w:val="20"/>
          <w:szCs w:val="20"/>
          <w:lang w:val="en-US" w:eastAsia="en-US"/>
        </w:rPr>
        <w:t>Considering</w:t>
      </w:r>
      <w:r w:rsidR="007E283B" w:rsidRPr="00673EE5">
        <w:rPr>
          <w:sz w:val="20"/>
          <w:szCs w:val="20"/>
          <w:lang w:val="en-US" w:eastAsia="en-US"/>
        </w:rPr>
        <w:t xml:space="preserve"> </w:t>
      </w:r>
      <w:r w:rsidR="00453F32" w:rsidRPr="00673EE5">
        <w:rPr>
          <w:sz w:val="20"/>
          <w:szCs w:val="20"/>
          <w:lang w:val="en-US" w:eastAsia="en-US"/>
        </w:rPr>
        <w:t>lesson</w:t>
      </w:r>
      <w:r w:rsidR="007E283B">
        <w:rPr>
          <w:sz w:val="20"/>
          <w:szCs w:val="20"/>
          <w:lang w:val="en-US" w:eastAsia="en-US"/>
        </w:rPr>
        <w:t>s</w:t>
      </w:r>
      <w:r w:rsidR="00453F32" w:rsidRPr="00673EE5">
        <w:rPr>
          <w:sz w:val="20"/>
          <w:szCs w:val="20"/>
          <w:lang w:val="en-US" w:eastAsia="en-US"/>
        </w:rPr>
        <w:t xml:space="preserve"> learn</w:t>
      </w:r>
      <w:r w:rsidR="007E283B">
        <w:rPr>
          <w:sz w:val="20"/>
          <w:szCs w:val="20"/>
          <w:lang w:val="en-US" w:eastAsia="en-US"/>
        </w:rPr>
        <w:t>ed</w:t>
      </w:r>
      <w:r w:rsidR="00453F32" w:rsidRPr="00673EE5">
        <w:rPr>
          <w:sz w:val="20"/>
          <w:szCs w:val="20"/>
          <w:lang w:val="en-US" w:eastAsia="en-US"/>
        </w:rPr>
        <w:t xml:space="preserve"> from the</w:t>
      </w:r>
      <w:r w:rsidR="00395B84">
        <w:rPr>
          <w:sz w:val="20"/>
          <w:szCs w:val="20"/>
          <w:lang w:val="en-US" w:eastAsia="en-US"/>
        </w:rPr>
        <w:t xml:space="preserve"> UN Sustainable Development Partnership (</w:t>
      </w:r>
      <w:r w:rsidR="00453F32" w:rsidRPr="00673EE5">
        <w:rPr>
          <w:sz w:val="20"/>
          <w:szCs w:val="20"/>
          <w:lang w:val="en-US" w:eastAsia="en-US"/>
        </w:rPr>
        <w:t>UNSDP</w:t>
      </w:r>
      <w:r w:rsidR="00395B84">
        <w:rPr>
          <w:sz w:val="20"/>
          <w:szCs w:val="20"/>
          <w:lang w:val="en-US" w:eastAsia="en-US"/>
        </w:rPr>
        <w:t>)</w:t>
      </w:r>
      <w:r w:rsidR="00453F32" w:rsidRPr="00673EE5">
        <w:rPr>
          <w:sz w:val="20"/>
          <w:szCs w:val="20"/>
          <w:lang w:val="en-US" w:eastAsia="en-US"/>
        </w:rPr>
        <w:t xml:space="preserve"> 2018-2022 Evaluation, the new UNSDCF (2022</w:t>
      </w:r>
      <w:r w:rsidR="00EC2011" w:rsidRPr="00673EE5">
        <w:rPr>
          <w:sz w:val="20"/>
          <w:szCs w:val="20"/>
          <w:lang w:val="en-US" w:eastAsia="en-US"/>
        </w:rPr>
        <w:t>-</w:t>
      </w:r>
      <w:r w:rsidR="00453F32" w:rsidRPr="00673EE5">
        <w:rPr>
          <w:sz w:val="20"/>
          <w:szCs w:val="20"/>
          <w:lang w:val="en-US" w:eastAsia="en-US"/>
        </w:rPr>
        <w:t>2025) development process adopted a co-creation approach that involved participatory consultation</w:t>
      </w:r>
      <w:r w:rsidR="00C041D5" w:rsidRPr="00673EE5">
        <w:rPr>
          <w:sz w:val="20"/>
          <w:szCs w:val="20"/>
          <w:lang w:val="en-US" w:eastAsia="en-US"/>
        </w:rPr>
        <w:t>s</w:t>
      </w:r>
      <w:r w:rsidR="00453F32" w:rsidRPr="00673EE5">
        <w:rPr>
          <w:sz w:val="20"/>
          <w:szCs w:val="20"/>
          <w:lang w:val="en-US" w:eastAsia="en-US"/>
        </w:rPr>
        <w:t xml:space="preserve"> </w:t>
      </w:r>
      <w:r w:rsidR="000D7680" w:rsidRPr="00673EE5">
        <w:rPr>
          <w:sz w:val="20"/>
          <w:szCs w:val="20"/>
          <w:lang w:val="en-US" w:eastAsia="en-US"/>
        </w:rPr>
        <w:t>and inputs from</w:t>
      </w:r>
      <w:r w:rsidR="00453F32" w:rsidRPr="00673EE5">
        <w:rPr>
          <w:sz w:val="20"/>
          <w:szCs w:val="20"/>
          <w:lang w:val="en-US" w:eastAsia="en-US"/>
        </w:rPr>
        <w:t xml:space="preserve"> all stakeholders to facilitate implementation.</w:t>
      </w:r>
      <w:r w:rsidR="00453F32" w:rsidRPr="00453F32">
        <w:rPr>
          <w:sz w:val="20"/>
          <w:szCs w:val="20"/>
          <w:lang w:val="en-US" w:eastAsia="en-US"/>
        </w:rPr>
        <w:t xml:space="preserve"> </w:t>
      </w:r>
      <w:r w:rsidR="00F079F3">
        <w:rPr>
          <w:sz w:val="20"/>
          <w:szCs w:val="20"/>
          <w:lang w:val="en-US" w:eastAsia="en-US"/>
        </w:rPr>
        <w:t>T</w:t>
      </w:r>
      <w:r w:rsidR="003B271D" w:rsidRPr="004F3B24">
        <w:rPr>
          <w:sz w:val="20"/>
          <w:szCs w:val="20"/>
          <w:lang w:val="en-US" w:eastAsia="en-US"/>
        </w:rPr>
        <w:t>he UNDP Country Programme</w:t>
      </w:r>
      <w:r w:rsidR="00F57FBE">
        <w:rPr>
          <w:sz w:val="20"/>
          <w:szCs w:val="20"/>
          <w:lang w:val="en-US" w:eastAsia="en-US"/>
        </w:rPr>
        <w:t xml:space="preserve"> </w:t>
      </w:r>
      <w:r w:rsidR="00BB4109">
        <w:rPr>
          <w:sz w:val="20"/>
          <w:szCs w:val="20"/>
          <w:lang w:val="en-US" w:eastAsia="en-US"/>
        </w:rPr>
        <w:t xml:space="preserve">is </w:t>
      </w:r>
      <w:r w:rsidR="00BB4109" w:rsidRPr="00673EE5">
        <w:rPr>
          <w:sz w:val="20"/>
          <w:szCs w:val="20"/>
          <w:lang w:val="en-US" w:eastAsia="en-US"/>
        </w:rPr>
        <w:t>anchored in the UNSDCF</w:t>
      </w:r>
      <w:r w:rsidR="00734A93">
        <w:rPr>
          <w:sz w:val="20"/>
          <w:szCs w:val="20"/>
          <w:lang w:val="en-US" w:eastAsia="en-US"/>
        </w:rPr>
        <w:t xml:space="preserve"> </w:t>
      </w:r>
      <w:r w:rsidR="00734A93" w:rsidRPr="00673EE5">
        <w:rPr>
          <w:sz w:val="20"/>
          <w:szCs w:val="20"/>
          <w:lang w:val="en-US" w:eastAsia="en-US"/>
        </w:rPr>
        <w:t>and</w:t>
      </w:r>
      <w:r w:rsidR="003B271D" w:rsidRPr="004F3B24">
        <w:rPr>
          <w:sz w:val="20"/>
          <w:szCs w:val="20"/>
          <w:lang w:val="en-US" w:eastAsia="en-US"/>
        </w:rPr>
        <w:t xml:space="preserve"> takes inspiration from the Ghana Coordinated Programme for Economic and Social Development (CPESD) vision document and Ghana Beyond Aid strategy document. Together, the</w:t>
      </w:r>
      <w:r w:rsidR="00EC2011">
        <w:rPr>
          <w:sz w:val="20"/>
          <w:szCs w:val="20"/>
          <w:lang w:val="en-US" w:eastAsia="en-US"/>
        </w:rPr>
        <w:t>se</w:t>
      </w:r>
      <w:r w:rsidR="003B271D" w:rsidRPr="004F3B24">
        <w:rPr>
          <w:sz w:val="20"/>
          <w:szCs w:val="20"/>
          <w:lang w:val="en-US" w:eastAsia="en-US"/>
        </w:rPr>
        <w:t xml:space="preserve"> form the </w:t>
      </w:r>
      <w:r w:rsidR="00B87671" w:rsidRPr="004F3B24">
        <w:rPr>
          <w:sz w:val="20"/>
          <w:szCs w:val="20"/>
          <w:lang w:val="en-US" w:eastAsia="en-US"/>
        </w:rPr>
        <w:t>centerpiece</w:t>
      </w:r>
      <w:r w:rsidR="003B271D" w:rsidRPr="004F3B24">
        <w:rPr>
          <w:sz w:val="20"/>
          <w:szCs w:val="20"/>
          <w:lang w:val="en-US" w:eastAsia="en-US"/>
        </w:rPr>
        <w:t xml:space="preserve"> towards </w:t>
      </w:r>
      <w:r w:rsidR="007E283B">
        <w:rPr>
          <w:sz w:val="20"/>
          <w:szCs w:val="20"/>
          <w:lang w:val="en-US" w:eastAsia="en-US"/>
        </w:rPr>
        <w:t>fulfilling</w:t>
      </w:r>
      <w:r w:rsidR="003B271D" w:rsidRPr="004F3B24">
        <w:rPr>
          <w:sz w:val="20"/>
          <w:szCs w:val="20"/>
          <w:lang w:val="en-US" w:eastAsia="en-US"/>
        </w:rPr>
        <w:t xml:space="preserve"> the economic and social transformation agenda in Ghana. The overarching vision of these two documents rests on the goals of a wealthy, inclusive, sustainable, empowered, and resilient Ghana </w:t>
      </w:r>
      <w:r w:rsidR="007E283B">
        <w:rPr>
          <w:sz w:val="20"/>
          <w:szCs w:val="20"/>
          <w:lang w:val="en-US" w:eastAsia="en-US"/>
        </w:rPr>
        <w:t>where the people are</w:t>
      </w:r>
      <w:r w:rsidR="007E283B" w:rsidRPr="004F3B24">
        <w:rPr>
          <w:sz w:val="20"/>
          <w:szCs w:val="20"/>
          <w:lang w:val="en-US" w:eastAsia="en-US"/>
        </w:rPr>
        <w:t xml:space="preserve"> </w:t>
      </w:r>
      <w:r w:rsidR="003B271D" w:rsidRPr="004F3B24">
        <w:rPr>
          <w:sz w:val="20"/>
          <w:szCs w:val="20"/>
          <w:lang w:val="en-US" w:eastAsia="en-US"/>
        </w:rPr>
        <w:t xml:space="preserve">self-reliant and in charge of </w:t>
      </w:r>
      <w:r w:rsidR="007E283B">
        <w:rPr>
          <w:sz w:val="20"/>
          <w:szCs w:val="20"/>
          <w:lang w:val="en-US" w:eastAsia="en-US"/>
        </w:rPr>
        <w:t xml:space="preserve">the country’s </w:t>
      </w:r>
      <w:r w:rsidR="003B271D" w:rsidRPr="004F3B24">
        <w:rPr>
          <w:sz w:val="20"/>
          <w:szCs w:val="20"/>
          <w:lang w:val="en-US" w:eastAsia="en-US"/>
        </w:rPr>
        <w:t xml:space="preserve">destiny. </w:t>
      </w:r>
      <w:r w:rsidR="007E283B">
        <w:rPr>
          <w:sz w:val="20"/>
          <w:szCs w:val="20"/>
          <w:lang w:val="en-US" w:eastAsia="en-US"/>
        </w:rPr>
        <w:t>Complimentary</w:t>
      </w:r>
      <w:r w:rsidR="003B271D" w:rsidRPr="004F3B24">
        <w:rPr>
          <w:sz w:val="20"/>
          <w:szCs w:val="20"/>
          <w:lang w:val="en-US" w:eastAsia="en-US"/>
        </w:rPr>
        <w:t xml:space="preserve"> to the policy vision are commitments to </w:t>
      </w:r>
      <w:r w:rsidR="007E283B">
        <w:rPr>
          <w:sz w:val="20"/>
          <w:szCs w:val="20"/>
          <w:lang w:val="en-US" w:eastAsia="en-US"/>
        </w:rPr>
        <w:t xml:space="preserve">implementing the </w:t>
      </w:r>
      <w:r w:rsidR="003B271D" w:rsidRPr="004F3B24">
        <w:rPr>
          <w:sz w:val="20"/>
          <w:szCs w:val="20"/>
          <w:lang w:val="en-US" w:eastAsia="en-US"/>
        </w:rPr>
        <w:t xml:space="preserve">SDGs, African Union Agenda 2063, and Paris Agreement on Climate Change (COP21). These policy commitments are being implemented through the </w:t>
      </w:r>
      <w:r w:rsidR="007E283B">
        <w:rPr>
          <w:sz w:val="20"/>
          <w:szCs w:val="20"/>
          <w:lang w:val="en-US" w:eastAsia="en-US"/>
        </w:rPr>
        <w:t xml:space="preserve">post-COVID-19 </w:t>
      </w:r>
      <w:r w:rsidR="003B271D" w:rsidRPr="004F3B24">
        <w:rPr>
          <w:sz w:val="20"/>
          <w:szCs w:val="20"/>
          <w:lang w:val="en-US" w:eastAsia="en-US"/>
        </w:rPr>
        <w:t>blueprint for economic recovery</w:t>
      </w:r>
      <w:r w:rsidR="007E283B">
        <w:rPr>
          <w:sz w:val="20"/>
          <w:szCs w:val="20"/>
          <w:lang w:val="en-US" w:eastAsia="en-US"/>
        </w:rPr>
        <w:t xml:space="preserve">, </w:t>
      </w:r>
      <w:r w:rsidR="003B271D" w:rsidRPr="004F3B24">
        <w:rPr>
          <w:sz w:val="20"/>
          <w:szCs w:val="20"/>
          <w:lang w:val="en-US" w:eastAsia="en-US"/>
        </w:rPr>
        <w:t>Ghana CARES programme</w:t>
      </w:r>
      <w:r w:rsidR="007E283B">
        <w:rPr>
          <w:sz w:val="20"/>
          <w:szCs w:val="20"/>
          <w:lang w:val="en-US" w:eastAsia="en-US"/>
        </w:rPr>
        <w:t>,</w:t>
      </w:r>
      <w:r w:rsidR="003B271D" w:rsidRPr="004F3B24">
        <w:rPr>
          <w:sz w:val="20"/>
          <w:szCs w:val="20"/>
          <w:lang w:val="en-US" w:eastAsia="en-US"/>
        </w:rPr>
        <w:t xml:space="preserve"> and the medium-term development framework (2022-2025).</w:t>
      </w:r>
    </w:p>
    <w:p w14:paraId="2889741B" w14:textId="5CE16904" w:rsidR="00D041D1" w:rsidRPr="004F3B24" w:rsidRDefault="003B271D" w:rsidP="00103EA9">
      <w:pPr>
        <w:pStyle w:val="xmsonormal"/>
        <w:numPr>
          <w:ilvl w:val="0"/>
          <w:numId w:val="50"/>
        </w:numPr>
        <w:shd w:val="clear" w:color="auto" w:fill="FFFFFF"/>
        <w:tabs>
          <w:tab w:val="left" w:pos="1260"/>
        </w:tabs>
        <w:spacing w:before="0" w:beforeAutospacing="0" w:after="120" w:afterAutospacing="0" w:line="240" w:lineRule="exact"/>
        <w:ind w:left="900" w:right="720" w:firstLine="0"/>
        <w:jc w:val="both"/>
        <w:rPr>
          <w:sz w:val="20"/>
          <w:szCs w:val="20"/>
          <w:lang w:val="en-US" w:eastAsia="en-US"/>
        </w:rPr>
      </w:pPr>
      <w:r w:rsidRPr="004F3B24">
        <w:rPr>
          <w:sz w:val="20"/>
          <w:szCs w:val="20"/>
          <w:lang w:val="en-US" w:eastAsia="en-US"/>
        </w:rPr>
        <w:t xml:space="preserve">The Ghana country programme also takes inspiration from the UNDP Strategic Plan (2022-2025) with </w:t>
      </w:r>
      <w:r w:rsidR="007E283B">
        <w:rPr>
          <w:sz w:val="20"/>
          <w:szCs w:val="20"/>
          <w:lang w:val="en-US" w:eastAsia="en-US"/>
        </w:rPr>
        <w:t>the</w:t>
      </w:r>
      <w:r w:rsidRPr="004F3B24">
        <w:rPr>
          <w:sz w:val="20"/>
          <w:szCs w:val="20"/>
          <w:lang w:val="en-US" w:eastAsia="en-US"/>
        </w:rPr>
        <w:t xml:space="preserve"> focus on three directions of change</w:t>
      </w:r>
      <w:r w:rsidR="007E283B">
        <w:rPr>
          <w:sz w:val="20"/>
          <w:szCs w:val="20"/>
          <w:lang w:val="en-US" w:eastAsia="en-US"/>
        </w:rPr>
        <w:t xml:space="preserve"> (</w:t>
      </w:r>
      <w:r w:rsidRPr="004F3B24">
        <w:rPr>
          <w:sz w:val="20"/>
          <w:szCs w:val="20"/>
          <w:lang w:val="en-US" w:eastAsia="en-US"/>
        </w:rPr>
        <w:t>structural transformation</w:t>
      </w:r>
      <w:r w:rsidR="007E283B">
        <w:rPr>
          <w:sz w:val="20"/>
          <w:szCs w:val="20"/>
          <w:lang w:val="en-US" w:eastAsia="en-US"/>
        </w:rPr>
        <w:t>,</w:t>
      </w:r>
      <w:r w:rsidRPr="004F3B24">
        <w:rPr>
          <w:sz w:val="20"/>
          <w:szCs w:val="20"/>
          <w:lang w:val="en-US" w:eastAsia="en-US"/>
        </w:rPr>
        <w:t xml:space="preserve"> leaving no one behind</w:t>
      </w:r>
      <w:r w:rsidR="007E283B">
        <w:rPr>
          <w:sz w:val="20"/>
          <w:szCs w:val="20"/>
          <w:lang w:val="en-US" w:eastAsia="en-US"/>
        </w:rPr>
        <w:t>,</w:t>
      </w:r>
      <w:r w:rsidRPr="004F3B24">
        <w:rPr>
          <w:sz w:val="20"/>
          <w:szCs w:val="20"/>
          <w:lang w:val="en-US" w:eastAsia="en-US"/>
        </w:rPr>
        <w:t xml:space="preserve"> and building resilience</w:t>
      </w:r>
      <w:r w:rsidR="007E283B">
        <w:rPr>
          <w:sz w:val="20"/>
          <w:szCs w:val="20"/>
          <w:lang w:val="en-US" w:eastAsia="en-US"/>
        </w:rPr>
        <w:t>)</w:t>
      </w:r>
      <w:r w:rsidR="000A5DFF" w:rsidRPr="00673EE5">
        <w:rPr>
          <w:sz w:val="20"/>
          <w:szCs w:val="20"/>
          <w:lang w:val="en-US" w:eastAsia="en-US"/>
        </w:rPr>
        <w:t>, as well as the six signature solutions</w:t>
      </w:r>
      <w:r w:rsidR="00370210" w:rsidRPr="00370210">
        <w:rPr>
          <w:sz w:val="20"/>
          <w:szCs w:val="20"/>
          <w:lang w:val="en-US" w:eastAsia="en-US"/>
        </w:rPr>
        <w:t xml:space="preserve"> </w:t>
      </w:r>
      <w:r w:rsidR="001A31ED">
        <w:rPr>
          <w:sz w:val="20"/>
          <w:szCs w:val="20"/>
          <w:lang w:val="en-US" w:eastAsia="en-US"/>
        </w:rPr>
        <w:t xml:space="preserve">and </w:t>
      </w:r>
      <w:r w:rsidR="00370210" w:rsidRPr="004F3B24">
        <w:rPr>
          <w:sz w:val="20"/>
          <w:szCs w:val="20"/>
          <w:lang w:val="en-US" w:eastAsia="en-US"/>
        </w:rPr>
        <w:t>UNDP Strategic offer for Africa (2022-2025)</w:t>
      </w:r>
      <w:r w:rsidRPr="004F3B24">
        <w:rPr>
          <w:sz w:val="20"/>
          <w:szCs w:val="20"/>
          <w:lang w:val="en-US" w:eastAsia="en-US"/>
        </w:rPr>
        <w:t xml:space="preserve">. </w:t>
      </w:r>
      <w:r w:rsidR="00DF2088">
        <w:rPr>
          <w:sz w:val="20"/>
          <w:szCs w:val="20"/>
          <w:lang w:val="en-US" w:eastAsia="en-US"/>
        </w:rPr>
        <w:t xml:space="preserve">It also takes advantage of </w:t>
      </w:r>
      <w:r w:rsidR="00CE2604" w:rsidRPr="00A43175">
        <w:rPr>
          <w:sz w:val="20"/>
          <w:szCs w:val="20"/>
          <w:lang w:val="en-US" w:eastAsia="en-US"/>
        </w:rPr>
        <w:t>lessons learn</w:t>
      </w:r>
      <w:r w:rsidR="007E283B">
        <w:rPr>
          <w:sz w:val="20"/>
          <w:szCs w:val="20"/>
          <w:lang w:val="en-US" w:eastAsia="en-US"/>
        </w:rPr>
        <w:t>ed</w:t>
      </w:r>
      <w:r w:rsidR="00CE2604" w:rsidRPr="00A43175">
        <w:rPr>
          <w:sz w:val="20"/>
          <w:szCs w:val="20"/>
          <w:lang w:val="en-US" w:eastAsia="en-US"/>
        </w:rPr>
        <w:t xml:space="preserve"> from evaluations</w:t>
      </w:r>
      <w:r w:rsidR="007E283B">
        <w:rPr>
          <w:sz w:val="20"/>
          <w:szCs w:val="20"/>
          <w:lang w:val="en-US" w:eastAsia="en-US"/>
        </w:rPr>
        <w:t>,</w:t>
      </w:r>
      <w:r w:rsidR="00CE2604" w:rsidRPr="004F3B24">
        <w:rPr>
          <w:sz w:val="20"/>
          <w:szCs w:val="20"/>
          <w:lang w:val="en-US" w:eastAsia="en-US"/>
        </w:rPr>
        <w:t xml:space="preserve"> </w:t>
      </w:r>
      <w:r w:rsidR="00CE2604" w:rsidRPr="00673EE5">
        <w:rPr>
          <w:sz w:val="20"/>
          <w:szCs w:val="20"/>
          <w:lang w:val="en-US" w:eastAsia="en-US"/>
        </w:rPr>
        <w:t xml:space="preserve">including the </w:t>
      </w:r>
      <w:r w:rsidR="00395B84">
        <w:rPr>
          <w:sz w:val="20"/>
          <w:szCs w:val="20"/>
          <w:lang w:val="en-US" w:eastAsia="en-US"/>
        </w:rPr>
        <w:t>Independent Country Programme Evaluation (</w:t>
      </w:r>
      <w:r w:rsidR="00CE2604" w:rsidRPr="00673EE5">
        <w:rPr>
          <w:sz w:val="20"/>
          <w:szCs w:val="20"/>
          <w:lang w:val="en-US" w:eastAsia="en-US"/>
        </w:rPr>
        <w:t>ICPE</w:t>
      </w:r>
      <w:r w:rsidR="00395B84">
        <w:rPr>
          <w:sz w:val="20"/>
          <w:szCs w:val="20"/>
          <w:lang w:val="en-US" w:eastAsia="en-US"/>
        </w:rPr>
        <w:t>)</w:t>
      </w:r>
      <w:r w:rsidR="00CE2604" w:rsidRPr="00673EE5">
        <w:rPr>
          <w:sz w:val="20"/>
          <w:szCs w:val="20"/>
          <w:lang w:val="en-US" w:eastAsia="en-US"/>
        </w:rPr>
        <w:t xml:space="preserve"> and the UNSDP 2018-2022 Evaluation</w:t>
      </w:r>
      <w:r w:rsidR="00DF2088">
        <w:rPr>
          <w:sz w:val="20"/>
          <w:szCs w:val="20"/>
          <w:lang w:val="en-US" w:eastAsia="en-US"/>
        </w:rPr>
        <w:t>.</w:t>
      </w:r>
      <w:r w:rsidR="00CE2604">
        <w:rPr>
          <w:sz w:val="20"/>
          <w:szCs w:val="20"/>
          <w:lang w:val="en-US" w:eastAsia="en-US"/>
        </w:rPr>
        <w:t xml:space="preserve"> </w:t>
      </w:r>
      <w:r w:rsidRPr="004F3B24">
        <w:rPr>
          <w:sz w:val="20"/>
          <w:szCs w:val="20"/>
          <w:lang w:val="en-US" w:eastAsia="en-US"/>
        </w:rPr>
        <w:t xml:space="preserve">The two pillars of the CPD are aligned with the Medium-Term National Development Policy Framework (2022-2025), in particular goals to </w:t>
      </w:r>
      <w:r w:rsidR="007E283B">
        <w:rPr>
          <w:sz w:val="20"/>
          <w:szCs w:val="20"/>
          <w:lang w:val="en-US" w:eastAsia="en-US"/>
        </w:rPr>
        <w:t>b</w:t>
      </w:r>
      <w:r w:rsidRPr="004F3B24">
        <w:rPr>
          <w:sz w:val="20"/>
          <w:szCs w:val="20"/>
          <w:lang w:val="en-US" w:eastAsia="en-US"/>
        </w:rPr>
        <w:t xml:space="preserve">uild a prosperous country; </w:t>
      </w:r>
      <w:r w:rsidR="007E283B">
        <w:rPr>
          <w:sz w:val="20"/>
          <w:szCs w:val="20"/>
          <w:lang w:val="en-US" w:eastAsia="en-US"/>
        </w:rPr>
        <w:t>s</w:t>
      </w:r>
      <w:r w:rsidRPr="004F3B24">
        <w:rPr>
          <w:sz w:val="20"/>
          <w:szCs w:val="20"/>
          <w:lang w:val="en-US" w:eastAsia="en-US"/>
        </w:rPr>
        <w:t xml:space="preserve">afeguard the natural environment and </w:t>
      </w:r>
      <w:r w:rsidR="00FA6AFC">
        <w:rPr>
          <w:sz w:val="20"/>
          <w:szCs w:val="20"/>
          <w:lang w:val="en-US" w:eastAsia="en-US"/>
        </w:rPr>
        <w:t>constructed</w:t>
      </w:r>
      <w:r w:rsidR="00FA6AFC" w:rsidRPr="004F3B24">
        <w:rPr>
          <w:sz w:val="20"/>
          <w:szCs w:val="20"/>
          <w:lang w:val="en-US" w:eastAsia="en-US"/>
        </w:rPr>
        <w:t xml:space="preserve"> </w:t>
      </w:r>
      <w:r w:rsidRPr="004F3B24">
        <w:rPr>
          <w:sz w:val="20"/>
          <w:szCs w:val="20"/>
          <w:lang w:val="en-US" w:eastAsia="en-US"/>
        </w:rPr>
        <w:t xml:space="preserve">environment; </w:t>
      </w:r>
      <w:r w:rsidR="00FA6AFC">
        <w:rPr>
          <w:sz w:val="20"/>
          <w:szCs w:val="20"/>
          <w:lang w:val="en-US" w:eastAsia="en-US"/>
        </w:rPr>
        <w:t>m</w:t>
      </w:r>
      <w:r w:rsidRPr="004F3B24">
        <w:rPr>
          <w:sz w:val="20"/>
          <w:szCs w:val="20"/>
          <w:lang w:val="en-US" w:eastAsia="en-US"/>
        </w:rPr>
        <w:t>aintain a stable, united, and safe country</w:t>
      </w:r>
      <w:r w:rsidR="00FA6AFC">
        <w:rPr>
          <w:sz w:val="20"/>
          <w:szCs w:val="20"/>
          <w:lang w:val="en-US" w:eastAsia="en-US"/>
        </w:rPr>
        <w:t>,</w:t>
      </w:r>
      <w:r w:rsidRPr="004F3B24">
        <w:rPr>
          <w:sz w:val="20"/>
          <w:szCs w:val="20"/>
          <w:lang w:val="en-US" w:eastAsia="en-US"/>
        </w:rPr>
        <w:t xml:space="preserve"> and </w:t>
      </w:r>
      <w:r w:rsidR="00FA6AFC">
        <w:rPr>
          <w:sz w:val="20"/>
          <w:szCs w:val="20"/>
          <w:lang w:val="en-US" w:eastAsia="en-US"/>
        </w:rPr>
        <w:t>b</w:t>
      </w:r>
      <w:r w:rsidRPr="004F3B24">
        <w:rPr>
          <w:sz w:val="20"/>
          <w:szCs w:val="20"/>
          <w:lang w:val="en-US" w:eastAsia="en-US"/>
        </w:rPr>
        <w:t xml:space="preserve">uild resilience to withstand threats </w:t>
      </w:r>
      <w:r w:rsidR="00FA6AFC">
        <w:rPr>
          <w:sz w:val="20"/>
          <w:szCs w:val="20"/>
          <w:lang w:val="en-US" w:eastAsia="en-US"/>
        </w:rPr>
        <w:t>to</w:t>
      </w:r>
      <w:r w:rsidR="00FA6AFC" w:rsidRPr="004F3B24">
        <w:rPr>
          <w:sz w:val="20"/>
          <w:szCs w:val="20"/>
          <w:lang w:val="en-US" w:eastAsia="en-US"/>
        </w:rPr>
        <w:t xml:space="preserve"> </w:t>
      </w:r>
      <w:r w:rsidRPr="004F3B24">
        <w:rPr>
          <w:sz w:val="20"/>
          <w:szCs w:val="20"/>
          <w:lang w:val="en-US" w:eastAsia="en-US"/>
        </w:rPr>
        <w:t xml:space="preserve">different </w:t>
      </w:r>
      <w:r w:rsidR="00FA6AFC">
        <w:rPr>
          <w:sz w:val="20"/>
          <w:szCs w:val="20"/>
          <w:lang w:val="en-US" w:eastAsia="en-US"/>
        </w:rPr>
        <w:t>risks and shocks</w:t>
      </w:r>
      <w:r w:rsidRPr="004F3B24">
        <w:rPr>
          <w:sz w:val="20"/>
          <w:szCs w:val="20"/>
          <w:lang w:val="en-US" w:eastAsia="en-US"/>
        </w:rPr>
        <w:t xml:space="preserve">, including COVID-19. Programme priority areas are also aligned to the 19 policy actions of the Updated Nationally Determined Contribution </w:t>
      </w:r>
      <w:r w:rsidR="00FA6AFC">
        <w:rPr>
          <w:sz w:val="20"/>
          <w:szCs w:val="20"/>
          <w:lang w:val="en-US" w:eastAsia="en-US"/>
        </w:rPr>
        <w:t>and</w:t>
      </w:r>
      <w:r w:rsidR="00FA6AFC" w:rsidRPr="004F3B24">
        <w:rPr>
          <w:sz w:val="20"/>
          <w:szCs w:val="20"/>
          <w:lang w:val="en-US" w:eastAsia="en-US"/>
        </w:rPr>
        <w:t xml:space="preserve"> </w:t>
      </w:r>
      <w:r w:rsidRPr="004F3B24">
        <w:rPr>
          <w:sz w:val="20"/>
          <w:szCs w:val="20"/>
          <w:lang w:val="en-US" w:eastAsia="en-US"/>
        </w:rPr>
        <w:t xml:space="preserve">have the potential to </w:t>
      </w:r>
      <w:r w:rsidR="00B87671" w:rsidRPr="004F3B24">
        <w:rPr>
          <w:sz w:val="20"/>
          <w:szCs w:val="20"/>
          <w:lang w:val="en-US" w:eastAsia="en-US"/>
        </w:rPr>
        <w:t>maximize</w:t>
      </w:r>
      <w:r w:rsidRPr="004F3B24">
        <w:rPr>
          <w:sz w:val="20"/>
          <w:szCs w:val="20"/>
          <w:lang w:val="en-US" w:eastAsia="en-US"/>
        </w:rPr>
        <w:t xml:space="preserve"> synergies between adaptation and economic diversification, </w:t>
      </w:r>
      <w:r w:rsidR="00FA6AFC">
        <w:rPr>
          <w:sz w:val="20"/>
          <w:szCs w:val="20"/>
          <w:lang w:val="en-US" w:eastAsia="en-US"/>
        </w:rPr>
        <w:t>which will result</w:t>
      </w:r>
      <w:r w:rsidR="00FA6AFC" w:rsidRPr="004F3B24">
        <w:rPr>
          <w:sz w:val="20"/>
          <w:szCs w:val="20"/>
          <w:lang w:val="en-US" w:eastAsia="en-US"/>
        </w:rPr>
        <w:t xml:space="preserve"> </w:t>
      </w:r>
      <w:r w:rsidRPr="004F3B24">
        <w:rPr>
          <w:sz w:val="20"/>
          <w:szCs w:val="20"/>
          <w:lang w:val="en-US" w:eastAsia="en-US"/>
        </w:rPr>
        <w:t>in mitigation co-benefits</w:t>
      </w:r>
      <w:r w:rsidR="00110B74" w:rsidRPr="004F3B24">
        <w:rPr>
          <w:sz w:val="20"/>
          <w:szCs w:val="20"/>
          <w:lang w:val="en-US" w:eastAsia="en-US"/>
        </w:rPr>
        <w:t>.</w:t>
      </w:r>
      <w:r w:rsidRPr="004F3B24">
        <w:rPr>
          <w:sz w:val="20"/>
          <w:szCs w:val="20"/>
          <w:vertAlign w:val="superscript"/>
          <w:lang w:val="en-US" w:eastAsia="en-US"/>
        </w:rPr>
        <w:footnoteReference w:id="7"/>
      </w:r>
    </w:p>
    <w:p w14:paraId="782D9506" w14:textId="31FB38FB" w:rsidR="00C55398" w:rsidRDefault="00D041D1" w:rsidP="00103EA9">
      <w:pPr>
        <w:pStyle w:val="xmsonormal"/>
        <w:numPr>
          <w:ilvl w:val="0"/>
          <w:numId w:val="50"/>
        </w:numPr>
        <w:shd w:val="clear" w:color="auto" w:fill="FFFFFF"/>
        <w:tabs>
          <w:tab w:val="left" w:pos="1260"/>
        </w:tabs>
        <w:spacing w:before="0" w:beforeAutospacing="0" w:after="120" w:afterAutospacing="0" w:line="240" w:lineRule="exact"/>
        <w:ind w:left="900" w:right="720" w:firstLine="0"/>
        <w:jc w:val="both"/>
        <w:rPr>
          <w:sz w:val="20"/>
          <w:szCs w:val="20"/>
          <w:lang w:val="en-US" w:eastAsia="en-US"/>
        </w:rPr>
      </w:pPr>
      <w:r w:rsidRPr="00D041D1">
        <w:rPr>
          <w:sz w:val="20"/>
          <w:szCs w:val="20"/>
          <w:lang w:val="en-US" w:eastAsia="en-US"/>
        </w:rPr>
        <w:t xml:space="preserve">UNDP comparative advantage draws </w:t>
      </w:r>
      <w:r w:rsidR="00FA6AFC">
        <w:rPr>
          <w:sz w:val="20"/>
          <w:szCs w:val="20"/>
          <w:lang w:val="en-US" w:eastAsia="en-US"/>
        </w:rPr>
        <w:t>comes from</w:t>
      </w:r>
      <w:r w:rsidR="00FA6AFC" w:rsidRPr="00D041D1">
        <w:rPr>
          <w:sz w:val="20"/>
          <w:szCs w:val="20"/>
          <w:lang w:val="en-US" w:eastAsia="en-US"/>
        </w:rPr>
        <w:t xml:space="preserve"> </w:t>
      </w:r>
      <w:r w:rsidRPr="00D041D1">
        <w:rPr>
          <w:sz w:val="20"/>
          <w:szCs w:val="20"/>
          <w:lang w:val="en-US" w:eastAsia="en-US"/>
        </w:rPr>
        <w:t>its strategic positioning as a long-term and trusted government partner during previous programming cycles</w:t>
      </w:r>
      <w:r w:rsidR="002C03C6">
        <w:rPr>
          <w:sz w:val="20"/>
          <w:szCs w:val="20"/>
          <w:lang w:val="en-US" w:eastAsia="en-US"/>
        </w:rPr>
        <w:t>,</w:t>
      </w:r>
      <w:r w:rsidRPr="00D041D1">
        <w:rPr>
          <w:sz w:val="20"/>
          <w:szCs w:val="20"/>
          <w:lang w:val="en-US" w:eastAsia="en-US"/>
        </w:rPr>
        <w:t xml:space="preserve"> and </w:t>
      </w:r>
      <w:r w:rsidR="002C03C6">
        <w:rPr>
          <w:sz w:val="20"/>
          <w:szCs w:val="20"/>
          <w:lang w:val="en-US" w:eastAsia="en-US"/>
        </w:rPr>
        <w:t xml:space="preserve">as a result of </w:t>
      </w:r>
      <w:r w:rsidRPr="00D041D1">
        <w:rPr>
          <w:sz w:val="20"/>
          <w:szCs w:val="20"/>
          <w:lang w:val="en-US" w:eastAsia="en-US"/>
        </w:rPr>
        <w:t xml:space="preserve">ongoing activities at national and sub-national levels in advancing progress towards the achievement of the SDGs. </w:t>
      </w:r>
      <w:r w:rsidR="00950334">
        <w:rPr>
          <w:sz w:val="20"/>
          <w:szCs w:val="20"/>
          <w:lang w:val="en-US" w:eastAsia="en-US"/>
        </w:rPr>
        <w:t>As evi</w:t>
      </w:r>
      <w:r w:rsidR="00FD6A47">
        <w:rPr>
          <w:sz w:val="20"/>
          <w:szCs w:val="20"/>
          <w:lang w:val="en-US" w:eastAsia="en-US"/>
        </w:rPr>
        <w:t xml:space="preserve">denced in the ICPE, </w:t>
      </w:r>
      <w:r w:rsidR="005933D3" w:rsidRPr="005933D3">
        <w:rPr>
          <w:sz w:val="20"/>
          <w:szCs w:val="20"/>
          <w:lang w:val="en-US" w:eastAsia="en-US"/>
        </w:rPr>
        <w:t xml:space="preserve">UNDP has a successful track record of </w:t>
      </w:r>
      <w:r w:rsidR="005238AE" w:rsidRPr="005933D3">
        <w:rPr>
          <w:sz w:val="20"/>
          <w:szCs w:val="20"/>
          <w:lang w:val="en-US" w:eastAsia="en-US"/>
        </w:rPr>
        <w:t xml:space="preserve">supporting </w:t>
      </w:r>
      <w:r w:rsidR="005238AE" w:rsidRPr="00D041D1">
        <w:rPr>
          <w:sz w:val="20"/>
          <w:szCs w:val="20"/>
          <w:lang w:val="en-US" w:eastAsia="en-US"/>
        </w:rPr>
        <w:t>development</w:t>
      </w:r>
      <w:r w:rsidRPr="00D041D1">
        <w:rPr>
          <w:sz w:val="20"/>
          <w:szCs w:val="20"/>
          <w:lang w:val="en-US" w:eastAsia="en-US"/>
        </w:rPr>
        <w:t xml:space="preserve"> progress and in delivering on partner priorities in line with the</w:t>
      </w:r>
      <w:r w:rsidR="00395B84">
        <w:rPr>
          <w:sz w:val="20"/>
          <w:szCs w:val="20"/>
          <w:lang w:val="en-US" w:eastAsia="en-US"/>
        </w:rPr>
        <w:t xml:space="preserve"> </w:t>
      </w:r>
      <w:r w:rsidR="004D44AA">
        <w:rPr>
          <w:sz w:val="20"/>
          <w:szCs w:val="20"/>
          <w:lang w:val="en-US" w:eastAsia="en-US"/>
        </w:rPr>
        <w:t>UNSDCF</w:t>
      </w:r>
      <w:r w:rsidRPr="00D041D1">
        <w:rPr>
          <w:sz w:val="20"/>
          <w:szCs w:val="20"/>
          <w:lang w:val="en-US" w:eastAsia="en-US"/>
        </w:rPr>
        <w:t xml:space="preserve"> in the areas of women and youth empowerment, peace and social cohesion, climate financing, digitali</w:t>
      </w:r>
      <w:r w:rsidR="00FA6AFC">
        <w:rPr>
          <w:sz w:val="20"/>
          <w:szCs w:val="20"/>
          <w:lang w:val="en-US" w:eastAsia="en-US"/>
        </w:rPr>
        <w:t>z</w:t>
      </w:r>
      <w:r w:rsidRPr="00D041D1">
        <w:rPr>
          <w:sz w:val="20"/>
          <w:szCs w:val="20"/>
          <w:lang w:val="en-US" w:eastAsia="en-US"/>
        </w:rPr>
        <w:t xml:space="preserve">ation and learning. Moving forward, UNDP will contribute to UNSDCF objectives by playing a strategic role in bringing together partnerships from government, </w:t>
      </w:r>
      <w:r w:rsidR="00FA6AFC">
        <w:rPr>
          <w:sz w:val="20"/>
          <w:szCs w:val="20"/>
          <w:lang w:val="en-US" w:eastAsia="en-US"/>
        </w:rPr>
        <w:t>civil society organizations (</w:t>
      </w:r>
      <w:r w:rsidRPr="00D041D1">
        <w:rPr>
          <w:sz w:val="20"/>
          <w:szCs w:val="20"/>
          <w:lang w:val="en-US" w:eastAsia="en-US"/>
        </w:rPr>
        <w:t>CSOs</w:t>
      </w:r>
      <w:r w:rsidR="00FA6AFC">
        <w:rPr>
          <w:sz w:val="20"/>
          <w:szCs w:val="20"/>
          <w:lang w:val="en-US" w:eastAsia="en-US"/>
        </w:rPr>
        <w:t>)</w:t>
      </w:r>
      <w:r w:rsidRPr="00D041D1">
        <w:rPr>
          <w:sz w:val="20"/>
          <w:szCs w:val="20"/>
          <w:lang w:val="en-US" w:eastAsia="en-US"/>
        </w:rPr>
        <w:t xml:space="preserve">, development partners and private sector for accelerating the implementation of the SDGs. As a partner of choice for institutional capacity strengthening, UNDP will continue to leverage the expertise of its innovation hubs and the Accelerator Lab to foster innovation and creativity </w:t>
      </w:r>
      <w:r w:rsidR="00FA6AFC">
        <w:rPr>
          <w:sz w:val="20"/>
          <w:szCs w:val="20"/>
          <w:lang w:val="en-US" w:eastAsia="en-US"/>
        </w:rPr>
        <w:t>that</w:t>
      </w:r>
      <w:r w:rsidR="00FA6AFC" w:rsidRPr="00D041D1">
        <w:rPr>
          <w:sz w:val="20"/>
          <w:szCs w:val="20"/>
          <w:lang w:val="en-US" w:eastAsia="en-US"/>
        </w:rPr>
        <w:t xml:space="preserve"> </w:t>
      </w:r>
      <w:r w:rsidRPr="00D041D1">
        <w:rPr>
          <w:sz w:val="20"/>
          <w:szCs w:val="20"/>
          <w:lang w:val="en-US" w:eastAsia="en-US"/>
        </w:rPr>
        <w:t>help</w:t>
      </w:r>
      <w:r w:rsidR="00FA6AFC">
        <w:rPr>
          <w:sz w:val="20"/>
          <w:szCs w:val="20"/>
          <w:lang w:val="en-US" w:eastAsia="en-US"/>
        </w:rPr>
        <w:t>s</w:t>
      </w:r>
      <w:r w:rsidRPr="00D041D1">
        <w:rPr>
          <w:sz w:val="20"/>
          <w:szCs w:val="20"/>
          <w:lang w:val="en-US" w:eastAsia="en-US"/>
        </w:rPr>
        <w:t xml:space="preserve"> strengthen institutions and </w:t>
      </w:r>
      <w:r w:rsidR="005238AE" w:rsidRPr="00D041D1">
        <w:rPr>
          <w:sz w:val="20"/>
          <w:szCs w:val="20"/>
          <w:lang w:val="en-US" w:eastAsia="en-US"/>
        </w:rPr>
        <w:t>systems</w:t>
      </w:r>
      <w:r w:rsidR="005238AE">
        <w:rPr>
          <w:sz w:val="20"/>
          <w:szCs w:val="20"/>
          <w:lang w:val="en-US" w:eastAsia="en-US"/>
        </w:rPr>
        <w:t xml:space="preserve"> and</w:t>
      </w:r>
      <w:r w:rsidRPr="00D041D1">
        <w:rPr>
          <w:sz w:val="20"/>
          <w:szCs w:val="20"/>
          <w:lang w:val="en-US" w:eastAsia="en-US"/>
        </w:rPr>
        <w:t xml:space="preserve"> foster inclusive development.</w:t>
      </w:r>
      <w:bookmarkEnd w:id="1"/>
    </w:p>
    <w:p w14:paraId="592D1476" w14:textId="246FD807" w:rsidR="00C55398" w:rsidRPr="004F3B24" w:rsidRDefault="00C55398" w:rsidP="001E25E9">
      <w:pPr>
        <w:pStyle w:val="xmsonormal"/>
        <w:numPr>
          <w:ilvl w:val="0"/>
          <w:numId w:val="50"/>
        </w:numPr>
        <w:shd w:val="clear" w:color="auto" w:fill="FFFFFF"/>
        <w:tabs>
          <w:tab w:val="left" w:pos="1260"/>
        </w:tabs>
        <w:spacing w:before="0" w:beforeAutospacing="0" w:after="200" w:afterAutospacing="0" w:line="240" w:lineRule="exact"/>
        <w:ind w:left="900" w:right="720" w:firstLine="0"/>
        <w:jc w:val="both"/>
        <w:rPr>
          <w:sz w:val="20"/>
          <w:szCs w:val="20"/>
          <w:lang w:val="en-US" w:eastAsia="en-US"/>
        </w:rPr>
      </w:pPr>
      <w:r w:rsidRPr="004F3B24">
        <w:rPr>
          <w:sz w:val="20"/>
          <w:szCs w:val="20"/>
          <w:lang w:val="en-US" w:eastAsia="en-US"/>
        </w:rPr>
        <w:t xml:space="preserve">UNDP will </w:t>
      </w:r>
      <w:r w:rsidR="00FA6AFC" w:rsidRPr="004F3B24">
        <w:rPr>
          <w:sz w:val="20"/>
          <w:szCs w:val="20"/>
          <w:lang w:val="en-US" w:eastAsia="en-US"/>
        </w:rPr>
        <w:t>emphasize</w:t>
      </w:r>
      <w:r w:rsidRPr="004F3B24">
        <w:rPr>
          <w:sz w:val="20"/>
          <w:szCs w:val="20"/>
          <w:lang w:val="en-US" w:eastAsia="en-US"/>
        </w:rPr>
        <w:t xml:space="preserve"> collaboration across </w:t>
      </w:r>
      <w:r w:rsidR="00FA6AFC">
        <w:rPr>
          <w:sz w:val="20"/>
          <w:szCs w:val="20"/>
          <w:lang w:val="en-US" w:eastAsia="en-US"/>
        </w:rPr>
        <w:t>a</w:t>
      </w:r>
      <w:r w:rsidR="00FA6AFC" w:rsidRPr="004F3B24">
        <w:rPr>
          <w:sz w:val="20"/>
          <w:szCs w:val="20"/>
          <w:lang w:val="en-US" w:eastAsia="en-US"/>
        </w:rPr>
        <w:t xml:space="preserve"> </w:t>
      </w:r>
      <w:r w:rsidRPr="004F3B24">
        <w:rPr>
          <w:sz w:val="20"/>
          <w:szCs w:val="20"/>
          <w:lang w:val="en-US" w:eastAsia="en-US"/>
        </w:rPr>
        <w:t xml:space="preserve">revitalized UN system and </w:t>
      </w:r>
      <w:r w:rsidR="00FA6AFC">
        <w:rPr>
          <w:sz w:val="20"/>
          <w:szCs w:val="20"/>
          <w:lang w:val="en-US" w:eastAsia="en-US"/>
        </w:rPr>
        <w:t>continue</w:t>
      </w:r>
      <w:r w:rsidR="00FA6AFC" w:rsidRPr="004F3B24">
        <w:rPr>
          <w:sz w:val="20"/>
          <w:szCs w:val="20"/>
          <w:lang w:val="en-US" w:eastAsia="en-US"/>
        </w:rPr>
        <w:t xml:space="preserve"> </w:t>
      </w:r>
      <w:r w:rsidRPr="004F3B24">
        <w:rPr>
          <w:sz w:val="20"/>
          <w:szCs w:val="20"/>
          <w:lang w:val="en-US" w:eastAsia="en-US"/>
        </w:rPr>
        <w:t xml:space="preserve">drawing on complementary strengths and capabilities to deliver stronger and collective results for the people of Ghana. </w:t>
      </w:r>
      <w:r w:rsidR="00C26E4B">
        <w:rPr>
          <w:sz w:val="20"/>
          <w:szCs w:val="20"/>
          <w:lang w:val="en-US" w:eastAsia="en-US"/>
        </w:rPr>
        <w:t>T</w:t>
      </w:r>
      <w:r w:rsidRPr="004F3B24">
        <w:rPr>
          <w:sz w:val="20"/>
          <w:szCs w:val="20"/>
          <w:lang w:val="en-US" w:eastAsia="en-US"/>
        </w:rPr>
        <w:t xml:space="preserve">his will be </w:t>
      </w:r>
      <w:r w:rsidR="00FA6AFC">
        <w:rPr>
          <w:sz w:val="20"/>
          <w:szCs w:val="20"/>
          <w:lang w:val="en-US" w:eastAsia="en-US"/>
        </w:rPr>
        <w:t>achieved</w:t>
      </w:r>
      <w:r w:rsidR="00FA6AFC" w:rsidRPr="004F3B24">
        <w:rPr>
          <w:sz w:val="20"/>
          <w:szCs w:val="20"/>
          <w:lang w:val="en-US" w:eastAsia="en-US"/>
        </w:rPr>
        <w:t xml:space="preserve"> </w:t>
      </w:r>
      <w:r w:rsidR="00FA6AFC">
        <w:rPr>
          <w:sz w:val="20"/>
          <w:szCs w:val="20"/>
          <w:lang w:val="en-US" w:eastAsia="en-US"/>
        </w:rPr>
        <w:t>by</w:t>
      </w:r>
      <w:r w:rsidR="00FA6AFC" w:rsidRPr="004F3B24">
        <w:rPr>
          <w:sz w:val="20"/>
          <w:szCs w:val="20"/>
          <w:lang w:val="en-US" w:eastAsia="en-US"/>
        </w:rPr>
        <w:t xml:space="preserve"> </w:t>
      </w:r>
      <w:r w:rsidRPr="004F3B24">
        <w:rPr>
          <w:sz w:val="20"/>
          <w:szCs w:val="20"/>
          <w:lang w:val="en-US" w:eastAsia="en-US"/>
        </w:rPr>
        <w:t>applying integrated approaches aimed at transformative change.</w:t>
      </w:r>
    </w:p>
    <w:p w14:paraId="2440D3E0" w14:textId="52D98E5A" w:rsidR="004820B0" w:rsidRPr="003C26C1" w:rsidRDefault="004820B0" w:rsidP="001E25E9">
      <w:pPr>
        <w:pStyle w:val="Heading2"/>
        <w:tabs>
          <w:tab w:val="left" w:pos="1260"/>
        </w:tabs>
        <w:spacing w:after="200" w:line="240" w:lineRule="exact"/>
        <w:ind w:left="900" w:right="720" w:hanging="360"/>
        <w:jc w:val="both"/>
        <w:rPr>
          <w:rFonts w:ascii="Times New Roman" w:hAnsi="Times New Roman"/>
          <w:color w:val="000000"/>
          <w:spacing w:val="-3"/>
          <w:sz w:val="20"/>
        </w:rPr>
      </w:pPr>
      <w:r w:rsidRPr="003C26C1">
        <w:rPr>
          <w:rFonts w:ascii="Times New Roman" w:hAnsi="Times New Roman"/>
          <w:bCs/>
          <w:color w:val="000000"/>
          <w:sz w:val="24"/>
          <w:szCs w:val="24"/>
        </w:rPr>
        <w:t>II.</w:t>
      </w:r>
      <w:r w:rsidR="001E25E9">
        <w:rPr>
          <w:rFonts w:ascii="Times New Roman" w:hAnsi="Times New Roman"/>
          <w:bCs/>
          <w:color w:val="000000"/>
          <w:sz w:val="24"/>
          <w:szCs w:val="24"/>
        </w:rPr>
        <w:tab/>
      </w:r>
      <w:r w:rsidR="00677F8A" w:rsidRPr="003C26C1">
        <w:rPr>
          <w:rFonts w:ascii="Times New Roman" w:hAnsi="Times New Roman"/>
          <w:bCs/>
          <w:color w:val="000000"/>
          <w:sz w:val="24"/>
          <w:szCs w:val="24"/>
        </w:rPr>
        <w:t xml:space="preserve">Programme </w:t>
      </w:r>
      <w:r w:rsidR="001E25E9">
        <w:rPr>
          <w:rFonts w:ascii="Times New Roman" w:hAnsi="Times New Roman"/>
          <w:bCs/>
          <w:color w:val="000000"/>
          <w:sz w:val="24"/>
          <w:szCs w:val="24"/>
        </w:rPr>
        <w:t>p</w:t>
      </w:r>
      <w:r w:rsidR="00677F8A" w:rsidRPr="003C26C1">
        <w:rPr>
          <w:rFonts w:ascii="Times New Roman" w:hAnsi="Times New Roman"/>
          <w:bCs/>
          <w:color w:val="000000"/>
          <w:sz w:val="24"/>
          <w:szCs w:val="24"/>
        </w:rPr>
        <w:t>riorities</w:t>
      </w:r>
      <w:r w:rsidR="002B6341" w:rsidRPr="003C26C1">
        <w:rPr>
          <w:rFonts w:ascii="Times New Roman" w:hAnsi="Times New Roman"/>
          <w:bCs/>
          <w:color w:val="000000"/>
          <w:sz w:val="24"/>
          <w:szCs w:val="24"/>
        </w:rPr>
        <w:t xml:space="preserve"> </w:t>
      </w:r>
      <w:r w:rsidR="004736BE" w:rsidRPr="003C26C1">
        <w:rPr>
          <w:rFonts w:ascii="Times New Roman" w:hAnsi="Times New Roman"/>
          <w:bCs/>
          <w:color w:val="000000"/>
          <w:sz w:val="24"/>
          <w:szCs w:val="24"/>
        </w:rPr>
        <w:t xml:space="preserve">and </w:t>
      </w:r>
      <w:r w:rsidR="001E25E9">
        <w:rPr>
          <w:rFonts w:ascii="Times New Roman" w:hAnsi="Times New Roman"/>
          <w:bCs/>
          <w:color w:val="000000"/>
          <w:sz w:val="24"/>
          <w:szCs w:val="24"/>
        </w:rPr>
        <w:t>p</w:t>
      </w:r>
      <w:r w:rsidR="002B6341" w:rsidRPr="003C26C1">
        <w:rPr>
          <w:rFonts w:ascii="Times New Roman" w:hAnsi="Times New Roman"/>
          <w:bCs/>
          <w:color w:val="000000"/>
          <w:sz w:val="24"/>
          <w:szCs w:val="24"/>
        </w:rPr>
        <w:t>artnerships</w:t>
      </w:r>
      <w:r w:rsidR="00074DB9" w:rsidRPr="003C26C1">
        <w:rPr>
          <w:rFonts w:ascii="Times New Roman" w:hAnsi="Times New Roman"/>
          <w:bCs/>
          <w:color w:val="000000"/>
          <w:sz w:val="24"/>
          <w:szCs w:val="24"/>
        </w:rPr>
        <w:t xml:space="preserve"> </w:t>
      </w:r>
    </w:p>
    <w:p w14:paraId="7ACABABD" w14:textId="1DA6FA3F" w:rsidR="008961E1" w:rsidRDefault="002156BB" w:rsidP="00103EA9">
      <w:pPr>
        <w:pStyle w:val="ListParagraph"/>
        <w:numPr>
          <w:ilvl w:val="0"/>
          <w:numId w:val="50"/>
        </w:numPr>
        <w:tabs>
          <w:tab w:val="left" w:pos="1260"/>
        </w:tabs>
        <w:spacing w:after="120" w:line="240" w:lineRule="exact"/>
        <w:ind w:left="900" w:right="720" w:firstLine="0"/>
        <w:jc w:val="both"/>
      </w:pPr>
      <w:r w:rsidRPr="002156BB">
        <w:t>The</w:t>
      </w:r>
      <w:r w:rsidR="00FA6AFC">
        <w:t xml:space="preserve"> </w:t>
      </w:r>
      <w:r w:rsidRPr="002156BB">
        <w:t>overarching theory of change can be summarized as follows:</w:t>
      </w:r>
      <w:r w:rsidRPr="00E30CC7">
        <w:t> </w:t>
      </w:r>
      <w:bookmarkStart w:id="2" w:name="_Hlk102717242"/>
      <w:r w:rsidR="008961E1" w:rsidRPr="002E1905">
        <w:rPr>
          <w:b/>
          <w:bCs/>
        </w:rPr>
        <w:t>IF</w:t>
      </w:r>
      <w:r w:rsidR="008961E1" w:rsidRPr="0072318D">
        <w:t xml:space="preserve"> </w:t>
      </w:r>
      <w:r w:rsidR="008961E1" w:rsidRPr="00983815">
        <w:t>government and peoples’ capacities for sustainable, resilient and inclusive growth and structural transformation are enhanced</w:t>
      </w:r>
      <w:r w:rsidR="008961E1" w:rsidRPr="0072318D">
        <w:t>,</w:t>
      </w:r>
      <w:r w:rsidR="008961E1" w:rsidRPr="002E1905">
        <w:rPr>
          <w:b/>
          <w:bCs/>
        </w:rPr>
        <w:t xml:space="preserve"> IF</w:t>
      </w:r>
      <w:r w:rsidR="008961E1" w:rsidRPr="0072318D">
        <w:t xml:space="preserve"> policies, strategies and institutional frameworks to boost</w:t>
      </w:r>
      <w:r w:rsidR="008961E1" w:rsidRPr="00983815">
        <w:t xml:space="preserve"> accountable, inclusive, </w:t>
      </w:r>
      <w:r w:rsidR="008961E1" w:rsidRPr="00983815">
        <w:lastRenderedPageBreak/>
        <w:t xml:space="preserve">responsive governance and social cohesion </w:t>
      </w:r>
      <w:r w:rsidR="008961E1" w:rsidRPr="0072318D">
        <w:t>are strengthened,</w:t>
      </w:r>
      <w:r w:rsidR="008961E1" w:rsidRPr="00983815">
        <w:t xml:space="preserve"> and</w:t>
      </w:r>
      <w:r w:rsidR="008961E1" w:rsidRPr="002E1905">
        <w:rPr>
          <w:b/>
          <w:bCs/>
        </w:rPr>
        <w:t xml:space="preserve"> IF</w:t>
      </w:r>
      <w:r w:rsidR="008961E1" w:rsidRPr="0072318D">
        <w:t> </w:t>
      </w:r>
      <w:r w:rsidR="00FA6AFC">
        <w:t>g</w:t>
      </w:r>
      <w:r w:rsidR="008961E1" w:rsidRPr="00983815">
        <w:t xml:space="preserve">ender equality is mainstreamed, and women, youth, other </w:t>
      </w:r>
      <w:r w:rsidR="00B87671" w:rsidRPr="00983815">
        <w:t>marginalized</w:t>
      </w:r>
      <w:r w:rsidR="008961E1" w:rsidRPr="00983815">
        <w:t xml:space="preserve"> groups are empowered; </w:t>
      </w:r>
      <w:r w:rsidR="008961E1" w:rsidRPr="002E1905">
        <w:rPr>
          <w:b/>
          <w:bCs/>
        </w:rPr>
        <w:t>THEN</w:t>
      </w:r>
      <w:r w:rsidR="008961E1" w:rsidRPr="0072318D">
        <w:t xml:space="preserve"> all people will enjoy an inclusive and transformed economy that creates jobs</w:t>
      </w:r>
      <w:r w:rsidR="00FA6AFC">
        <w:t>,</w:t>
      </w:r>
      <w:r w:rsidR="008961E1" w:rsidRPr="0072318D">
        <w:t xml:space="preserve"> and </w:t>
      </w:r>
      <w:r w:rsidR="008961E1" w:rsidRPr="002E1905">
        <w:rPr>
          <w:b/>
          <w:bCs/>
        </w:rPr>
        <w:t>THEN</w:t>
      </w:r>
      <w:r w:rsidR="008961E1" w:rsidRPr="0072318D">
        <w:t xml:space="preserve"> people will benefit from transparent, accountable, inclusive institutions and </w:t>
      </w:r>
      <w:r w:rsidR="008961E1" w:rsidRPr="00983815">
        <w:t>greater environmental stewardship</w:t>
      </w:r>
      <w:r w:rsidR="008961E1" w:rsidRPr="0072318D">
        <w:t>,</w:t>
      </w:r>
      <w:r w:rsidR="008961E1" w:rsidRPr="00983815">
        <w:t xml:space="preserve"> leading to enhanced socioeconomic development, and a peaceful and socially</w:t>
      </w:r>
      <w:r w:rsidR="002413D3">
        <w:t>-</w:t>
      </w:r>
      <w:r w:rsidR="008961E1" w:rsidRPr="00983815">
        <w:t>cohesive Ghana.</w:t>
      </w:r>
    </w:p>
    <w:bookmarkEnd w:id="2"/>
    <w:p w14:paraId="5002BEAE" w14:textId="582A70F8" w:rsidR="0040442F" w:rsidRPr="002156BB" w:rsidRDefault="002156BB" w:rsidP="00103EA9">
      <w:pPr>
        <w:pStyle w:val="ListParagraph"/>
        <w:numPr>
          <w:ilvl w:val="0"/>
          <w:numId w:val="50"/>
        </w:numPr>
        <w:tabs>
          <w:tab w:val="left" w:pos="1260"/>
        </w:tabs>
        <w:spacing w:after="120" w:line="240" w:lineRule="exact"/>
        <w:ind w:left="900" w:right="720" w:firstLine="0"/>
        <w:jc w:val="both"/>
      </w:pPr>
      <w:r w:rsidRPr="004F3B24">
        <w:t>The UNDP Ghana country programme takes its priorities from the UN</w:t>
      </w:r>
      <w:r w:rsidR="00D67C3D">
        <w:t>SDCF</w:t>
      </w:r>
      <w:r w:rsidRPr="004F3B24">
        <w:t xml:space="preserve"> vision that </w:t>
      </w:r>
      <w:r w:rsidR="002413D3">
        <w:t>is inspired by</w:t>
      </w:r>
      <w:r w:rsidRPr="004F3B24">
        <w:t xml:space="preserve"> a cohesive, innovative, responsive, and agile UN</w:t>
      </w:r>
      <w:r w:rsidR="002413D3">
        <w:t>DS</w:t>
      </w:r>
      <w:r w:rsidRPr="004F3B24">
        <w:t xml:space="preserve">, </w:t>
      </w:r>
      <w:r w:rsidR="00AC07E0" w:rsidRPr="00673EE5">
        <w:t xml:space="preserve">and </w:t>
      </w:r>
      <w:r w:rsidR="00E542AD" w:rsidRPr="00673EE5">
        <w:t>aims</w:t>
      </w:r>
      <w:r w:rsidRPr="004F3B24">
        <w:t xml:space="preserve"> to promote and support SDG </w:t>
      </w:r>
      <w:r w:rsidR="00DC5D9A" w:rsidRPr="00673EE5">
        <w:t>implementation</w:t>
      </w:r>
      <w:r w:rsidR="00DC5D9A">
        <w:t xml:space="preserve"> </w:t>
      </w:r>
      <w:r w:rsidRPr="004F3B24">
        <w:t xml:space="preserve">for an inclusive and resilient Ghana. </w:t>
      </w:r>
      <w:r w:rsidR="00C8658F">
        <w:t xml:space="preserve">UNDP </w:t>
      </w:r>
      <w:r w:rsidRPr="004F3B24">
        <w:t>will provide investment expertise, including catalytic financial structuring, de-risking, and capital deployment to drive resource mobilization for climate financ</w:t>
      </w:r>
      <w:r w:rsidR="002413D3">
        <w:t>ing</w:t>
      </w:r>
      <w:r w:rsidRPr="004F3B24">
        <w:t xml:space="preserve"> and achiev</w:t>
      </w:r>
      <w:r w:rsidR="002413D3">
        <w:t>ing</w:t>
      </w:r>
      <w:r w:rsidRPr="004F3B24">
        <w:t xml:space="preserve"> SDG impact. </w:t>
      </w:r>
      <w:r w:rsidR="009F102B" w:rsidRPr="004F3B24">
        <w:t xml:space="preserve">UNDP will apply a holistic development approach based on its track record as </w:t>
      </w:r>
      <w:r w:rsidR="002413D3">
        <w:t>published in</w:t>
      </w:r>
      <w:r w:rsidR="009F102B" w:rsidRPr="004F3B24">
        <w:t xml:space="preserve"> the ICPE and various evaluations and surveys. </w:t>
      </w:r>
      <w:r w:rsidR="002413D3">
        <w:t>Aside from</w:t>
      </w:r>
      <w:r w:rsidR="002413D3" w:rsidRPr="004F3B24">
        <w:t xml:space="preserve"> </w:t>
      </w:r>
      <w:r w:rsidR="005A6064" w:rsidRPr="004F3B24">
        <w:t xml:space="preserve">its own reports, </w:t>
      </w:r>
      <w:r w:rsidRPr="004F3B24">
        <w:t>UNDP will</w:t>
      </w:r>
      <w:r w:rsidR="009F102B" w:rsidRPr="004F3B24">
        <w:t xml:space="preserve"> also</w:t>
      </w:r>
      <w:r w:rsidRPr="004F3B24">
        <w:t xml:space="preserve"> leverage </w:t>
      </w:r>
      <w:r w:rsidR="002413D3">
        <w:t xml:space="preserve">data from </w:t>
      </w:r>
      <w:r w:rsidRPr="004F3B24">
        <w:t>analytical reports by</w:t>
      </w:r>
      <w:r w:rsidR="002413D3">
        <w:t xml:space="preserve"> the</w:t>
      </w:r>
      <w:r w:rsidRPr="004F3B24">
        <w:t xml:space="preserve"> </w:t>
      </w:r>
      <w:r w:rsidR="002413D3">
        <w:t>United Nations Environment Programme (</w:t>
      </w:r>
      <w:r w:rsidR="005238AE" w:rsidRPr="004F3B24">
        <w:t>UNEP</w:t>
      </w:r>
      <w:r w:rsidR="005238AE">
        <w:t>)</w:t>
      </w:r>
      <w:r w:rsidR="005238AE" w:rsidRPr="004F3B24">
        <w:t xml:space="preserve"> and</w:t>
      </w:r>
      <w:r w:rsidRPr="004F3B24">
        <w:t xml:space="preserve"> Wor</w:t>
      </w:r>
      <w:r w:rsidR="004A24B2">
        <w:t>l</w:t>
      </w:r>
      <w:r w:rsidRPr="004F3B24">
        <w:t xml:space="preserve">d Bank country environmental analysis reports to inform programme design </w:t>
      </w:r>
      <w:r w:rsidR="002413D3">
        <w:t>focused</w:t>
      </w:r>
      <w:r w:rsidRPr="004F3B24">
        <w:t xml:space="preserve"> on natural resource management and the restoration of degraded landscapes. </w:t>
      </w:r>
      <w:r w:rsidR="009F102B" w:rsidRPr="004F3B24">
        <w:t xml:space="preserve">The country programme will ensure the use of a human rights-based approach across programme activities, including the principle of </w:t>
      </w:r>
      <w:r w:rsidR="002413D3">
        <w:t>‘leave no one behind’</w:t>
      </w:r>
      <w:r w:rsidR="009F102B" w:rsidRPr="004F3B24">
        <w:t xml:space="preserve"> to ensure all human rights </w:t>
      </w:r>
      <w:r w:rsidR="002413D3">
        <w:t>(</w:t>
      </w:r>
      <w:r w:rsidR="009F102B" w:rsidRPr="004F3B24">
        <w:t>economic, social and environmental</w:t>
      </w:r>
      <w:r w:rsidR="002413D3">
        <w:t>)</w:t>
      </w:r>
      <w:r w:rsidR="009F102B" w:rsidRPr="004F3B24">
        <w:t xml:space="preserve"> are upheld.</w:t>
      </w:r>
    </w:p>
    <w:p w14:paraId="3BDBCB97" w14:textId="32A374E2" w:rsidR="002156BB" w:rsidRPr="002156BB" w:rsidRDefault="002156BB" w:rsidP="00103EA9">
      <w:pPr>
        <w:pStyle w:val="ListParagraph"/>
        <w:numPr>
          <w:ilvl w:val="0"/>
          <w:numId w:val="50"/>
        </w:numPr>
        <w:tabs>
          <w:tab w:val="left" w:pos="1260"/>
        </w:tabs>
        <w:spacing w:after="120" w:line="240" w:lineRule="exact"/>
        <w:ind w:left="900" w:right="720" w:firstLine="0"/>
        <w:jc w:val="both"/>
      </w:pPr>
      <w:r w:rsidRPr="002156BB">
        <w:t xml:space="preserve">Against the backdrop of </w:t>
      </w:r>
      <w:r w:rsidR="002413D3">
        <w:t>rising</w:t>
      </w:r>
      <w:r w:rsidRPr="002156BB">
        <w:t xml:space="preserve"> to lower middle income country status, UNDP Ghana will continue to focus on making effective use of a tight resource envelope to advance equitable and transformative development</w:t>
      </w:r>
      <w:r w:rsidR="002413D3">
        <w:t xml:space="preserve"> in Ghana</w:t>
      </w:r>
      <w:r w:rsidRPr="002156BB">
        <w:t xml:space="preserve">, including the consolidation of governance reforms. Main areas of work will include </w:t>
      </w:r>
      <w:r w:rsidR="002413D3">
        <w:t>s</w:t>
      </w:r>
      <w:r w:rsidRPr="002156BB">
        <w:t xml:space="preserve">ustainable </w:t>
      </w:r>
      <w:r w:rsidR="002413D3">
        <w:t>d</w:t>
      </w:r>
      <w:r w:rsidRPr="002156BB">
        <w:t xml:space="preserve">evelopment and </w:t>
      </w:r>
      <w:r w:rsidR="002413D3">
        <w:t>i</w:t>
      </w:r>
      <w:r w:rsidRPr="002156BB">
        <w:t xml:space="preserve">nclusive </w:t>
      </w:r>
      <w:r w:rsidR="002413D3">
        <w:t>g</w:t>
      </w:r>
      <w:r w:rsidRPr="002156BB">
        <w:t>rowth</w:t>
      </w:r>
      <w:r w:rsidR="002413D3">
        <w:t>,</w:t>
      </w:r>
      <w:r w:rsidRPr="002156BB">
        <w:t xml:space="preserve"> and </w:t>
      </w:r>
      <w:r w:rsidR="002413D3">
        <w:t>s</w:t>
      </w:r>
      <w:r w:rsidRPr="002156BB">
        <w:t xml:space="preserve">trengthened </w:t>
      </w:r>
      <w:r w:rsidR="002413D3">
        <w:t>i</w:t>
      </w:r>
      <w:r w:rsidRPr="002156BB">
        <w:t xml:space="preserve">nstitutional </w:t>
      </w:r>
      <w:r w:rsidR="002413D3">
        <w:t>c</w:t>
      </w:r>
      <w:r w:rsidRPr="002156BB">
        <w:t xml:space="preserve">apacities for </w:t>
      </w:r>
      <w:r w:rsidR="002413D3">
        <w:t>g</w:t>
      </w:r>
      <w:r w:rsidRPr="002156BB">
        <w:t xml:space="preserve">ood </w:t>
      </w:r>
      <w:r w:rsidR="002413D3">
        <w:t>g</w:t>
      </w:r>
      <w:r w:rsidRPr="002156BB">
        <w:t xml:space="preserve">overnance, </w:t>
      </w:r>
      <w:r w:rsidR="002413D3">
        <w:t>h</w:t>
      </w:r>
      <w:r w:rsidRPr="002156BB">
        <w:t xml:space="preserve">uman </w:t>
      </w:r>
      <w:r w:rsidR="002413D3">
        <w:t>r</w:t>
      </w:r>
      <w:r w:rsidRPr="002156BB">
        <w:t xml:space="preserve">ights, </w:t>
      </w:r>
      <w:r w:rsidR="002413D3">
        <w:t>p</w:t>
      </w:r>
      <w:r w:rsidRPr="002156BB">
        <w:t xml:space="preserve">eace, and </w:t>
      </w:r>
      <w:r w:rsidR="002413D3">
        <w:t>s</w:t>
      </w:r>
      <w:r w:rsidRPr="002156BB">
        <w:t xml:space="preserve">ecurity. </w:t>
      </w:r>
      <w:r w:rsidR="002413D3">
        <w:t>Programme implementation</w:t>
      </w:r>
      <w:r w:rsidRPr="002156BB">
        <w:t xml:space="preserve"> will employ a portfolio approach </w:t>
      </w:r>
      <w:r w:rsidR="002413D3">
        <w:t>to arrive</w:t>
      </w:r>
      <w:r w:rsidRPr="002156BB">
        <w:t xml:space="preserve"> at strategic solutions for complex challenges. The goal is to break “silo</w:t>
      </w:r>
      <w:r w:rsidR="002413D3">
        <w:t>ed</w:t>
      </w:r>
      <w:r w:rsidRPr="002156BB">
        <w:t>” ways of working by clustering around two programming areas</w:t>
      </w:r>
      <w:r w:rsidR="002413D3">
        <w:t>:</w:t>
      </w:r>
      <w:r w:rsidRPr="002156BB">
        <w:t xml:space="preserve"> (i) </w:t>
      </w:r>
      <w:r w:rsidR="002413D3">
        <w:t>r</w:t>
      </w:r>
      <w:r w:rsidRPr="002156BB">
        <w:t xml:space="preserve">esilience </w:t>
      </w:r>
      <w:r w:rsidR="002413D3">
        <w:t>and</w:t>
      </w:r>
      <w:r w:rsidR="002413D3" w:rsidRPr="002156BB">
        <w:t xml:space="preserve"> </w:t>
      </w:r>
      <w:r w:rsidRPr="002156BB">
        <w:t>linking economic and environment resilience through skills, financing and technology access for MSMEs</w:t>
      </w:r>
      <w:r w:rsidR="002413D3">
        <w:t>,</w:t>
      </w:r>
      <w:r w:rsidRPr="002156BB">
        <w:t xml:space="preserve"> </w:t>
      </w:r>
      <w:r w:rsidR="005238AE" w:rsidRPr="002156BB">
        <w:t>and (</w:t>
      </w:r>
      <w:r w:rsidRPr="002156BB">
        <w:t xml:space="preserve">ii) </w:t>
      </w:r>
      <w:r w:rsidR="002413D3">
        <w:t>i</w:t>
      </w:r>
      <w:r w:rsidRPr="002156BB">
        <w:t xml:space="preserve">nclusion </w:t>
      </w:r>
      <w:r w:rsidR="002413D3">
        <w:t>in</w:t>
      </w:r>
      <w:r w:rsidR="002413D3" w:rsidRPr="002156BB">
        <w:t xml:space="preserve"> </w:t>
      </w:r>
      <w:r w:rsidRPr="002156BB">
        <w:t>reaching marginalized groups</w:t>
      </w:r>
      <w:r w:rsidR="002413D3">
        <w:t xml:space="preserve">, </w:t>
      </w:r>
      <w:r w:rsidR="00883856">
        <w:t xml:space="preserve">including them </w:t>
      </w:r>
      <w:r w:rsidR="00BC045B">
        <w:t xml:space="preserve">as partners and agents of change, </w:t>
      </w:r>
      <w:r w:rsidRPr="002156BB">
        <w:t>expand</w:t>
      </w:r>
      <w:r w:rsidR="00BC045B">
        <w:t>ing</w:t>
      </w:r>
      <w:r w:rsidRPr="002156BB">
        <w:t xml:space="preserve"> opportunities for youth and women, </w:t>
      </w:r>
      <w:r w:rsidR="00883856">
        <w:t>and</w:t>
      </w:r>
      <w:r w:rsidRPr="002156BB">
        <w:t xml:space="preserve"> </w:t>
      </w:r>
      <w:r w:rsidR="00883856">
        <w:t>increasing</w:t>
      </w:r>
      <w:r w:rsidR="00883856" w:rsidRPr="002156BB">
        <w:t xml:space="preserve"> </w:t>
      </w:r>
      <w:r w:rsidRPr="002156BB">
        <w:t xml:space="preserve">citizen engagement </w:t>
      </w:r>
      <w:r w:rsidR="003B6928">
        <w:t>and</w:t>
      </w:r>
      <w:r w:rsidRPr="002156BB">
        <w:t xml:space="preserve"> participation </w:t>
      </w:r>
      <w:r w:rsidR="003B6928">
        <w:t>to</w:t>
      </w:r>
      <w:r w:rsidR="003B6928" w:rsidRPr="002156BB">
        <w:t xml:space="preserve"> </w:t>
      </w:r>
      <w:r w:rsidRPr="002156BB">
        <w:t>prevent</w:t>
      </w:r>
      <w:r w:rsidR="00504A5F">
        <w:t xml:space="preserve"> conflict</w:t>
      </w:r>
      <w:r w:rsidR="003B6928">
        <w:t xml:space="preserve">, </w:t>
      </w:r>
      <w:r w:rsidRPr="002156BB">
        <w:t>sustain peace and ensure social cohesion.</w:t>
      </w:r>
    </w:p>
    <w:p w14:paraId="7A1E368B" w14:textId="4E9B3772" w:rsidR="002156BB" w:rsidRDefault="002156BB" w:rsidP="001E25E9">
      <w:pPr>
        <w:pStyle w:val="ListParagraph"/>
        <w:tabs>
          <w:tab w:val="left" w:pos="1260"/>
        </w:tabs>
        <w:ind w:left="907" w:right="720"/>
        <w:contextualSpacing/>
        <w:jc w:val="both"/>
        <w:rPr>
          <w:b/>
          <w:bCs/>
        </w:rPr>
      </w:pPr>
      <w:r w:rsidRPr="002156BB">
        <w:rPr>
          <w:b/>
          <w:bCs/>
        </w:rPr>
        <w:t xml:space="preserve">Sustainable, </w:t>
      </w:r>
      <w:r w:rsidR="003B6928">
        <w:rPr>
          <w:b/>
          <w:bCs/>
        </w:rPr>
        <w:t>r</w:t>
      </w:r>
      <w:r w:rsidRPr="002156BB">
        <w:rPr>
          <w:b/>
          <w:bCs/>
        </w:rPr>
        <w:t xml:space="preserve">esilient and </w:t>
      </w:r>
      <w:r w:rsidR="003B6928">
        <w:rPr>
          <w:b/>
          <w:bCs/>
        </w:rPr>
        <w:t>i</w:t>
      </w:r>
      <w:r w:rsidRPr="002156BB">
        <w:rPr>
          <w:b/>
          <w:bCs/>
        </w:rPr>
        <w:t xml:space="preserve">nclusive </w:t>
      </w:r>
      <w:r w:rsidR="003B6928">
        <w:rPr>
          <w:b/>
          <w:bCs/>
        </w:rPr>
        <w:t>g</w:t>
      </w:r>
      <w:r w:rsidRPr="002156BB">
        <w:rPr>
          <w:b/>
          <w:bCs/>
        </w:rPr>
        <w:t xml:space="preserve">rowth and </w:t>
      </w:r>
      <w:r w:rsidR="003B6928">
        <w:rPr>
          <w:b/>
          <w:bCs/>
        </w:rPr>
        <w:t>s</w:t>
      </w:r>
      <w:r w:rsidRPr="002156BB">
        <w:rPr>
          <w:b/>
          <w:bCs/>
        </w:rPr>
        <w:t xml:space="preserve">tructural </w:t>
      </w:r>
      <w:r w:rsidR="003B6928">
        <w:rPr>
          <w:b/>
          <w:bCs/>
        </w:rPr>
        <w:t>t</w:t>
      </w:r>
      <w:r w:rsidRPr="002156BB">
        <w:rPr>
          <w:b/>
          <w:bCs/>
        </w:rPr>
        <w:t>ransformation</w:t>
      </w:r>
    </w:p>
    <w:p w14:paraId="2E1EE672" w14:textId="77777777" w:rsidR="0040442F" w:rsidRPr="001E25E9" w:rsidRDefault="0040442F" w:rsidP="001E25E9">
      <w:pPr>
        <w:pStyle w:val="ListParagraph"/>
        <w:tabs>
          <w:tab w:val="left" w:pos="1260"/>
        </w:tabs>
        <w:ind w:left="907" w:right="720"/>
        <w:contextualSpacing/>
        <w:jc w:val="both"/>
        <w:rPr>
          <w:sz w:val="12"/>
          <w:szCs w:val="12"/>
        </w:rPr>
      </w:pPr>
    </w:p>
    <w:p w14:paraId="02B81143" w14:textId="2B269428" w:rsidR="008B4DD0" w:rsidRDefault="004C7777" w:rsidP="001E25E9">
      <w:pPr>
        <w:pStyle w:val="ListParagraph"/>
        <w:numPr>
          <w:ilvl w:val="0"/>
          <w:numId w:val="50"/>
        </w:numPr>
        <w:tabs>
          <w:tab w:val="left" w:pos="1260"/>
        </w:tabs>
        <w:spacing w:after="120"/>
        <w:ind w:left="907" w:right="720" w:firstLine="0"/>
        <w:jc w:val="both"/>
      </w:pPr>
      <w:r>
        <w:t xml:space="preserve">Based on the recommendations of the ICPE and the principle of </w:t>
      </w:r>
      <w:r w:rsidR="003B6928">
        <w:t>‘leave no one behind’</w:t>
      </w:r>
      <w:r w:rsidR="008B4DD0" w:rsidRPr="008B4DD0">
        <w:t xml:space="preserve">, UNDP will support the Government of Ghana to reinforce </w:t>
      </w:r>
      <w:r w:rsidR="003B6928">
        <w:t xml:space="preserve">a </w:t>
      </w:r>
      <w:r w:rsidR="008B4DD0" w:rsidRPr="008B4DD0">
        <w:t xml:space="preserve">youth and </w:t>
      </w:r>
      <w:r w:rsidR="005238AE" w:rsidRPr="008B4DD0">
        <w:t>women</w:t>
      </w:r>
      <w:r w:rsidR="005238AE">
        <w:t xml:space="preserve"> led</w:t>
      </w:r>
      <w:r w:rsidR="008B4DD0" w:rsidRPr="008B4DD0">
        <w:t xml:space="preserve"> MSME sector </w:t>
      </w:r>
      <w:r w:rsidR="003B6928">
        <w:t>that</w:t>
      </w:r>
      <w:r w:rsidR="003B6928" w:rsidRPr="008B4DD0">
        <w:t xml:space="preserve"> </w:t>
      </w:r>
      <w:r w:rsidR="008B4DD0" w:rsidRPr="008B4DD0">
        <w:t>flourish</w:t>
      </w:r>
      <w:r w:rsidR="003B6928">
        <w:t>es</w:t>
      </w:r>
      <w:r w:rsidR="008B4DD0" w:rsidRPr="008B4DD0">
        <w:t xml:space="preserve"> in a green, inclusive, and equitable manner. This will be achieved primarily through </w:t>
      </w:r>
      <w:r>
        <w:t>partnership</w:t>
      </w:r>
      <w:r w:rsidR="00920E6D">
        <w:t>s</w:t>
      </w:r>
      <w:r>
        <w:t xml:space="preserve"> with the private sector in </w:t>
      </w:r>
      <w:r w:rsidR="008B4DD0" w:rsidRPr="008B4DD0">
        <w:t xml:space="preserve">building </w:t>
      </w:r>
      <w:r w:rsidR="00920E6D">
        <w:t xml:space="preserve">the </w:t>
      </w:r>
      <w:r w:rsidR="008B4DD0" w:rsidRPr="008B4DD0">
        <w:t xml:space="preserve">capacities </w:t>
      </w:r>
      <w:r w:rsidR="004C45FF">
        <w:t xml:space="preserve">of institutions </w:t>
      </w:r>
      <w:r w:rsidR="008B4DD0" w:rsidRPr="008B4DD0">
        <w:t xml:space="preserve">to deliver </w:t>
      </w:r>
      <w:r w:rsidR="004C45FF">
        <w:t>improved</w:t>
      </w:r>
      <w:r w:rsidR="005020A1">
        <w:t xml:space="preserve"> </w:t>
      </w:r>
      <w:r w:rsidR="008B4DD0" w:rsidRPr="008B4DD0">
        <w:t>services to support MSMEs to</w:t>
      </w:r>
      <w:r w:rsidR="004C45FF">
        <w:t xml:space="preserve"> </w:t>
      </w:r>
      <w:r w:rsidR="008B4DD0" w:rsidRPr="008B4DD0">
        <w:t>innovate</w:t>
      </w:r>
      <w:r w:rsidR="00920E6D">
        <w:t xml:space="preserve"> and</w:t>
      </w:r>
      <w:r w:rsidR="008B4DD0" w:rsidRPr="008B4DD0">
        <w:t xml:space="preserve"> leverage additional financing</w:t>
      </w:r>
      <w:r w:rsidR="005020A1">
        <w:t xml:space="preserve"> </w:t>
      </w:r>
      <w:r w:rsidR="004C45FF">
        <w:t>for increased productivity</w:t>
      </w:r>
      <w:r w:rsidR="00920E6D">
        <w:t xml:space="preserve"> and </w:t>
      </w:r>
      <w:r w:rsidR="00816DA8">
        <w:t xml:space="preserve">opportunities </w:t>
      </w:r>
      <w:r w:rsidR="00920E6D">
        <w:t>for decent jobs</w:t>
      </w:r>
      <w:r w:rsidR="00816DA8">
        <w:t>, particularly youth</w:t>
      </w:r>
      <w:r w:rsidR="008B4DD0" w:rsidRPr="008B4DD0">
        <w:t xml:space="preserve">. This will help position enterprises to take advantage of the </w:t>
      </w:r>
      <w:r w:rsidR="003B6928">
        <w:t xml:space="preserve">large </w:t>
      </w:r>
      <w:r w:rsidR="008B4DD0" w:rsidRPr="008B4DD0">
        <w:t xml:space="preserve">African Free Trade market. It also holds great potential </w:t>
      </w:r>
      <w:r w:rsidR="003B6928">
        <w:t>for</w:t>
      </w:r>
      <w:r w:rsidR="008B4DD0" w:rsidRPr="008B4DD0">
        <w:t xml:space="preserve"> achiev</w:t>
      </w:r>
      <w:r w:rsidR="003B6928">
        <w:t>ing</w:t>
      </w:r>
      <w:r w:rsidR="008B4DD0" w:rsidRPr="008B4DD0">
        <w:t xml:space="preserve"> the </w:t>
      </w:r>
      <w:r w:rsidR="003B6928">
        <w:t>SDGs</w:t>
      </w:r>
      <w:r w:rsidR="008B4DD0" w:rsidRPr="008B4DD0">
        <w:t xml:space="preserve"> 8,9,10, and 17</w:t>
      </w:r>
      <w:r w:rsidR="003B6928">
        <w:t xml:space="preserve"> in particular</w:t>
      </w:r>
      <w:r w:rsidR="008B4DD0" w:rsidRPr="008B4DD0">
        <w:t>.</w:t>
      </w:r>
    </w:p>
    <w:p w14:paraId="310843A3" w14:textId="00EAA6B0" w:rsidR="002156BB" w:rsidRDefault="008A58EB" w:rsidP="00103EA9">
      <w:pPr>
        <w:pStyle w:val="ListParagraph"/>
        <w:numPr>
          <w:ilvl w:val="0"/>
          <w:numId w:val="50"/>
        </w:numPr>
        <w:tabs>
          <w:tab w:val="left" w:pos="1260"/>
        </w:tabs>
        <w:spacing w:after="120" w:line="240" w:lineRule="exact"/>
        <w:ind w:left="900" w:right="720" w:firstLine="0"/>
        <w:jc w:val="both"/>
      </w:pPr>
      <w:r>
        <w:t xml:space="preserve">Findings from recent evaluations </w:t>
      </w:r>
      <w:r w:rsidR="003B6928">
        <w:t>suggest</w:t>
      </w:r>
      <w:r w:rsidRPr="008A58EB">
        <w:t xml:space="preserve"> </w:t>
      </w:r>
      <w:r>
        <w:t>deepening of engagement with key development actors in</w:t>
      </w:r>
      <w:r w:rsidR="008A4A79">
        <w:t xml:space="preserve"> climate action</w:t>
      </w:r>
      <w:r w:rsidR="00673EE5">
        <w:t>.</w:t>
      </w:r>
      <w:r>
        <w:t xml:space="preserve"> UNDP, in close collaboration with the </w:t>
      </w:r>
      <w:r w:rsidR="002156BB" w:rsidRPr="002156BB">
        <w:t>Ministry of Environment, Science, Technology and Innovation</w:t>
      </w:r>
      <w:r>
        <w:t>,</w:t>
      </w:r>
      <w:r w:rsidR="002156BB" w:rsidRPr="002156BB">
        <w:t xml:space="preserve"> will lead coordination and resource mobilization efforts for climate action</w:t>
      </w:r>
      <w:r w:rsidR="00673EE5">
        <w:t>.</w:t>
      </w:r>
      <w:r w:rsidR="002156BB" w:rsidRPr="002156BB">
        <w:t xml:space="preserve"> </w:t>
      </w:r>
      <w:r w:rsidR="003B6928">
        <w:t>Concurrently</w:t>
      </w:r>
      <w:r w:rsidR="00673EE5">
        <w:t xml:space="preserve">, the </w:t>
      </w:r>
      <w:r w:rsidR="002156BB" w:rsidRPr="002156BB">
        <w:t>Forestry Commission</w:t>
      </w:r>
      <w:r w:rsidR="003B6928">
        <w:t xml:space="preserve">, </w:t>
      </w:r>
      <w:r w:rsidR="002156BB" w:rsidRPr="002156BB">
        <w:t>Ghana Cocoa Board</w:t>
      </w:r>
      <w:r w:rsidR="003B6928">
        <w:t xml:space="preserve">, </w:t>
      </w:r>
      <w:r w:rsidR="004323A9" w:rsidRPr="002156BB">
        <w:t xml:space="preserve">Metropolitan, Municipal, and District Assemblies </w:t>
      </w:r>
      <w:r w:rsidR="005D6B2B">
        <w:t>(</w:t>
      </w:r>
      <w:r w:rsidR="002156BB" w:rsidRPr="002156BB">
        <w:t>MMDAs</w:t>
      </w:r>
      <w:r w:rsidR="005D6B2B">
        <w:t>)</w:t>
      </w:r>
      <w:r w:rsidR="003B6928">
        <w:t>,</w:t>
      </w:r>
      <w:r w:rsidR="002156BB" w:rsidRPr="002156BB">
        <w:t xml:space="preserve"> and Community Based Organizations</w:t>
      </w:r>
      <w:r w:rsidR="003B6928">
        <w:t xml:space="preserve"> (CBOs)</w:t>
      </w:r>
      <w:r w:rsidR="002156BB" w:rsidRPr="002156BB">
        <w:t xml:space="preserve"> will </w:t>
      </w:r>
      <w:r w:rsidR="003B6928">
        <w:t>collaborate on</w:t>
      </w:r>
      <w:r w:rsidR="002156BB" w:rsidRPr="002156BB">
        <w:t xml:space="preserve"> interventions for </w:t>
      </w:r>
      <w:r w:rsidR="003B6928">
        <w:t>restoring</w:t>
      </w:r>
      <w:r w:rsidR="002156BB" w:rsidRPr="002156BB">
        <w:t xml:space="preserve"> degraded landscapes and </w:t>
      </w:r>
      <w:r w:rsidR="003B6928">
        <w:t>promoting</w:t>
      </w:r>
      <w:r w:rsidR="002156BB" w:rsidRPr="002156BB">
        <w:t xml:space="preserve"> sustainable environmental production</w:t>
      </w:r>
      <w:r w:rsidR="00E56C91" w:rsidRPr="00E56C91">
        <w:t xml:space="preserve"> </w:t>
      </w:r>
      <w:r w:rsidR="00E56C91">
        <w:t>w</w:t>
      </w:r>
      <w:r w:rsidR="00E56C91" w:rsidRPr="00E56C91">
        <w:t xml:space="preserve">ith </w:t>
      </w:r>
      <w:r w:rsidR="003B6928">
        <w:t xml:space="preserve">a </w:t>
      </w:r>
      <w:r w:rsidR="00E56C91" w:rsidRPr="00E56C91">
        <w:t>specific emphasis on agroforestry</w:t>
      </w:r>
      <w:r w:rsidR="002156BB" w:rsidRPr="002156BB">
        <w:t xml:space="preserve">. </w:t>
      </w:r>
      <w:r w:rsidR="003B6928">
        <w:t>As</w:t>
      </w:r>
      <w:r w:rsidR="003B6928" w:rsidRPr="002156BB">
        <w:t xml:space="preserve"> </w:t>
      </w:r>
      <w:r w:rsidR="002156BB" w:rsidRPr="002156BB">
        <w:t>the private sector continue</w:t>
      </w:r>
      <w:r w:rsidR="003B6928">
        <w:t>s</w:t>
      </w:r>
      <w:r w:rsidR="002156BB" w:rsidRPr="002156BB">
        <w:t xml:space="preserve"> to provide targeted finance and technology aimed at driving climate action</w:t>
      </w:r>
      <w:r w:rsidR="00452612">
        <w:t xml:space="preserve"> and</w:t>
      </w:r>
      <w:r w:rsidR="002156BB" w:rsidRPr="002156BB">
        <w:t xml:space="preserve"> environmental sustainability, SMEs and </w:t>
      </w:r>
      <w:r w:rsidR="003B6928">
        <w:t>s</w:t>
      </w:r>
      <w:r w:rsidR="002156BB" w:rsidRPr="002156BB">
        <w:t xml:space="preserve">tart-ups will lead in </w:t>
      </w:r>
      <w:r w:rsidR="003B6928">
        <w:t xml:space="preserve">onboarding and </w:t>
      </w:r>
      <w:r w:rsidR="002156BB" w:rsidRPr="002156BB">
        <w:t>adopti</w:t>
      </w:r>
      <w:r w:rsidR="003B6928">
        <w:t>ng</w:t>
      </w:r>
      <w:r w:rsidR="002156BB" w:rsidRPr="002156BB">
        <w:t xml:space="preserve"> digital technology </w:t>
      </w:r>
      <w:r w:rsidR="003B6928">
        <w:t>that serves</w:t>
      </w:r>
      <w:r w:rsidR="003B6928" w:rsidRPr="002156BB">
        <w:t xml:space="preserve"> </w:t>
      </w:r>
      <w:r w:rsidR="002156BB" w:rsidRPr="002156BB">
        <w:t xml:space="preserve">people and the planet.  </w:t>
      </w:r>
    </w:p>
    <w:p w14:paraId="0AF692F6" w14:textId="762D0BE1" w:rsidR="00031E57" w:rsidRDefault="002156BB" w:rsidP="00103EA9">
      <w:pPr>
        <w:pStyle w:val="ListParagraph"/>
        <w:numPr>
          <w:ilvl w:val="0"/>
          <w:numId w:val="50"/>
        </w:numPr>
        <w:tabs>
          <w:tab w:val="left" w:pos="1260"/>
        </w:tabs>
        <w:spacing w:after="120" w:line="240" w:lineRule="exact"/>
        <w:ind w:left="900" w:right="720" w:firstLine="0"/>
        <w:jc w:val="both"/>
      </w:pPr>
      <w:r w:rsidRPr="002156BB">
        <w:t xml:space="preserve">Drawing from its global expertise and </w:t>
      </w:r>
      <w:r w:rsidR="00BC44BA">
        <w:t xml:space="preserve">local </w:t>
      </w:r>
      <w:r w:rsidRPr="002156BB">
        <w:t>network</w:t>
      </w:r>
      <w:r w:rsidR="00BC44BA">
        <w:t>ing capacities</w:t>
      </w:r>
      <w:r w:rsidRPr="002156BB">
        <w:t xml:space="preserve">, UNDP will facilitate access to innovative tools, approaches and technologies developed and tested </w:t>
      </w:r>
      <w:r w:rsidR="00BC44BA">
        <w:t>around the world</w:t>
      </w:r>
      <w:r w:rsidR="00BC44BA" w:rsidRPr="002156BB">
        <w:t xml:space="preserve"> </w:t>
      </w:r>
      <w:r w:rsidRPr="002156BB">
        <w:t>to help communities (particularly in the north or highly degraded rural areas) adapt to climate change, reduce vulnerabilit</w:t>
      </w:r>
      <w:r w:rsidR="00BC44BA">
        <w:t>y</w:t>
      </w:r>
      <w:r w:rsidRPr="002156BB">
        <w:t xml:space="preserve"> to disasters</w:t>
      </w:r>
      <w:r w:rsidR="00BC44BA">
        <w:t>,</w:t>
      </w:r>
      <w:r w:rsidRPr="002156BB">
        <w:t xml:space="preserve"> promote environmental conservation</w:t>
      </w:r>
      <w:r w:rsidR="00BC44BA">
        <w:t>,</w:t>
      </w:r>
      <w:r w:rsidRPr="002156BB">
        <w:t xml:space="preserve"> support the private </w:t>
      </w:r>
      <w:r w:rsidRPr="002156BB">
        <w:lastRenderedPageBreak/>
        <w:t xml:space="preserve">sector to make production more environmentally sustainable, and enhance </w:t>
      </w:r>
      <w:r w:rsidR="00BC44BA">
        <w:t>private sector</w:t>
      </w:r>
      <w:r w:rsidR="00BC44BA" w:rsidRPr="002156BB">
        <w:t xml:space="preserve"> </w:t>
      </w:r>
      <w:r w:rsidRPr="002156BB">
        <w:t>involvement in inclusive markets and the delivery of green products and services</w:t>
      </w:r>
      <w:r w:rsidR="00BC44BA">
        <w:t>. The latter</w:t>
      </w:r>
      <w:r w:rsidRPr="002156BB">
        <w:t xml:space="preserve"> includ</w:t>
      </w:r>
      <w:r w:rsidR="00BC44BA">
        <w:t>es</w:t>
      </w:r>
      <w:r w:rsidRPr="002156BB">
        <w:t xml:space="preserve"> a focus on </w:t>
      </w:r>
      <w:r w:rsidR="008169A8">
        <w:t xml:space="preserve">youth-led </w:t>
      </w:r>
      <w:r w:rsidRPr="002156BB">
        <w:t>innovative business models</w:t>
      </w:r>
      <w:bookmarkStart w:id="3" w:name="_Hlk100217366"/>
      <w:r w:rsidRPr="002156BB">
        <w:t>.</w:t>
      </w:r>
    </w:p>
    <w:p w14:paraId="09F4AA95" w14:textId="0677C2F2" w:rsidR="007E4CA1" w:rsidRDefault="007E4CA1" w:rsidP="00103EA9">
      <w:pPr>
        <w:pStyle w:val="ListParagraph"/>
        <w:numPr>
          <w:ilvl w:val="0"/>
          <w:numId w:val="50"/>
        </w:numPr>
        <w:tabs>
          <w:tab w:val="left" w:pos="1260"/>
        </w:tabs>
        <w:spacing w:after="120" w:line="240" w:lineRule="exact"/>
        <w:ind w:left="900" w:right="720" w:firstLine="0"/>
        <w:jc w:val="both"/>
      </w:pPr>
      <w:r w:rsidRPr="002156BB">
        <w:t xml:space="preserve">UNDP will continue to coordinate support with the </w:t>
      </w:r>
      <w:r w:rsidR="00BC44BA">
        <w:t>g</w:t>
      </w:r>
      <w:r w:rsidRPr="002156BB">
        <w:t xml:space="preserve">overnment by retaining core strategic partnerships with MMDAs, </w:t>
      </w:r>
      <w:r w:rsidR="00BC44BA">
        <w:t>national m</w:t>
      </w:r>
      <w:r w:rsidRPr="002156BB">
        <w:t xml:space="preserve">inistries, </w:t>
      </w:r>
      <w:r w:rsidR="00BC44BA">
        <w:t>d</w:t>
      </w:r>
      <w:r w:rsidRPr="002156BB">
        <w:t xml:space="preserve">epartments and </w:t>
      </w:r>
      <w:r w:rsidR="00BC44BA">
        <w:t>a</w:t>
      </w:r>
      <w:r w:rsidRPr="002156BB">
        <w:t xml:space="preserve">gencies, </w:t>
      </w:r>
      <w:r w:rsidR="00BC44BA">
        <w:t>c</w:t>
      </w:r>
      <w:r w:rsidRPr="002156BB">
        <w:t xml:space="preserve">ommissions and </w:t>
      </w:r>
      <w:r w:rsidR="00BC44BA">
        <w:t>d</w:t>
      </w:r>
      <w:r w:rsidRPr="002156BB">
        <w:t xml:space="preserve">evelopment </w:t>
      </w:r>
      <w:r w:rsidR="00BC44BA">
        <w:t>a</w:t>
      </w:r>
      <w:r w:rsidRPr="002156BB">
        <w:t xml:space="preserve">uthorities, while exploring </w:t>
      </w:r>
      <w:r w:rsidR="00BC44BA">
        <w:t>g</w:t>
      </w:r>
      <w:r w:rsidRPr="002156BB">
        <w:t xml:space="preserve">overnment cost-sharing engagements. Additionally, UNDP will strengthen collaboration with other UN </w:t>
      </w:r>
      <w:r w:rsidR="00BC44BA">
        <w:t>a</w:t>
      </w:r>
      <w:r w:rsidRPr="002156BB">
        <w:t xml:space="preserve">gencies in the context of Delivering as One (DaO) and leverage its existing partnerships with bilateral and multilateral donors especially the top </w:t>
      </w:r>
      <w:r>
        <w:t>five</w:t>
      </w:r>
      <w:r w:rsidRPr="002156BB">
        <w:t xml:space="preserve"> development partners </w:t>
      </w:r>
      <w:r w:rsidR="00BC44BA">
        <w:t>from</w:t>
      </w:r>
      <w:r w:rsidR="00BC44BA" w:rsidRPr="002156BB">
        <w:t xml:space="preserve"> </w:t>
      </w:r>
      <w:r w:rsidRPr="002156BB">
        <w:t xml:space="preserve">the last CPD cycle: Green Climate Fund (GCF), Adaptation Fund, </w:t>
      </w:r>
      <w:r w:rsidR="00BC44BA">
        <w:t xml:space="preserve">the governments of </w:t>
      </w:r>
      <w:r w:rsidRPr="002156BB">
        <w:t>Japan</w:t>
      </w:r>
      <w:r w:rsidR="00BC44BA">
        <w:t xml:space="preserve"> and</w:t>
      </w:r>
      <w:r w:rsidRPr="002156BB">
        <w:t xml:space="preserve"> Germany</w:t>
      </w:r>
      <w:r w:rsidR="00BC44BA">
        <w:t>,</w:t>
      </w:r>
      <w:r w:rsidRPr="002156BB">
        <w:t xml:space="preserve"> and </w:t>
      </w:r>
      <w:r w:rsidR="00BC44BA">
        <w:t xml:space="preserve">the </w:t>
      </w:r>
      <w:r w:rsidRPr="002156BB">
        <w:t>Global Environment Facility (GEF). New partnerships with CSOs (for advocacy, accountability, and expertise), academia (quality data gathering, identification of innovative solutions and for knowledge production and dissemination)</w:t>
      </w:r>
      <w:r w:rsidR="00BC44BA">
        <w:t>,</w:t>
      </w:r>
      <w:r w:rsidRPr="002156BB">
        <w:t xml:space="preserve"> and private sector (for incubation of innovative </w:t>
      </w:r>
      <w:r w:rsidR="00BC44BA">
        <w:t>and</w:t>
      </w:r>
      <w:r w:rsidRPr="002156BB">
        <w:t xml:space="preserve"> alternative sources of resources</w:t>
      </w:r>
      <w:r w:rsidR="00BC44BA">
        <w:t>,</w:t>
      </w:r>
      <w:r w:rsidRPr="002156BB">
        <w:t xml:space="preserve"> and to create green jobs) will be explored, nurtured and managed. </w:t>
      </w:r>
      <w:r w:rsidRPr="00013F42">
        <w:t xml:space="preserve">African </w:t>
      </w:r>
      <w:r w:rsidR="00013F42" w:rsidRPr="00013F42">
        <w:t>U</w:t>
      </w:r>
      <w:r w:rsidRPr="00013F42">
        <w:t>nion, regional</w:t>
      </w:r>
      <w:r w:rsidRPr="002156BB">
        <w:t xml:space="preserve"> actors, </w:t>
      </w:r>
      <w:r w:rsidR="00395B84">
        <w:t>Economic Community of West African States (</w:t>
      </w:r>
      <w:r w:rsidRPr="002156BB">
        <w:t>ECOWAS</w:t>
      </w:r>
      <w:r w:rsidR="00395B84">
        <w:t>)</w:t>
      </w:r>
      <w:r w:rsidRPr="002156BB">
        <w:t xml:space="preserve">, tech hubs, parliament, youth organizations will also be engaged </w:t>
      </w:r>
      <w:r w:rsidR="00BC44BA">
        <w:t>in programme</w:t>
      </w:r>
      <w:r w:rsidR="00BC44BA" w:rsidRPr="002156BB">
        <w:t xml:space="preserve"> </w:t>
      </w:r>
      <w:r w:rsidRPr="002156BB">
        <w:t>partnerships.</w:t>
      </w:r>
    </w:p>
    <w:p w14:paraId="6919B759" w14:textId="6D962E54" w:rsidR="00031E57" w:rsidRDefault="00BC44BA" w:rsidP="00103EA9">
      <w:pPr>
        <w:pStyle w:val="ListParagraph"/>
        <w:numPr>
          <w:ilvl w:val="0"/>
          <w:numId w:val="50"/>
        </w:numPr>
        <w:tabs>
          <w:tab w:val="left" w:pos="1260"/>
        </w:tabs>
        <w:spacing w:after="120" w:line="240" w:lineRule="exact"/>
        <w:ind w:left="900" w:right="720" w:firstLine="0"/>
        <w:jc w:val="both"/>
      </w:pPr>
      <w:r>
        <w:t xml:space="preserve">The </w:t>
      </w:r>
      <w:r w:rsidR="007E4CA1" w:rsidRPr="002156BB">
        <w:t xml:space="preserve">UNDP resource mobilization strategy will include scaling up access to vertical funds such as </w:t>
      </w:r>
      <w:r>
        <w:t>GCF</w:t>
      </w:r>
      <w:r w:rsidR="007E4CA1" w:rsidRPr="002156BB">
        <w:t xml:space="preserve">, Adaptation Fund, </w:t>
      </w:r>
      <w:r>
        <w:t>GEF,</w:t>
      </w:r>
      <w:r w:rsidR="007E4CA1" w:rsidRPr="002156BB">
        <w:t xml:space="preserve"> and Montreal Protocol and retaining private funding towards the attainment of the SDGs. </w:t>
      </w:r>
      <w:r w:rsidR="00013F42">
        <w:t>UNDP</w:t>
      </w:r>
      <w:r w:rsidR="007E4CA1" w:rsidRPr="002156BB">
        <w:t xml:space="preserve"> will continue to partner </w:t>
      </w:r>
      <w:r>
        <w:t>with the g</w:t>
      </w:r>
      <w:r w:rsidR="007E4CA1" w:rsidRPr="002156BB">
        <w:t>overnment</w:t>
      </w:r>
      <w:r w:rsidR="007E4CA1">
        <w:t xml:space="preserve"> </w:t>
      </w:r>
      <w:r>
        <w:t xml:space="preserve">on </w:t>
      </w:r>
      <w:r w:rsidR="007E4CA1">
        <w:t>the implementation of the</w:t>
      </w:r>
      <w:r w:rsidR="00395B84">
        <w:t xml:space="preserve"> Integrated National Financing Framework</w:t>
      </w:r>
      <w:r w:rsidR="007E4CA1" w:rsidRPr="00EE70C7">
        <w:t xml:space="preserve"> </w:t>
      </w:r>
      <w:r w:rsidR="00395B84">
        <w:t>(</w:t>
      </w:r>
      <w:r w:rsidR="007E4CA1" w:rsidRPr="00EE70C7">
        <w:t>INFF</w:t>
      </w:r>
      <w:r w:rsidR="00395B84">
        <w:t>)</w:t>
      </w:r>
      <w:r w:rsidR="007E4CA1" w:rsidRPr="00EE70C7">
        <w:t xml:space="preserve"> relat</w:t>
      </w:r>
      <w:r w:rsidR="007E4CA1">
        <w:t>ing to</w:t>
      </w:r>
      <w:r w:rsidR="007E4CA1" w:rsidRPr="00EE70C7">
        <w:t xml:space="preserve"> SDG </w:t>
      </w:r>
      <w:r>
        <w:t>f</w:t>
      </w:r>
      <w:r w:rsidR="007E4CA1" w:rsidRPr="00EE70C7">
        <w:t>inancing strategies at subnational</w:t>
      </w:r>
      <w:r w:rsidR="007E4CA1">
        <w:t xml:space="preserve"> and</w:t>
      </w:r>
      <w:r w:rsidR="007E4CA1" w:rsidRPr="00EE70C7">
        <w:t xml:space="preserve"> national level</w:t>
      </w:r>
      <w:r w:rsidR="007E4CA1">
        <w:t xml:space="preserve">s to complement the </w:t>
      </w:r>
      <w:r w:rsidR="007E4CA1" w:rsidRPr="002156BB">
        <w:t xml:space="preserve">Country Financing Roadmap for the SDGs, a country-led initiative to formulate an action plan to unlock greater financing </w:t>
      </w:r>
      <w:r>
        <w:t>for</w:t>
      </w:r>
      <w:r w:rsidR="007E4CA1" w:rsidRPr="002156BB">
        <w:t xml:space="preserve"> SDGs</w:t>
      </w:r>
      <w:r>
        <w:t xml:space="preserve"> achievement</w:t>
      </w:r>
      <w:r w:rsidR="007E4CA1">
        <w:t>.</w:t>
      </w:r>
      <w:r w:rsidR="007E4CA1">
        <w:rPr>
          <w:rStyle w:val="FootnoteReference"/>
        </w:rPr>
        <w:footnoteReference w:id="8"/>
      </w:r>
    </w:p>
    <w:p w14:paraId="1434667D" w14:textId="42ABDC02" w:rsidR="002156BB" w:rsidRDefault="002156BB" w:rsidP="001E25E9">
      <w:pPr>
        <w:pStyle w:val="ListParagraph"/>
        <w:tabs>
          <w:tab w:val="left" w:pos="1260"/>
        </w:tabs>
        <w:spacing w:after="120"/>
        <w:ind w:left="907" w:right="720"/>
        <w:contextualSpacing/>
        <w:jc w:val="both"/>
        <w:rPr>
          <w:b/>
          <w:bCs/>
        </w:rPr>
      </w:pPr>
      <w:r w:rsidRPr="002156BB">
        <w:rPr>
          <w:b/>
          <w:bCs/>
        </w:rPr>
        <w:t>Accountable, inclusive</w:t>
      </w:r>
      <w:r w:rsidR="00BC44BA">
        <w:rPr>
          <w:b/>
          <w:bCs/>
        </w:rPr>
        <w:t>,</w:t>
      </w:r>
      <w:r w:rsidRPr="002156BB">
        <w:rPr>
          <w:b/>
          <w:bCs/>
        </w:rPr>
        <w:t xml:space="preserve"> and responsive governance and social cohesion </w:t>
      </w:r>
    </w:p>
    <w:p w14:paraId="229332A2" w14:textId="77777777" w:rsidR="001E25E9" w:rsidRPr="001E25E9" w:rsidRDefault="001E25E9" w:rsidP="001E25E9">
      <w:pPr>
        <w:pStyle w:val="ListParagraph"/>
        <w:tabs>
          <w:tab w:val="left" w:pos="1260"/>
        </w:tabs>
        <w:spacing w:after="120"/>
        <w:ind w:left="907" w:right="720"/>
        <w:contextualSpacing/>
        <w:jc w:val="both"/>
        <w:rPr>
          <w:sz w:val="12"/>
          <w:szCs w:val="12"/>
        </w:rPr>
      </w:pPr>
    </w:p>
    <w:p w14:paraId="3AD84714" w14:textId="7D505276" w:rsidR="00A60B95" w:rsidRDefault="002156BB" w:rsidP="001E25E9">
      <w:pPr>
        <w:pStyle w:val="ListParagraph"/>
        <w:numPr>
          <w:ilvl w:val="0"/>
          <w:numId w:val="50"/>
        </w:numPr>
        <w:tabs>
          <w:tab w:val="left" w:pos="1260"/>
        </w:tabs>
        <w:spacing w:after="120"/>
        <w:ind w:left="907" w:right="720" w:firstLine="0"/>
        <w:jc w:val="both"/>
      </w:pPr>
      <w:r w:rsidRPr="002156BB">
        <w:t xml:space="preserve">Noting </w:t>
      </w:r>
      <w:r w:rsidR="00BC44BA">
        <w:t xml:space="preserve">the </w:t>
      </w:r>
      <w:r w:rsidRPr="002156BB">
        <w:t xml:space="preserve">UNDP track records in institutional capacity strengthening and multi-stakeholder engagement, UNDP </w:t>
      </w:r>
      <w:r w:rsidR="00BC44BA">
        <w:t xml:space="preserve">will align </w:t>
      </w:r>
      <w:r w:rsidR="00341EC6">
        <w:t>efforts with</w:t>
      </w:r>
      <w:r w:rsidRPr="002156BB">
        <w:t xml:space="preserve"> national priorities </w:t>
      </w:r>
      <w:r w:rsidR="00BC44BA">
        <w:t>and</w:t>
      </w:r>
      <w:r w:rsidR="00BC44BA" w:rsidRPr="002156BB">
        <w:t xml:space="preserve"> </w:t>
      </w:r>
      <w:r w:rsidRPr="002156BB">
        <w:t xml:space="preserve">support state and non-state institutions in enhancing their capabilities through </w:t>
      </w:r>
      <w:r w:rsidR="00341EC6">
        <w:t xml:space="preserve">the </w:t>
      </w:r>
      <w:r w:rsidRPr="002156BB">
        <w:t xml:space="preserve">exploration of innovative approaches. </w:t>
      </w:r>
    </w:p>
    <w:p w14:paraId="44221224" w14:textId="5796DA50" w:rsidR="002156BB" w:rsidRDefault="00341EC6" w:rsidP="00103EA9">
      <w:pPr>
        <w:pStyle w:val="ListParagraph"/>
        <w:numPr>
          <w:ilvl w:val="0"/>
          <w:numId w:val="50"/>
        </w:numPr>
        <w:tabs>
          <w:tab w:val="left" w:pos="1260"/>
        </w:tabs>
        <w:spacing w:after="120" w:line="240" w:lineRule="exact"/>
        <w:ind w:left="900" w:right="720" w:firstLine="0"/>
        <w:jc w:val="both"/>
      </w:pPr>
      <w:r>
        <w:t>To accelerate</w:t>
      </w:r>
      <w:r w:rsidR="002156BB" w:rsidRPr="002156BB">
        <w:t xml:space="preserve"> the implementation of the SDGs, UNDP will support impactful policymaking, strategic innovation, digitali</w:t>
      </w:r>
      <w:r>
        <w:t>z</w:t>
      </w:r>
      <w:r w:rsidR="002156BB" w:rsidRPr="002156BB">
        <w:t xml:space="preserve">ation, </w:t>
      </w:r>
      <w:r w:rsidR="0085066C">
        <w:t xml:space="preserve">inclusive </w:t>
      </w:r>
      <w:r w:rsidR="002156BB" w:rsidRPr="002156BB">
        <w:t>data collection and use</w:t>
      </w:r>
      <w:r>
        <w:t>,</w:t>
      </w:r>
      <w:r w:rsidR="002156BB" w:rsidRPr="002156BB">
        <w:t xml:space="preserve"> and promote easy access to information through one-stop shops/dashboards. UNDP will support and provide technical assistance to the National Development Planning Commission (NDPC) to support routine data collection, surveys and compilation of </w:t>
      </w:r>
      <w:r>
        <w:t>n</w:t>
      </w:r>
      <w:r w:rsidR="002156BB" w:rsidRPr="002156BB">
        <w:t xml:space="preserve">ational </w:t>
      </w:r>
      <w:r>
        <w:t>h</w:t>
      </w:r>
      <w:r w:rsidR="002156BB" w:rsidRPr="002156BB">
        <w:t xml:space="preserve">uman </w:t>
      </w:r>
      <w:r>
        <w:t>d</w:t>
      </w:r>
      <w:r w:rsidR="002156BB" w:rsidRPr="002156BB">
        <w:t xml:space="preserve">evelopment </w:t>
      </w:r>
      <w:r>
        <w:t>r</w:t>
      </w:r>
      <w:r w:rsidR="002156BB" w:rsidRPr="002156BB">
        <w:t xml:space="preserve">eports and </w:t>
      </w:r>
      <w:r>
        <w:t>m</w:t>
      </w:r>
      <w:r w:rsidR="002156BB" w:rsidRPr="002156BB">
        <w:t xml:space="preserve">ulti-dimensional </w:t>
      </w:r>
      <w:r>
        <w:t>p</w:t>
      </w:r>
      <w:r w:rsidR="002156BB" w:rsidRPr="002156BB">
        <w:t xml:space="preserve">overty </w:t>
      </w:r>
      <w:r>
        <w:t>i</w:t>
      </w:r>
      <w:r w:rsidR="002156BB" w:rsidRPr="002156BB">
        <w:t xml:space="preserve">ndices. Jointly with </w:t>
      </w:r>
      <w:r>
        <w:t>the United Nations country team (</w:t>
      </w:r>
      <w:r w:rsidR="002156BB" w:rsidRPr="002156BB">
        <w:t>UNCT</w:t>
      </w:r>
      <w:r>
        <w:t>)</w:t>
      </w:r>
      <w:r w:rsidR="002156BB" w:rsidRPr="002156BB">
        <w:t xml:space="preserve"> and other</w:t>
      </w:r>
      <w:r w:rsidR="00395B84">
        <w:t xml:space="preserve"> Development Partner</w:t>
      </w:r>
      <w:r w:rsidR="002156BB" w:rsidRPr="002156BB">
        <w:t xml:space="preserve"> </w:t>
      </w:r>
      <w:r w:rsidR="00395B84">
        <w:t>(</w:t>
      </w:r>
      <w:r w:rsidR="002156BB" w:rsidRPr="002156BB">
        <w:t>DPs</w:t>
      </w:r>
      <w:r w:rsidR="00395B84">
        <w:t>)</w:t>
      </w:r>
      <w:r w:rsidR="002156BB" w:rsidRPr="002156BB">
        <w:t xml:space="preserve">, UNDP will focus on data and analytics to strengthen </w:t>
      </w:r>
      <w:r>
        <w:t>n</w:t>
      </w:r>
      <w:r w:rsidR="002156BB" w:rsidRPr="002156BB">
        <w:t xml:space="preserve">ational </w:t>
      </w:r>
      <w:r>
        <w:t>s</w:t>
      </w:r>
      <w:r w:rsidR="002156BB" w:rsidRPr="002156BB">
        <w:t xml:space="preserve">tatistical </w:t>
      </w:r>
      <w:r>
        <w:t>s</w:t>
      </w:r>
      <w:r w:rsidR="002156BB" w:rsidRPr="002156BB">
        <w:t>ystems for planning, financing and reporting with attention on inclusion of vulnerable groups such as women and youth in national data sets</w:t>
      </w:r>
      <w:r>
        <w:t>,</w:t>
      </w:r>
      <w:r w:rsidR="002156BB" w:rsidRPr="002156BB">
        <w:t xml:space="preserve"> and to ensure timely production of data for SDG </w:t>
      </w:r>
      <w:r>
        <w:t>reporting</w:t>
      </w:r>
      <w:r w:rsidR="002156BB" w:rsidRPr="002156BB">
        <w:t>.</w:t>
      </w:r>
    </w:p>
    <w:p w14:paraId="2866A423" w14:textId="09B0B9B1" w:rsidR="002156BB" w:rsidRDefault="002156BB" w:rsidP="00103EA9">
      <w:pPr>
        <w:pStyle w:val="ListParagraph"/>
        <w:numPr>
          <w:ilvl w:val="0"/>
          <w:numId w:val="50"/>
        </w:numPr>
        <w:tabs>
          <w:tab w:val="left" w:pos="1260"/>
        </w:tabs>
        <w:spacing w:after="120" w:line="240" w:lineRule="exact"/>
        <w:ind w:left="900" w:right="720" w:firstLine="0"/>
        <w:jc w:val="both"/>
      </w:pPr>
      <w:r w:rsidRPr="002156BB">
        <w:t>Building on past success in facilitating constitutional reform and supporting the conduct of free, fair and transparent elections, UNDP will partner with the Ministry of Justice and Attorney General’s Department and Parliament to support ongoing constitutional, electoral and legal reforms that promote inclusive and transparent governance processes. In collaboration with civil society, the Electoral Commission</w:t>
      </w:r>
      <w:r w:rsidR="00341EC6">
        <w:t>,</w:t>
      </w:r>
      <w:r w:rsidRPr="002156BB">
        <w:t xml:space="preserve"> and National Commission for Civic Education, UNDP will enhance aspects of voter education, citizen participation in electoral process</w:t>
      </w:r>
      <w:r w:rsidR="00341EC6">
        <w:t>es</w:t>
      </w:r>
      <w:r w:rsidRPr="002156BB">
        <w:t xml:space="preserve"> at national and local levels</w:t>
      </w:r>
      <w:r w:rsidR="00341EC6">
        <w:t>,</w:t>
      </w:r>
      <w:r w:rsidRPr="002156BB">
        <w:t xml:space="preserve"> and the expansion and </w:t>
      </w:r>
      <w:r w:rsidR="00341EC6">
        <w:t>uptake</w:t>
      </w:r>
      <w:r w:rsidR="00341EC6" w:rsidRPr="002156BB">
        <w:t xml:space="preserve"> </w:t>
      </w:r>
      <w:r w:rsidRPr="002156BB">
        <w:t>of globally accepted digital technologies and innovations to improve transparency and effective management of general and local elections.</w:t>
      </w:r>
      <w:r>
        <w:t xml:space="preserve"> </w:t>
      </w:r>
    </w:p>
    <w:p w14:paraId="04B3A7B0" w14:textId="5C0DC0ED" w:rsidR="002156BB" w:rsidRDefault="00341EC6" w:rsidP="00103EA9">
      <w:pPr>
        <w:pStyle w:val="ListParagraph"/>
        <w:numPr>
          <w:ilvl w:val="0"/>
          <w:numId w:val="50"/>
        </w:numPr>
        <w:tabs>
          <w:tab w:val="left" w:pos="1260"/>
        </w:tabs>
        <w:spacing w:after="120" w:line="240" w:lineRule="exact"/>
        <w:ind w:left="900" w:right="720" w:firstLine="0"/>
        <w:jc w:val="both"/>
      </w:pPr>
      <w:r>
        <w:t>A</w:t>
      </w:r>
      <w:r w:rsidR="002156BB" w:rsidRPr="002156BB">
        <w:t xml:space="preserve"> critical role</w:t>
      </w:r>
      <w:r w:rsidR="00AC5647">
        <w:t>,</w:t>
      </w:r>
      <w:r w:rsidR="002156BB" w:rsidRPr="002156BB">
        <w:t xml:space="preserve"> UNDP will enhance the enabling environment for economic governance, including natural resource management, to contribute to social cohesion and delivery of people-centered economic dividends. In line with SDGs 1,</w:t>
      </w:r>
      <w:r w:rsidR="00013F42">
        <w:t xml:space="preserve"> </w:t>
      </w:r>
      <w:r w:rsidR="002156BB" w:rsidRPr="002156BB">
        <w:t>2, and 16, UNDP will provide tools, methodologies, and capacities to support partnership</w:t>
      </w:r>
      <w:r>
        <w:t>s</w:t>
      </w:r>
      <w:r w:rsidR="002156BB" w:rsidRPr="002156BB">
        <w:t xml:space="preserve"> </w:t>
      </w:r>
      <w:r>
        <w:t>between</w:t>
      </w:r>
      <w:r w:rsidRPr="002156BB">
        <w:t xml:space="preserve"> </w:t>
      </w:r>
      <w:r w:rsidR="002156BB" w:rsidRPr="002156BB">
        <w:t xml:space="preserve">UN agencies and </w:t>
      </w:r>
      <w:r>
        <w:t>the g</w:t>
      </w:r>
      <w:r w:rsidR="002156BB" w:rsidRPr="002156BB">
        <w:t xml:space="preserve">overnment </w:t>
      </w:r>
      <w:r w:rsidR="002156BB" w:rsidRPr="002156BB">
        <w:lastRenderedPageBreak/>
        <w:t>to strengthen the efficient and transparent mobilization of revenue. UNDP will also collaborate with national audit institution</w:t>
      </w:r>
      <w:r>
        <w:t>s</w:t>
      </w:r>
      <w:r w:rsidR="002156BB" w:rsidRPr="002156BB">
        <w:t xml:space="preserve">, and other UN agencies to promote more transparency, accountability and cost-effectiveness in </w:t>
      </w:r>
      <w:r>
        <w:t>p</w:t>
      </w:r>
      <w:r w:rsidR="002156BB" w:rsidRPr="002156BB">
        <w:t xml:space="preserve">ublic </w:t>
      </w:r>
      <w:r>
        <w:t>f</w:t>
      </w:r>
      <w:r w:rsidR="002156BB" w:rsidRPr="002156BB">
        <w:t xml:space="preserve">inancial </w:t>
      </w:r>
      <w:r>
        <w:t>m</w:t>
      </w:r>
      <w:r w:rsidR="002156BB" w:rsidRPr="002156BB">
        <w:t xml:space="preserve">anagement and control of </w:t>
      </w:r>
      <w:r>
        <w:t>i</w:t>
      </w:r>
      <w:r w:rsidR="002156BB" w:rsidRPr="002156BB">
        <w:t xml:space="preserve">llicit financing flows. UNDP will </w:t>
      </w:r>
      <w:r>
        <w:t xml:space="preserve">also </w:t>
      </w:r>
      <w:r w:rsidR="002156BB" w:rsidRPr="002156BB">
        <w:t xml:space="preserve">enhance partnerships with CSOs to support advocacy </w:t>
      </w:r>
      <w:r>
        <w:t>towards the</w:t>
      </w:r>
      <w:r w:rsidR="002156BB" w:rsidRPr="002156BB">
        <w:t xml:space="preserve"> more equitable and inclusive participation of women and youth in decision-making processes and management of economic and natural resource governance ecosystems.</w:t>
      </w:r>
    </w:p>
    <w:p w14:paraId="7B34BDA9" w14:textId="1CF928EC" w:rsidR="002156BB" w:rsidRDefault="002156BB" w:rsidP="00103EA9">
      <w:pPr>
        <w:pStyle w:val="ListParagraph"/>
        <w:numPr>
          <w:ilvl w:val="0"/>
          <w:numId w:val="50"/>
        </w:numPr>
        <w:tabs>
          <w:tab w:val="left" w:pos="1260"/>
        </w:tabs>
        <w:spacing w:after="120" w:line="240" w:lineRule="exact"/>
        <w:ind w:left="900" w:right="720" w:firstLine="0"/>
        <w:jc w:val="both"/>
      </w:pPr>
      <w:r w:rsidRPr="002156BB">
        <w:t>Leveraging its trusted partner role</w:t>
      </w:r>
      <w:r w:rsidR="007B6AAE">
        <w:t xml:space="preserve"> </w:t>
      </w:r>
      <w:r w:rsidR="007B6AAE" w:rsidRPr="004F3B24">
        <w:t xml:space="preserve">in line with </w:t>
      </w:r>
      <w:r w:rsidR="001C1BBD">
        <w:t>ICPE</w:t>
      </w:r>
      <w:r w:rsidR="001C1BBD" w:rsidRPr="004F3B24">
        <w:t xml:space="preserve"> </w:t>
      </w:r>
      <w:r w:rsidR="007B6AAE" w:rsidRPr="004F3B24">
        <w:t>recommendations</w:t>
      </w:r>
      <w:r w:rsidRPr="004F3B24">
        <w:t>,</w:t>
      </w:r>
      <w:r w:rsidRPr="002156BB">
        <w:t xml:space="preserve"> UNDP will support effective collaboration amongst local authorities, civil society</w:t>
      </w:r>
      <w:r w:rsidR="001C1BBD">
        <w:t>,</w:t>
      </w:r>
      <w:r w:rsidRPr="002156BB">
        <w:t xml:space="preserve"> and communities at large, as well as</w:t>
      </w:r>
      <w:r w:rsidR="004F590C">
        <w:t xml:space="preserve"> </w:t>
      </w:r>
      <w:r w:rsidRPr="002156BB">
        <w:t xml:space="preserve">development partners to </w:t>
      </w:r>
      <w:r w:rsidR="001C1BBD">
        <w:t>establish</w:t>
      </w:r>
      <w:r w:rsidR="001C1BBD" w:rsidRPr="002156BB">
        <w:t xml:space="preserve"> </w:t>
      </w:r>
      <w:r w:rsidRPr="002156BB">
        <w:t xml:space="preserve">dialogue spaces </w:t>
      </w:r>
      <w:r w:rsidR="001C1BBD">
        <w:t>for</w:t>
      </w:r>
      <w:r w:rsidR="001C1BBD" w:rsidRPr="002156BB">
        <w:t xml:space="preserve"> </w:t>
      </w:r>
      <w:r w:rsidRPr="002156BB">
        <w:t>deepen</w:t>
      </w:r>
      <w:r w:rsidR="001C1BBD">
        <w:t>ing</w:t>
      </w:r>
      <w:r w:rsidRPr="002156BB">
        <w:t xml:space="preserve"> democratic discourse, promot</w:t>
      </w:r>
      <w:r w:rsidR="001C1BBD">
        <w:t>ing</w:t>
      </w:r>
      <w:r w:rsidRPr="002156BB">
        <w:t xml:space="preserve"> inclusive participation, </w:t>
      </w:r>
      <w:r w:rsidR="001C1BBD">
        <w:t xml:space="preserve">increasing </w:t>
      </w:r>
      <w:r w:rsidRPr="002156BB">
        <w:t>women and youth leadership</w:t>
      </w:r>
      <w:r w:rsidR="001C1BBD">
        <w:t>,</w:t>
      </w:r>
      <w:r w:rsidRPr="002156BB">
        <w:t xml:space="preserve"> and demand</w:t>
      </w:r>
      <w:r w:rsidR="001C1BBD">
        <w:t>ing</w:t>
      </w:r>
      <w:r w:rsidRPr="002156BB">
        <w:t xml:space="preserve"> </w:t>
      </w:r>
      <w:r w:rsidRPr="004F3B24">
        <w:t>accountability.</w:t>
      </w:r>
      <w:bookmarkStart w:id="4" w:name="_Hlk100214346"/>
      <w:r w:rsidRPr="004F3B24">
        <w:t xml:space="preserve"> In</w:t>
      </w:r>
      <w:r w:rsidRPr="002156BB">
        <w:t xml:space="preserve"> addition </w:t>
      </w:r>
      <w:bookmarkEnd w:id="4"/>
      <w:r w:rsidR="000B739B">
        <w:t xml:space="preserve">to strengthen social contract and responsiveness, </w:t>
      </w:r>
      <w:r w:rsidRPr="002156BB">
        <w:t xml:space="preserve">UNDP will monitor and transform </w:t>
      </w:r>
      <w:r w:rsidR="001C1BBD">
        <w:t>service</w:t>
      </w:r>
      <w:r w:rsidR="001C1BBD" w:rsidRPr="002156BB">
        <w:t xml:space="preserve"> </w:t>
      </w:r>
      <w:r w:rsidRPr="002156BB">
        <w:t xml:space="preserve">delivery by contributing to policy dialogues with </w:t>
      </w:r>
      <w:r w:rsidR="00E7055E">
        <w:t xml:space="preserve">national and local </w:t>
      </w:r>
      <w:r w:rsidRPr="002156BB">
        <w:t>government on citizen rights and accountability</w:t>
      </w:r>
      <w:r w:rsidR="001C1BBD">
        <w:t xml:space="preserve"> as per </w:t>
      </w:r>
      <w:r w:rsidRPr="002156BB">
        <w:t xml:space="preserve">SDG </w:t>
      </w:r>
      <w:r w:rsidR="001C1BBD">
        <w:t>f</w:t>
      </w:r>
      <w:r w:rsidRPr="002156BB">
        <w:t>inancing dialogue</w:t>
      </w:r>
      <w:r w:rsidR="001C1BBD">
        <w:t>s.</w:t>
      </w:r>
      <w:r w:rsidR="00287914">
        <w:rPr>
          <w:rStyle w:val="FootnoteReference"/>
        </w:rPr>
        <w:footnoteReference w:id="9"/>
      </w:r>
      <w:r w:rsidRPr="002156BB">
        <w:t xml:space="preserve"> </w:t>
      </w:r>
      <w:r w:rsidR="001C1BBD">
        <w:t xml:space="preserve">Furthermore, UNDP will </w:t>
      </w:r>
      <w:r w:rsidRPr="002156BB">
        <w:t xml:space="preserve">advocate for policy options </w:t>
      </w:r>
      <w:r w:rsidR="001C1BBD">
        <w:t>on</w:t>
      </w:r>
      <w:r w:rsidR="001C1BBD" w:rsidRPr="002156BB">
        <w:t xml:space="preserve"> </w:t>
      </w:r>
      <w:r w:rsidRPr="002156BB">
        <w:t xml:space="preserve">inclusive and sustainable economic growth and </w:t>
      </w:r>
      <w:r w:rsidR="001C1BBD">
        <w:t xml:space="preserve">SDG </w:t>
      </w:r>
      <w:r w:rsidRPr="002156BB">
        <w:t xml:space="preserve">implementation through coordinated platforms. In line with SDG 5, UNDP will explore a joint intervention with UN Women in partnership with the Ministry of Gender, Children and Social Protection (MoGCSP), </w:t>
      </w:r>
      <w:r w:rsidR="001C1BBD">
        <w:t>g</w:t>
      </w:r>
      <w:r w:rsidRPr="002156BB">
        <w:t xml:space="preserve">overnments of Canada and Norway, </w:t>
      </w:r>
      <w:r w:rsidR="001C1BBD">
        <w:t xml:space="preserve">national </w:t>
      </w:r>
      <w:r w:rsidRPr="002156BB">
        <w:t xml:space="preserve">political parties, </w:t>
      </w:r>
      <w:r w:rsidR="001C1BBD">
        <w:t>p</w:t>
      </w:r>
      <w:r w:rsidRPr="002156BB">
        <w:t xml:space="preserve">arliament, and other actors to </w:t>
      </w:r>
      <w:r w:rsidR="0079046A">
        <w:t>strengthen women groups and CSOs</w:t>
      </w:r>
      <w:r w:rsidR="001C1BBD">
        <w:t>,</w:t>
      </w:r>
      <w:r w:rsidR="0079046A">
        <w:t xml:space="preserve"> </w:t>
      </w:r>
      <w:r w:rsidR="00F44FCF">
        <w:t xml:space="preserve">and </w:t>
      </w:r>
      <w:r w:rsidRPr="002156BB">
        <w:t xml:space="preserve">address the inadequate </w:t>
      </w:r>
      <w:r w:rsidR="001C1BBD">
        <w:t>numbers</w:t>
      </w:r>
      <w:r w:rsidR="001C1BBD" w:rsidRPr="002156BB">
        <w:t xml:space="preserve"> </w:t>
      </w:r>
      <w:r w:rsidRPr="002156BB">
        <w:t xml:space="preserve">of women in political and governance processes and mainstream gender equality and empowerment of women and youth, focusing on vulnerable groups (women, children, </w:t>
      </w:r>
      <w:r w:rsidR="001C1BBD">
        <w:t>people in late adulthood</w:t>
      </w:r>
      <w:r w:rsidRPr="002156BB">
        <w:t xml:space="preserve">, </w:t>
      </w:r>
      <w:r w:rsidR="001C1BBD">
        <w:t>people</w:t>
      </w:r>
      <w:r w:rsidR="001C1BBD" w:rsidRPr="002156BB">
        <w:t xml:space="preserve"> </w:t>
      </w:r>
      <w:r w:rsidRPr="002156BB">
        <w:t xml:space="preserve">with disabilities, and </w:t>
      </w:r>
      <w:r w:rsidR="001C1BBD">
        <w:t>p</w:t>
      </w:r>
      <w:r w:rsidRPr="002156BB">
        <w:t xml:space="preserve">eople </w:t>
      </w:r>
      <w:r w:rsidR="001C1BBD">
        <w:t>l</w:t>
      </w:r>
      <w:r w:rsidRPr="002156BB">
        <w:t xml:space="preserve">iving </w:t>
      </w:r>
      <w:r w:rsidR="001C1BBD">
        <w:t>w</w:t>
      </w:r>
      <w:r w:rsidRPr="002156BB">
        <w:t>ith HIV).</w:t>
      </w:r>
    </w:p>
    <w:p w14:paraId="315CFB79" w14:textId="3A10B95D" w:rsidR="002156BB" w:rsidRDefault="002156BB" w:rsidP="00103EA9">
      <w:pPr>
        <w:pStyle w:val="ListParagraph"/>
        <w:numPr>
          <w:ilvl w:val="0"/>
          <w:numId w:val="50"/>
        </w:numPr>
        <w:tabs>
          <w:tab w:val="left" w:pos="1260"/>
        </w:tabs>
        <w:spacing w:after="120" w:line="240" w:lineRule="exact"/>
        <w:ind w:left="900" w:right="720" w:firstLine="0"/>
        <w:jc w:val="both"/>
      </w:pPr>
      <w:r w:rsidRPr="002156BB">
        <w:t>UNDP, in partnership with</w:t>
      </w:r>
      <w:r w:rsidR="006601FA">
        <w:t xml:space="preserve"> the</w:t>
      </w:r>
      <w:r w:rsidRPr="002156BB">
        <w:t xml:space="preserve"> Commission on Human Rights and Administrative Justice (CHRAJ) and other UN agencies</w:t>
      </w:r>
      <w:r w:rsidR="00711062">
        <w:t>,</w:t>
      </w:r>
      <w:r w:rsidRPr="002156BB">
        <w:t xml:space="preserve"> will adopt a human rights-based approach that works with right-holders and duty-bearers and draws on the principle of fulfilling economic, and social rights to strengthen the protection of the human rights of all segments of society, particularly women and </w:t>
      </w:r>
      <w:r w:rsidR="00711062">
        <w:t>people living with disabilities</w:t>
      </w:r>
      <w:r w:rsidRPr="002156BB">
        <w:t>. Contributing to SDG 3, leveraging UNDP global and regional assets</w:t>
      </w:r>
      <w:r w:rsidR="00711062">
        <w:t>,</w:t>
      </w:r>
      <w:r w:rsidRPr="002156BB">
        <w:t xml:space="preserve"> and in partnership with </w:t>
      </w:r>
      <w:r w:rsidR="00711062" w:rsidRPr="00711062">
        <w:t>Joint United Nations Programme on HIV/AIDS</w:t>
      </w:r>
      <w:r w:rsidR="00711062">
        <w:t xml:space="preserve"> (</w:t>
      </w:r>
      <w:r w:rsidRPr="002156BB">
        <w:t>UNAIDS</w:t>
      </w:r>
      <w:r w:rsidR="00711062">
        <w:t>)</w:t>
      </w:r>
      <w:r w:rsidRPr="002156BB">
        <w:t xml:space="preserve">, </w:t>
      </w:r>
      <w:r w:rsidR="00711062">
        <w:t>World Health Organization (</w:t>
      </w:r>
      <w:r w:rsidRPr="002156BB">
        <w:t>WHO</w:t>
      </w:r>
      <w:r w:rsidR="00711062">
        <w:t>)</w:t>
      </w:r>
      <w:r w:rsidRPr="002156BB">
        <w:t xml:space="preserve">, </w:t>
      </w:r>
      <w:r w:rsidR="00711062" w:rsidRPr="00711062">
        <w:t>United Nations Industrial Development Organization</w:t>
      </w:r>
      <w:r w:rsidR="00711062">
        <w:t xml:space="preserve"> (</w:t>
      </w:r>
      <w:r w:rsidRPr="002156BB">
        <w:t>UNIDO</w:t>
      </w:r>
      <w:r w:rsidR="00711062">
        <w:t>)</w:t>
      </w:r>
      <w:r w:rsidRPr="002156BB">
        <w:t xml:space="preserve"> and Government of Japan, UNDP will work with the Ghana AIDS Commission (GAC) and Ghana Health Service to enhance health systems and improve equitable access and rights of vulnerable groups to health services, especially those related to HIV/AIDS, </w:t>
      </w:r>
      <w:r w:rsidR="00711062">
        <w:t>n</w:t>
      </w:r>
      <w:r w:rsidRPr="002156BB">
        <w:t>on-</w:t>
      </w:r>
      <w:r w:rsidR="00711062">
        <w:t>c</w:t>
      </w:r>
      <w:r w:rsidRPr="002156BB">
        <w:t>ommunicable and infectious diseases</w:t>
      </w:r>
      <w:r w:rsidR="00711062">
        <w:t xml:space="preserve"> (NCDs)</w:t>
      </w:r>
      <w:r w:rsidRPr="002156BB">
        <w:t>.</w:t>
      </w:r>
      <w:r>
        <w:t xml:space="preserve"> </w:t>
      </w:r>
    </w:p>
    <w:p w14:paraId="2B137813" w14:textId="08AA1119" w:rsidR="002156BB" w:rsidRDefault="002156BB" w:rsidP="001E25E9">
      <w:pPr>
        <w:pStyle w:val="ListParagraph"/>
        <w:numPr>
          <w:ilvl w:val="0"/>
          <w:numId w:val="50"/>
        </w:numPr>
        <w:tabs>
          <w:tab w:val="left" w:pos="1260"/>
        </w:tabs>
        <w:spacing w:after="200" w:line="240" w:lineRule="exact"/>
        <w:ind w:left="900" w:right="720" w:firstLine="0"/>
        <w:jc w:val="both"/>
      </w:pPr>
      <w:r w:rsidRPr="002156BB">
        <w:t xml:space="preserve">To address challenges related to increasing transnational organized crimes and political instability in neighbouring countries </w:t>
      </w:r>
      <w:r w:rsidR="00711062">
        <w:t>that has caused an</w:t>
      </w:r>
      <w:r w:rsidRPr="002156BB">
        <w:t xml:space="preserve"> increased number of displaced </w:t>
      </w:r>
      <w:r w:rsidR="00711062">
        <w:t>people</w:t>
      </w:r>
      <w:r w:rsidR="00711062" w:rsidRPr="002156BB">
        <w:t xml:space="preserve"> </w:t>
      </w:r>
      <w:r w:rsidRPr="002156BB">
        <w:t>and illegal immigrants, UNDP will continue to build upon its trusted leadership role in peace</w:t>
      </w:r>
      <w:r w:rsidR="00711062">
        <w:t>building and keeping</w:t>
      </w:r>
      <w:r w:rsidRPr="002156BB">
        <w:t xml:space="preserve"> </w:t>
      </w:r>
      <w:r w:rsidR="00711062">
        <w:t>to expand its</w:t>
      </w:r>
      <w:r w:rsidRPr="002156BB">
        <w:t xml:space="preserve"> reach to regional peace councils, civil society, </w:t>
      </w:r>
      <w:r w:rsidR="00711062">
        <w:t>CBOs</w:t>
      </w:r>
      <w:r w:rsidRPr="002156BB">
        <w:t>, and</w:t>
      </w:r>
      <w:r w:rsidR="00711062">
        <w:t xml:space="preserve"> other</w:t>
      </w:r>
      <w:r w:rsidRPr="002156BB">
        <w:t xml:space="preserve"> peace actors. In collaboration with the </w:t>
      </w:r>
      <w:r w:rsidR="00711062">
        <w:t>g</w:t>
      </w:r>
      <w:r w:rsidRPr="002156BB">
        <w:t xml:space="preserve">overnments of Japan, Germany, </w:t>
      </w:r>
      <w:r w:rsidR="00711062">
        <w:t xml:space="preserve">and </w:t>
      </w:r>
      <w:r w:rsidRPr="002156BB">
        <w:t xml:space="preserve">Sweden, UNDP will strengthen efforts to prevent and mediate </w:t>
      </w:r>
      <w:r w:rsidR="00711062">
        <w:t>ongoing</w:t>
      </w:r>
      <w:r w:rsidR="00711062" w:rsidRPr="002156BB">
        <w:t xml:space="preserve"> </w:t>
      </w:r>
      <w:r w:rsidRPr="002156BB">
        <w:t xml:space="preserve">and emerging conflicts </w:t>
      </w:r>
      <w:r w:rsidR="00711062">
        <w:t xml:space="preserve">that may involve </w:t>
      </w:r>
      <w:r w:rsidRPr="002156BB">
        <w:t>violent extremism, political vigilantism, and herdsmen-farmer conflicts,</w:t>
      </w:r>
      <w:r w:rsidR="00711062">
        <w:t xml:space="preserve"> and to</w:t>
      </w:r>
      <w:r w:rsidRPr="002156BB">
        <w:t xml:space="preserve"> combat terrorism and crime in the country and sub-region. This will be accomplished </w:t>
      </w:r>
      <w:r w:rsidR="00D27CA4">
        <w:t xml:space="preserve">by working in collaboration with relevant UN agencies and other partners on </w:t>
      </w:r>
      <w:r w:rsidRPr="002156BB">
        <w:t xml:space="preserve">programmatic interventions </w:t>
      </w:r>
      <w:r w:rsidR="00711062">
        <w:t>that strengthen</w:t>
      </w:r>
      <w:r w:rsidRPr="002156BB">
        <w:t xml:space="preserve"> the functionality of peace architecture and introduc</w:t>
      </w:r>
      <w:r w:rsidR="00D27CA4">
        <w:t>e</w:t>
      </w:r>
      <w:r w:rsidRPr="002156BB">
        <w:t xml:space="preserve"> measures to promote social cohesion at </w:t>
      </w:r>
      <w:r w:rsidR="00D27CA4">
        <w:t xml:space="preserve">the </w:t>
      </w:r>
      <w:r w:rsidRPr="002156BB">
        <w:t>regional level. UNDP will also support the creation of an enabling environment to promote the inclusion of women and youth in peacebuilding processes</w:t>
      </w:r>
      <w:r w:rsidR="00D27CA4">
        <w:t xml:space="preserve">, </w:t>
      </w:r>
      <w:r w:rsidRPr="002156BB">
        <w:t>capacity building</w:t>
      </w:r>
      <w:r w:rsidR="001557A9">
        <w:t xml:space="preserve">, </w:t>
      </w:r>
      <w:r w:rsidRPr="002156BB">
        <w:t>dialogue,</w:t>
      </w:r>
      <w:r w:rsidR="001557A9">
        <w:t xml:space="preserve"> meaningful participation and direct support to young peacebuilders as implementers of </w:t>
      </w:r>
      <w:r w:rsidR="006278BD">
        <w:t>peacebuilding initiatives</w:t>
      </w:r>
      <w:r w:rsidRPr="002156BB">
        <w:t xml:space="preserve"> in fulfilment of SDG 16, </w:t>
      </w:r>
      <w:r w:rsidR="00D27CA4">
        <w:t xml:space="preserve">and UN security council resolutions </w:t>
      </w:r>
      <w:r w:rsidRPr="002156BB">
        <w:t>1325, 2250</w:t>
      </w:r>
      <w:r w:rsidR="006278BD">
        <w:t>, 2419</w:t>
      </w:r>
      <w:r w:rsidR="00D27CA4">
        <w:t>,</w:t>
      </w:r>
      <w:r w:rsidR="006278BD">
        <w:t xml:space="preserve"> and 2535</w:t>
      </w:r>
      <w:r w:rsidRPr="002156BB">
        <w:t xml:space="preserve">. </w:t>
      </w:r>
      <w:bookmarkEnd w:id="3"/>
    </w:p>
    <w:p w14:paraId="2440D3F7" w14:textId="015B6373" w:rsidR="0063402B" w:rsidRDefault="0063402B" w:rsidP="001E25E9">
      <w:pPr>
        <w:pStyle w:val="Heading1"/>
        <w:tabs>
          <w:tab w:val="left" w:pos="1260"/>
          <w:tab w:val="left" w:pos="1800"/>
        </w:tabs>
        <w:spacing w:after="200" w:line="240" w:lineRule="exact"/>
        <w:ind w:left="900" w:right="720" w:hanging="450"/>
        <w:jc w:val="both"/>
        <w:rPr>
          <w:rFonts w:ascii="Times New Roman" w:hAnsi="Times New Roman"/>
          <w:color w:val="000000"/>
          <w:sz w:val="24"/>
          <w:szCs w:val="24"/>
        </w:rPr>
      </w:pPr>
      <w:r w:rsidRPr="003C26C1">
        <w:rPr>
          <w:rFonts w:ascii="Times New Roman" w:hAnsi="Times New Roman"/>
          <w:color w:val="000000"/>
          <w:sz w:val="24"/>
          <w:szCs w:val="24"/>
        </w:rPr>
        <w:lastRenderedPageBreak/>
        <w:t>I</w:t>
      </w:r>
      <w:r w:rsidRPr="003C26C1">
        <w:rPr>
          <w:rFonts w:ascii="Times New Roman" w:hAnsi="Times New Roman"/>
          <w:color w:val="000000"/>
          <w:sz w:val="24"/>
          <w:szCs w:val="24"/>
          <w:lang w:val="en-US"/>
        </w:rPr>
        <w:t>II</w:t>
      </w:r>
      <w:r w:rsidRPr="003C26C1">
        <w:rPr>
          <w:rFonts w:ascii="Times New Roman" w:hAnsi="Times New Roman"/>
          <w:color w:val="000000"/>
          <w:sz w:val="24"/>
          <w:szCs w:val="24"/>
        </w:rPr>
        <w:t>.</w:t>
      </w:r>
      <w:r w:rsidR="00BC261E">
        <w:rPr>
          <w:rFonts w:ascii="Times New Roman" w:hAnsi="Times New Roman"/>
          <w:color w:val="000000"/>
          <w:sz w:val="24"/>
          <w:szCs w:val="24"/>
        </w:rPr>
        <w:tab/>
      </w:r>
      <w:r w:rsidRPr="003C26C1">
        <w:rPr>
          <w:rFonts w:ascii="Times New Roman" w:hAnsi="Times New Roman"/>
          <w:color w:val="000000"/>
          <w:sz w:val="24"/>
          <w:szCs w:val="24"/>
          <w:lang w:val="en-US"/>
        </w:rPr>
        <w:t xml:space="preserve">Programme and </w:t>
      </w:r>
      <w:r w:rsidR="00BC261E">
        <w:rPr>
          <w:rFonts w:ascii="Times New Roman" w:hAnsi="Times New Roman"/>
          <w:color w:val="000000"/>
          <w:sz w:val="24"/>
          <w:szCs w:val="24"/>
          <w:lang w:val="en-US"/>
        </w:rPr>
        <w:t>r</w:t>
      </w:r>
      <w:r w:rsidRPr="003C26C1">
        <w:rPr>
          <w:rFonts w:ascii="Times New Roman" w:hAnsi="Times New Roman"/>
          <w:color w:val="000000"/>
          <w:sz w:val="24"/>
          <w:szCs w:val="24"/>
          <w:lang w:val="en-US"/>
        </w:rPr>
        <w:t>isk</w:t>
      </w:r>
      <w:r w:rsidR="00AC1BE7" w:rsidRPr="003C26C1">
        <w:rPr>
          <w:rFonts w:ascii="Times New Roman" w:hAnsi="Times New Roman"/>
          <w:color w:val="000000"/>
          <w:sz w:val="24"/>
          <w:szCs w:val="24"/>
          <w:lang w:val="en-US"/>
        </w:rPr>
        <w:t xml:space="preserve"> </w:t>
      </w:r>
      <w:r w:rsidR="00BC261E">
        <w:rPr>
          <w:rFonts w:ascii="Times New Roman" w:hAnsi="Times New Roman"/>
          <w:color w:val="000000"/>
          <w:sz w:val="24"/>
          <w:szCs w:val="24"/>
          <w:lang w:val="en-US"/>
        </w:rPr>
        <w:t>m</w:t>
      </w:r>
      <w:r w:rsidR="001C6C08" w:rsidRPr="003C26C1">
        <w:rPr>
          <w:rFonts w:ascii="Times New Roman" w:hAnsi="Times New Roman"/>
          <w:color w:val="000000"/>
          <w:sz w:val="24"/>
          <w:szCs w:val="24"/>
          <w:lang w:val="en-US"/>
        </w:rPr>
        <w:t>anagement</w:t>
      </w:r>
      <w:r w:rsidRPr="003C26C1">
        <w:rPr>
          <w:rFonts w:ascii="Times New Roman" w:hAnsi="Times New Roman"/>
          <w:color w:val="000000"/>
          <w:sz w:val="24"/>
          <w:szCs w:val="24"/>
        </w:rPr>
        <w:t xml:space="preserve"> </w:t>
      </w:r>
    </w:p>
    <w:p w14:paraId="094F21F1" w14:textId="444EDE1F" w:rsidR="0040442F" w:rsidRPr="003E36EC" w:rsidRDefault="0040442F" w:rsidP="00103EA9">
      <w:pPr>
        <w:pStyle w:val="ListParagraph"/>
        <w:numPr>
          <w:ilvl w:val="0"/>
          <w:numId w:val="50"/>
        </w:numPr>
        <w:tabs>
          <w:tab w:val="left" w:pos="1260"/>
        </w:tabs>
        <w:spacing w:after="120" w:line="240" w:lineRule="exact"/>
        <w:ind w:left="900" w:right="720" w:firstLine="0"/>
        <w:jc w:val="both"/>
      </w:pPr>
      <w:r w:rsidRPr="003E36EC">
        <w:t>This country programme document</w:t>
      </w:r>
      <w:r w:rsidR="00012E88">
        <w:t xml:space="preserve"> (CPD)</w:t>
      </w:r>
      <w:r w:rsidRPr="003E36EC">
        <w:t xml:space="preserve"> outlines UNDP contributions to national results and serves as the primary unit of accountability to the Executive Board for results alignment and resources assigned to the programme at </w:t>
      </w:r>
      <w:r w:rsidR="00D27CA4">
        <w:t xml:space="preserve">the </w:t>
      </w:r>
      <w:r w:rsidRPr="003E36EC">
        <w:t xml:space="preserve">country level. Accountabilities of managers at country, regional and headquarter levels with respect to country programmes is prescribed in the organization’s </w:t>
      </w:r>
      <w:hyperlink r:id="rId12" w:history="1">
        <w:r w:rsidRPr="003E36EC">
          <w:t>Programme and Operations Policies and Procedures</w:t>
        </w:r>
      </w:hyperlink>
      <w:r w:rsidRPr="003E36EC">
        <w:t xml:space="preserve"> and </w:t>
      </w:r>
      <w:hyperlink r:id="rId13" w:history="1">
        <w:r w:rsidRPr="003E36EC">
          <w:t>Internal Control Framework</w:t>
        </w:r>
      </w:hyperlink>
      <w:r w:rsidRPr="003E36EC">
        <w:t>.</w:t>
      </w:r>
    </w:p>
    <w:p w14:paraId="139E5C1B" w14:textId="2F2164F2" w:rsidR="0040442F" w:rsidRPr="003E36EC" w:rsidRDefault="0040442F" w:rsidP="00103EA9">
      <w:pPr>
        <w:pStyle w:val="ListParagraph"/>
        <w:numPr>
          <w:ilvl w:val="0"/>
          <w:numId w:val="50"/>
        </w:numPr>
        <w:tabs>
          <w:tab w:val="left" w:pos="1260"/>
        </w:tabs>
        <w:spacing w:after="120" w:line="240" w:lineRule="exact"/>
        <w:ind w:left="900" w:right="720" w:firstLine="0"/>
        <w:jc w:val="both"/>
      </w:pPr>
      <w:r w:rsidRPr="003E36EC">
        <w:t xml:space="preserve">The programme will be nationally executed. If necessary, national execution may be replaced by direct execution for part or all of the programme to enable response to force majeure. </w:t>
      </w:r>
      <w:r w:rsidR="00012E88" w:rsidRPr="003E36EC">
        <w:t>Harmonized</w:t>
      </w:r>
      <w:r w:rsidRPr="003E36EC">
        <w:t xml:space="preserve"> Approach to Cash Transfers will be used in a coordinated fashion with other UN agencies to manage financial risks. Cost definitions and classifications for programme and development effectiveness will be charged to concerned projects.</w:t>
      </w:r>
    </w:p>
    <w:p w14:paraId="64E59D5E" w14:textId="192C6FB9" w:rsidR="0040442F" w:rsidRPr="003E36EC" w:rsidRDefault="0040442F" w:rsidP="00103EA9">
      <w:pPr>
        <w:pStyle w:val="ListParagraph"/>
        <w:numPr>
          <w:ilvl w:val="0"/>
          <w:numId w:val="50"/>
        </w:numPr>
        <w:tabs>
          <w:tab w:val="left" w:pos="1260"/>
        </w:tabs>
        <w:spacing w:after="120" w:line="240" w:lineRule="exact"/>
        <w:ind w:left="900" w:right="720" w:firstLine="0"/>
        <w:jc w:val="both"/>
      </w:pPr>
      <w:r w:rsidRPr="003E36EC">
        <w:t>In addition, UNDP will leverage the expertise of regional service centers and headquarters for needed advisory services. Programme accountability will focus on development results, use of programme resources as well as the sustainability of development investments.</w:t>
      </w:r>
    </w:p>
    <w:p w14:paraId="54FCE431" w14:textId="0AF06CDD" w:rsidR="0040442F" w:rsidRPr="003E36EC" w:rsidRDefault="00FF252B" w:rsidP="00103EA9">
      <w:pPr>
        <w:pStyle w:val="ListParagraph"/>
        <w:numPr>
          <w:ilvl w:val="0"/>
          <w:numId w:val="50"/>
        </w:numPr>
        <w:tabs>
          <w:tab w:val="left" w:pos="1260"/>
        </w:tabs>
        <w:spacing w:after="120" w:line="240" w:lineRule="exact"/>
        <w:ind w:left="900" w:right="720" w:firstLine="0"/>
        <w:jc w:val="both"/>
      </w:pPr>
      <w:r>
        <w:t>D</w:t>
      </w:r>
      <w:r w:rsidR="0040442F" w:rsidRPr="003E36EC">
        <w:t xml:space="preserve">evelopment financing challenges in Ghana’s </w:t>
      </w:r>
      <w:r w:rsidR="00012E88">
        <w:t>l</w:t>
      </w:r>
      <w:r w:rsidR="00395B84">
        <w:t xml:space="preserve">ower </w:t>
      </w:r>
      <w:r w:rsidR="00012E88">
        <w:t>m</w:t>
      </w:r>
      <w:r w:rsidR="00456297">
        <w:t>iddle-</w:t>
      </w:r>
      <w:r w:rsidR="00012E88">
        <w:t>i</w:t>
      </w:r>
      <w:r w:rsidR="00456297">
        <w:t xml:space="preserve">ncome </w:t>
      </w:r>
      <w:r w:rsidR="00012E88">
        <w:t>c</w:t>
      </w:r>
      <w:r w:rsidR="00456297">
        <w:t xml:space="preserve">ountry </w:t>
      </w:r>
      <w:r w:rsidR="0040442F" w:rsidRPr="003E36EC">
        <w:t>environment shifted funding from aid to trade and investment</w:t>
      </w:r>
      <w:r w:rsidR="00D27CA4">
        <w:t>s</w:t>
      </w:r>
      <w:r w:rsidR="0040442F" w:rsidRPr="003E36EC">
        <w:t xml:space="preserve"> with potential risk to resource mobilization efforts to meet projected revenue. </w:t>
      </w:r>
      <w:r w:rsidR="00D27CA4">
        <w:t>C</w:t>
      </w:r>
      <w:r w:rsidR="00B8431A">
        <w:t xml:space="preserve">hallenges may be multiplied by </w:t>
      </w:r>
      <w:r w:rsidR="00D27CA4">
        <w:t xml:space="preserve">the </w:t>
      </w:r>
      <w:r w:rsidR="00B8431A">
        <w:t xml:space="preserve">Ukraine-Russia </w:t>
      </w:r>
      <w:r w:rsidR="00D27CA4">
        <w:t xml:space="preserve">conflict </w:t>
      </w:r>
      <w:r w:rsidR="00B8431A">
        <w:t>and deviation of development finance from other regions</w:t>
      </w:r>
      <w:r w:rsidR="00D27CA4">
        <w:t>,</w:t>
      </w:r>
      <w:r w:rsidR="00B8431A">
        <w:t xml:space="preserve"> including Africa</w:t>
      </w:r>
      <w:r w:rsidR="00D27CA4">
        <w:t xml:space="preserve">, all of which may </w:t>
      </w:r>
      <w:r w:rsidR="0040442F" w:rsidRPr="003E36EC">
        <w:t xml:space="preserve">impact the implementation of planned activities. To address potential shortfalls in aid flows </w:t>
      </w:r>
      <w:r w:rsidR="00D27CA4">
        <w:t>and</w:t>
      </w:r>
      <w:r w:rsidR="0040442F" w:rsidRPr="003E36EC">
        <w:t xml:space="preserve"> seize emerging opportunities, UNDP will explore new types of financing, partnerships and collaborations</w:t>
      </w:r>
      <w:r w:rsidR="0060111D">
        <w:t>,</w:t>
      </w:r>
      <w:r w:rsidR="0040442F" w:rsidRPr="003E36EC">
        <w:t xml:space="preserve"> </w:t>
      </w:r>
      <w:r w:rsidR="00D27CA4">
        <w:t xml:space="preserve">along with </w:t>
      </w:r>
      <w:r w:rsidR="0040442F" w:rsidRPr="003E36EC">
        <w:t>support analytical work on expanding fiscal space</w:t>
      </w:r>
      <w:r w:rsidR="00D27CA4">
        <w:t>s</w:t>
      </w:r>
      <w:r w:rsidR="0040442F" w:rsidRPr="003E36EC">
        <w:t xml:space="preserve">, including innovative sources of financing </w:t>
      </w:r>
      <w:r w:rsidR="00D27CA4">
        <w:t>from</w:t>
      </w:r>
      <w:r w:rsidR="00D27CA4" w:rsidRPr="003E36EC">
        <w:t xml:space="preserve"> </w:t>
      </w:r>
      <w:r w:rsidR="0040442F" w:rsidRPr="003E36EC">
        <w:t xml:space="preserve">private sector and non-traditional donors. UNDP will use its convening power to galvanize partnerships with bilateral and multilateral institutions. While the size of the programme is expected to </w:t>
      </w:r>
      <w:r w:rsidR="00D27CA4">
        <w:t xml:space="preserve">increase </w:t>
      </w:r>
      <w:r w:rsidR="0040442F" w:rsidRPr="003E36EC">
        <w:t xml:space="preserve">significantly in the new cycle, UNDP </w:t>
      </w:r>
      <w:r w:rsidR="004327FB">
        <w:t xml:space="preserve">will adopt </w:t>
      </w:r>
      <w:r w:rsidR="0040442F" w:rsidRPr="003E36EC">
        <w:t>measures</w:t>
      </w:r>
      <w:r w:rsidR="00D27CA4">
        <w:t xml:space="preserve"> from</w:t>
      </w:r>
      <w:r w:rsidR="004327FB">
        <w:t xml:space="preserve"> conducting private sector </w:t>
      </w:r>
      <w:r w:rsidR="00D27CA4">
        <w:t xml:space="preserve">to </w:t>
      </w:r>
      <w:r w:rsidR="004327FB">
        <w:t>human rights due diligence</w:t>
      </w:r>
      <w:r w:rsidR="0040442F" w:rsidRPr="003E36EC">
        <w:t xml:space="preserve"> to avoid operational</w:t>
      </w:r>
      <w:r w:rsidR="004327FB">
        <w:t xml:space="preserve"> and reputational </w:t>
      </w:r>
      <w:r w:rsidR="0040442F" w:rsidRPr="003E36EC">
        <w:t xml:space="preserve">risks. </w:t>
      </w:r>
      <w:r w:rsidR="00D27CA4">
        <w:t>Over time, measures will be modified</w:t>
      </w:r>
      <w:r w:rsidR="0040442F" w:rsidRPr="003E36EC">
        <w:t xml:space="preserve"> to ensure UNDP adapts to new challenges.</w:t>
      </w:r>
    </w:p>
    <w:p w14:paraId="7CD208AB" w14:textId="29DD8921" w:rsidR="0040442F" w:rsidRPr="003E36EC" w:rsidRDefault="0040442F" w:rsidP="00103EA9">
      <w:pPr>
        <w:pStyle w:val="ListParagraph"/>
        <w:numPr>
          <w:ilvl w:val="0"/>
          <w:numId w:val="50"/>
        </w:numPr>
        <w:tabs>
          <w:tab w:val="left" w:pos="1260"/>
        </w:tabs>
        <w:spacing w:after="120" w:line="240" w:lineRule="exact"/>
        <w:ind w:left="900" w:right="720" w:firstLine="0"/>
        <w:jc w:val="both"/>
      </w:pPr>
      <w:r w:rsidRPr="003E36EC">
        <w:t xml:space="preserve">Political risks and possible flare-ups of latent and emerging conflicts </w:t>
      </w:r>
      <w:r w:rsidR="00D27CA4">
        <w:t>can</w:t>
      </w:r>
      <w:r w:rsidR="00D27CA4" w:rsidRPr="003E36EC">
        <w:t xml:space="preserve"> </w:t>
      </w:r>
      <w:r w:rsidRPr="003E36EC">
        <w:t xml:space="preserve">negatively </w:t>
      </w:r>
      <w:r w:rsidR="00D27CA4">
        <w:t>impact</w:t>
      </w:r>
      <w:r w:rsidR="00D27CA4" w:rsidRPr="003E36EC">
        <w:t xml:space="preserve"> </w:t>
      </w:r>
      <w:r w:rsidRPr="003E36EC">
        <w:t xml:space="preserve">the implementation of planned projects in affected communities. UNDP will manage this risk </w:t>
      </w:r>
      <w:r w:rsidR="00D27CA4">
        <w:t>by</w:t>
      </w:r>
      <w:r w:rsidR="00D27CA4" w:rsidRPr="003E36EC">
        <w:t xml:space="preserve"> </w:t>
      </w:r>
      <w:r w:rsidRPr="003E36EC">
        <w:t>continuous</w:t>
      </w:r>
      <w:r w:rsidR="00D27CA4">
        <w:t>ly</w:t>
      </w:r>
      <w:r w:rsidRPr="003E36EC">
        <w:t xml:space="preserve"> scanning the operating environment</w:t>
      </w:r>
      <w:r w:rsidR="00D27CA4">
        <w:t xml:space="preserve">, </w:t>
      </w:r>
      <w:r w:rsidRPr="003E36EC">
        <w:t>strengthening collaboration with national authorities</w:t>
      </w:r>
      <w:r w:rsidR="00D27CA4">
        <w:t>,</w:t>
      </w:r>
      <w:r w:rsidRPr="003E36EC">
        <w:t xml:space="preserve"> and strengthening early warning and response mechanisms. The programme will be agile enough to </w:t>
      </w:r>
      <w:r w:rsidR="00D27CA4">
        <w:t xml:space="preserve">be </w:t>
      </w:r>
      <w:r w:rsidRPr="003E36EC">
        <w:t>adapt</w:t>
      </w:r>
      <w:r w:rsidR="00D27CA4">
        <w:t>ed</w:t>
      </w:r>
      <w:r w:rsidRPr="003E36EC">
        <w:t xml:space="preserve"> to evolving contexts, UN</w:t>
      </w:r>
      <w:r w:rsidR="00D27CA4">
        <w:t>DS</w:t>
      </w:r>
      <w:r w:rsidRPr="003E36EC">
        <w:t xml:space="preserve"> reforms</w:t>
      </w:r>
      <w:r w:rsidR="00D27CA4">
        <w:t>,</w:t>
      </w:r>
      <w:r w:rsidRPr="003E36EC">
        <w:t xml:space="preserve"> and the new UNDP Strategic Plan.</w:t>
      </w:r>
    </w:p>
    <w:p w14:paraId="57D6FB13" w14:textId="5429E53C" w:rsidR="0040442F" w:rsidRPr="00725618" w:rsidRDefault="0040442F" w:rsidP="00BC261E">
      <w:pPr>
        <w:pStyle w:val="ListParagraph"/>
        <w:numPr>
          <w:ilvl w:val="0"/>
          <w:numId w:val="50"/>
        </w:numPr>
        <w:tabs>
          <w:tab w:val="left" w:pos="1260"/>
        </w:tabs>
        <w:spacing w:after="200" w:line="240" w:lineRule="exact"/>
        <w:ind w:left="900" w:right="720" w:firstLine="0"/>
        <w:jc w:val="both"/>
      </w:pPr>
      <w:r w:rsidRPr="003E36EC">
        <w:t>Potential health threats arising from poor sanitation management</w:t>
      </w:r>
      <w:r w:rsidR="00D27CA4">
        <w:t>,</w:t>
      </w:r>
      <w:r w:rsidRPr="003E36EC">
        <w:t xml:space="preserve"> regional and national health epidemics, climate-related disasters, and negative environmental impacts </w:t>
      </w:r>
      <w:r w:rsidR="00D27CA4">
        <w:t>related to</w:t>
      </w:r>
      <w:r w:rsidRPr="003E36EC">
        <w:t xml:space="preserve"> unregulated mining</w:t>
      </w:r>
      <w:r w:rsidR="00456297" w:rsidRPr="003E36EC" w:rsidDel="00456297">
        <w:t xml:space="preserve"> </w:t>
      </w:r>
      <w:r w:rsidRPr="003E36EC">
        <w:t xml:space="preserve">will be addressed through proactive collaboration with national authorities, regional entities to enhance </w:t>
      </w:r>
      <w:r w:rsidR="000B083D">
        <w:t xml:space="preserve">the </w:t>
      </w:r>
      <w:r w:rsidRPr="003E36EC">
        <w:t xml:space="preserve">policy environment, promote adherence to national environmental laws and, where possible, strengthen the resilience of institutions and local communities. Ongoing recovery efforts </w:t>
      </w:r>
      <w:r w:rsidR="000B083D">
        <w:t>related to</w:t>
      </w:r>
      <w:r w:rsidR="000B083D" w:rsidRPr="003E36EC">
        <w:t xml:space="preserve"> </w:t>
      </w:r>
      <w:r w:rsidRPr="003E36EC">
        <w:t>C</w:t>
      </w:r>
      <w:r w:rsidR="00F561ED">
        <w:t>OVID</w:t>
      </w:r>
      <w:r w:rsidRPr="003E36EC">
        <w:t xml:space="preserve">-19 and </w:t>
      </w:r>
      <w:r w:rsidR="000B083D">
        <w:t xml:space="preserve">pandemic-specific </w:t>
      </w:r>
      <w:r w:rsidRPr="003E36EC">
        <w:t>socioeconomic implications will be bolstered by sustained collaboration with the government, UNCT</w:t>
      </w:r>
      <w:r w:rsidR="000B083D">
        <w:t>,</w:t>
      </w:r>
      <w:r w:rsidRPr="003E36EC">
        <w:t xml:space="preserve"> and development partners at policy and programme levels. UNDP will also enforce quality assurance principles</w:t>
      </w:r>
      <w:r w:rsidR="000B083D">
        <w:t xml:space="preserve">, </w:t>
      </w:r>
      <w:r w:rsidRPr="003E36EC">
        <w:t>apply its Social and Environmental Standards</w:t>
      </w:r>
      <w:r w:rsidR="00012E88">
        <w:t xml:space="preserve">, </w:t>
      </w:r>
      <w:r w:rsidRPr="003E36EC">
        <w:t>undertake regular monitoring, and use the biannual review mechanism to assess programme risks and put in place mitigation actions.</w:t>
      </w:r>
    </w:p>
    <w:p w14:paraId="388B45E3" w14:textId="7C13C168" w:rsidR="0040442F" w:rsidRPr="00BC261E" w:rsidRDefault="0040442F" w:rsidP="00BC261E">
      <w:pPr>
        <w:pStyle w:val="ListParagraph"/>
        <w:keepNext/>
        <w:widowControl w:val="0"/>
        <w:numPr>
          <w:ilvl w:val="0"/>
          <w:numId w:val="54"/>
        </w:numPr>
        <w:tabs>
          <w:tab w:val="left" w:pos="1260"/>
          <w:tab w:val="left" w:pos="1800"/>
        </w:tabs>
        <w:suppressAutoHyphens/>
        <w:spacing w:after="200" w:line="240" w:lineRule="exact"/>
        <w:ind w:left="900" w:right="720" w:hanging="180"/>
        <w:jc w:val="both"/>
        <w:outlineLvl w:val="0"/>
        <w:rPr>
          <w:b/>
          <w:color w:val="000000"/>
          <w:spacing w:val="-3"/>
          <w:sz w:val="24"/>
          <w:szCs w:val="24"/>
          <w:lang w:eastAsia="x-none"/>
        </w:rPr>
      </w:pPr>
      <w:r w:rsidRPr="00BC261E">
        <w:rPr>
          <w:b/>
          <w:color w:val="000000"/>
          <w:spacing w:val="-3"/>
          <w:sz w:val="24"/>
          <w:szCs w:val="24"/>
          <w:lang w:eastAsia="x-none"/>
        </w:rPr>
        <w:t>Monitoring</w:t>
      </w:r>
      <w:r w:rsidRPr="00BC261E">
        <w:rPr>
          <w:b/>
          <w:color w:val="000000"/>
          <w:spacing w:val="-3"/>
          <w:sz w:val="24"/>
          <w:szCs w:val="24"/>
          <w:lang w:val="x-none" w:eastAsia="x-none"/>
        </w:rPr>
        <w:t xml:space="preserve"> and </w:t>
      </w:r>
      <w:r w:rsidR="00BC261E">
        <w:rPr>
          <w:b/>
          <w:color w:val="000000"/>
          <w:spacing w:val="-3"/>
          <w:sz w:val="24"/>
          <w:szCs w:val="24"/>
          <w:lang w:eastAsia="x-none"/>
        </w:rPr>
        <w:t>e</w:t>
      </w:r>
      <w:r w:rsidRPr="00BC261E">
        <w:rPr>
          <w:b/>
          <w:color w:val="000000"/>
          <w:spacing w:val="-3"/>
          <w:sz w:val="24"/>
          <w:szCs w:val="24"/>
          <w:lang w:eastAsia="x-none"/>
        </w:rPr>
        <w:t>valuation</w:t>
      </w:r>
    </w:p>
    <w:p w14:paraId="6CF98EB9" w14:textId="2D8E5988" w:rsidR="0098709A" w:rsidRDefault="0040442F" w:rsidP="00103EA9">
      <w:pPr>
        <w:pStyle w:val="ListParagraph"/>
        <w:numPr>
          <w:ilvl w:val="0"/>
          <w:numId w:val="50"/>
        </w:numPr>
        <w:tabs>
          <w:tab w:val="left" w:pos="1260"/>
        </w:tabs>
        <w:spacing w:after="120" w:line="240" w:lineRule="exact"/>
        <w:ind w:left="900" w:right="720" w:firstLine="0"/>
        <w:jc w:val="both"/>
      </w:pPr>
      <w:r w:rsidRPr="003E36EC">
        <w:t>Monitoring and evaluation will be guided by relevant UNDP policies and procedures</w:t>
      </w:r>
      <w:r w:rsidR="000B083D">
        <w:t>,</w:t>
      </w:r>
      <w:r w:rsidRPr="003E36EC">
        <w:t xml:space="preserve"> and indicators in the CPD results framework</w:t>
      </w:r>
      <w:r w:rsidR="000B083D">
        <w:t>,</w:t>
      </w:r>
      <w:r w:rsidRPr="003E36EC">
        <w:t xml:space="preserve"> which </w:t>
      </w:r>
      <w:r w:rsidR="000B083D">
        <w:t>are</w:t>
      </w:r>
      <w:r w:rsidR="000B083D" w:rsidRPr="003E36EC">
        <w:t xml:space="preserve"> </w:t>
      </w:r>
      <w:r w:rsidRPr="003E36EC">
        <w:t>drawn from the Partnership Framework and UNDP Strategic Plan, 2022- 2025.</w:t>
      </w:r>
    </w:p>
    <w:p w14:paraId="0B2D16CB" w14:textId="5E2804AB" w:rsidR="0098709A" w:rsidRDefault="0098709A" w:rsidP="00103EA9">
      <w:pPr>
        <w:pStyle w:val="ListParagraph"/>
        <w:numPr>
          <w:ilvl w:val="0"/>
          <w:numId w:val="50"/>
        </w:numPr>
        <w:tabs>
          <w:tab w:val="left" w:pos="1260"/>
        </w:tabs>
        <w:spacing w:after="120" w:line="240" w:lineRule="exact"/>
        <w:ind w:left="900" w:right="720" w:firstLine="0"/>
        <w:jc w:val="both"/>
      </w:pPr>
      <w:r w:rsidRPr="0098709A">
        <w:lastRenderedPageBreak/>
        <w:t xml:space="preserve">In line with ICPE recommendations for the country office to strengthen its </w:t>
      </w:r>
      <w:r w:rsidR="000B083D">
        <w:t>monitoring and evaluation</w:t>
      </w:r>
      <w:r w:rsidRPr="0098709A">
        <w:t xml:space="preserve"> systems to </w:t>
      </w:r>
      <w:r w:rsidR="000B083D">
        <w:t xml:space="preserve">provide </w:t>
      </w:r>
      <w:r w:rsidRPr="0098709A">
        <w:t xml:space="preserve">evidence-based data on the progress of results against targets </w:t>
      </w:r>
      <w:r w:rsidR="000B083D">
        <w:t>and generate</w:t>
      </w:r>
      <w:r w:rsidRPr="0098709A">
        <w:t xml:space="preserve"> information on outcomes as well as output level changes directly related to UNDP contribution</w:t>
      </w:r>
      <w:r w:rsidR="000B083D">
        <w:t>s</w:t>
      </w:r>
      <w:r w:rsidR="004369FE">
        <w:t>,</w:t>
      </w:r>
      <w:r w:rsidRPr="0098709A">
        <w:t xml:space="preserve"> the </w:t>
      </w:r>
      <w:r w:rsidR="00012E88">
        <w:t>c</w:t>
      </w:r>
      <w:r w:rsidR="000B083D">
        <w:t xml:space="preserve">ountry </w:t>
      </w:r>
      <w:r w:rsidR="00012E88">
        <w:t>o</w:t>
      </w:r>
      <w:r w:rsidR="000B083D">
        <w:t>ffice</w:t>
      </w:r>
      <w:r w:rsidRPr="0098709A">
        <w:t xml:space="preserve"> will develop and implement a comprehensive </w:t>
      </w:r>
      <w:r w:rsidR="000B083D">
        <w:t>monitoring and evaluation</w:t>
      </w:r>
      <w:r w:rsidRPr="0098709A">
        <w:t xml:space="preserve"> plan for the new country programme. </w:t>
      </w:r>
      <w:r w:rsidR="00B539F7" w:rsidRPr="003E36EC">
        <w:t>UNDP will implement the project quality assurance system and develop capacities for gender-sensitive monitoring and evaluation</w:t>
      </w:r>
      <w:r w:rsidR="00B539F7">
        <w:t>.</w:t>
      </w:r>
      <w:r w:rsidR="004369FE">
        <w:t xml:space="preserve"> </w:t>
      </w:r>
      <w:r w:rsidRPr="0098709A">
        <w:t xml:space="preserve">In addition, the </w:t>
      </w:r>
      <w:r w:rsidR="00012E88">
        <w:t>c</w:t>
      </w:r>
      <w:r w:rsidR="000B083D">
        <w:t xml:space="preserve">ountry </w:t>
      </w:r>
      <w:r w:rsidR="00012E88">
        <w:t>o</w:t>
      </w:r>
      <w:r w:rsidR="000B083D">
        <w:t>ffice</w:t>
      </w:r>
      <w:r w:rsidR="000B083D" w:rsidRPr="0098709A">
        <w:t xml:space="preserve"> </w:t>
      </w:r>
      <w:r w:rsidRPr="0098709A">
        <w:t xml:space="preserve">will </w:t>
      </w:r>
      <w:r w:rsidR="004369FE" w:rsidRPr="0098709A">
        <w:t>organize</w:t>
      </w:r>
      <w:r w:rsidRPr="0098709A">
        <w:t xml:space="preserve"> periodic review meetings with partners to assess progress.</w:t>
      </w:r>
    </w:p>
    <w:p w14:paraId="38F5D3FB" w14:textId="1E000520" w:rsidR="0040442F" w:rsidRPr="003E36EC" w:rsidRDefault="0040442F" w:rsidP="00103EA9">
      <w:pPr>
        <w:pStyle w:val="ListParagraph"/>
        <w:numPr>
          <w:ilvl w:val="0"/>
          <w:numId w:val="50"/>
        </w:numPr>
        <w:tabs>
          <w:tab w:val="left" w:pos="1260"/>
        </w:tabs>
        <w:spacing w:after="120" w:line="240" w:lineRule="exact"/>
        <w:ind w:left="900" w:right="720" w:firstLine="0"/>
        <w:jc w:val="both"/>
      </w:pPr>
      <w:r w:rsidRPr="003E36EC">
        <w:t xml:space="preserve">UNDP will </w:t>
      </w:r>
      <w:r w:rsidR="00B539F7">
        <w:t xml:space="preserve">also </w:t>
      </w:r>
      <w:r w:rsidRPr="003E36EC">
        <w:t xml:space="preserve">leverage </w:t>
      </w:r>
      <w:r w:rsidR="000B083D">
        <w:t>the monitoring and evaluation</w:t>
      </w:r>
      <w:r w:rsidRPr="003E36EC">
        <w:t xml:space="preserve"> capacities of Ghana’s well-renowned research and academic institutions</w:t>
      </w:r>
      <w:r w:rsidR="000B083D">
        <w:t>,</w:t>
      </w:r>
      <w:r w:rsidRPr="003E36EC">
        <w:t xml:space="preserve"> and the Ghana Statistical Service (GSS) to conduct surveys and contribute to evaluations, policy briefs and reports. </w:t>
      </w:r>
      <w:r w:rsidR="000B083D">
        <w:t xml:space="preserve">A </w:t>
      </w:r>
      <w:r w:rsidRPr="003E36EC">
        <w:t xml:space="preserve">share of the programme budget will be allocated for </w:t>
      </w:r>
      <w:r w:rsidR="000B083D">
        <w:t>these activities</w:t>
      </w:r>
      <w:r w:rsidRPr="003E36EC">
        <w:t xml:space="preserve">. </w:t>
      </w:r>
      <w:r w:rsidR="000B083D">
        <w:t>A g</w:t>
      </w:r>
      <w:r w:rsidRPr="003E36EC">
        <w:t xml:space="preserve">ender marker will be applied to outputs and used to track CPD budgets and expenditures to improve planning and resources allocation regarding gender equality. At the UNSDCF outcome level, </w:t>
      </w:r>
      <w:r w:rsidR="000B083D">
        <w:t>monitoring and evaluation</w:t>
      </w:r>
      <w:r w:rsidRPr="003E36EC">
        <w:t xml:space="preserve"> will be undertaken via inter-agency </w:t>
      </w:r>
      <w:r w:rsidR="000B083D">
        <w:t>r</w:t>
      </w:r>
      <w:r w:rsidRPr="003E36EC">
        <w:t xml:space="preserve">esults </w:t>
      </w:r>
      <w:r w:rsidR="000B083D">
        <w:t>g</w:t>
      </w:r>
      <w:r w:rsidRPr="003E36EC">
        <w:t xml:space="preserve">roups, as well as </w:t>
      </w:r>
      <w:r w:rsidR="00DC410C">
        <w:t xml:space="preserve">through </w:t>
      </w:r>
      <w:r w:rsidRPr="003E36EC">
        <w:t xml:space="preserve">mid-term and final evaluations of </w:t>
      </w:r>
      <w:r w:rsidR="00DC410C">
        <w:t xml:space="preserve">the </w:t>
      </w:r>
      <w:r w:rsidRPr="003E36EC">
        <w:t xml:space="preserve">UNSDCF and CPD. </w:t>
      </w:r>
    </w:p>
    <w:p w14:paraId="4677A8AD" w14:textId="21DB0023" w:rsidR="00214EC6" w:rsidRDefault="00214EC6" w:rsidP="00103EA9">
      <w:pPr>
        <w:pStyle w:val="ListParagraph"/>
        <w:numPr>
          <w:ilvl w:val="0"/>
          <w:numId w:val="50"/>
        </w:numPr>
        <w:tabs>
          <w:tab w:val="left" w:pos="1260"/>
        </w:tabs>
        <w:spacing w:after="120" w:line="240" w:lineRule="exact"/>
        <w:ind w:left="900" w:right="720" w:firstLine="0"/>
        <w:jc w:val="both"/>
      </w:pPr>
      <w:r w:rsidRPr="003E36EC">
        <w:t xml:space="preserve">The Evaluation Plan </w:t>
      </w:r>
      <w:r w:rsidR="00DC410C">
        <w:t>in the annex of</w:t>
      </w:r>
      <w:r w:rsidR="00DC410C" w:rsidRPr="003E36EC">
        <w:t xml:space="preserve"> </w:t>
      </w:r>
      <w:r w:rsidRPr="003E36EC">
        <w:t xml:space="preserve">this CPD is formulated with a view to enhance transparency, learning, accountability for results within CPD priority areas and </w:t>
      </w:r>
      <w:r w:rsidR="00DC410C">
        <w:t xml:space="preserve">to </w:t>
      </w:r>
      <w:r w:rsidRPr="003E36EC">
        <w:t xml:space="preserve">generate lessons for improved programming. This plan complies with Section II of </w:t>
      </w:r>
      <w:r w:rsidR="00DC410C">
        <w:t xml:space="preserve">the </w:t>
      </w:r>
      <w:r w:rsidRPr="003E36EC">
        <w:t>UNDP evaluation policy</w:t>
      </w:r>
      <w:r w:rsidR="00DC410C">
        <w:t xml:space="preserve"> and </w:t>
      </w:r>
      <w:r w:rsidRPr="003E36EC">
        <w:t xml:space="preserve">will be periodically reviewed to </w:t>
      </w:r>
      <w:r w:rsidR="00DC410C">
        <w:t>address</w:t>
      </w:r>
      <w:r w:rsidRPr="003E36EC">
        <w:t xml:space="preserve"> changes </w:t>
      </w:r>
      <w:r w:rsidR="00DC410C">
        <w:t xml:space="preserve">made </w:t>
      </w:r>
      <w:r w:rsidRPr="003E36EC">
        <w:t>during the CPD implementation cycle.</w:t>
      </w:r>
    </w:p>
    <w:p w14:paraId="778EC804" w14:textId="6458F418" w:rsidR="00214EC6" w:rsidRDefault="00214EC6" w:rsidP="00103EA9">
      <w:pPr>
        <w:pStyle w:val="ListParagraph"/>
        <w:numPr>
          <w:ilvl w:val="0"/>
          <w:numId w:val="50"/>
        </w:numPr>
        <w:tabs>
          <w:tab w:val="left" w:pos="1260"/>
        </w:tabs>
        <w:spacing w:after="120" w:line="240" w:lineRule="exact"/>
        <w:ind w:left="900" w:right="720" w:firstLine="0"/>
        <w:jc w:val="both"/>
      </w:pPr>
      <w:r w:rsidRPr="003E36EC">
        <w:t xml:space="preserve">The evaluation plan will be </w:t>
      </w:r>
      <w:r w:rsidR="00A106D9" w:rsidRPr="00673EE5">
        <w:t>reviewed and</w:t>
      </w:r>
      <w:r w:rsidR="00A106D9">
        <w:t xml:space="preserve"> </w:t>
      </w:r>
      <w:r w:rsidRPr="003E36EC">
        <w:t>updated periodically. Evaluations will be selected, planned and conducted to measure progress and results for learning and accountability purposes. Findings and recommendations from all evaluations will be used to enhance project, portfolio and programme design and implementation and will inform decisions to make needed adjustments during the implementation phase as well as ensure accountability to stakeholders. In addition, evaluations will be used to strengthen the quality of partnership for resource mobilization to expand the scope of key interventions for increased impact.</w:t>
      </w:r>
    </w:p>
    <w:p w14:paraId="43991A74" w14:textId="77777777" w:rsidR="00BC261E" w:rsidRPr="003E36EC" w:rsidRDefault="00BC261E" w:rsidP="00BC261E">
      <w:pPr>
        <w:pStyle w:val="ListParagraph"/>
        <w:tabs>
          <w:tab w:val="left" w:pos="1260"/>
        </w:tabs>
        <w:spacing w:after="120" w:line="240" w:lineRule="exact"/>
        <w:ind w:left="900" w:right="720"/>
        <w:jc w:val="both"/>
      </w:pPr>
    </w:p>
    <w:p w14:paraId="2440D43E" w14:textId="33E3D240" w:rsidR="00214EC6" w:rsidRPr="003C26C1" w:rsidRDefault="00214EC6" w:rsidP="004F3B24">
      <w:pPr>
        <w:pStyle w:val="ListParagraph"/>
        <w:numPr>
          <w:ilvl w:val="2"/>
          <w:numId w:val="53"/>
        </w:numPr>
        <w:spacing w:after="120"/>
        <w:ind w:left="284" w:hanging="284"/>
        <w:jc w:val="both"/>
        <w:sectPr w:rsidR="00214EC6" w:rsidRPr="003C26C1" w:rsidSect="00585D54">
          <w:headerReference w:type="even" r:id="rId14"/>
          <w:headerReference w:type="default" r:id="rId15"/>
          <w:footerReference w:type="even" r:id="rId16"/>
          <w:footerReference w:type="default" r:id="rId17"/>
          <w:headerReference w:type="first" r:id="rId18"/>
          <w:pgSz w:w="12240" w:h="15840"/>
          <w:pgMar w:top="1152" w:right="1440" w:bottom="1152" w:left="1440" w:header="720" w:footer="720" w:gutter="0"/>
          <w:cols w:space="720"/>
          <w:titlePg/>
          <w:docGrid w:linePitch="272"/>
        </w:sectPr>
      </w:pPr>
    </w:p>
    <w:p w14:paraId="5D0C17DE" w14:textId="546B542D" w:rsidR="00357B24" w:rsidRPr="0073047C" w:rsidRDefault="00357B24" w:rsidP="00357B24">
      <w:pPr>
        <w:spacing w:after="120"/>
        <w:ind w:left="1151" w:right="1151" w:hanging="881"/>
        <w:rPr>
          <w:b/>
          <w:color w:val="000000"/>
        </w:rPr>
      </w:pPr>
      <w:r>
        <w:rPr>
          <w:b/>
          <w:color w:val="000000"/>
          <w:sz w:val="24"/>
          <w:szCs w:val="24"/>
        </w:rPr>
        <w:lastRenderedPageBreak/>
        <w:t>Annex</w:t>
      </w:r>
      <w:r w:rsidR="008462C7">
        <w:rPr>
          <w:b/>
          <w:color w:val="000000"/>
          <w:sz w:val="24"/>
          <w:szCs w:val="24"/>
        </w:rPr>
        <w:t>.</w:t>
      </w:r>
      <w:r>
        <w:rPr>
          <w:b/>
          <w:color w:val="000000"/>
          <w:sz w:val="24"/>
          <w:szCs w:val="24"/>
        </w:rPr>
        <w:t xml:space="preserve"> Results and resources f</w:t>
      </w:r>
      <w:r w:rsidRPr="004F0E55">
        <w:rPr>
          <w:b/>
          <w:color w:val="000000"/>
          <w:sz w:val="24"/>
          <w:szCs w:val="24"/>
        </w:rPr>
        <w:t xml:space="preserve">ramework for </w:t>
      </w:r>
      <w:r>
        <w:rPr>
          <w:b/>
          <w:sz w:val="24"/>
          <w:szCs w:val="24"/>
        </w:rPr>
        <w:t>Ghana</w:t>
      </w:r>
      <w:r w:rsidRPr="004F0E55">
        <w:rPr>
          <w:b/>
          <w:color w:val="000000"/>
          <w:sz w:val="24"/>
          <w:szCs w:val="24"/>
        </w:rPr>
        <w:t xml:space="preserve"> (202</w:t>
      </w:r>
      <w:r>
        <w:rPr>
          <w:b/>
          <w:color w:val="000000"/>
          <w:sz w:val="24"/>
          <w:szCs w:val="24"/>
        </w:rPr>
        <w:t>3</w:t>
      </w:r>
      <w:r w:rsidRPr="004F0E55">
        <w:rPr>
          <w:b/>
          <w:color w:val="000000"/>
          <w:sz w:val="24"/>
          <w:szCs w:val="24"/>
        </w:rPr>
        <w:t>-202</w:t>
      </w:r>
      <w:r>
        <w:rPr>
          <w:b/>
          <w:color w:val="000000"/>
          <w:sz w:val="24"/>
          <w:szCs w:val="24"/>
        </w:rPr>
        <w:t>7</w:t>
      </w:r>
      <w:r w:rsidRPr="004F0E55">
        <w:rPr>
          <w:b/>
          <w:color w:val="000000"/>
          <w:sz w:val="24"/>
          <w:szCs w:val="24"/>
        </w:rPr>
        <w:t>)</w:t>
      </w:r>
    </w:p>
    <w:tbl>
      <w:tblP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51"/>
        <w:gridCol w:w="2598"/>
        <w:gridCol w:w="3293"/>
        <w:gridCol w:w="2593"/>
        <w:gridCol w:w="1709"/>
      </w:tblGrid>
      <w:tr w:rsidR="00CC20D5" w:rsidRPr="00103EA9" w14:paraId="2B2CCBB3" w14:textId="77777777" w:rsidTr="008462C7">
        <w:tc>
          <w:tcPr>
            <w:tcW w:w="13044" w:type="dxa"/>
            <w:gridSpan w:val="5"/>
            <w:shd w:val="clear" w:color="auto" w:fill="DBE5F1" w:themeFill="accent1" w:themeFillTint="33"/>
            <w:tcMar>
              <w:top w:w="72" w:type="dxa"/>
              <w:left w:w="144" w:type="dxa"/>
              <w:bottom w:w="72" w:type="dxa"/>
              <w:right w:w="144" w:type="dxa"/>
            </w:tcMar>
          </w:tcPr>
          <w:p w14:paraId="444BCE0E" w14:textId="7526D8D0" w:rsidR="00CC20D5" w:rsidRPr="00103EA9" w:rsidRDefault="00CC20D5" w:rsidP="00C64533">
            <w:pPr>
              <w:rPr>
                <w:color w:val="000000"/>
                <w:sz w:val="18"/>
                <w:szCs w:val="18"/>
              </w:rPr>
            </w:pPr>
            <w:r w:rsidRPr="00103EA9">
              <w:rPr>
                <w:b/>
                <w:bCs/>
                <w:color w:val="000000"/>
                <w:sz w:val="18"/>
                <w:szCs w:val="18"/>
              </w:rPr>
              <w:t xml:space="preserve">NATIONAL PRIORITY OR GOAL: Building </w:t>
            </w:r>
            <w:r w:rsidR="00012E88">
              <w:rPr>
                <w:b/>
                <w:bCs/>
                <w:color w:val="000000"/>
                <w:sz w:val="18"/>
                <w:szCs w:val="18"/>
              </w:rPr>
              <w:t>a</w:t>
            </w:r>
            <w:r w:rsidRPr="00103EA9">
              <w:rPr>
                <w:b/>
                <w:bCs/>
                <w:color w:val="000000"/>
                <w:sz w:val="18"/>
                <w:szCs w:val="18"/>
              </w:rPr>
              <w:t xml:space="preserve"> </w:t>
            </w:r>
            <w:r w:rsidR="00012E88">
              <w:rPr>
                <w:b/>
                <w:bCs/>
                <w:color w:val="000000"/>
                <w:sz w:val="18"/>
                <w:szCs w:val="18"/>
              </w:rPr>
              <w:t>g</w:t>
            </w:r>
            <w:r w:rsidRPr="00103EA9">
              <w:rPr>
                <w:b/>
                <w:bCs/>
                <w:color w:val="000000"/>
                <w:sz w:val="18"/>
                <w:szCs w:val="18"/>
              </w:rPr>
              <w:t xml:space="preserve">reen, </w:t>
            </w:r>
            <w:r w:rsidR="00012E88">
              <w:rPr>
                <w:b/>
                <w:bCs/>
                <w:color w:val="000000"/>
                <w:sz w:val="18"/>
                <w:szCs w:val="18"/>
              </w:rPr>
              <w:t>i</w:t>
            </w:r>
            <w:r w:rsidRPr="00103EA9">
              <w:rPr>
                <w:b/>
                <w:bCs/>
                <w:color w:val="000000"/>
                <w:sz w:val="18"/>
                <w:szCs w:val="18"/>
              </w:rPr>
              <w:t xml:space="preserve">nclusive, and </w:t>
            </w:r>
            <w:r w:rsidR="00012E88">
              <w:rPr>
                <w:b/>
                <w:bCs/>
                <w:color w:val="000000"/>
                <w:sz w:val="18"/>
                <w:szCs w:val="18"/>
              </w:rPr>
              <w:t>p</w:t>
            </w:r>
            <w:r w:rsidRPr="00103EA9">
              <w:rPr>
                <w:b/>
                <w:bCs/>
                <w:color w:val="000000"/>
                <w:sz w:val="18"/>
                <w:szCs w:val="18"/>
              </w:rPr>
              <w:t xml:space="preserve">rosperous </w:t>
            </w:r>
            <w:r w:rsidR="00012E88">
              <w:rPr>
                <w:b/>
                <w:bCs/>
                <w:color w:val="000000"/>
                <w:sz w:val="18"/>
                <w:szCs w:val="18"/>
              </w:rPr>
              <w:t>c</w:t>
            </w:r>
            <w:r w:rsidRPr="00103EA9">
              <w:rPr>
                <w:b/>
                <w:bCs/>
                <w:color w:val="000000"/>
                <w:sz w:val="18"/>
                <w:szCs w:val="18"/>
              </w:rPr>
              <w:t xml:space="preserve">ountry that </w:t>
            </w:r>
            <w:r w:rsidR="00012E88">
              <w:rPr>
                <w:b/>
                <w:bCs/>
                <w:color w:val="000000"/>
                <w:sz w:val="18"/>
                <w:szCs w:val="18"/>
              </w:rPr>
              <w:t>c</w:t>
            </w:r>
            <w:r w:rsidRPr="00103EA9">
              <w:rPr>
                <w:b/>
                <w:bCs/>
                <w:color w:val="000000"/>
                <w:sz w:val="18"/>
                <w:szCs w:val="18"/>
              </w:rPr>
              <w:t xml:space="preserve">reates </w:t>
            </w:r>
            <w:r w:rsidR="00012E88">
              <w:rPr>
                <w:b/>
                <w:bCs/>
                <w:color w:val="000000"/>
                <w:sz w:val="18"/>
                <w:szCs w:val="18"/>
              </w:rPr>
              <w:t>o</w:t>
            </w:r>
            <w:r w:rsidRPr="00103EA9">
              <w:rPr>
                <w:b/>
                <w:bCs/>
                <w:color w:val="000000"/>
                <w:sz w:val="18"/>
                <w:szCs w:val="18"/>
              </w:rPr>
              <w:t xml:space="preserve">pportunities for </w:t>
            </w:r>
            <w:r w:rsidR="00012E88">
              <w:rPr>
                <w:b/>
                <w:bCs/>
                <w:color w:val="000000"/>
                <w:sz w:val="18"/>
                <w:szCs w:val="18"/>
              </w:rPr>
              <w:t>a</w:t>
            </w:r>
            <w:r w:rsidRPr="00103EA9">
              <w:rPr>
                <w:b/>
                <w:bCs/>
                <w:color w:val="000000"/>
                <w:sz w:val="18"/>
                <w:szCs w:val="18"/>
              </w:rPr>
              <w:t>ll</w:t>
            </w:r>
            <w:r w:rsidRPr="00103EA9" w:rsidDel="00E71F4E">
              <w:rPr>
                <w:bCs/>
                <w:color w:val="0000FF"/>
                <w:sz w:val="18"/>
                <w:szCs w:val="18"/>
              </w:rPr>
              <w:t xml:space="preserve"> </w:t>
            </w:r>
            <w:r w:rsidRPr="00103EA9">
              <w:rPr>
                <w:bCs/>
                <w:color w:val="0000FF"/>
                <w:sz w:val="18"/>
                <w:szCs w:val="18"/>
              </w:rPr>
              <w:t xml:space="preserve"> </w:t>
            </w:r>
          </w:p>
        </w:tc>
      </w:tr>
      <w:tr w:rsidR="00CC20D5" w:rsidRPr="00103EA9" w14:paraId="465595E9" w14:textId="77777777" w:rsidTr="008462C7">
        <w:tc>
          <w:tcPr>
            <w:tcW w:w="13044" w:type="dxa"/>
            <w:gridSpan w:val="5"/>
            <w:shd w:val="clear" w:color="auto" w:fill="DBE5F1" w:themeFill="accent1" w:themeFillTint="33"/>
            <w:tcMar>
              <w:top w:w="72" w:type="dxa"/>
              <w:left w:w="144" w:type="dxa"/>
              <w:bottom w:w="72" w:type="dxa"/>
              <w:right w:w="144" w:type="dxa"/>
            </w:tcMar>
          </w:tcPr>
          <w:p w14:paraId="708F58FB" w14:textId="585B9390" w:rsidR="00CC20D5" w:rsidRPr="00103EA9" w:rsidRDefault="00CC20D5" w:rsidP="00375ED2">
            <w:pPr>
              <w:jc w:val="both"/>
              <w:rPr>
                <w:color w:val="000000"/>
                <w:sz w:val="18"/>
                <w:szCs w:val="18"/>
              </w:rPr>
            </w:pPr>
            <w:r w:rsidRPr="00103EA9">
              <w:rPr>
                <w:b/>
                <w:bCs/>
                <w:color w:val="000000"/>
                <w:sz w:val="18"/>
                <w:szCs w:val="18"/>
              </w:rPr>
              <w:t>COOPERATION FRAMEWORK (OR EQUIVALENT) OUTCOME INVOLVING UNDP #1:</w:t>
            </w:r>
            <w:r w:rsidRPr="00103EA9">
              <w:rPr>
                <w:color w:val="000000"/>
                <w:sz w:val="18"/>
                <w:szCs w:val="18"/>
              </w:rPr>
              <w:t xml:space="preserve"> By 2025, people in Ghana particularly, women, youth, persons with disabilities and those furthest behind will enjoy an inclusive and transformed economy that creates decent jobs and sustainable livelihoods reducing inequality</w:t>
            </w:r>
            <w:r w:rsidR="00DC410C">
              <w:rPr>
                <w:color w:val="000000"/>
                <w:sz w:val="18"/>
                <w:szCs w:val="18"/>
              </w:rPr>
              <w:t>.</w:t>
            </w:r>
          </w:p>
        </w:tc>
      </w:tr>
      <w:tr w:rsidR="00CC20D5" w:rsidRPr="00103EA9" w14:paraId="26209395" w14:textId="77777777" w:rsidTr="008462C7">
        <w:tc>
          <w:tcPr>
            <w:tcW w:w="13044" w:type="dxa"/>
            <w:gridSpan w:val="5"/>
            <w:shd w:val="clear" w:color="auto" w:fill="DBE5F1" w:themeFill="accent1" w:themeFillTint="33"/>
            <w:tcMar>
              <w:top w:w="72" w:type="dxa"/>
              <w:left w:w="144" w:type="dxa"/>
              <w:bottom w:w="72" w:type="dxa"/>
              <w:right w:w="144" w:type="dxa"/>
            </w:tcMar>
          </w:tcPr>
          <w:p w14:paraId="5C64E7E1" w14:textId="57A541D0" w:rsidR="00CC20D5" w:rsidRPr="00103EA9" w:rsidRDefault="00CC20D5" w:rsidP="00C64533">
            <w:pPr>
              <w:rPr>
                <w:b/>
                <w:bCs/>
                <w:color w:val="000000"/>
                <w:sz w:val="18"/>
                <w:szCs w:val="18"/>
              </w:rPr>
            </w:pPr>
            <w:r w:rsidRPr="00103EA9">
              <w:rPr>
                <w:b/>
                <w:bCs/>
                <w:color w:val="000000"/>
                <w:sz w:val="18"/>
                <w:szCs w:val="18"/>
              </w:rPr>
              <w:t xml:space="preserve">RELATED STRATEGIC PLAN OUTCOME: </w:t>
            </w:r>
            <w:r w:rsidRPr="00103EA9">
              <w:rPr>
                <w:b/>
                <w:bCs/>
                <w:sz w:val="18"/>
                <w:szCs w:val="18"/>
              </w:rPr>
              <w:t xml:space="preserve"> Structural </w:t>
            </w:r>
            <w:r w:rsidR="00DC410C">
              <w:rPr>
                <w:b/>
                <w:bCs/>
                <w:sz w:val="18"/>
                <w:szCs w:val="18"/>
              </w:rPr>
              <w:t>t</w:t>
            </w:r>
            <w:r w:rsidRPr="00103EA9">
              <w:rPr>
                <w:b/>
                <w:bCs/>
                <w:sz w:val="18"/>
                <w:szCs w:val="18"/>
              </w:rPr>
              <w:t xml:space="preserve">ransformation </w:t>
            </w:r>
            <w:r w:rsidR="00DC410C">
              <w:rPr>
                <w:b/>
                <w:bCs/>
                <w:sz w:val="18"/>
                <w:szCs w:val="18"/>
              </w:rPr>
              <w:t>a</w:t>
            </w:r>
            <w:r w:rsidRPr="00103EA9">
              <w:rPr>
                <w:b/>
                <w:bCs/>
                <w:sz w:val="18"/>
                <w:szCs w:val="18"/>
              </w:rPr>
              <w:t xml:space="preserve">ccelerated, </w:t>
            </w:r>
            <w:r w:rsidR="00DC410C">
              <w:rPr>
                <w:b/>
                <w:bCs/>
                <w:sz w:val="18"/>
                <w:szCs w:val="18"/>
              </w:rPr>
              <w:t>p</w:t>
            </w:r>
            <w:r w:rsidRPr="00103EA9">
              <w:rPr>
                <w:b/>
                <w:bCs/>
                <w:sz w:val="18"/>
                <w:szCs w:val="18"/>
              </w:rPr>
              <w:t>articularly</w:t>
            </w:r>
            <w:r w:rsidR="00DC410C">
              <w:rPr>
                <w:b/>
                <w:bCs/>
                <w:sz w:val="18"/>
                <w:szCs w:val="18"/>
              </w:rPr>
              <w:t xml:space="preserve"> g</w:t>
            </w:r>
            <w:r w:rsidRPr="00103EA9">
              <w:rPr>
                <w:b/>
                <w:bCs/>
                <w:sz w:val="18"/>
                <w:szCs w:val="18"/>
              </w:rPr>
              <w:t xml:space="preserve">reen, </w:t>
            </w:r>
            <w:r w:rsidR="00DC410C">
              <w:rPr>
                <w:b/>
                <w:bCs/>
                <w:sz w:val="18"/>
                <w:szCs w:val="18"/>
              </w:rPr>
              <w:t>i</w:t>
            </w:r>
            <w:r w:rsidRPr="00103EA9">
              <w:rPr>
                <w:b/>
                <w:bCs/>
                <w:sz w:val="18"/>
                <w:szCs w:val="18"/>
              </w:rPr>
              <w:t xml:space="preserve">nclusive </w:t>
            </w:r>
            <w:r w:rsidR="00E064D9" w:rsidRPr="00103EA9">
              <w:rPr>
                <w:b/>
                <w:bCs/>
                <w:sz w:val="18"/>
                <w:szCs w:val="18"/>
              </w:rPr>
              <w:t>and</w:t>
            </w:r>
            <w:r w:rsidRPr="00103EA9">
              <w:rPr>
                <w:b/>
                <w:bCs/>
                <w:sz w:val="18"/>
                <w:szCs w:val="18"/>
              </w:rPr>
              <w:t xml:space="preserve"> </w:t>
            </w:r>
            <w:r w:rsidR="00DC410C">
              <w:rPr>
                <w:b/>
                <w:bCs/>
                <w:sz w:val="18"/>
                <w:szCs w:val="18"/>
              </w:rPr>
              <w:t>d</w:t>
            </w:r>
            <w:r w:rsidRPr="00103EA9">
              <w:rPr>
                <w:b/>
                <w:bCs/>
                <w:sz w:val="18"/>
                <w:szCs w:val="18"/>
              </w:rPr>
              <w:t xml:space="preserve">igital </w:t>
            </w:r>
            <w:r w:rsidR="00DC410C">
              <w:rPr>
                <w:b/>
                <w:bCs/>
                <w:sz w:val="18"/>
                <w:szCs w:val="18"/>
              </w:rPr>
              <w:t>t</w:t>
            </w:r>
            <w:r w:rsidRPr="00103EA9">
              <w:rPr>
                <w:b/>
                <w:bCs/>
                <w:sz w:val="18"/>
                <w:szCs w:val="18"/>
              </w:rPr>
              <w:t>ransitions</w:t>
            </w:r>
            <w:r w:rsidRPr="00103EA9" w:rsidDel="00E71F4E">
              <w:rPr>
                <w:color w:val="0000FF"/>
                <w:sz w:val="18"/>
                <w:szCs w:val="18"/>
              </w:rPr>
              <w:t xml:space="preserve"> </w:t>
            </w:r>
          </w:p>
        </w:tc>
      </w:tr>
      <w:tr w:rsidR="00CC20D5" w:rsidRPr="00103EA9" w14:paraId="02D887F2" w14:textId="77777777" w:rsidTr="00BC4D71">
        <w:tc>
          <w:tcPr>
            <w:tcW w:w="2851" w:type="dxa"/>
            <w:shd w:val="clear" w:color="auto" w:fill="DBE5F1" w:themeFill="accent1" w:themeFillTint="33"/>
            <w:tcMar>
              <w:top w:w="72" w:type="dxa"/>
              <w:left w:w="144" w:type="dxa"/>
              <w:bottom w:w="72" w:type="dxa"/>
              <w:right w:w="144" w:type="dxa"/>
            </w:tcMar>
            <w:vAlign w:val="center"/>
          </w:tcPr>
          <w:p w14:paraId="4ACA83BC" w14:textId="77777777" w:rsidR="00CC20D5" w:rsidRPr="00103EA9" w:rsidRDefault="00CC20D5" w:rsidP="00C64533">
            <w:pPr>
              <w:jc w:val="center"/>
              <w:rPr>
                <w:color w:val="000000"/>
                <w:sz w:val="18"/>
                <w:szCs w:val="18"/>
              </w:rPr>
            </w:pPr>
            <w:r w:rsidRPr="00103EA9">
              <w:rPr>
                <w:b/>
                <w:bCs/>
                <w:color w:val="000000"/>
                <w:sz w:val="18"/>
                <w:szCs w:val="18"/>
              </w:rPr>
              <w:t>COOPERATION FRAMEWORK OUTCOME INDICATOR(S), BASELINES, TARGET(S)</w:t>
            </w:r>
          </w:p>
        </w:tc>
        <w:tc>
          <w:tcPr>
            <w:tcW w:w="2598" w:type="dxa"/>
            <w:shd w:val="clear" w:color="auto" w:fill="DBE5F1" w:themeFill="accent1" w:themeFillTint="33"/>
            <w:vAlign w:val="center"/>
          </w:tcPr>
          <w:p w14:paraId="562C9D82" w14:textId="77777777" w:rsidR="00CC20D5" w:rsidRPr="00103EA9" w:rsidRDefault="00CC20D5" w:rsidP="00C64533">
            <w:pPr>
              <w:jc w:val="center"/>
              <w:rPr>
                <w:b/>
                <w:color w:val="000000"/>
                <w:sz w:val="18"/>
                <w:szCs w:val="18"/>
              </w:rPr>
            </w:pPr>
            <w:r w:rsidRPr="00103EA9">
              <w:rPr>
                <w:b/>
                <w:color w:val="000000"/>
                <w:sz w:val="18"/>
                <w:szCs w:val="18"/>
              </w:rPr>
              <w:t>DATA SOURCE AND FREQUENCY OF DATA COLLECTION, AND RESPONSIBILITIES</w:t>
            </w:r>
          </w:p>
        </w:tc>
        <w:tc>
          <w:tcPr>
            <w:tcW w:w="3293" w:type="dxa"/>
            <w:shd w:val="clear" w:color="auto" w:fill="DBE5F1" w:themeFill="accent1" w:themeFillTint="33"/>
            <w:tcMar>
              <w:top w:w="72" w:type="dxa"/>
              <w:left w:w="144" w:type="dxa"/>
              <w:bottom w:w="72" w:type="dxa"/>
              <w:right w:w="144" w:type="dxa"/>
            </w:tcMar>
            <w:vAlign w:val="center"/>
          </w:tcPr>
          <w:p w14:paraId="08A378BE" w14:textId="77777777" w:rsidR="00CC20D5" w:rsidRPr="00103EA9" w:rsidRDefault="00CC20D5" w:rsidP="00C64533">
            <w:pPr>
              <w:jc w:val="center"/>
              <w:rPr>
                <w:color w:val="000000"/>
                <w:sz w:val="18"/>
                <w:szCs w:val="18"/>
              </w:rPr>
            </w:pPr>
            <w:r w:rsidRPr="00103EA9">
              <w:rPr>
                <w:b/>
                <w:bCs/>
                <w:color w:val="000000"/>
                <w:sz w:val="18"/>
                <w:szCs w:val="18"/>
              </w:rPr>
              <w:t>INDICATIVE COUNTRY PROGRAMME OUTPUTS (including indicators, baselines targets)</w:t>
            </w:r>
          </w:p>
        </w:tc>
        <w:tc>
          <w:tcPr>
            <w:tcW w:w="2593" w:type="dxa"/>
            <w:shd w:val="clear" w:color="auto" w:fill="DBE5F1" w:themeFill="accent1" w:themeFillTint="33"/>
            <w:vAlign w:val="center"/>
          </w:tcPr>
          <w:p w14:paraId="025BD5D0" w14:textId="79DAA000" w:rsidR="00CC20D5" w:rsidRPr="00103EA9" w:rsidRDefault="00CC20D5" w:rsidP="00C64533">
            <w:pPr>
              <w:jc w:val="center"/>
              <w:rPr>
                <w:b/>
                <w:bCs/>
                <w:color w:val="000000"/>
                <w:sz w:val="18"/>
                <w:szCs w:val="18"/>
              </w:rPr>
            </w:pPr>
            <w:r w:rsidRPr="00103EA9">
              <w:rPr>
                <w:b/>
                <w:bCs/>
                <w:color w:val="000000"/>
                <w:sz w:val="18"/>
                <w:szCs w:val="18"/>
              </w:rPr>
              <w:t>MAJOR PARTNERS/ PARTNERSHIPS</w:t>
            </w:r>
          </w:p>
          <w:p w14:paraId="1826364D" w14:textId="77777777" w:rsidR="00CC20D5" w:rsidRPr="00103EA9" w:rsidRDefault="00CC20D5" w:rsidP="00C64533">
            <w:pPr>
              <w:jc w:val="center"/>
              <w:rPr>
                <w:b/>
                <w:bCs/>
                <w:color w:val="000000"/>
                <w:sz w:val="18"/>
                <w:szCs w:val="18"/>
              </w:rPr>
            </w:pPr>
            <w:r w:rsidRPr="00103EA9">
              <w:rPr>
                <w:b/>
                <w:bCs/>
                <w:color w:val="000000"/>
                <w:sz w:val="18"/>
                <w:szCs w:val="18"/>
              </w:rPr>
              <w:t>FRAMEWORKS</w:t>
            </w:r>
          </w:p>
        </w:tc>
        <w:tc>
          <w:tcPr>
            <w:tcW w:w="1709" w:type="dxa"/>
            <w:shd w:val="clear" w:color="auto" w:fill="DBE5F1" w:themeFill="accent1" w:themeFillTint="33"/>
            <w:tcMar>
              <w:top w:w="15" w:type="dxa"/>
              <w:left w:w="108" w:type="dxa"/>
              <w:bottom w:w="0" w:type="dxa"/>
              <w:right w:w="108" w:type="dxa"/>
            </w:tcMar>
            <w:vAlign w:val="center"/>
          </w:tcPr>
          <w:p w14:paraId="647B0417" w14:textId="77777777" w:rsidR="00DC410C" w:rsidRDefault="00CC20D5" w:rsidP="00C64533">
            <w:pPr>
              <w:jc w:val="center"/>
              <w:rPr>
                <w:b/>
                <w:bCs/>
                <w:color w:val="000000"/>
                <w:sz w:val="18"/>
                <w:szCs w:val="18"/>
              </w:rPr>
            </w:pPr>
            <w:r w:rsidRPr="00103EA9">
              <w:rPr>
                <w:b/>
                <w:bCs/>
                <w:color w:val="000000"/>
                <w:sz w:val="18"/>
                <w:szCs w:val="18"/>
              </w:rPr>
              <w:t xml:space="preserve">ESTIMATED COST BY OUTCOME </w:t>
            </w:r>
          </w:p>
          <w:p w14:paraId="0CFDE21F" w14:textId="53391F3A" w:rsidR="00CC20D5" w:rsidRPr="00103EA9" w:rsidRDefault="00CC20D5" w:rsidP="00C64533">
            <w:pPr>
              <w:jc w:val="center"/>
              <w:rPr>
                <w:color w:val="0000FF"/>
                <w:sz w:val="18"/>
                <w:szCs w:val="18"/>
              </w:rPr>
            </w:pPr>
            <w:r w:rsidRPr="00103EA9">
              <w:rPr>
                <w:b/>
                <w:bCs/>
                <w:color w:val="000000"/>
                <w:sz w:val="18"/>
                <w:szCs w:val="18"/>
              </w:rPr>
              <w:t>(</w:t>
            </w:r>
            <w:r w:rsidR="00DC410C">
              <w:rPr>
                <w:b/>
                <w:bCs/>
                <w:color w:val="000000"/>
                <w:sz w:val="18"/>
                <w:szCs w:val="18"/>
              </w:rPr>
              <w:t>US dollars</w:t>
            </w:r>
            <w:r w:rsidRPr="00103EA9">
              <w:rPr>
                <w:b/>
                <w:bCs/>
                <w:color w:val="000000"/>
                <w:sz w:val="18"/>
                <w:szCs w:val="18"/>
              </w:rPr>
              <w:t>)</w:t>
            </w:r>
          </w:p>
        </w:tc>
      </w:tr>
      <w:tr w:rsidR="00772DE3" w:rsidRPr="00103EA9" w14:paraId="0174CBD4" w14:textId="77777777" w:rsidTr="00BC4D71">
        <w:trPr>
          <w:trHeight w:val="13"/>
        </w:trPr>
        <w:tc>
          <w:tcPr>
            <w:tcW w:w="2851" w:type="dxa"/>
            <w:vMerge w:val="restart"/>
            <w:tcMar>
              <w:top w:w="72" w:type="dxa"/>
              <w:left w:w="144" w:type="dxa"/>
              <w:bottom w:w="72" w:type="dxa"/>
              <w:right w:w="144" w:type="dxa"/>
            </w:tcMar>
          </w:tcPr>
          <w:p w14:paraId="455146CC" w14:textId="77777777" w:rsidR="00772DE3" w:rsidRPr="00103EA9" w:rsidRDefault="00772DE3" w:rsidP="00C64533">
            <w:pPr>
              <w:rPr>
                <w:b/>
                <w:bCs/>
                <w:sz w:val="18"/>
                <w:szCs w:val="18"/>
              </w:rPr>
            </w:pPr>
            <w:r w:rsidRPr="00103EA9">
              <w:rPr>
                <w:b/>
                <w:bCs/>
                <w:sz w:val="18"/>
                <w:szCs w:val="18"/>
              </w:rPr>
              <w:t xml:space="preserve">Indicator: </w:t>
            </w:r>
          </w:p>
          <w:p w14:paraId="12563B55" w14:textId="40E8DDB0" w:rsidR="00772DE3" w:rsidRPr="00103EA9" w:rsidRDefault="00772DE3" w:rsidP="00C64533">
            <w:pPr>
              <w:rPr>
                <w:bCs/>
                <w:sz w:val="18"/>
                <w:szCs w:val="18"/>
              </w:rPr>
            </w:pPr>
            <w:r w:rsidRPr="00103EA9">
              <w:rPr>
                <w:bCs/>
                <w:sz w:val="18"/>
                <w:szCs w:val="18"/>
              </w:rPr>
              <w:t>Proportion of men women and children of all ages living in poverty in all its dimensions according to national definitions (SDG indicator 1.2.1</w:t>
            </w:r>
            <w:r w:rsidR="00DC410C">
              <w:rPr>
                <w:bCs/>
                <w:sz w:val="18"/>
                <w:szCs w:val="18"/>
              </w:rPr>
              <w:t>.</w:t>
            </w:r>
            <w:r w:rsidRPr="00103EA9">
              <w:rPr>
                <w:bCs/>
                <w:sz w:val="18"/>
                <w:szCs w:val="18"/>
              </w:rPr>
              <w:t>).</w:t>
            </w:r>
          </w:p>
          <w:p w14:paraId="112EE1AE" w14:textId="77777777" w:rsidR="00772DE3" w:rsidRPr="00103EA9" w:rsidRDefault="00772DE3" w:rsidP="00C64533">
            <w:pPr>
              <w:rPr>
                <w:b/>
                <w:sz w:val="18"/>
                <w:szCs w:val="18"/>
              </w:rPr>
            </w:pPr>
          </w:p>
          <w:p w14:paraId="77983E9D" w14:textId="77777777" w:rsidR="00772DE3" w:rsidRPr="00103EA9" w:rsidRDefault="00772DE3" w:rsidP="00836B6F">
            <w:pPr>
              <w:rPr>
                <w:b/>
                <w:bCs/>
                <w:sz w:val="18"/>
                <w:szCs w:val="18"/>
              </w:rPr>
            </w:pPr>
            <w:r w:rsidRPr="00103EA9">
              <w:rPr>
                <w:b/>
                <w:bCs/>
                <w:sz w:val="18"/>
                <w:szCs w:val="18"/>
              </w:rPr>
              <w:t xml:space="preserve">Baseline: </w:t>
            </w:r>
          </w:p>
          <w:p w14:paraId="00103647" w14:textId="2337882C" w:rsidR="00772DE3" w:rsidRPr="00103EA9" w:rsidRDefault="00772DE3" w:rsidP="00836B6F">
            <w:pPr>
              <w:rPr>
                <w:sz w:val="18"/>
                <w:szCs w:val="18"/>
              </w:rPr>
            </w:pPr>
            <w:r w:rsidRPr="00103EA9">
              <w:rPr>
                <w:sz w:val="18"/>
                <w:szCs w:val="18"/>
              </w:rPr>
              <w:t>Overall:</w:t>
            </w:r>
            <w:r w:rsidR="005E4A4D">
              <w:rPr>
                <w:sz w:val="18"/>
                <w:szCs w:val="18"/>
              </w:rPr>
              <w:t xml:space="preserve"> </w:t>
            </w:r>
            <w:r w:rsidRPr="00103EA9">
              <w:rPr>
                <w:sz w:val="18"/>
                <w:szCs w:val="18"/>
              </w:rPr>
              <w:t>45.6% (2020)</w:t>
            </w:r>
          </w:p>
          <w:p w14:paraId="08FEFE57" w14:textId="4BB398DD" w:rsidR="00772DE3" w:rsidRPr="00103EA9" w:rsidRDefault="00772DE3" w:rsidP="00836B6F">
            <w:pPr>
              <w:rPr>
                <w:sz w:val="18"/>
                <w:szCs w:val="18"/>
              </w:rPr>
            </w:pPr>
            <w:r w:rsidRPr="00103EA9">
              <w:rPr>
                <w:sz w:val="18"/>
                <w:szCs w:val="18"/>
              </w:rPr>
              <w:t xml:space="preserve">Male </w:t>
            </w:r>
            <w:r w:rsidR="00DC410C">
              <w:rPr>
                <w:sz w:val="18"/>
                <w:szCs w:val="18"/>
              </w:rPr>
              <w:t>h</w:t>
            </w:r>
            <w:r w:rsidRPr="00103EA9">
              <w:rPr>
                <w:sz w:val="18"/>
                <w:szCs w:val="18"/>
              </w:rPr>
              <w:t xml:space="preserve">eads of </w:t>
            </w:r>
            <w:r w:rsidR="00DC410C">
              <w:rPr>
                <w:sz w:val="18"/>
                <w:szCs w:val="18"/>
              </w:rPr>
              <w:t>h</w:t>
            </w:r>
            <w:r w:rsidRPr="00103EA9">
              <w:rPr>
                <w:sz w:val="18"/>
                <w:szCs w:val="18"/>
              </w:rPr>
              <w:t>ouseholds: 47.7% (2020)</w:t>
            </w:r>
          </w:p>
          <w:p w14:paraId="396FFA18" w14:textId="3EDA35C3" w:rsidR="00772DE3" w:rsidRPr="00103EA9" w:rsidRDefault="00772DE3" w:rsidP="00836B6F">
            <w:pPr>
              <w:rPr>
                <w:sz w:val="18"/>
                <w:szCs w:val="18"/>
              </w:rPr>
            </w:pPr>
            <w:r w:rsidRPr="00103EA9">
              <w:rPr>
                <w:sz w:val="18"/>
                <w:szCs w:val="18"/>
              </w:rPr>
              <w:t xml:space="preserve">Female </w:t>
            </w:r>
            <w:r w:rsidR="00DC410C">
              <w:rPr>
                <w:sz w:val="18"/>
                <w:szCs w:val="18"/>
              </w:rPr>
              <w:t>h</w:t>
            </w:r>
            <w:r w:rsidRPr="00103EA9">
              <w:rPr>
                <w:sz w:val="18"/>
                <w:szCs w:val="18"/>
              </w:rPr>
              <w:t xml:space="preserve">eads of </w:t>
            </w:r>
            <w:r w:rsidR="00DC410C">
              <w:rPr>
                <w:sz w:val="18"/>
                <w:szCs w:val="18"/>
              </w:rPr>
              <w:t>h</w:t>
            </w:r>
            <w:r w:rsidRPr="00103EA9">
              <w:rPr>
                <w:sz w:val="18"/>
                <w:szCs w:val="18"/>
              </w:rPr>
              <w:t>ouseholds: 40.6% (2020)</w:t>
            </w:r>
          </w:p>
          <w:p w14:paraId="0CD566AB" w14:textId="6543AC0B" w:rsidR="00772DE3" w:rsidRPr="00103EA9" w:rsidRDefault="00772DE3" w:rsidP="00836B6F">
            <w:pPr>
              <w:rPr>
                <w:b/>
                <w:sz w:val="18"/>
                <w:szCs w:val="18"/>
              </w:rPr>
            </w:pPr>
            <w:r w:rsidRPr="00103EA9">
              <w:rPr>
                <w:b/>
                <w:color w:val="000000"/>
                <w:sz w:val="18"/>
                <w:szCs w:val="18"/>
              </w:rPr>
              <w:t xml:space="preserve">Target: </w:t>
            </w:r>
          </w:p>
          <w:p w14:paraId="166559D8" w14:textId="71BF486D" w:rsidR="00772DE3" w:rsidRPr="00103EA9" w:rsidRDefault="00772DE3" w:rsidP="00836B6F">
            <w:pPr>
              <w:rPr>
                <w:sz w:val="18"/>
                <w:szCs w:val="18"/>
              </w:rPr>
            </w:pPr>
            <w:r w:rsidRPr="00103EA9">
              <w:rPr>
                <w:sz w:val="18"/>
                <w:szCs w:val="18"/>
              </w:rPr>
              <w:t>Overall:</w:t>
            </w:r>
            <w:r w:rsidR="005E4A4D">
              <w:rPr>
                <w:sz w:val="18"/>
                <w:szCs w:val="18"/>
              </w:rPr>
              <w:t xml:space="preserve"> </w:t>
            </w:r>
            <w:r w:rsidRPr="00103EA9">
              <w:rPr>
                <w:sz w:val="18"/>
                <w:szCs w:val="18"/>
              </w:rPr>
              <w:t>40.6% (2025)</w:t>
            </w:r>
          </w:p>
          <w:p w14:paraId="493473C2" w14:textId="32543121" w:rsidR="00772DE3" w:rsidRPr="00103EA9" w:rsidRDefault="00772DE3" w:rsidP="00836B6F">
            <w:pPr>
              <w:rPr>
                <w:sz w:val="18"/>
                <w:szCs w:val="18"/>
              </w:rPr>
            </w:pPr>
            <w:r w:rsidRPr="00103EA9">
              <w:rPr>
                <w:sz w:val="18"/>
                <w:szCs w:val="18"/>
              </w:rPr>
              <w:t xml:space="preserve">Male </w:t>
            </w:r>
            <w:r w:rsidR="00DC410C">
              <w:rPr>
                <w:sz w:val="18"/>
                <w:szCs w:val="18"/>
              </w:rPr>
              <w:t>h</w:t>
            </w:r>
            <w:r w:rsidRPr="00103EA9">
              <w:rPr>
                <w:sz w:val="18"/>
                <w:szCs w:val="18"/>
              </w:rPr>
              <w:t xml:space="preserve">eads of </w:t>
            </w:r>
            <w:r w:rsidR="00DC410C">
              <w:rPr>
                <w:sz w:val="18"/>
                <w:szCs w:val="18"/>
              </w:rPr>
              <w:t>h</w:t>
            </w:r>
            <w:r w:rsidRPr="00103EA9">
              <w:rPr>
                <w:sz w:val="18"/>
                <w:szCs w:val="18"/>
              </w:rPr>
              <w:t>ouseholds: 42.7% (2025)</w:t>
            </w:r>
          </w:p>
          <w:p w14:paraId="7C49AD78" w14:textId="4F9F939A" w:rsidR="00772DE3" w:rsidRPr="00103EA9" w:rsidRDefault="00772DE3" w:rsidP="00836B6F">
            <w:pPr>
              <w:rPr>
                <w:sz w:val="18"/>
                <w:szCs w:val="18"/>
              </w:rPr>
            </w:pPr>
            <w:r w:rsidRPr="00103EA9">
              <w:rPr>
                <w:sz w:val="18"/>
                <w:szCs w:val="18"/>
              </w:rPr>
              <w:t xml:space="preserve">Female </w:t>
            </w:r>
            <w:r w:rsidR="00DC410C">
              <w:rPr>
                <w:sz w:val="18"/>
                <w:szCs w:val="18"/>
              </w:rPr>
              <w:t>h</w:t>
            </w:r>
            <w:r w:rsidRPr="00103EA9">
              <w:rPr>
                <w:sz w:val="18"/>
                <w:szCs w:val="18"/>
              </w:rPr>
              <w:t xml:space="preserve">eads of </w:t>
            </w:r>
            <w:r w:rsidR="00DC410C">
              <w:rPr>
                <w:sz w:val="18"/>
                <w:szCs w:val="18"/>
              </w:rPr>
              <w:t>h</w:t>
            </w:r>
            <w:r w:rsidRPr="00103EA9">
              <w:rPr>
                <w:sz w:val="18"/>
                <w:szCs w:val="18"/>
              </w:rPr>
              <w:t>ouseholds: 35.6% (2025)</w:t>
            </w:r>
          </w:p>
          <w:p w14:paraId="6103AA59" w14:textId="57F9A12C" w:rsidR="00772DE3" w:rsidRPr="00103EA9" w:rsidRDefault="00772DE3" w:rsidP="00C64533">
            <w:pPr>
              <w:rPr>
                <w:sz w:val="18"/>
                <w:szCs w:val="18"/>
                <w:u w:val="single"/>
              </w:rPr>
            </w:pPr>
          </w:p>
          <w:p w14:paraId="661965DA" w14:textId="77777777" w:rsidR="00FD1865" w:rsidRPr="00103EA9" w:rsidRDefault="00FD1865" w:rsidP="00FD1865">
            <w:pPr>
              <w:rPr>
                <w:b/>
                <w:bCs/>
                <w:sz w:val="18"/>
                <w:szCs w:val="18"/>
              </w:rPr>
            </w:pPr>
            <w:r w:rsidRPr="00103EA9">
              <w:rPr>
                <w:b/>
                <w:bCs/>
                <w:sz w:val="18"/>
                <w:szCs w:val="18"/>
              </w:rPr>
              <w:t xml:space="preserve">Indicator: </w:t>
            </w:r>
          </w:p>
          <w:p w14:paraId="32373554" w14:textId="68C72885" w:rsidR="00FD1865" w:rsidRPr="00103EA9" w:rsidRDefault="00D17767" w:rsidP="00013410">
            <w:pPr>
              <w:rPr>
                <w:bCs/>
                <w:sz w:val="18"/>
                <w:szCs w:val="18"/>
              </w:rPr>
            </w:pPr>
            <w:r w:rsidRPr="00103EA9">
              <w:rPr>
                <w:bCs/>
                <w:sz w:val="18"/>
                <w:szCs w:val="18"/>
              </w:rPr>
              <w:t>Unemployment rate, by sex, age and persons with disabilities (SDG indicator 8.5.2</w:t>
            </w:r>
            <w:r w:rsidR="00DC410C">
              <w:rPr>
                <w:bCs/>
                <w:sz w:val="18"/>
                <w:szCs w:val="18"/>
              </w:rPr>
              <w:t>.</w:t>
            </w:r>
            <w:r w:rsidRPr="00103EA9">
              <w:rPr>
                <w:bCs/>
                <w:sz w:val="18"/>
                <w:szCs w:val="18"/>
              </w:rPr>
              <w:t>).</w:t>
            </w:r>
          </w:p>
          <w:p w14:paraId="41C97922" w14:textId="77777777" w:rsidR="004D30EE" w:rsidRPr="00103EA9" w:rsidRDefault="004D30EE" w:rsidP="00013410">
            <w:pPr>
              <w:rPr>
                <w:sz w:val="18"/>
                <w:szCs w:val="18"/>
              </w:rPr>
            </w:pPr>
          </w:p>
          <w:p w14:paraId="21ABCBB4" w14:textId="4EEBA944" w:rsidR="00013410" w:rsidRPr="00103EA9" w:rsidRDefault="00013410" w:rsidP="00013410">
            <w:pPr>
              <w:rPr>
                <w:b/>
                <w:sz w:val="18"/>
                <w:szCs w:val="18"/>
              </w:rPr>
            </w:pPr>
            <w:r w:rsidRPr="00103EA9">
              <w:rPr>
                <w:b/>
                <w:sz w:val="18"/>
                <w:szCs w:val="18"/>
              </w:rPr>
              <w:t xml:space="preserve">Baseline: </w:t>
            </w:r>
            <w:r w:rsidR="007358C1" w:rsidRPr="00103EA9">
              <w:rPr>
                <w:bCs/>
                <w:color w:val="000000"/>
                <w:sz w:val="18"/>
                <w:szCs w:val="18"/>
              </w:rPr>
              <w:t>TBD</w:t>
            </w:r>
          </w:p>
          <w:p w14:paraId="17FA7D24" w14:textId="6938E89D" w:rsidR="00013410" w:rsidRPr="00103EA9" w:rsidRDefault="00013410" w:rsidP="00013410">
            <w:pPr>
              <w:rPr>
                <w:b/>
                <w:sz w:val="18"/>
                <w:szCs w:val="18"/>
              </w:rPr>
            </w:pPr>
            <w:r w:rsidRPr="00103EA9">
              <w:rPr>
                <w:b/>
                <w:sz w:val="18"/>
                <w:szCs w:val="18"/>
              </w:rPr>
              <w:t xml:space="preserve">Target: </w:t>
            </w:r>
            <w:r w:rsidR="007358C1" w:rsidRPr="00103EA9">
              <w:rPr>
                <w:bCs/>
                <w:color w:val="000000"/>
                <w:sz w:val="18"/>
                <w:szCs w:val="18"/>
              </w:rPr>
              <w:t>TBD</w:t>
            </w:r>
          </w:p>
          <w:p w14:paraId="57CE6BC5" w14:textId="77777777" w:rsidR="00FD1865" w:rsidRPr="00103EA9" w:rsidRDefault="00FD1865" w:rsidP="00836B6F">
            <w:pPr>
              <w:rPr>
                <w:b/>
                <w:sz w:val="18"/>
                <w:szCs w:val="18"/>
              </w:rPr>
            </w:pPr>
          </w:p>
          <w:p w14:paraId="0BD52657" w14:textId="25093F02" w:rsidR="00772DE3" w:rsidRPr="00103EA9" w:rsidRDefault="00772DE3" w:rsidP="00836B6F">
            <w:pPr>
              <w:rPr>
                <w:b/>
                <w:sz w:val="18"/>
                <w:szCs w:val="18"/>
              </w:rPr>
            </w:pPr>
            <w:r w:rsidRPr="00103EA9">
              <w:rPr>
                <w:b/>
                <w:sz w:val="18"/>
                <w:szCs w:val="18"/>
              </w:rPr>
              <w:t xml:space="preserve">Indicator: </w:t>
            </w:r>
          </w:p>
          <w:p w14:paraId="0B2C7E92" w14:textId="656B67C1" w:rsidR="00772DE3" w:rsidRPr="00103EA9" w:rsidRDefault="00772DE3" w:rsidP="00836B6F">
            <w:pPr>
              <w:rPr>
                <w:bCs/>
                <w:sz w:val="18"/>
                <w:szCs w:val="18"/>
              </w:rPr>
            </w:pPr>
            <w:r w:rsidRPr="00103EA9">
              <w:rPr>
                <w:bCs/>
                <w:sz w:val="18"/>
                <w:szCs w:val="18"/>
              </w:rPr>
              <w:lastRenderedPageBreak/>
              <w:t xml:space="preserve">Reduction in national emissions of carbon dioxide compared to the </w:t>
            </w:r>
            <w:r w:rsidR="00DC410C">
              <w:rPr>
                <w:bCs/>
                <w:sz w:val="18"/>
                <w:szCs w:val="18"/>
              </w:rPr>
              <w:t>“b</w:t>
            </w:r>
            <w:r w:rsidRPr="00103EA9">
              <w:rPr>
                <w:bCs/>
                <w:sz w:val="18"/>
                <w:szCs w:val="18"/>
              </w:rPr>
              <w:t xml:space="preserve">usiness as </w:t>
            </w:r>
            <w:r w:rsidR="00DC410C">
              <w:rPr>
                <w:bCs/>
                <w:sz w:val="18"/>
                <w:szCs w:val="18"/>
              </w:rPr>
              <w:t>u</w:t>
            </w:r>
            <w:r w:rsidRPr="00103EA9">
              <w:rPr>
                <w:bCs/>
                <w:sz w:val="18"/>
                <w:szCs w:val="18"/>
              </w:rPr>
              <w:t>sual</w:t>
            </w:r>
            <w:r w:rsidR="00DC410C">
              <w:rPr>
                <w:bCs/>
                <w:sz w:val="18"/>
                <w:szCs w:val="18"/>
              </w:rPr>
              <w:t>”</w:t>
            </w:r>
            <w:r w:rsidRPr="00103EA9">
              <w:rPr>
                <w:bCs/>
                <w:sz w:val="18"/>
                <w:szCs w:val="18"/>
              </w:rPr>
              <w:t xml:space="preserve"> scenario</w:t>
            </w:r>
            <w:r w:rsidR="00DC410C">
              <w:rPr>
                <w:bCs/>
                <w:sz w:val="18"/>
                <w:szCs w:val="18"/>
              </w:rPr>
              <w:t>.</w:t>
            </w:r>
          </w:p>
          <w:p w14:paraId="45006BE6" w14:textId="77777777" w:rsidR="00772DE3" w:rsidRPr="00103EA9" w:rsidRDefault="00772DE3" w:rsidP="00836B6F">
            <w:pPr>
              <w:rPr>
                <w:bCs/>
                <w:sz w:val="18"/>
                <w:szCs w:val="18"/>
              </w:rPr>
            </w:pPr>
          </w:p>
          <w:p w14:paraId="3C382D9F" w14:textId="77777777" w:rsidR="00772DE3" w:rsidRPr="00103EA9" w:rsidRDefault="00772DE3" w:rsidP="00836B6F">
            <w:pPr>
              <w:rPr>
                <w:b/>
                <w:sz w:val="18"/>
                <w:szCs w:val="18"/>
              </w:rPr>
            </w:pPr>
            <w:r w:rsidRPr="00103EA9">
              <w:rPr>
                <w:b/>
                <w:sz w:val="18"/>
                <w:szCs w:val="18"/>
              </w:rPr>
              <w:t xml:space="preserve">Baseline: </w:t>
            </w:r>
          </w:p>
          <w:p w14:paraId="523B0926" w14:textId="647832D3" w:rsidR="00772DE3" w:rsidRPr="00103EA9" w:rsidRDefault="00772DE3" w:rsidP="00836B6F">
            <w:pPr>
              <w:rPr>
                <w:bCs/>
                <w:sz w:val="18"/>
                <w:szCs w:val="18"/>
              </w:rPr>
            </w:pPr>
            <w:r w:rsidRPr="00103EA9">
              <w:rPr>
                <w:bCs/>
                <w:sz w:val="18"/>
                <w:szCs w:val="18"/>
              </w:rPr>
              <w:t>46.69 MtCO2e</w:t>
            </w:r>
            <w:r w:rsidR="00BB0EB7">
              <w:rPr>
                <w:rStyle w:val="FootnoteReference"/>
                <w:bCs/>
                <w:sz w:val="18"/>
                <w:szCs w:val="18"/>
              </w:rPr>
              <w:footnoteReference w:id="10"/>
            </w:r>
            <w:r w:rsidRPr="00103EA9">
              <w:rPr>
                <w:bCs/>
                <w:sz w:val="18"/>
                <w:szCs w:val="18"/>
              </w:rPr>
              <w:t xml:space="preserve"> (2019)</w:t>
            </w:r>
          </w:p>
          <w:p w14:paraId="0E4C7E13" w14:textId="77777777" w:rsidR="00772DE3" w:rsidRPr="00103EA9" w:rsidRDefault="00772DE3" w:rsidP="00836B6F">
            <w:pPr>
              <w:rPr>
                <w:b/>
                <w:sz w:val="18"/>
                <w:szCs w:val="18"/>
              </w:rPr>
            </w:pPr>
            <w:r w:rsidRPr="00103EA9">
              <w:rPr>
                <w:b/>
                <w:sz w:val="18"/>
                <w:szCs w:val="18"/>
              </w:rPr>
              <w:t xml:space="preserve">Target: </w:t>
            </w:r>
          </w:p>
          <w:p w14:paraId="278D5381" w14:textId="7242AF14" w:rsidR="00772DE3" w:rsidRPr="00103EA9" w:rsidRDefault="00772DE3" w:rsidP="00836B6F">
            <w:pPr>
              <w:rPr>
                <w:bCs/>
                <w:sz w:val="18"/>
                <w:szCs w:val="18"/>
              </w:rPr>
            </w:pPr>
            <w:r w:rsidRPr="00103EA9">
              <w:rPr>
                <w:bCs/>
                <w:sz w:val="18"/>
                <w:szCs w:val="18"/>
              </w:rPr>
              <w:t>59.79 MtCO2e (2025)</w:t>
            </w:r>
          </w:p>
          <w:p w14:paraId="0B1B0C66" w14:textId="77777777" w:rsidR="00772DE3" w:rsidRPr="00103EA9" w:rsidRDefault="00772DE3" w:rsidP="00836B6F">
            <w:pPr>
              <w:rPr>
                <w:bCs/>
                <w:sz w:val="18"/>
                <w:szCs w:val="18"/>
                <w:u w:val="single"/>
              </w:rPr>
            </w:pPr>
          </w:p>
          <w:p w14:paraId="47665EB7" w14:textId="77777777" w:rsidR="00772DE3" w:rsidRPr="00103EA9" w:rsidRDefault="00772DE3" w:rsidP="00C64533">
            <w:pPr>
              <w:rPr>
                <w:b/>
                <w:color w:val="000000"/>
                <w:sz w:val="18"/>
                <w:szCs w:val="18"/>
              </w:rPr>
            </w:pPr>
            <w:r w:rsidRPr="00103EA9">
              <w:rPr>
                <w:b/>
                <w:color w:val="000000"/>
                <w:sz w:val="18"/>
                <w:szCs w:val="18"/>
              </w:rPr>
              <w:t xml:space="preserve">Indicator: </w:t>
            </w:r>
          </w:p>
          <w:p w14:paraId="3D4C6221" w14:textId="77777777" w:rsidR="00772DE3" w:rsidRPr="00103EA9" w:rsidRDefault="00772DE3" w:rsidP="00C64533">
            <w:pPr>
              <w:rPr>
                <w:bCs/>
                <w:color w:val="000000"/>
                <w:sz w:val="18"/>
                <w:szCs w:val="18"/>
              </w:rPr>
            </w:pPr>
            <w:r w:rsidRPr="00103EA9">
              <w:rPr>
                <w:color w:val="000000"/>
                <w:sz w:val="18"/>
                <w:szCs w:val="18"/>
              </w:rPr>
              <w:t>Proportion of land degraded over total land area</w:t>
            </w:r>
          </w:p>
          <w:p w14:paraId="365D690D" w14:textId="77777777" w:rsidR="00772DE3" w:rsidRPr="00103EA9" w:rsidRDefault="00772DE3" w:rsidP="00C64533">
            <w:pPr>
              <w:rPr>
                <w:bCs/>
                <w:color w:val="000000"/>
                <w:sz w:val="18"/>
                <w:szCs w:val="18"/>
              </w:rPr>
            </w:pPr>
          </w:p>
          <w:p w14:paraId="3893E221" w14:textId="77777777" w:rsidR="00772DE3" w:rsidRPr="00103EA9" w:rsidRDefault="00772DE3" w:rsidP="00C64533">
            <w:pPr>
              <w:rPr>
                <w:bCs/>
                <w:color w:val="000000"/>
                <w:sz w:val="18"/>
                <w:szCs w:val="18"/>
              </w:rPr>
            </w:pPr>
            <w:r w:rsidRPr="00103EA9">
              <w:rPr>
                <w:b/>
                <w:color w:val="000000"/>
                <w:sz w:val="18"/>
                <w:szCs w:val="18"/>
              </w:rPr>
              <w:t>Baseline:</w:t>
            </w:r>
            <w:r w:rsidRPr="00103EA9">
              <w:rPr>
                <w:bCs/>
                <w:color w:val="000000"/>
                <w:sz w:val="18"/>
                <w:szCs w:val="18"/>
              </w:rPr>
              <w:t xml:space="preserve"> </w:t>
            </w:r>
            <w:r w:rsidRPr="00103EA9">
              <w:rPr>
                <w:color w:val="000000"/>
                <w:sz w:val="18"/>
                <w:szCs w:val="18"/>
              </w:rPr>
              <w:t>7,963,900 ha (2020)</w:t>
            </w:r>
          </w:p>
          <w:p w14:paraId="455EFF28" w14:textId="55ACE875" w:rsidR="00772DE3" w:rsidRPr="00103EA9" w:rsidRDefault="00772DE3" w:rsidP="00ED0615">
            <w:pPr>
              <w:rPr>
                <w:bCs/>
                <w:color w:val="000000"/>
                <w:sz w:val="18"/>
                <w:szCs w:val="18"/>
              </w:rPr>
            </w:pPr>
            <w:r w:rsidRPr="00103EA9">
              <w:rPr>
                <w:b/>
                <w:color w:val="000000"/>
                <w:sz w:val="18"/>
                <w:szCs w:val="18"/>
              </w:rPr>
              <w:t>Target:</w:t>
            </w:r>
            <w:r w:rsidRPr="00103EA9">
              <w:rPr>
                <w:bCs/>
                <w:color w:val="000000"/>
                <w:sz w:val="18"/>
                <w:szCs w:val="18"/>
              </w:rPr>
              <w:t xml:space="preserve"> </w:t>
            </w:r>
            <w:r w:rsidRPr="00103EA9">
              <w:rPr>
                <w:color w:val="000000"/>
                <w:sz w:val="18"/>
                <w:szCs w:val="18"/>
              </w:rPr>
              <w:t>3,706,950 (2025)</w:t>
            </w:r>
          </w:p>
        </w:tc>
        <w:tc>
          <w:tcPr>
            <w:tcW w:w="2598" w:type="dxa"/>
            <w:vMerge w:val="restart"/>
          </w:tcPr>
          <w:p w14:paraId="262F5CA8" w14:textId="77777777" w:rsidR="00772DE3" w:rsidRPr="00103EA9" w:rsidRDefault="00772DE3" w:rsidP="00836B6F">
            <w:pPr>
              <w:rPr>
                <w:b/>
                <w:bCs/>
                <w:sz w:val="18"/>
                <w:szCs w:val="18"/>
              </w:rPr>
            </w:pPr>
            <w:r w:rsidRPr="00103EA9">
              <w:rPr>
                <w:b/>
                <w:bCs/>
                <w:sz w:val="18"/>
                <w:szCs w:val="18"/>
              </w:rPr>
              <w:lastRenderedPageBreak/>
              <w:t xml:space="preserve">Data Source: </w:t>
            </w:r>
          </w:p>
          <w:p w14:paraId="42EB2313" w14:textId="034377B9" w:rsidR="00772DE3" w:rsidRPr="00103EA9" w:rsidRDefault="00772DE3" w:rsidP="00836B6F">
            <w:pPr>
              <w:rPr>
                <w:sz w:val="18"/>
                <w:szCs w:val="18"/>
              </w:rPr>
            </w:pPr>
            <w:r w:rsidRPr="00103EA9">
              <w:rPr>
                <w:sz w:val="18"/>
                <w:szCs w:val="18"/>
              </w:rPr>
              <w:t xml:space="preserve">Multi-dimensional child index in Ghana </w:t>
            </w:r>
            <w:r w:rsidR="00DC410C">
              <w:rPr>
                <w:sz w:val="18"/>
                <w:szCs w:val="18"/>
              </w:rPr>
              <w:t>and</w:t>
            </w:r>
            <w:r w:rsidRPr="00103EA9">
              <w:rPr>
                <w:sz w:val="18"/>
                <w:szCs w:val="18"/>
              </w:rPr>
              <w:t xml:space="preserve"> Multi-dimensional Poverty Index, Ghana</w:t>
            </w:r>
          </w:p>
          <w:p w14:paraId="31EF72D7" w14:textId="77777777" w:rsidR="00772DE3" w:rsidRPr="00103EA9" w:rsidRDefault="00772DE3" w:rsidP="00836B6F">
            <w:pPr>
              <w:rPr>
                <w:sz w:val="18"/>
                <w:szCs w:val="18"/>
              </w:rPr>
            </w:pPr>
          </w:p>
          <w:p w14:paraId="51AD6B3D" w14:textId="4E54A596" w:rsidR="00772DE3" w:rsidRPr="00103EA9" w:rsidRDefault="00772DE3" w:rsidP="00836B6F">
            <w:pPr>
              <w:rPr>
                <w:sz w:val="18"/>
                <w:szCs w:val="18"/>
              </w:rPr>
            </w:pPr>
            <w:r w:rsidRPr="00103EA9">
              <w:rPr>
                <w:b/>
                <w:bCs/>
                <w:sz w:val="18"/>
                <w:szCs w:val="18"/>
              </w:rPr>
              <w:t xml:space="preserve">Frequency: </w:t>
            </w:r>
            <w:r w:rsidRPr="00103EA9">
              <w:rPr>
                <w:sz w:val="18"/>
                <w:szCs w:val="18"/>
              </w:rPr>
              <w:t xml:space="preserve">Every </w:t>
            </w:r>
            <w:r w:rsidR="00DC410C">
              <w:rPr>
                <w:sz w:val="18"/>
                <w:szCs w:val="18"/>
              </w:rPr>
              <w:t>four</w:t>
            </w:r>
            <w:r w:rsidRPr="00103EA9">
              <w:rPr>
                <w:sz w:val="18"/>
                <w:szCs w:val="18"/>
              </w:rPr>
              <w:t xml:space="preserve"> years</w:t>
            </w:r>
          </w:p>
          <w:p w14:paraId="00260FC2" w14:textId="77777777" w:rsidR="00772DE3" w:rsidRPr="00103EA9" w:rsidRDefault="00772DE3" w:rsidP="00836B6F">
            <w:pPr>
              <w:rPr>
                <w:b/>
                <w:bCs/>
                <w:sz w:val="18"/>
                <w:szCs w:val="18"/>
              </w:rPr>
            </w:pPr>
          </w:p>
          <w:p w14:paraId="3E56A061" w14:textId="7FB5AAF2" w:rsidR="00772DE3" w:rsidRPr="00103EA9" w:rsidRDefault="00772DE3" w:rsidP="00836B6F">
            <w:pPr>
              <w:rPr>
                <w:sz w:val="18"/>
                <w:szCs w:val="18"/>
              </w:rPr>
            </w:pPr>
            <w:r w:rsidRPr="00103EA9">
              <w:rPr>
                <w:b/>
                <w:bCs/>
                <w:sz w:val="18"/>
                <w:szCs w:val="18"/>
              </w:rPr>
              <w:t xml:space="preserve">Responsible: </w:t>
            </w:r>
            <w:r w:rsidR="008C7AC7">
              <w:rPr>
                <w:sz w:val="18"/>
                <w:szCs w:val="18"/>
              </w:rPr>
              <w:t>GSS</w:t>
            </w:r>
          </w:p>
          <w:p w14:paraId="1C538D32" w14:textId="77777777" w:rsidR="00772DE3" w:rsidRPr="00103EA9" w:rsidRDefault="00772DE3" w:rsidP="00C64533">
            <w:pPr>
              <w:rPr>
                <w:sz w:val="18"/>
                <w:szCs w:val="18"/>
              </w:rPr>
            </w:pPr>
          </w:p>
          <w:p w14:paraId="4C5C767A" w14:textId="77777777" w:rsidR="00772DE3" w:rsidRPr="00103EA9" w:rsidRDefault="00772DE3" w:rsidP="00C64533">
            <w:pPr>
              <w:rPr>
                <w:sz w:val="18"/>
                <w:szCs w:val="18"/>
              </w:rPr>
            </w:pPr>
          </w:p>
          <w:p w14:paraId="123A12D2" w14:textId="77777777" w:rsidR="00772DE3" w:rsidRPr="00103EA9" w:rsidRDefault="00772DE3" w:rsidP="00C64533">
            <w:pPr>
              <w:rPr>
                <w:sz w:val="18"/>
                <w:szCs w:val="18"/>
              </w:rPr>
            </w:pPr>
          </w:p>
          <w:p w14:paraId="58F0B65D" w14:textId="77777777" w:rsidR="00772DE3" w:rsidRPr="00103EA9" w:rsidRDefault="00772DE3" w:rsidP="00C64533">
            <w:pPr>
              <w:rPr>
                <w:sz w:val="18"/>
                <w:szCs w:val="18"/>
              </w:rPr>
            </w:pPr>
          </w:p>
          <w:p w14:paraId="2590F0D8" w14:textId="77777777" w:rsidR="00772DE3" w:rsidRPr="00103EA9" w:rsidRDefault="00772DE3" w:rsidP="00C64533">
            <w:pPr>
              <w:rPr>
                <w:sz w:val="18"/>
                <w:szCs w:val="18"/>
              </w:rPr>
            </w:pPr>
          </w:p>
          <w:p w14:paraId="447446E4" w14:textId="77777777" w:rsidR="00772DE3" w:rsidRPr="00103EA9" w:rsidRDefault="00772DE3" w:rsidP="00C64533">
            <w:pPr>
              <w:rPr>
                <w:sz w:val="18"/>
                <w:szCs w:val="18"/>
              </w:rPr>
            </w:pPr>
          </w:p>
          <w:p w14:paraId="3BD06A0D" w14:textId="77777777" w:rsidR="00772DE3" w:rsidRPr="00103EA9" w:rsidRDefault="00772DE3" w:rsidP="00C64533">
            <w:pPr>
              <w:rPr>
                <w:sz w:val="18"/>
                <w:szCs w:val="18"/>
              </w:rPr>
            </w:pPr>
          </w:p>
          <w:p w14:paraId="45814AAA" w14:textId="77777777" w:rsidR="00772DE3" w:rsidRPr="00103EA9" w:rsidRDefault="00772DE3" w:rsidP="00C64533">
            <w:pPr>
              <w:rPr>
                <w:sz w:val="18"/>
                <w:szCs w:val="18"/>
              </w:rPr>
            </w:pPr>
          </w:p>
          <w:p w14:paraId="0C1A42B6" w14:textId="77777777" w:rsidR="00772DE3" w:rsidRPr="00103EA9" w:rsidRDefault="00772DE3" w:rsidP="00C64533">
            <w:pPr>
              <w:rPr>
                <w:sz w:val="18"/>
                <w:szCs w:val="18"/>
              </w:rPr>
            </w:pPr>
          </w:p>
          <w:p w14:paraId="6CDDD92E" w14:textId="77777777" w:rsidR="00772DE3" w:rsidRPr="00103EA9" w:rsidRDefault="00772DE3" w:rsidP="00C64533">
            <w:pPr>
              <w:rPr>
                <w:sz w:val="18"/>
                <w:szCs w:val="18"/>
              </w:rPr>
            </w:pPr>
          </w:p>
          <w:p w14:paraId="38D63109" w14:textId="77777777" w:rsidR="00772DE3" w:rsidRPr="00103EA9" w:rsidRDefault="00772DE3" w:rsidP="00C64533">
            <w:pPr>
              <w:rPr>
                <w:b/>
                <w:bCs/>
                <w:color w:val="000000"/>
                <w:sz w:val="18"/>
                <w:szCs w:val="18"/>
              </w:rPr>
            </w:pPr>
          </w:p>
          <w:p w14:paraId="0C23F6E5" w14:textId="77777777" w:rsidR="00772DE3" w:rsidRPr="00103EA9" w:rsidRDefault="00772DE3" w:rsidP="00C64533">
            <w:pPr>
              <w:rPr>
                <w:b/>
                <w:bCs/>
                <w:color w:val="000000"/>
                <w:sz w:val="18"/>
                <w:szCs w:val="18"/>
              </w:rPr>
            </w:pPr>
          </w:p>
          <w:p w14:paraId="5AC373C0" w14:textId="77777777" w:rsidR="00772DE3" w:rsidRPr="00103EA9" w:rsidRDefault="00772DE3" w:rsidP="00C64533">
            <w:pPr>
              <w:rPr>
                <w:b/>
                <w:bCs/>
                <w:color w:val="000000"/>
                <w:sz w:val="18"/>
                <w:szCs w:val="18"/>
              </w:rPr>
            </w:pPr>
          </w:p>
          <w:p w14:paraId="173C6E4F" w14:textId="77777777" w:rsidR="00772DE3" w:rsidRPr="00103EA9" w:rsidRDefault="00772DE3" w:rsidP="00C64533">
            <w:pPr>
              <w:rPr>
                <w:b/>
                <w:bCs/>
                <w:color w:val="000000"/>
                <w:sz w:val="18"/>
                <w:szCs w:val="18"/>
              </w:rPr>
            </w:pPr>
          </w:p>
          <w:p w14:paraId="04609336" w14:textId="77777777" w:rsidR="00772DE3" w:rsidRPr="00103EA9" w:rsidRDefault="00772DE3" w:rsidP="00C64533">
            <w:pPr>
              <w:rPr>
                <w:b/>
                <w:bCs/>
                <w:color w:val="000000"/>
                <w:sz w:val="18"/>
                <w:szCs w:val="18"/>
              </w:rPr>
            </w:pPr>
          </w:p>
          <w:p w14:paraId="693B2BED" w14:textId="32A196FA" w:rsidR="003F39B2" w:rsidRPr="00103EA9" w:rsidRDefault="004D30EE" w:rsidP="003F39B2">
            <w:pPr>
              <w:rPr>
                <w:b/>
                <w:sz w:val="18"/>
                <w:szCs w:val="18"/>
              </w:rPr>
            </w:pPr>
            <w:r w:rsidRPr="00103EA9">
              <w:rPr>
                <w:b/>
                <w:bCs/>
                <w:sz w:val="18"/>
                <w:szCs w:val="18"/>
              </w:rPr>
              <w:t>Data Source</w:t>
            </w:r>
            <w:r w:rsidRPr="00103EA9">
              <w:rPr>
                <w:sz w:val="18"/>
                <w:szCs w:val="18"/>
              </w:rPr>
              <w:t xml:space="preserve">: </w:t>
            </w:r>
            <w:r w:rsidR="00DC410C">
              <w:rPr>
                <w:sz w:val="18"/>
                <w:szCs w:val="18"/>
              </w:rPr>
              <w:t>to be determined (</w:t>
            </w:r>
            <w:r w:rsidR="003F39B2" w:rsidRPr="00103EA9">
              <w:rPr>
                <w:bCs/>
                <w:color w:val="000000"/>
                <w:sz w:val="18"/>
                <w:szCs w:val="18"/>
              </w:rPr>
              <w:t>TBD</w:t>
            </w:r>
            <w:r w:rsidR="00DC410C">
              <w:rPr>
                <w:bCs/>
                <w:color w:val="000000"/>
                <w:sz w:val="18"/>
                <w:szCs w:val="18"/>
              </w:rPr>
              <w:t>)</w:t>
            </w:r>
          </w:p>
          <w:p w14:paraId="6B29F83D" w14:textId="1E110E2C" w:rsidR="004D30EE" w:rsidRPr="00103EA9" w:rsidRDefault="004D30EE" w:rsidP="004D30EE">
            <w:pPr>
              <w:rPr>
                <w:sz w:val="18"/>
                <w:szCs w:val="18"/>
              </w:rPr>
            </w:pPr>
          </w:p>
          <w:p w14:paraId="07FC2F2D" w14:textId="77777777" w:rsidR="00772DE3" w:rsidRPr="00103EA9" w:rsidRDefault="00772DE3" w:rsidP="00C64533">
            <w:pPr>
              <w:rPr>
                <w:b/>
                <w:bCs/>
                <w:color w:val="000000"/>
                <w:sz w:val="18"/>
                <w:szCs w:val="18"/>
              </w:rPr>
            </w:pPr>
          </w:p>
          <w:p w14:paraId="0F59771E" w14:textId="77777777" w:rsidR="003F39B2" w:rsidRPr="00103EA9" w:rsidRDefault="004D30EE" w:rsidP="003F39B2">
            <w:pPr>
              <w:rPr>
                <w:b/>
                <w:sz w:val="18"/>
                <w:szCs w:val="18"/>
              </w:rPr>
            </w:pPr>
            <w:r w:rsidRPr="00103EA9">
              <w:rPr>
                <w:b/>
                <w:bCs/>
                <w:sz w:val="18"/>
                <w:szCs w:val="18"/>
              </w:rPr>
              <w:t>Frequency</w:t>
            </w:r>
            <w:r w:rsidRPr="00103EA9">
              <w:rPr>
                <w:sz w:val="18"/>
                <w:szCs w:val="18"/>
              </w:rPr>
              <w:t xml:space="preserve">: </w:t>
            </w:r>
            <w:r w:rsidR="003F39B2" w:rsidRPr="00103EA9">
              <w:rPr>
                <w:bCs/>
                <w:color w:val="000000"/>
                <w:sz w:val="18"/>
                <w:szCs w:val="18"/>
              </w:rPr>
              <w:t>TBD</w:t>
            </w:r>
          </w:p>
          <w:p w14:paraId="43B8C29B" w14:textId="763B7829" w:rsidR="004D30EE" w:rsidRPr="00103EA9" w:rsidRDefault="004D30EE" w:rsidP="004D30EE">
            <w:pPr>
              <w:rPr>
                <w:sz w:val="18"/>
                <w:szCs w:val="18"/>
              </w:rPr>
            </w:pPr>
          </w:p>
          <w:p w14:paraId="220E9B1D" w14:textId="77777777" w:rsidR="004D30EE" w:rsidRPr="00103EA9" w:rsidRDefault="004D30EE" w:rsidP="004D30EE">
            <w:pPr>
              <w:rPr>
                <w:sz w:val="18"/>
                <w:szCs w:val="18"/>
              </w:rPr>
            </w:pPr>
          </w:p>
          <w:p w14:paraId="627DBAEC" w14:textId="77777777" w:rsidR="003F39B2" w:rsidRPr="00103EA9" w:rsidRDefault="004D30EE" w:rsidP="003F39B2">
            <w:pPr>
              <w:rPr>
                <w:b/>
                <w:sz w:val="18"/>
                <w:szCs w:val="18"/>
              </w:rPr>
            </w:pPr>
            <w:r w:rsidRPr="00103EA9">
              <w:rPr>
                <w:b/>
                <w:bCs/>
                <w:sz w:val="18"/>
                <w:szCs w:val="18"/>
              </w:rPr>
              <w:lastRenderedPageBreak/>
              <w:t>Responsibility</w:t>
            </w:r>
            <w:r w:rsidRPr="00103EA9">
              <w:rPr>
                <w:sz w:val="18"/>
                <w:szCs w:val="18"/>
              </w:rPr>
              <w:t xml:space="preserve">: </w:t>
            </w:r>
            <w:r w:rsidR="003F39B2" w:rsidRPr="00103EA9">
              <w:rPr>
                <w:bCs/>
                <w:color w:val="000000"/>
                <w:sz w:val="18"/>
                <w:szCs w:val="18"/>
              </w:rPr>
              <w:t>TBD</w:t>
            </w:r>
          </w:p>
          <w:p w14:paraId="412FAD49" w14:textId="5D17ADB2" w:rsidR="00772DE3" w:rsidRPr="00103EA9" w:rsidRDefault="00772DE3" w:rsidP="00C64533">
            <w:pPr>
              <w:rPr>
                <w:b/>
                <w:bCs/>
                <w:color w:val="000000"/>
                <w:sz w:val="18"/>
                <w:szCs w:val="18"/>
              </w:rPr>
            </w:pPr>
          </w:p>
          <w:p w14:paraId="7186695C" w14:textId="77777777" w:rsidR="00772DE3" w:rsidRPr="00103EA9" w:rsidRDefault="00772DE3" w:rsidP="00C64533">
            <w:pPr>
              <w:rPr>
                <w:b/>
                <w:bCs/>
                <w:sz w:val="18"/>
                <w:szCs w:val="18"/>
              </w:rPr>
            </w:pPr>
          </w:p>
          <w:p w14:paraId="4C9AA5ED" w14:textId="015DC0B8" w:rsidR="00772DE3" w:rsidRPr="00103EA9" w:rsidRDefault="00772DE3" w:rsidP="00836B6F">
            <w:pPr>
              <w:rPr>
                <w:sz w:val="18"/>
                <w:szCs w:val="18"/>
              </w:rPr>
            </w:pPr>
            <w:r w:rsidRPr="00103EA9">
              <w:rPr>
                <w:b/>
                <w:bCs/>
                <w:sz w:val="18"/>
                <w:szCs w:val="18"/>
              </w:rPr>
              <w:t>Data Source</w:t>
            </w:r>
            <w:r w:rsidRPr="00103EA9">
              <w:rPr>
                <w:sz w:val="18"/>
                <w:szCs w:val="18"/>
              </w:rPr>
              <w:t xml:space="preserve">: </w:t>
            </w:r>
          </w:p>
          <w:p w14:paraId="63DC59E0" w14:textId="07568767" w:rsidR="00772DE3" w:rsidRPr="00103EA9" w:rsidRDefault="00772DE3" w:rsidP="00836B6F">
            <w:pPr>
              <w:rPr>
                <w:sz w:val="18"/>
                <w:szCs w:val="18"/>
              </w:rPr>
            </w:pPr>
            <w:r w:rsidRPr="00103EA9">
              <w:rPr>
                <w:rFonts w:eastAsia="Calibri"/>
                <w:sz w:val="18"/>
                <w:szCs w:val="18"/>
              </w:rPr>
              <w:t xml:space="preserve">Ghana’s Communications and Biennial Update </w:t>
            </w:r>
            <w:r w:rsidR="00F85D2B">
              <w:rPr>
                <w:rFonts w:eastAsia="Calibri"/>
                <w:sz w:val="18"/>
                <w:szCs w:val="18"/>
              </w:rPr>
              <w:t>r</w:t>
            </w:r>
            <w:r w:rsidRPr="00103EA9">
              <w:rPr>
                <w:rFonts w:eastAsia="Calibri"/>
                <w:sz w:val="18"/>
                <w:szCs w:val="18"/>
              </w:rPr>
              <w:t xml:space="preserve">eports to </w:t>
            </w:r>
            <w:r w:rsidR="005238AE">
              <w:rPr>
                <w:rFonts w:eastAsia="Calibri"/>
                <w:sz w:val="18"/>
                <w:szCs w:val="18"/>
              </w:rPr>
              <w:t>t</w:t>
            </w:r>
            <w:r w:rsidR="00BB0EB7">
              <w:rPr>
                <w:rFonts w:eastAsia="Calibri"/>
                <w:sz w:val="18"/>
                <w:szCs w:val="18"/>
              </w:rPr>
              <w:t xml:space="preserve">he </w:t>
            </w:r>
            <w:r w:rsidR="00BB0EB7" w:rsidRPr="00BB0EB7">
              <w:rPr>
                <w:rFonts w:eastAsia="Calibri"/>
                <w:sz w:val="18"/>
                <w:szCs w:val="18"/>
              </w:rPr>
              <w:t xml:space="preserve">United Nations Framework Convention on Climate Change </w:t>
            </w:r>
            <w:r w:rsidR="005238AE">
              <w:rPr>
                <w:rFonts w:eastAsia="Calibri"/>
                <w:sz w:val="18"/>
                <w:szCs w:val="18"/>
              </w:rPr>
              <w:t>(</w:t>
            </w:r>
            <w:r w:rsidRPr="00103EA9">
              <w:rPr>
                <w:rFonts w:eastAsia="Calibri"/>
                <w:sz w:val="18"/>
                <w:szCs w:val="18"/>
              </w:rPr>
              <w:t>UNFCCC</w:t>
            </w:r>
            <w:r w:rsidR="005238AE">
              <w:rPr>
                <w:rFonts w:eastAsia="Calibri"/>
                <w:sz w:val="18"/>
                <w:szCs w:val="18"/>
              </w:rPr>
              <w:t>)</w:t>
            </w:r>
          </w:p>
          <w:p w14:paraId="1770CBFB" w14:textId="77777777" w:rsidR="00772DE3" w:rsidRPr="00103EA9" w:rsidRDefault="00772DE3" w:rsidP="00836B6F">
            <w:pPr>
              <w:rPr>
                <w:sz w:val="18"/>
                <w:szCs w:val="18"/>
              </w:rPr>
            </w:pPr>
          </w:p>
          <w:p w14:paraId="5D4E1B59" w14:textId="77777777" w:rsidR="00772DE3" w:rsidRPr="00103EA9" w:rsidRDefault="00772DE3" w:rsidP="00836B6F">
            <w:pPr>
              <w:rPr>
                <w:sz w:val="18"/>
                <w:szCs w:val="18"/>
              </w:rPr>
            </w:pPr>
            <w:r w:rsidRPr="00103EA9">
              <w:rPr>
                <w:b/>
                <w:bCs/>
                <w:sz w:val="18"/>
                <w:szCs w:val="18"/>
              </w:rPr>
              <w:t>Frequency</w:t>
            </w:r>
            <w:r w:rsidRPr="00103EA9">
              <w:rPr>
                <w:sz w:val="18"/>
                <w:szCs w:val="18"/>
              </w:rPr>
              <w:t xml:space="preserve">: </w:t>
            </w:r>
            <w:r w:rsidRPr="00103EA9">
              <w:rPr>
                <w:rFonts w:eastAsia="Calibri"/>
                <w:sz w:val="18"/>
                <w:szCs w:val="18"/>
              </w:rPr>
              <w:t>Biennial</w:t>
            </w:r>
            <w:r w:rsidRPr="00103EA9">
              <w:rPr>
                <w:sz w:val="18"/>
                <w:szCs w:val="18"/>
              </w:rPr>
              <w:t xml:space="preserve"> </w:t>
            </w:r>
          </w:p>
          <w:p w14:paraId="187C03E5" w14:textId="77777777" w:rsidR="00772DE3" w:rsidRPr="00103EA9" w:rsidRDefault="00772DE3" w:rsidP="00836B6F">
            <w:pPr>
              <w:rPr>
                <w:sz w:val="18"/>
                <w:szCs w:val="18"/>
              </w:rPr>
            </w:pPr>
          </w:p>
          <w:p w14:paraId="68AE2482" w14:textId="3A8A20F3" w:rsidR="00772DE3" w:rsidRPr="00103EA9" w:rsidRDefault="00772DE3" w:rsidP="00836B6F">
            <w:pPr>
              <w:rPr>
                <w:sz w:val="18"/>
                <w:szCs w:val="18"/>
              </w:rPr>
            </w:pPr>
            <w:r w:rsidRPr="00103EA9">
              <w:rPr>
                <w:b/>
                <w:bCs/>
                <w:sz w:val="18"/>
                <w:szCs w:val="18"/>
              </w:rPr>
              <w:t>Responsibility</w:t>
            </w:r>
            <w:r w:rsidRPr="00103EA9">
              <w:rPr>
                <w:sz w:val="18"/>
                <w:szCs w:val="18"/>
              </w:rPr>
              <w:t xml:space="preserve">: </w:t>
            </w:r>
            <w:r w:rsidR="00BB0EB7" w:rsidRPr="00BB0EB7">
              <w:rPr>
                <w:rFonts w:eastAsia="Calibri"/>
                <w:sz w:val="18"/>
                <w:szCs w:val="18"/>
              </w:rPr>
              <w:t>The Ministry of Environment, Science, Technology and Innovation (MESTI)</w:t>
            </w:r>
            <w:r w:rsidR="005238AE">
              <w:rPr>
                <w:rFonts w:eastAsia="Calibri"/>
                <w:sz w:val="18"/>
                <w:szCs w:val="18"/>
              </w:rPr>
              <w:t xml:space="preserve"> </w:t>
            </w:r>
            <w:r w:rsidR="005E4A4D">
              <w:rPr>
                <w:sz w:val="18"/>
                <w:szCs w:val="18"/>
              </w:rPr>
              <w:t>and</w:t>
            </w:r>
            <w:r w:rsidR="00BB0EB7">
              <w:rPr>
                <w:sz w:val="18"/>
                <w:szCs w:val="18"/>
              </w:rPr>
              <w:t xml:space="preserve"> Environmental Protection Agency (EPA)</w:t>
            </w:r>
          </w:p>
          <w:p w14:paraId="6BB6BE2F" w14:textId="5CAB0D01" w:rsidR="00695BC7" w:rsidRPr="00103EA9" w:rsidRDefault="00695BC7" w:rsidP="00836B6F">
            <w:pPr>
              <w:rPr>
                <w:sz w:val="18"/>
                <w:szCs w:val="18"/>
              </w:rPr>
            </w:pPr>
          </w:p>
          <w:p w14:paraId="291EC9FD" w14:textId="51968609" w:rsidR="00695BC7" w:rsidRPr="00103EA9" w:rsidRDefault="00695BC7" w:rsidP="00836B6F">
            <w:pPr>
              <w:rPr>
                <w:rFonts w:eastAsia="Calibri"/>
                <w:sz w:val="18"/>
                <w:szCs w:val="18"/>
              </w:rPr>
            </w:pPr>
          </w:p>
          <w:p w14:paraId="16A0D7F8" w14:textId="77777777" w:rsidR="005F5039" w:rsidRPr="00103EA9" w:rsidRDefault="005F5039" w:rsidP="00836B6F">
            <w:pPr>
              <w:rPr>
                <w:rFonts w:eastAsia="Calibri"/>
                <w:sz w:val="18"/>
                <w:szCs w:val="18"/>
              </w:rPr>
            </w:pPr>
          </w:p>
          <w:p w14:paraId="06F551F2" w14:textId="77777777" w:rsidR="003F39B2" w:rsidRPr="00103EA9" w:rsidRDefault="003F39B2" w:rsidP="00C64533">
            <w:pPr>
              <w:rPr>
                <w:rFonts w:eastAsia="Calibri"/>
                <w:b/>
                <w:bCs/>
                <w:sz w:val="18"/>
                <w:szCs w:val="18"/>
              </w:rPr>
            </w:pPr>
          </w:p>
          <w:p w14:paraId="7BBB7187" w14:textId="6399BB07" w:rsidR="00772DE3" w:rsidRPr="00103EA9" w:rsidRDefault="00772DE3" w:rsidP="00C64533">
            <w:pPr>
              <w:rPr>
                <w:rFonts w:eastAsia="Calibri"/>
                <w:sz w:val="18"/>
                <w:szCs w:val="18"/>
              </w:rPr>
            </w:pPr>
            <w:r w:rsidRPr="00103EA9">
              <w:rPr>
                <w:rFonts w:eastAsia="Calibri"/>
                <w:b/>
                <w:bCs/>
                <w:sz w:val="18"/>
                <w:szCs w:val="18"/>
              </w:rPr>
              <w:t xml:space="preserve">Data Source: </w:t>
            </w:r>
            <w:r w:rsidRPr="00103EA9">
              <w:rPr>
                <w:color w:val="000000"/>
                <w:sz w:val="18"/>
                <w:szCs w:val="18"/>
              </w:rPr>
              <w:t xml:space="preserve">Annual </w:t>
            </w:r>
            <w:r w:rsidRPr="00103EA9">
              <w:rPr>
                <w:rFonts w:eastAsia="Calibri"/>
                <w:sz w:val="18"/>
                <w:szCs w:val="18"/>
              </w:rPr>
              <w:t>Progress Reports</w:t>
            </w:r>
            <w:r w:rsidRPr="00103EA9">
              <w:rPr>
                <w:color w:val="000000"/>
                <w:sz w:val="18"/>
                <w:szCs w:val="18"/>
              </w:rPr>
              <w:t xml:space="preserve"> of the Ghana Forestry Commission</w:t>
            </w:r>
            <w:r w:rsidR="00D3504E">
              <w:rPr>
                <w:color w:val="000000"/>
                <w:sz w:val="18"/>
                <w:szCs w:val="18"/>
              </w:rPr>
              <w:t xml:space="preserve"> (FC)</w:t>
            </w:r>
            <w:r w:rsidRPr="00103EA9">
              <w:rPr>
                <w:color w:val="000000"/>
                <w:sz w:val="18"/>
                <w:szCs w:val="18"/>
              </w:rPr>
              <w:t>, Ghana’s Communications and Biennial Update Reports to UNFCCC</w:t>
            </w:r>
            <w:r w:rsidR="00F85D2B">
              <w:rPr>
                <w:color w:val="000000"/>
                <w:sz w:val="18"/>
                <w:szCs w:val="18"/>
              </w:rPr>
              <w:t>.</w:t>
            </w:r>
          </w:p>
          <w:p w14:paraId="60FF543B" w14:textId="77777777" w:rsidR="00772DE3" w:rsidRPr="00103EA9" w:rsidRDefault="00772DE3" w:rsidP="00C64533">
            <w:pPr>
              <w:rPr>
                <w:rFonts w:eastAsia="Calibri"/>
                <w:b/>
                <w:bCs/>
                <w:sz w:val="18"/>
                <w:szCs w:val="18"/>
              </w:rPr>
            </w:pPr>
          </w:p>
          <w:p w14:paraId="3E4F55F1" w14:textId="7E2692E2" w:rsidR="00772DE3" w:rsidRPr="00103EA9" w:rsidRDefault="00772DE3" w:rsidP="00C64533">
            <w:pPr>
              <w:rPr>
                <w:rFonts w:eastAsia="Calibri"/>
                <w:b/>
                <w:bCs/>
                <w:sz w:val="18"/>
                <w:szCs w:val="18"/>
              </w:rPr>
            </w:pPr>
            <w:r w:rsidRPr="00103EA9">
              <w:rPr>
                <w:rFonts w:eastAsia="Calibri"/>
                <w:b/>
                <w:bCs/>
                <w:sz w:val="18"/>
                <w:szCs w:val="18"/>
              </w:rPr>
              <w:t xml:space="preserve">Frequency: </w:t>
            </w:r>
            <w:r w:rsidRPr="00103EA9">
              <w:rPr>
                <w:color w:val="000000"/>
                <w:sz w:val="18"/>
                <w:szCs w:val="18"/>
              </w:rPr>
              <w:t>Annual</w:t>
            </w:r>
            <w:r w:rsidRPr="00103EA9">
              <w:rPr>
                <w:rFonts w:eastAsia="Calibri"/>
                <w:b/>
                <w:bCs/>
                <w:sz w:val="18"/>
                <w:szCs w:val="18"/>
              </w:rPr>
              <w:t>/</w:t>
            </w:r>
            <w:r w:rsidR="00F85D2B">
              <w:rPr>
                <w:rFonts w:eastAsia="Calibri"/>
                <w:sz w:val="18"/>
                <w:szCs w:val="18"/>
              </w:rPr>
              <w:t>b</w:t>
            </w:r>
            <w:r w:rsidRPr="00103EA9">
              <w:rPr>
                <w:rFonts w:eastAsia="Calibri"/>
                <w:sz w:val="18"/>
                <w:szCs w:val="18"/>
              </w:rPr>
              <w:t>iennial</w:t>
            </w:r>
          </w:p>
          <w:p w14:paraId="04A0D7B8" w14:textId="77777777" w:rsidR="00772DE3" w:rsidRPr="00103EA9" w:rsidRDefault="00772DE3" w:rsidP="00C64533">
            <w:pPr>
              <w:rPr>
                <w:rFonts w:eastAsia="Calibri"/>
                <w:b/>
                <w:bCs/>
                <w:sz w:val="18"/>
                <w:szCs w:val="18"/>
              </w:rPr>
            </w:pPr>
          </w:p>
          <w:p w14:paraId="2980672A" w14:textId="4CF0B683" w:rsidR="00772DE3" w:rsidRPr="00103EA9" w:rsidRDefault="00772DE3" w:rsidP="00C64533">
            <w:pPr>
              <w:rPr>
                <w:rFonts w:eastAsia="Calibri"/>
                <w:b/>
                <w:bCs/>
                <w:sz w:val="18"/>
                <w:szCs w:val="18"/>
              </w:rPr>
            </w:pPr>
            <w:r w:rsidRPr="00103EA9">
              <w:rPr>
                <w:rFonts w:eastAsia="Calibri"/>
                <w:b/>
                <w:bCs/>
                <w:sz w:val="18"/>
                <w:szCs w:val="18"/>
              </w:rPr>
              <w:t xml:space="preserve">Responsibility: </w:t>
            </w:r>
            <w:r w:rsidR="00D3504E">
              <w:rPr>
                <w:color w:val="000000"/>
                <w:sz w:val="18"/>
                <w:szCs w:val="18"/>
              </w:rPr>
              <w:t>FC</w:t>
            </w:r>
          </w:p>
          <w:p w14:paraId="415AC179" w14:textId="056B3F6A" w:rsidR="00772DE3" w:rsidRPr="00103EA9" w:rsidRDefault="00772DE3" w:rsidP="00ED0615">
            <w:pPr>
              <w:rPr>
                <w:b/>
                <w:bCs/>
                <w:color w:val="000000"/>
                <w:sz w:val="18"/>
                <w:szCs w:val="18"/>
              </w:rPr>
            </w:pPr>
          </w:p>
        </w:tc>
        <w:tc>
          <w:tcPr>
            <w:tcW w:w="3293" w:type="dxa"/>
            <w:tcMar>
              <w:top w:w="72" w:type="dxa"/>
              <w:left w:w="144" w:type="dxa"/>
              <w:bottom w:w="72" w:type="dxa"/>
              <w:right w:w="144" w:type="dxa"/>
            </w:tcMar>
          </w:tcPr>
          <w:p w14:paraId="51BD14E6" w14:textId="4DD3BD02" w:rsidR="00772DE3" w:rsidRPr="00103EA9" w:rsidRDefault="00772DE3" w:rsidP="00C64533">
            <w:pPr>
              <w:rPr>
                <w:color w:val="C00000"/>
                <w:sz w:val="18"/>
                <w:szCs w:val="18"/>
              </w:rPr>
            </w:pPr>
            <w:r w:rsidRPr="00103EA9">
              <w:rPr>
                <w:b/>
                <w:bCs/>
                <w:color w:val="000000" w:themeColor="text1"/>
                <w:sz w:val="18"/>
                <w:szCs w:val="18"/>
              </w:rPr>
              <w:lastRenderedPageBreak/>
              <w:t>Output 1.1</w:t>
            </w:r>
            <w:r w:rsidR="00DC410C">
              <w:rPr>
                <w:b/>
                <w:bCs/>
                <w:color w:val="000000" w:themeColor="text1"/>
                <w:sz w:val="18"/>
                <w:szCs w:val="18"/>
              </w:rPr>
              <w:t>.</w:t>
            </w:r>
            <w:r w:rsidRPr="00103EA9">
              <w:rPr>
                <w:b/>
                <w:bCs/>
                <w:color w:val="000000" w:themeColor="text1"/>
                <w:sz w:val="18"/>
                <w:szCs w:val="18"/>
              </w:rPr>
              <w:t>:</w:t>
            </w:r>
            <w:r w:rsidRPr="00103EA9">
              <w:rPr>
                <w:color w:val="000000" w:themeColor="text1"/>
                <w:sz w:val="18"/>
                <w:szCs w:val="18"/>
              </w:rPr>
              <w:t xml:space="preserve"> Enabling environment improved for enhanced productivity of youth and women led MSMEs.</w:t>
            </w:r>
          </w:p>
          <w:p w14:paraId="5DD7A281" w14:textId="77777777" w:rsidR="00772DE3" w:rsidRPr="00103EA9" w:rsidRDefault="00772DE3" w:rsidP="00C64533">
            <w:pPr>
              <w:rPr>
                <w:sz w:val="18"/>
                <w:szCs w:val="18"/>
              </w:rPr>
            </w:pPr>
            <w:r w:rsidRPr="00103EA9">
              <w:rPr>
                <w:color w:val="000000" w:themeColor="text1"/>
                <w:sz w:val="18"/>
                <w:szCs w:val="18"/>
              </w:rPr>
              <w:t xml:space="preserve"> </w:t>
            </w:r>
          </w:p>
          <w:p w14:paraId="34821EBB" w14:textId="75EDA02F" w:rsidR="00772DE3" w:rsidRPr="00103EA9" w:rsidRDefault="00772DE3" w:rsidP="00C64533">
            <w:pPr>
              <w:rPr>
                <w:color w:val="000000"/>
                <w:sz w:val="18"/>
                <w:szCs w:val="18"/>
              </w:rPr>
            </w:pPr>
            <w:r w:rsidRPr="00103EA9">
              <w:rPr>
                <w:b/>
                <w:bCs/>
                <w:color w:val="000000" w:themeColor="text1"/>
                <w:sz w:val="18"/>
                <w:szCs w:val="18"/>
              </w:rPr>
              <w:t>Indicator 1.1.1</w:t>
            </w:r>
            <w:r w:rsidR="00DC410C">
              <w:rPr>
                <w:b/>
                <w:bCs/>
                <w:color w:val="000000" w:themeColor="text1"/>
                <w:sz w:val="18"/>
                <w:szCs w:val="18"/>
              </w:rPr>
              <w:t>.</w:t>
            </w:r>
            <w:r w:rsidRPr="00103EA9">
              <w:rPr>
                <w:b/>
                <w:bCs/>
                <w:color w:val="000000" w:themeColor="text1"/>
                <w:sz w:val="18"/>
                <w:szCs w:val="18"/>
              </w:rPr>
              <w:t>:</w:t>
            </w:r>
            <w:r w:rsidRPr="00103EA9">
              <w:rPr>
                <w:color w:val="000000" w:themeColor="text1"/>
                <w:sz w:val="18"/>
                <w:szCs w:val="18"/>
              </w:rPr>
              <w:t xml:space="preserve"> Number of enabling, inclusive and gender responsive strategies and digital solutions developed and implemented to increase productivity of MSMEs.</w:t>
            </w:r>
          </w:p>
          <w:p w14:paraId="3783E20F" w14:textId="7AF76987" w:rsidR="00772DE3" w:rsidRPr="00103EA9" w:rsidRDefault="00772DE3" w:rsidP="00C64533">
            <w:pPr>
              <w:rPr>
                <w:color w:val="000000"/>
                <w:sz w:val="18"/>
                <w:szCs w:val="18"/>
              </w:rPr>
            </w:pPr>
            <w:r w:rsidRPr="00103EA9">
              <w:rPr>
                <w:b/>
                <w:bCs/>
                <w:color w:val="000000"/>
                <w:sz w:val="18"/>
                <w:szCs w:val="18"/>
              </w:rPr>
              <w:t>Baseline</w:t>
            </w:r>
            <w:r w:rsidRPr="00103EA9">
              <w:rPr>
                <w:color w:val="000000"/>
                <w:sz w:val="18"/>
                <w:szCs w:val="18"/>
              </w:rPr>
              <w:t>: 3</w:t>
            </w:r>
            <w:r w:rsidR="00743EC6" w:rsidRPr="00103EA9">
              <w:rPr>
                <w:color w:val="000000"/>
                <w:sz w:val="18"/>
                <w:szCs w:val="18"/>
              </w:rPr>
              <w:t xml:space="preserve"> </w:t>
            </w:r>
            <w:r w:rsidRPr="00103EA9">
              <w:rPr>
                <w:color w:val="000000"/>
                <w:sz w:val="18"/>
                <w:szCs w:val="18"/>
              </w:rPr>
              <w:t>(2021)</w:t>
            </w:r>
          </w:p>
          <w:p w14:paraId="598422CE" w14:textId="00985C0E" w:rsidR="00772DE3" w:rsidRPr="00103EA9" w:rsidRDefault="00772DE3" w:rsidP="00C64533">
            <w:pPr>
              <w:rPr>
                <w:color w:val="000000"/>
                <w:sz w:val="18"/>
                <w:szCs w:val="18"/>
              </w:rPr>
            </w:pPr>
            <w:r w:rsidRPr="00103EA9">
              <w:rPr>
                <w:b/>
                <w:bCs/>
                <w:color w:val="000000"/>
                <w:sz w:val="18"/>
                <w:szCs w:val="18"/>
              </w:rPr>
              <w:t>Target</w:t>
            </w:r>
            <w:r w:rsidRPr="00103EA9">
              <w:rPr>
                <w:color w:val="000000"/>
                <w:sz w:val="18"/>
                <w:szCs w:val="18"/>
              </w:rPr>
              <w:t>:</w:t>
            </w:r>
            <w:r w:rsidRPr="00103EA9">
              <w:rPr>
                <w:b/>
                <w:bCs/>
                <w:color w:val="000000"/>
                <w:sz w:val="18"/>
                <w:szCs w:val="18"/>
              </w:rPr>
              <w:t xml:space="preserve"> </w:t>
            </w:r>
            <w:r w:rsidRPr="00103EA9">
              <w:rPr>
                <w:color w:val="000000"/>
                <w:sz w:val="18"/>
                <w:szCs w:val="18"/>
              </w:rPr>
              <w:t>50</w:t>
            </w:r>
            <w:r w:rsidR="00743EC6" w:rsidRPr="00103EA9">
              <w:rPr>
                <w:color w:val="000000"/>
                <w:sz w:val="18"/>
                <w:szCs w:val="18"/>
              </w:rPr>
              <w:t xml:space="preserve"> </w:t>
            </w:r>
            <w:r w:rsidRPr="00103EA9">
              <w:rPr>
                <w:color w:val="000000"/>
                <w:sz w:val="18"/>
                <w:szCs w:val="18"/>
              </w:rPr>
              <w:t>(2027)</w:t>
            </w:r>
          </w:p>
          <w:p w14:paraId="3D380C02" w14:textId="620C4231" w:rsidR="00772DE3" w:rsidRPr="00103EA9" w:rsidRDefault="00772DE3" w:rsidP="00C64533">
            <w:pPr>
              <w:rPr>
                <w:color w:val="000000"/>
                <w:sz w:val="18"/>
                <w:szCs w:val="18"/>
              </w:rPr>
            </w:pPr>
            <w:r w:rsidRPr="00103EA9">
              <w:rPr>
                <w:b/>
                <w:bCs/>
                <w:color w:val="000000" w:themeColor="text1"/>
                <w:sz w:val="18"/>
                <w:szCs w:val="18"/>
              </w:rPr>
              <w:t>Data Source</w:t>
            </w:r>
            <w:r w:rsidRPr="00103EA9">
              <w:rPr>
                <w:color w:val="000000" w:themeColor="text1"/>
                <w:sz w:val="18"/>
                <w:szCs w:val="18"/>
              </w:rPr>
              <w:t xml:space="preserve">: MoTI/MoF </w:t>
            </w:r>
            <w:r w:rsidR="00DC410C">
              <w:rPr>
                <w:color w:val="000000" w:themeColor="text1"/>
                <w:sz w:val="18"/>
                <w:szCs w:val="18"/>
              </w:rPr>
              <w:t>r</w:t>
            </w:r>
            <w:r w:rsidRPr="00103EA9">
              <w:rPr>
                <w:color w:val="000000" w:themeColor="text1"/>
                <w:sz w:val="18"/>
                <w:szCs w:val="18"/>
              </w:rPr>
              <w:t xml:space="preserve">eports </w:t>
            </w:r>
            <w:r w:rsidR="00DC410C">
              <w:rPr>
                <w:color w:val="000000" w:themeColor="text1"/>
                <w:sz w:val="18"/>
                <w:szCs w:val="18"/>
              </w:rPr>
              <w:t>and</w:t>
            </w:r>
            <w:r w:rsidRPr="00103EA9">
              <w:rPr>
                <w:color w:val="000000" w:themeColor="text1"/>
                <w:sz w:val="18"/>
                <w:szCs w:val="18"/>
              </w:rPr>
              <w:t xml:space="preserve"> Ghana Budget Statement.</w:t>
            </w:r>
          </w:p>
          <w:p w14:paraId="2A317408" w14:textId="77777777" w:rsidR="00772DE3" w:rsidRPr="00103EA9" w:rsidRDefault="00772DE3" w:rsidP="00C64533">
            <w:pPr>
              <w:rPr>
                <w:color w:val="000000"/>
                <w:sz w:val="18"/>
                <w:szCs w:val="18"/>
              </w:rPr>
            </w:pPr>
            <w:r w:rsidRPr="00103EA9">
              <w:rPr>
                <w:b/>
                <w:bCs/>
                <w:color w:val="000000"/>
                <w:sz w:val="18"/>
                <w:szCs w:val="18"/>
              </w:rPr>
              <w:t xml:space="preserve">Frequency: </w:t>
            </w:r>
            <w:r w:rsidRPr="00103EA9">
              <w:rPr>
                <w:color w:val="000000"/>
                <w:sz w:val="18"/>
                <w:szCs w:val="18"/>
              </w:rPr>
              <w:t>Annual</w:t>
            </w:r>
          </w:p>
          <w:p w14:paraId="31EBDEEF" w14:textId="77777777" w:rsidR="00772DE3" w:rsidRPr="00103EA9" w:rsidRDefault="00772DE3" w:rsidP="00C64533">
            <w:pPr>
              <w:rPr>
                <w:b/>
                <w:bCs/>
                <w:color w:val="000000"/>
                <w:sz w:val="18"/>
                <w:szCs w:val="18"/>
              </w:rPr>
            </w:pPr>
          </w:p>
          <w:p w14:paraId="40D44919" w14:textId="0BE19855" w:rsidR="00772DE3" w:rsidRPr="00103EA9" w:rsidRDefault="00772DE3" w:rsidP="00C64533">
            <w:pPr>
              <w:rPr>
                <w:b/>
                <w:bCs/>
                <w:color w:val="000000"/>
                <w:sz w:val="18"/>
                <w:szCs w:val="18"/>
              </w:rPr>
            </w:pPr>
            <w:r w:rsidRPr="00103EA9">
              <w:rPr>
                <w:b/>
                <w:bCs/>
                <w:color w:val="000000" w:themeColor="text1"/>
                <w:sz w:val="18"/>
                <w:szCs w:val="18"/>
              </w:rPr>
              <w:t>Indicator 1.1.2</w:t>
            </w:r>
            <w:r w:rsidR="00DC410C">
              <w:rPr>
                <w:b/>
                <w:bCs/>
                <w:color w:val="000000" w:themeColor="text1"/>
                <w:sz w:val="18"/>
                <w:szCs w:val="18"/>
              </w:rPr>
              <w:t>.</w:t>
            </w:r>
            <w:r w:rsidRPr="00103EA9">
              <w:rPr>
                <w:b/>
                <w:bCs/>
                <w:color w:val="000000" w:themeColor="text1"/>
                <w:sz w:val="18"/>
                <w:szCs w:val="18"/>
              </w:rPr>
              <w:t xml:space="preserve">: </w:t>
            </w:r>
            <w:r w:rsidRPr="00103EA9">
              <w:rPr>
                <w:color w:val="000000" w:themeColor="text1"/>
                <w:sz w:val="18"/>
                <w:szCs w:val="18"/>
              </w:rPr>
              <w:t>Number of institutions with strengthened capacities to provide adequate business regulatory and/or development services to MSMEs.</w:t>
            </w:r>
          </w:p>
          <w:p w14:paraId="7B239D64" w14:textId="77777777" w:rsidR="00772DE3" w:rsidRPr="00103EA9" w:rsidRDefault="00772DE3" w:rsidP="00C64533">
            <w:pPr>
              <w:rPr>
                <w:color w:val="000000"/>
                <w:sz w:val="18"/>
                <w:szCs w:val="18"/>
              </w:rPr>
            </w:pPr>
            <w:r w:rsidRPr="00103EA9">
              <w:rPr>
                <w:b/>
                <w:bCs/>
                <w:color w:val="000000"/>
                <w:sz w:val="18"/>
                <w:szCs w:val="18"/>
              </w:rPr>
              <w:t xml:space="preserve">Baseline: </w:t>
            </w:r>
            <w:r w:rsidRPr="00103EA9">
              <w:rPr>
                <w:color w:val="000000"/>
                <w:sz w:val="18"/>
                <w:szCs w:val="18"/>
              </w:rPr>
              <w:t xml:space="preserve">8 </w:t>
            </w:r>
          </w:p>
          <w:p w14:paraId="2059FA71" w14:textId="24115D12" w:rsidR="00772DE3" w:rsidRPr="00103EA9" w:rsidRDefault="00772DE3" w:rsidP="00C64533">
            <w:pPr>
              <w:rPr>
                <w:b/>
                <w:bCs/>
                <w:color w:val="000000"/>
                <w:sz w:val="18"/>
                <w:szCs w:val="18"/>
              </w:rPr>
            </w:pPr>
            <w:r w:rsidRPr="00103EA9">
              <w:rPr>
                <w:b/>
                <w:bCs/>
                <w:color w:val="000000"/>
                <w:sz w:val="18"/>
                <w:szCs w:val="18"/>
              </w:rPr>
              <w:t>Target:</w:t>
            </w:r>
            <w:r w:rsidR="005D08AE" w:rsidRPr="00103EA9">
              <w:rPr>
                <w:b/>
                <w:bCs/>
                <w:color w:val="000000"/>
                <w:sz w:val="18"/>
                <w:szCs w:val="18"/>
              </w:rPr>
              <w:t xml:space="preserve"> </w:t>
            </w:r>
            <w:r w:rsidRPr="00103EA9">
              <w:rPr>
                <w:color w:val="000000"/>
                <w:sz w:val="18"/>
                <w:szCs w:val="18"/>
              </w:rPr>
              <w:t>20</w:t>
            </w:r>
          </w:p>
          <w:p w14:paraId="36E9974B" w14:textId="5FC24A8C" w:rsidR="00772DE3" w:rsidRPr="00103EA9" w:rsidRDefault="00772DE3" w:rsidP="00C64533">
            <w:pPr>
              <w:rPr>
                <w:b/>
                <w:bCs/>
                <w:color w:val="000000"/>
                <w:sz w:val="18"/>
                <w:szCs w:val="18"/>
              </w:rPr>
            </w:pPr>
            <w:r w:rsidRPr="00103EA9">
              <w:rPr>
                <w:b/>
                <w:bCs/>
                <w:color w:val="000000" w:themeColor="text1"/>
                <w:sz w:val="18"/>
                <w:szCs w:val="18"/>
              </w:rPr>
              <w:t xml:space="preserve">Data Source: </w:t>
            </w:r>
            <w:r w:rsidRPr="00103EA9">
              <w:rPr>
                <w:color w:val="000000" w:themeColor="text1"/>
                <w:sz w:val="18"/>
                <w:szCs w:val="18"/>
              </w:rPr>
              <w:t xml:space="preserve">UNDP Project Reports, National Development Planning Committee, </w:t>
            </w:r>
            <w:r w:rsidR="008C7AC7">
              <w:rPr>
                <w:color w:val="000000" w:themeColor="text1"/>
                <w:sz w:val="18"/>
                <w:szCs w:val="18"/>
              </w:rPr>
              <w:t>GEA,</w:t>
            </w:r>
            <w:r w:rsidRPr="00103EA9">
              <w:rPr>
                <w:color w:val="000000" w:themeColor="text1"/>
                <w:sz w:val="18"/>
                <w:szCs w:val="18"/>
              </w:rPr>
              <w:t xml:space="preserve"> Ministry of Trade and Industries reports. </w:t>
            </w:r>
          </w:p>
          <w:p w14:paraId="3A5DF4B5" w14:textId="77777777" w:rsidR="00772DE3" w:rsidRPr="00103EA9" w:rsidRDefault="00772DE3" w:rsidP="00C64533">
            <w:pPr>
              <w:rPr>
                <w:b/>
                <w:bCs/>
                <w:color w:val="000000"/>
                <w:sz w:val="18"/>
                <w:szCs w:val="18"/>
              </w:rPr>
            </w:pPr>
            <w:r w:rsidRPr="00103EA9">
              <w:rPr>
                <w:b/>
                <w:bCs/>
                <w:color w:val="000000"/>
                <w:sz w:val="18"/>
                <w:szCs w:val="18"/>
              </w:rPr>
              <w:t xml:space="preserve">Frequency: </w:t>
            </w:r>
            <w:r w:rsidRPr="00103EA9">
              <w:rPr>
                <w:color w:val="000000"/>
                <w:sz w:val="18"/>
                <w:szCs w:val="18"/>
              </w:rPr>
              <w:t>Annual</w:t>
            </w:r>
          </w:p>
          <w:p w14:paraId="255C5853" w14:textId="77777777" w:rsidR="00772DE3" w:rsidRPr="00103EA9" w:rsidRDefault="00772DE3" w:rsidP="00C64533">
            <w:pPr>
              <w:rPr>
                <w:b/>
                <w:bCs/>
                <w:color w:val="000000"/>
                <w:sz w:val="18"/>
                <w:szCs w:val="18"/>
              </w:rPr>
            </w:pPr>
          </w:p>
          <w:p w14:paraId="62B51D20" w14:textId="77777777" w:rsidR="00772DE3" w:rsidRPr="00103EA9" w:rsidRDefault="00772DE3" w:rsidP="00C64533">
            <w:pPr>
              <w:rPr>
                <w:b/>
                <w:bCs/>
                <w:color w:val="000000"/>
                <w:sz w:val="18"/>
                <w:szCs w:val="18"/>
              </w:rPr>
            </w:pPr>
          </w:p>
          <w:p w14:paraId="592B3E93" w14:textId="709FB7EF" w:rsidR="00772DE3" w:rsidRPr="00103EA9" w:rsidRDefault="00772DE3" w:rsidP="00C64533">
            <w:pPr>
              <w:rPr>
                <w:color w:val="000000" w:themeColor="text1"/>
                <w:sz w:val="18"/>
                <w:szCs w:val="18"/>
              </w:rPr>
            </w:pPr>
            <w:r w:rsidRPr="00103EA9">
              <w:rPr>
                <w:b/>
                <w:bCs/>
                <w:color w:val="000000" w:themeColor="text1"/>
                <w:sz w:val="18"/>
                <w:szCs w:val="18"/>
              </w:rPr>
              <w:t>Output 1.2</w:t>
            </w:r>
            <w:r w:rsidR="00F85D2B">
              <w:rPr>
                <w:b/>
                <w:bCs/>
                <w:color w:val="000000" w:themeColor="text1"/>
                <w:sz w:val="18"/>
                <w:szCs w:val="18"/>
              </w:rPr>
              <w:t>.</w:t>
            </w:r>
            <w:r w:rsidRPr="00103EA9">
              <w:rPr>
                <w:b/>
                <w:bCs/>
                <w:color w:val="000000" w:themeColor="text1"/>
                <w:sz w:val="18"/>
                <w:szCs w:val="18"/>
              </w:rPr>
              <w:t xml:space="preserve">: </w:t>
            </w:r>
            <w:r w:rsidRPr="00103EA9">
              <w:rPr>
                <w:color w:val="000000" w:themeColor="text1"/>
                <w:sz w:val="18"/>
                <w:szCs w:val="18"/>
              </w:rPr>
              <w:t xml:space="preserve">Institutional capacities to promote innovative public and private </w:t>
            </w:r>
            <w:r w:rsidRPr="00103EA9">
              <w:rPr>
                <w:color w:val="000000" w:themeColor="text1"/>
                <w:sz w:val="18"/>
                <w:szCs w:val="18"/>
              </w:rPr>
              <w:lastRenderedPageBreak/>
              <w:t>financing/investment for sustainable economic diversification enhanced.</w:t>
            </w:r>
          </w:p>
          <w:p w14:paraId="6B0C6118" w14:textId="77777777" w:rsidR="00772DE3" w:rsidRPr="00103EA9" w:rsidRDefault="00772DE3" w:rsidP="00C64533">
            <w:pPr>
              <w:rPr>
                <w:b/>
                <w:bCs/>
                <w:color w:val="000000"/>
                <w:sz w:val="18"/>
                <w:szCs w:val="18"/>
              </w:rPr>
            </w:pPr>
          </w:p>
          <w:p w14:paraId="54F5D1CD" w14:textId="13AFD813" w:rsidR="00772DE3" w:rsidRPr="00103EA9" w:rsidRDefault="00772DE3" w:rsidP="00C64533">
            <w:pPr>
              <w:spacing w:line="259" w:lineRule="auto"/>
              <w:rPr>
                <w:color w:val="000000" w:themeColor="text1"/>
                <w:sz w:val="18"/>
                <w:szCs w:val="18"/>
              </w:rPr>
            </w:pPr>
            <w:r w:rsidRPr="00103EA9">
              <w:rPr>
                <w:b/>
                <w:bCs/>
                <w:color w:val="000000" w:themeColor="text1"/>
                <w:sz w:val="18"/>
                <w:szCs w:val="18"/>
              </w:rPr>
              <w:t>Indicator 1.2.1</w:t>
            </w:r>
            <w:r w:rsidR="00F85D2B">
              <w:rPr>
                <w:b/>
                <w:bCs/>
                <w:color w:val="000000" w:themeColor="text1"/>
                <w:sz w:val="18"/>
                <w:szCs w:val="18"/>
              </w:rPr>
              <w:t>.</w:t>
            </w:r>
            <w:r w:rsidRPr="00103EA9">
              <w:rPr>
                <w:b/>
                <w:bCs/>
                <w:color w:val="000000" w:themeColor="text1"/>
                <w:sz w:val="18"/>
                <w:szCs w:val="18"/>
              </w:rPr>
              <w:t>:</w:t>
            </w:r>
            <w:r w:rsidRPr="00103EA9">
              <w:rPr>
                <w:color w:val="000000" w:themeColor="text1"/>
                <w:sz w:val="18"/>
                <w:szCs w:val="18"/>
              </w:rPr>
              <w:t xml:space="preserve"> Number of institutions with enhanced capacity to promote innovative public and private financing/investment</w:t>
            </w:r>
            <w:r w:rsidR="00F85D2B">
              <w:rPr>
                <w:color w:val="000000" w:themeColor="text1"/>
                <w:sz w:val="18"/>
                <w:szCs w:val="18"/>
              </w:rPr>
              <w:t>.</w:t>
            </w:r>
          </w:p>
          <w:p w14:paraId="3A72B2A5" w14:textId="1B948192" w:rsidR="00772DE3" w:rsidRPr="00103EA9" w:rsidRDefault="00772DE3" w:rsidP="00C64533">
            <w:pPr>
              <w:rPr>
                <w:color w:val="000000"/>
                <w:sz w:val="18"/>
                <w:szCs w:val="18"/>
              </w:rPr>
            </w:pPr>
            <w:r w:rsidRPr="00103EA9">
              <w:rPr>
                <w:b/>
                <w:bCs/>
                <w:color w:val="000000"/>
                <w:sz w:val="18"/>
                <w:szCs w:val="18"/>
              </w:rPr>
              <w:t>Baseline</w:t>
            </w:r>
            <w:r w:rsidRPr="00103EA9">
              <w:rPr>
                <w:color w:val="000000"/>
                <w:sz w:val="18"/>
                <w:szCs w:val="18"/>
              </w:rPr>
              <w:t>:</w:t>
            </w:r>
            <w:r w:rsidR="005E4A4D">
              <w:rPr>
                <w:color w:val="000000"/>
                <w:sz w:val="18"/>
                <w:szCs w:val="18"/>
              </w:rPr>
              <w:t xml:space="preserve"> </w:t>
            </w:r>
            <w:r w:rsidRPr="00103EA9">
              <w:rPr>
                <w:color w:val="000000"/>
                <w:sz w:val="18"/>
                <w:szCs w:val="18"/>
              </w:rPr>
              <w:t>1</w:t>
            </w:r>
            <w:r w:rsidR="00743EC6" w:rsidRPr="00103EA9">
              <w:rPr>
                <w:color w:val="000000"/>
                <w:sz w:val="18"/>
                <w:szCs w:val="18"/>
              </w:rPr>
              <w:t xml:space="preserve"> </w:t>
            </w:r>
            <w:r w:rsidRPr="00103EA9">
              <w:rPr>
                <w:color w:val="000000"/>
                <w:sz w:val="18"/>
                <w:szCs w:val="18"/>
              </w:rPr>
              <w:t>(2021)</w:t>
            </w:r>
          </w:p>
          <w:p w14:paraId="3A398E35" w14:textId="37235756" w:rsidR="00772DE3" w:rsidRPr="00103EA9" w:rsidRDefault="00772DE3" w:rsidP="00C64533">
            <w:pPr>
              <w:rPr>
                <w:color w:val="000000"/>
                <w:sz w:val="18"/>
                <w:szCs w:val="18"/>
              </w:rPr>
            </w:pPr>
            <w:r w:rsidRPr="00103EA9">
              <w:rPr>
                <w:b/>
                <w:bCs/>
                <w:color w:val="000000"/>
                <w:sz w:val="18"/>
                <w:szCs w:val="18"/>
              </w:rPr>
              <w:t>Target:</w:t>
            </w:r>
            <w:r w:rsidRPr="00103EA9">
              <w:rPr>
                <w:color w:val="000000"/>
                <w:sz w:val="18"/>
                <w:szCs w:val="18"/>
              </w:rPr>
              <w:t xml:space="preserve"> 3</w:t>
            </w:r>
            <w:r w:rsidR="00743EC6" w:rsidRPr="00103EA9">
              <w:rPr>
                <w:color w:val="000000"/>
                <w:sz w:val="18"/>
                <w:szCs w:val="18"/>
              </w:rPr>
              <w:t xml:space="preserve"> </w:t>
            </w:r>
            <w:r w:rsidRPr="00103EA9">
              <w:rPr>
                <w:color w:val="000000"/>
                <w:sz w:val="18"/>
                <w:szCs w:val="18"/>
              </w:rPr>
              <w:t>(2027)</w:t>
            </w:r>
          </w:p>
          <w:p w14:paraId="2F08C46B" w14:textId="4DE69D33" w:rsidR="00772DE3" w:rsidRPr="00103EA9" w:rsidRDefault="00772DE3" w:rsidP="00C64533">
            <w:pPr>
              <w:rPr>
                <w:color w:val="000000"/>
                <w:sz w:val="18"/>
                <w:szCs w:val="18"/>
              </w:rPr>
            </w:pPr>
            <w:r w:rsidRPr="00103EA9">
              <w:rPr>
                <w:b/>
                <w:bCs/>
                <w:color w:val="000000" w:themeColor="text1"/>
                <w:sz w:val="18"/>
                <w:szCs w:val="18"/>
              </w:rPr>
              <w:t>Data Source</w:t>
            </w:r>
            <w:r w:rsidRPr="00103EA9">
              <w:rPr>
                <w:color w:val="000000" w:themeColor="text1"/>
                <w:sz w:val="18"/>
                <w:szCs w:val="18"/>
              </w:rPr>
              <w:t xml:space="preserve">: </w:t>
            </w:r>
            <w:r w:rsidR="008C7AC7">
              <w:rPr>
                <w:color w:val="000000" w:themeColor="text1"/>
                <w:sz w:val="18"/>
                <w:szCs w:val="18"/>
              </w:rPr>
              <w:t>MoF</w:t>
            </w:r>
            <w:r w:rsidRPr="00103EA9">
              <w:rPr>
                <w:color w:val="000000" w:themeColor="text1"/>
                <w:sz w:val="18"/>
                <w:szCs w:val="18"/>
              </w:rPr>
              <w:t xml:space="preserve"> </w:t>
            </w:r>
            <w:r w:rsidR="00F85D2B">
              <w:rPr>
                <w:color w:val="000000" w:themeColor="text1"/>
                <w:sz w:val="18"/>
                <w:szCs w:val="18"/>
              </w:rPr>
              <w:t>r</w:t>
            </w:r>
            <w:r w:rsidRPr="00103EA9">
              <w:rPr>
                <w:color w:val="000000" w:themeColor="text1"/>
                <w:sz w:val="18"/>
                <w:szCs w:val="18"/>
              </w:rPr>
              <w:t xml:space="preserve">eport </w:t>
            </w:r>
          </w:p>
          <w:p w14:paraId="5E0215BB" w14:textId="24178F6D" w:rsidR="00772DE3" w:rsidRPr="00103EA9" w:rsidRDefault="00772DE3" w:rsidP="00C64533">
            <w:pPr>
              <w:rPr>
                <w:color w:val="000000"/>
                <w:sz w:val="18"/>
                <w:szCs w:val="18"/>
              </w:rPr>
            </w:pPr>
            <w:r w:rsidRPr="00103EA9">
              <w:rPr>
                <w:b/>
                <w:bCs/>
                <w:color w:val="000000"/>
                <w:sz w:val="18"/>
                <w:szCs w:val="18"/>
              </w:rPr>
              <w:t xml:space="preserve">Frequency: </w:t>
            </w:r>
            <w:r w:rsidRPr="00103EA9">
              <w:rPr>
                <w:color w:val="000000"/>
                <w:sz w:val="18"/>
                <w:szCs w:val="18"/>
              </w:rPr>
              <w:t>Annual</w:t>
            </w:r>
          </w:p>
          <w:p w14:paraId="11435AF2" w14:textId="676A907C" w:rsidR="00772DE3" w:rsidRPr="00103EA9" w:rsidRDefault="00772DE3" w:rsidP="00C64533">
            <w:pPr>
              <w:rPr>
                <w:color w:val="000000"/>
                <w:sz w:val="18"/>
                <w:szCs w:val="18"/>
              </w:rPr>
            </w:pPr>
          </w:p>
        </w:tc>
        <w:tc>
          <w:tcPr>
            <w:tcW w:w="2593" w:type="dxa"/>
          </w:tcPr>
          <w:p w14:paraId="6004B108" w14:textId="4C27527E" w:rsidR="00772DE3" w:rsidRPr="00103EA9" w:rsidRDefault="008C7AC7" w:rsidP="00C64533">
            <w:pPr>
              <w:rPr>
                <w:color w:val="000000"/>
                <w:sz w:val="18"/>
                <w:szCs w:val="18"/>
              </w:rPr>
            </w:pPr>
            <w:r w:rsidRPr="008C7AC7">
              <w:rPr>
                <w:color w:val="000000" w:themeColor="text1"/>
                <w:sz w:val="18"/>
                <w:szCs w:val="18"/>
              </w:rPr>
              <w:lastRenderedPageBreak/>
              <w:t xml:space="preserve">National Development Planning Commission </w:t>
            </w:r>
            <w:r>
              <w:rPr>
                <w:color w:val="000000" w:themeColor="text1"/>
                <w:sz w:val="18"/>
                <w:szCs w:val="18"/>
              </w:rPr>
              <w:t>(</w:t>
            </w:r>
            <w:r w:rsidR="00772DE3" w:rsidRPr="00103EA9">
              <w:rPr>
                <w:color w:val="000000" w:themeColor="text1"/>
                <w:sz w:val="18"/>
                <w:szCs w:val="18"/>
              </w:rPr>
              <w:t>NDPC</w:t>
            </w:r>
            <w:r>
              <w:rPr>
                <w:color w:val="000000" w:themeColor="text1"/>
                <w:sz w:val="18"/>
                <w:szCs w:val="18"/>
              </w:rPr>
              <w:t>)</w:t>
            </w:r>
            <w:r w:rsidR="00772DE3" w:rsidRPr="00103EA9">
              <w:rPr>
                <w:color w:val="000000" w:themeColor="text1"/>
                <w:sz w:val="18"/>
                <w:szCs w:val="18"/>
              </w:rPr>
              <w:t>, Ministry of Finance</w:t>
            </w:r>
            <w:r w:rsidR="00DC410C">
              <w:rPr>
                <w:color w:val="000000" w:themeColor="text1"/>
                <w:sz w:val="18"/>
                <w:szCs w:val="18"/>
              </w:rPr>
              <w:t xml:space="preserve"> (MoF)</w:t>
            </w:r>
            <w:r w:rsidR="00772DE3" w:rsidRPr="00103EA9">
              <w:rPr>
                <w:color w:val="000000" w:themeColor="text1"/>
                <w:sz w:val="18"/>
                <w:szCs w:val="18"/>
              </w:rPr>
              <w:t>, Ministry of Trade and Industry</w:t>
            </w:r>
            <w:r w:rsidR="00DC410C">
              <w:rPr>
                <w:color w:val="000000" w:themeColor="text1"/>
                <w:sz w:val="18"/>
                <w:szCs w:val="18"/>
              </w:rPr>
              <w:t xml:space="preserve"> (MoTI)</w:t>
            </w:r>
            <w:r w:rsidR="00772DE3" w:rsidRPr="00103EA9">
              <w:rPr>
                <w:color w:val="000000" w:themeColor="text1"/>
                <w:sz w:val="18"/>
                <w:szCs w:val="18"/>
              </w:rPr>
              <w:t>, Ghana Statistical Service</w:t>
            </w:r>
            <w:r>
              <w:rPr>
                <w:color w:val="000000" w:themeColor="text1"/>
                <w:sz w:val="18"/>
                <w:szCs w:val="18"/>
              </w:rPr>
              <w:t xml:space="preserve"> (GSS)</w:t>
            </w:r>
            <w:r w:rsidR="00DC410C">
              <w:rPr>
                <w:color w:val="000000" w:themeColor="text1"/>
                <w:sz w:val="18"/>
                <w:szCs w:val="18"/>
              </w:rPr>
              <w:t>,</w:t>
            </w:r>
            <w:r w:rsidR="00772DE3" w:rsidRPr="00103EA9">
              <w:rPr>
                <w:color w:val="000000" w:themeColor="text1"/>
                <w:sz w:val="18"/>
                <w:szCs w:val="18"/>
              </w:rPr>
              <w:t xml:space="preserve"> Ghana Enterprise Agency</w:t>
            </w:r>
            <w:r>
              <w:rPr>
                <w:color w:val="000000" w:themeColor="text1"/>
                <w:sz w:val="18"/>
                <w:szCs w:val="18"/>
              </w:rPr>
              <w:t xml:space="preserve"> (GEA),</w:t>
            </w:r>
            <w:r w:rsidR="00772DE3" w:rsidRPr="00103EA9">
              <w:rPr>
                <w:color w:val="000000" w:themeColor="text1"/>
                <w:sz w:val="18"/>
                <w:szCs w:val="18"/>
              </w:rPr>
              <w:t xml:space="preserve"> </w:t>
            </w:r>
            <w:r w:rsidR="00DC410C">
              <w:rPr>
                <w:color w:val="000000" w:themeColor="text1"/>
                <w:sz w:val="18"/>
                <w:szCs w:val="18"/>
              </w:rPr>
              <w:t xml:space="preserve">Food and Agricultural </w:t>
            </w:r>
            <w:r w:rsidR="005E4A4D">
              <w:rPr>
                <w:color w:val="000000" w:themeColor="text1"/>
                <w:sz w:val="18"/>
                <w:szCs w:val="18"/>
              </w:rPr>
              <w:t>Organization (FAO)</w:t>
            </w:r>
            <w:r>
              <w:rPr>
                <w:color w:val="000000" w:themeColor="text1"/>
                <w:sz w:val="18"/>
                <w:szCs w:val="18"/>
              </w:rPr>
              <w:t xml:space="preserve">, </w:t>
            </w:r>
            <w:r w:rsidR="00DC410C">
              <w:rPr>
                <w:color w:val="000000" w:themeColor="text1"/>
                <w:sz w:val="18"/>
                <w:szCs w:val="18"/>
              </w:rPr>
              <w:t>International Fund for Agricultural Development</w:t>
            </w:r>
            <w:r>
              <w:rPr>
                <w:color w:val="000000" w:themeColor="text1"/>
                <w:sz w:val="18"/>
                <w:szCs w:val="18"/>
              </w:rPr>
              <w:t xml:space="preserve">, </w:t>
            </w:r>
            <w:r w:rsidR="00DC410C">
              <w:rPr>
                <w:color w:val="000000" w:themeColor="text1"/>
                <w:sz w:val="18"/>
                <w:szCs w:val="18"/>
              </w:rPr>
              <w:t>UN Capital Development Fund</w:t>
            </w:r>
            <w:r>
              <w:rPr>
                <w:color w:val="000000" w:themeColor="text1"/>
                <w:sz w:val="18"/>
                <w:szCs w:val="18"/>
              </w:rPr>
              <w:t>.</w:t>
            </w:r>
          </w:p>
          <w:p w14:paraId="2F0865CF" w14:textId="77777777" w:rsidR="00772DE3" w:rsidRPr="00103EA9" w:rsidRDefault="00772DE3" w:rsidP="00C64533">
            <w:pPr>
              <w:rPr>
                <w:color w:val="000000"/>
                <w:sz w:val="18"/>
                <w:szCs w:val="18"/>
              </w:rPr>
            </w:pPr>
          </w:p>
          <w:p w14:paraId="7036913C" w14:textId="77777777" w:rsidR="00772DE3" w:rsidRPr="00103EA9" w:rsidRDefault="00772DE3" w:rsidP="00C64533">
            <w:pPr>
              <w:rPr>
                <w:color w:val="000000"/>
                <w:sz w:val="18"/>
                <w:szCs w:val="18"/>
              </w:rPr>
            </w:pPr>
          </w:p>
          <w:p w14:paraId="786E9F3B" w14:textId="77777777" w:rsidR="00772DE3" w:rsidRPr="00103EA9" w:rsidRDefault="00772DE3" w:rsidP="00C64533">
            <w:pPr>
              <w:rPr>
                <w:color w:val="000000"/>
                <w:sz w:val="18"/>
                <w:szCs w:val="18"/>
              </w:rPr>
            </w:pPr>
          </w:p>
          <w:p w14:paraId="46DFA520" w14:textId="77777777" w:rsidR="00772DE3" w:rsidRPr="00103EA9" w:rsidRDefault="00772DE3" w:rsidP="00C64533">
            <w:pPr>
              <w:rPr>
                <w:color w:val="000000"/>
                <w:sz w:val="18"/>
                <w:szCs w:val="18"/>
              </w:rPr>
            </w:pPr>
          </w:p>
          <w:p w14:paraId="0CCE9EDC" w14:textId="77777777" w:rsidR="00772DE3" w:rsidRPr="00103EA9" w:rsidRDefault="00772DE3" w:rsidP="00C64533">
            <w:pPr>
              <w:rPr>
                <w:color w:val="000000"/>
                <w:sz w:val="18"/>
                <w:szCs w:val="18"/>
              </w:rPr>
            </w:pPr>
          </w:p>
          <w:p w14:paraId="6DB1166A" w14:textId="77777777" w:rsidR="00772DE3" w:rsidRPr="00103EA9" w:rsidRDefault="00772DE3" w:rsidP="00C64533">
            <w:pPr>
              <w:rPr>
                <w:color w:val="000000"/>
                <w:sz w:val="18"/>
                <w:szCs w:val="18"/>
              </w:rPr>
            </w:pPr>
          </w:p>
          <w:p w14:paraId="3DB5DF10" w14:textId="77777777" w:rsidR="00772DE3" w:rsidRPr="00103EA9" w:rsidRDefault="00772DE3" w:rsidP="00C64533">
            <w:pPr>
              <w:rPr>
                <w:color w:val="000000"/>
                <w:sz w:val="18"/>
                <w:szCs w:val="18"/>
              </w:rPr>
            </w:pPr>
          </w:p>
          <w:p w14:paraId="053B3AB7" w14:textId="77777777" w:rsidR="00772DE3" w:rsidRPr="00103EA9" w:rsidRDefault="00772DE3" w:rsidP="00C64533">
            <w:pPr>
              <w:rPr>
                <w:color w:val="000000"/>
                <w:sz w:val="18"/>
                <w:szCs w:val="18"/>
              </w:rPr>
            </w:pPr>
          </w:p>
          <w:p w14:paraId="4C48200C" w14:textId="77777777" w:rsidR="00772DE3" w:rsidRPr="00103EA9" w:rsidRDefault="00772DE3" w:rsidP="00C64533">
            <w:pPr>
              <w:rPr>
                <w:color w:val="000000"/>
                <w:sz w:val="18"/>
                <w:szCs w:val="18"/>
              </w:rPr>
            </w:pPr>
          </w:p>
          <w:p w14:paraId="06025497" w14:textId="77777777" w:rsidR="00772DE3" w:rsidRPr="00103EA9" w:rsidRDefault="00772DE3" w:rsidP="00C64533">
            <w:pPr>
              <w:rPr>
                <w:color w:val="000000"/>
                <w:sz w:val="18"/>
                <w:szCs w:val="18"/>
              </w:rPr>
            </w:pPr>
          </w:p>
          <w:p w14:paraId="2273CB5F" w14:textId="77777777" w:rsidR="00772DE3" w:rsidRPr="00103EA9" w:rsidRDefault="00772DE3" w:rsidP="00C64533">
            <w:pPr>
              <w:rPr>
                <w:color w:val="000000"/>
                <w:sz w:val="18"/>
                <w:szCs w:val="18"/>
              </w:rPr>
            </w:pPr>
          </w:p>
          <w:p w14:paraId="4F4DBCEC" w14:textId="77777777" w:rsidR="00772DE3" w:rsidRPr="00103EA9" w:rsidRDefault="00772DE3" w:rsidP="00C64533">
            <w:pPr>
              <w:rPr>
                <w:color w:val="000000"/>
                <w:sz w:val="18"/>
                <w:szCs w:val="18"/>
              </w:rPr>
            </w:pPr>
          </w:p>
          <w:p w14:paraId="74559986" w14:textId="77777777" w:rsidR="00772DE3" w:rsidRPr="00103EA9" w:rsidRDefault="00772DE3" w:rsidP="00C64533">
            <w:pPr>
              <w:rPr>
                <w:color w:val="000000"/>
                <w:sz w:val="18"/>
                <w:szCs w:val="18"/>
              </w:rPr>
            </w:pPr>
          </w:p>
          <w:p w14:paraId="12EFAA2F" w14:textId="77777777" w:rsidR="00772DE3" w:rsidRPr="00103EA9" w:rsidRDefault="00772DE3" w:rsidP="00C64533">
            <w:pPr>
              <w:rPr>
                <w:color w:val="000000"/>
                <w:sz w:val="18"/>
                <w:szCs w:val="18"/>
              </w:rPr>
            </w:pPr>
          </w:p>
          <w:p w14:paraId="0F609456" w14:textId="77777777" w:rsidR="00772DE3" w:rsidRPr="00103EA9" w:rsidRDefault="00772DE3" w:rsidP="00C64533">
            <w:pPr>
              <w:rPr>
                <w:color w:val="000000"/>
                <w:sz w:val="18"/>
                <w:szCs w:val="18"/>
              </w:rPr>
            </w:pPr>
          </w:p>
          <w:p w14:paraId="072750C2" w14:textId="77777777" w:rsidR="00772DE3" w:rsidRPr="00103EA9" w:rsidRDefault="00772DE3" w:rsidP="00C64533">
            <w:pPr>
              <w:rPr>
                <w:color w:val="000000"/>
                <w:sz w:val="18"/>
                <w:szCs w:val="18"/>
              </w:rPr>
            </w:pPr>
          </w:p>
          <w:p w14:paraId="0A51C7B8" w14:textId="77777777" w:rsidR="00772DE3" w:rsidRPr="00103EA9" w:rsidRDefault="00772DE3" w:rsidP="00C64533">
            <w:pPr>
              <w:rPr>
                <w:b/>
                <w:bCs/>
                <w:color w:val="000000"/>
                <w:sz w:val="18"/>
                <w:szCs w:val="18"/>
              </w:rPr>
            </w:pPr>
          </w:p>
          <w:p w14:paraId="7E679BE2" w14:textId="77777777" w:rsidR="00772DE3" w:rsidRPr="00103EA9" w:rsidRDefault="00772DE3" w:rsidP="00C64533">
            <w:pPr>
              <w:rPr>
                <w:b/>
                <w:bCs/>
                <w:color w:val="000000"/>
                <w:sz w:val="18"/>
                <w:szCs w:val="18"/>
              </w:rPr>
            </w:pPr>
          </w:p>
          <w:p w14:paraId="67D41639" w14:textId="77777777" w:rsidR="00772DE3" w:rsidRPr="00103EA9" w:rsidRDefault="00772DE3" w:rsidP="00C64533">
            <w:pPr>
              <w:rPr>
                <w:b/>
                <w:bCs/>
                <w:color w:val="000000"/>
                <w:sz w:val="18"/>
                <w:szCs w:val="18"/>
              </w:rPr>
            </w:pPr>
          </w:p>
          <w:p w14:paraId="4E6582EA" w14:textId="77777777" w:rsidR="00772DE3" w:rsidRPr="00103EA9" w:rsidRDefault="00772DE3" w:rsidP="00C64533">
            <w:pPr>
              <w:rPr>
                <w:b/>
                <w:bCs/>
                <w:color w:val="000000"/>
                <w:sz w:val="18"/>
                <w:szCs w:val="18"/>
              </w:rPr>
            </w:pPr>
          </w:p>
          <w:p w14:paraId="275C2EAA" w14:textId="77777777" w:rsidR="00772DE3" w:rsidRPr="00103EA9" w:rsidRDefault="00772DE3" w:rsidP="00C64533">
            <w:pPr>
              <w:rPr>
                <w:b/>
                <w:bCs/>
                <w:color w:val="000000"/>
                <w:sz w:val="18"/>
                <w:szCs w:val="18"/>
              </w:rPr>
            </w:pPr>
          </w:p>
          <w:p w14:paraId="1676F991" w14:textId="77777777" w:rsidR="00772DE3" w:rsidRPr="00103EA9" w:rsidRDefault="00772DE3" w:rsidP="00C64533">
            <w:pPr>
              <w:rPr>
                <w:b/>
                <w:bCs/>
                <w:color w:val="000000"/>
                <w:sz w:val="18"/>
                <w:szCs w:val="18"/>
              </w:rPr>
            </w:pPr>
          </w:p>
          <w:p w14:paraId="6D50DFED" w14:textId="77777777" w:rsidR="00772DE3" w:rsidRPr="00103EA9" w:rsidRDefault="00772DE3" w:rsidP="00C64533">
            <w:pPr>
              <w:rPr>
                <w:b/>
                <w:bCs/>
                <w:color w:val="000000"/>
                <w:sz w:val="18"/>
                <w:szCs w:val="18"/>
              </w:rPr>
            </w:pPr>
          </w:p>
          <w:p w14:paraId="52AB8666" w14:textId="77777777" w:rsidR="00772DE3" w:rsidRPr="00103EA9" w:rsidRDefault="00772DE3" w:rsidP="00C64533">
            <w:pPr>
              <w:rPr>
                <w:b/>
                <w:bCs/>
                <w:color w:val="000000"/>
                <w:sz w:val="18"/>
                <w:szCs w:val="18"/>
              </w:rPr>
            </w:pPr>
          </w:p>
          <w:p w14:paraId="194FE846" w14:textId="77777777" w:rsidR="00772DE3" w:rsidRPr="00103EA9" w:rsidRDefault="00772DE3" w:rsidP="00C64533">
            <w:pPr>
              <w:rPr>
                <w:b/>
                <w:bCs/>
                <w:color w:val="000000"/>
                <w:sz w:val="18"/>
                <w:szCs w:val="18"/>
              </w:rPr>
            </w:pPr>
          </w:p>
          <w:p w14:paraId="298E8A84" w14:textId="77777777" w:rsidR="00772DE3" w:rsidRPr="00103EA9" w:rsidRDefault="00772DE3" w:rsidP="00C64533">
            <w:pPr>
              <w:rPr>
                <w:b/>
                <w:bCs/>
                <w:color w:val="000000"/>
                <w:sz w:val="18"/>
                <w:szCs w:val="18"/>
              </w:rPr>
            </w:pPr>
          </w:p>
          <w:p w14:paraId="5C64AF8F" w14:textId="77777777" w:rsidR="00772DE3" w:rsidRPr="00103EA9" w:rsidRDefault="00772DE3" w:rsidP="00C64533">
            <w:pPr>
              <w:rPr>
                <w:b/>
                <w:bCs/>
                <w:color w:val="000000"/>
                <w:sz w:val="18"/>
                <w:szCs w:val="18"/>
              </w:rPr>
            </w:pPr>
          </w:p>
          <w:p w14:paraId="0E0C89AD" w14:textId="77777777" w:rsidR="00772DE3" w:rsidRPr="00103EA9" w:rsidRDefault="00772DE3" w:rsidP="00C64533">
            <w:pPr>
              <w:rPr>
                <w:b/>
                <w:bCs/>
                <w:color w:val="000000"/>
                <w:sz w:val="18"/>
                <w:szCs w:val="18"/>
              </w:rPr>
            </w:pPr>
          </w:p>
          <w:p w14:paraId="34DAE772" w14:textId="77777777" w:rsidR="00772DE3" w:rsidRPr="00103EA9" w:rsidRDefault="00772DE3" w:rsidP="00C64533">
            <w:pPr>
              <w:rPr>
                <w:b/>
                <w:bCs/>
                <w:color w:val="000000"/>
                <w:sz w:val="18"/>
                <w:szCs w:val="18"/>
              </w:rPr>
            </w:pPr>
          </w:p>
          <w:p w14:paraId="592EA010" w14:textId="77777777" w:rsidR="00772DE3" w:rsidRPr="00103EA9" w:rsidRDefault="00772DE3" w:rsidP="00C64533">
            <w:pPr>
              <w:rPr>
                <w:b/>
                <w:bCs/>
                <w:color w:val="000000"/>
                <w:sz w:val="18"/>
                <w:szCs w:val="18"/>
              </w:rPr>
            </w:pPr>
          </w:p>
          <w:p w14:paraId="07F5B69D" w14:textId="77777777" w:rsidR="00772DE3" w:rsidRPr="00103EA9" w:rsidRDefault="00772DE3" w:rsidP="00C64533">
            <w:pPr>
              <w:rPr>
                <w:b/>
                <w:bCs/>
                <w:color w:val="000000"/>
                <w:sz w:val="18"/>
                <w:szCs w:val="18"/>
              </w:rPr>
            </w:pPr>
          </w:p>
          <w:p w14:paraId="4BF84B30" w14:textId="77777777" w:rsidR="00772DE3" w:rsidRPr="00103EA9" w:rsidRDefault="00772DE3" w:rsidP="00C64533">
            <w:pPr>
              <w:rPr>
                <w:b/>
                <w:bCs/>
                <w:color w:val="000000"/>
                <w:sz w:val="18"/>
                <w:szCs w:val="18"/>
              </w:rPr>
            </w:pPr>
          </w:p>
          <w:p w14:paraId="449D9C46" w14:textId="63D76AAB" w:rsidR="00772DE3" w:rsidRPr="00103EA9" w:rsidRDefault="00BB0EB7" w:rsidP="00357B24">
            <w:pPr>
              <w:rPr>
                <w:color w:val="000000"/>
                <w:sz w:val="18"/>
                <w:szCs w:val="18"/>
              </w:rPr>
            </w:pPr>
            <w:r>
              <w:rPr>
                <w:color w:val="000000"/>
                <w:sz w:val="18"/>
                <w:szCs w:val="18"/>
              </w:rPr>
              <w:t>National Youth Authority (</w:t>
            </w:r>
            <w:r w:rsidR="00772DE3" w:rsidRPr="00103EA9">
              <w:rPr>
                <w:color w:val="000000"/>
                <w:sz w:val="18"/>
                <w:szCs w:val="18"/>
              </w:rPr>
              <w:t>NYA</w:t>
            </w:r>
            <w:r>
              <w:rPr>
                <w:color w:val="000000"/>
                <w:sz w:val="18"/>
                <w:szCs w:val="18"/>
              </w:rPr>
              <w:t>); Ministry of Youth and Sports</w:t>
            </w:r>
            <w:r w:rsidR="00772DE3" w:rsidRPr="00103EA9">
              <w:rPr>
                <w:color w:val="000000"/>
                <w:sz w:val="18"/>
                <w:szCs w:val="18"/>
              </w:rPr>
              <w:t xml:space="preserve">, MoF, </w:t>
            </w:r>
            <w:r w:rsidRPr="00BB0EB7">
              <w:rPr>
                <w:color w:val="000000"/>
                <w:sz w:val="18"/>
                <w:szCs w:val="18"/>
              </w:rPr>
              <w:t>GEA, the National Entrepreneurship and Innovation Programme</w:t>
            </w:r>
            <w:r w:rsidR="005238AE">
              <w:rPr>
                <w:color w:val="000000"/>
                <w:sz w:val="18"/>
                <w:szCs w:val="18"/>
              </w:rPr>
              <w:t xml:space="preserve">, </w:t>
            </w:r>
            <w:r w:rsidR="00772DE3" w:rsidRPr="00103EA9">
              <w:rPr>
                <w:color w:val="000000"/>
                <w:sz w:val="18"/>
                <w:szCs w:val="18"/>
              </w:rPr>
              <w:t xml:space="preserve">MoTI, </w:t>
            </w:r>
            <w:r w:rsidR="00F85D2B">
              <w:rPr>
                <w:color w:val="000000"/>
                <w:sz w:val="18"/>
                <w:szCs w:val="18"/>
              </w:rPr>
              <w:t>United Nations Children’s Fund</w:t>
            </w:r>
            <w:r w:rsidR="00FF252B">
              <w:rPr>
                <w:color w:val="000000"/>
                <w:sz w:val="18"/>
                <w:szCs w:val="18"/>
              </w:rPr>
              <w:t xml:space="preserve"> (UNICEF)</w:t>
            </w:r>
            <w:r w:rsidR="00772DE3" w:rsidRPr="00103EA9">
              <w:rPr>
                <w:color w:val="000000"/>
                <w:sz w:val="18"/>
                <w:szCs w:val="18"/>
              </w:rPr>
              <w:t xml:space="preserve">, </w:t>
            </w:r>
            <w:r w:rsidR="00F85D2B">
              <w:rPr>
                <w:color w:val="000000"/>
                <w:sz w:val="18"/>
                <w:szCs w:val="18"/>
              </w:rPr>
              <w:t>United Nations Office for Project Services (</w:t>
            </w:r>
            <w:r w:rsidR="00772DE3" w:rsidRPr="00103EA9">
              <w:rPr>
                <w:color w:val="000000"/>
                <w:sz w:val="18"/>
                <w:szCs w:val="18"/>
              </w:rPr>
              <w:t>UNOPS</w:t>
            </w:r>
            <w:r w:rsidR="00F85D2B">
              <w:rPr>
                <w:color w:val="000000"/>
                <w:sz w:val="18"/>
                <w:szCs w:val="18"/>
              </w:rPr>
              <w:t>)</w:t>
            </w:r>
            <w:r w:rsidR="00FF252B">
              <w:rPr>
                <w:color w:val="000000"/>
                <w:sz w:val="18"/>
                <w:szCs w:val="18"/>
              </w:rPr>
              <w:t>,</w:t>
            </w:r>
            <w:r w:rsidR="00772DE3" w:rsidRPr="00103EA9">
              <w:rPr>
                <w:color w:val="000000"/>
                <w:sz w:val="18"/>
                <w:szCs w:val="18"/>
              </w:rPr>
              <w:t xml:space="preserve"> and UNIDO</w:t>
            </w:r>
          </w:p>
        </w:tc>
        <w:tc>
          <w:tcPr>
            <w:tcW w:w="1709" w:type="dxa"/>
            <w:tcMar>
              <w:top w:w="15" w:type="dxa"/>
              <w:left w:w="108" w:type="dxa"/>
              <w:bottom w:w="0" w:type="dxa"/>
              <w:right w:w="108" w:type="dxa"/>
            </w:tcMar>
          </w:tcPr>
          <w:p w14:paraId="6D810CEF" w14:textId="2ADC6E16" w:rsidR="00772DE3" w:rsidRPr="00103EA9" w:rsidRDefault="00772DE3" w:rsidP="00C64533">
            <w:pPr>
              <w:rPr>
                <w:b/>
                <w:bCs/>
                <w:color w:val="000000"/>
                <w:sz w:val="18"/>
                <w:szCs w:val="18"/>
              </w:rPr>
            </w:pPr>
            <w:r w:rsidRPr="00103EA9">
              <w:rPr>
                <w:b/>
                <w:bCs/>
                <w:color w:val="000000"/>
                <w:sz w:val="18"/>
                <w:szCs w:val="18"/>
              </w:rPr>
              <w:lastRenderedPageBreak/>
              <w:t xml:space="preserve">Regular: </w:t>
            </w:r>
            <w:r w:rsidR="00393EB3">
              <w:rPr>
                <w:b/>
                <w:bCs/>
                <w:color w:val="000000"/>
                <w:sz w:val="18"/>
                <w:szCs w:val="18"/>
              </w:rPr>
              <w:t>5</w:t>
            </w:r>
            <w:r w:rsidRPr="00103EA9">
              <w:rPr>
                <w:b/>
                <w:bCs/>
                <w:color w:val="000000"/>
                <w:sz w:val="18"/>
                <w:szCs w:val="18"/>
              </w:rPr>
              <w:t>00,000</w:t>
            </w:r>
          </w:p>
          <w:p w14:paraId="0ADA0F0F" w14:textId="713D1859" w:rsidR="00772DE3" w:rsidRPr="00103EA9" w:rsidRDefault="00772DE3" w:rsidP="00C64533">
            <w:pPr>
              <w:rPr>
                <w:b/>
                <w:bCs/>
                <w:color w:val="000000"/>
                <w:sz w:val="18"/>
                <w:szCs w:val="18"/>
              </w:rPr>
            </w:pPr>
            <w:r w:rsidRPr="00103EA9">
              <w:rPr>
                <w:b/>
                <w:bCs/>
                <w:color w:val="000000"/>
                <w:sz w:val="18"/>
                <w:szCs w:val="18"/>
              </w:rPr>
              <w:t xml:space="preserve">Other: </w:t>
            </w:r>
            <w:r w:rsidR="00E10658">
              <w:rPr>
                <w:b/>
                <w:bCs/>
                <w:color w:val="000000"/>
                <w:sz w:val="18"/>
                <w:szCs w:val="18"/>
              </w:rPr>
              <w:t>7</w:t>
            </w:r>
            <w:r w:rsidRPr="00103EA9">
              <w:rPr>
                <w:b/>
                <w:bCs/>
                <w:color w:val="000000"/>
                <w:sz w:val="18"/>
                <w:szCs w:val="18"/>
              </w:rPr>
              <w:t>,000,000</w:t>
            </w:r>
          </w:p>
          <w:p w14:paraId="6A806B05" w14:textId="77777777" w:rsidR="00772DE3" w:rsidRPr="00103EA9" w:rsidRDefault="00772DE3" w:rsidP="00C64533">
            <w:pPr>
              <w:rPr>
                <w:b/>
                <w:bCs/>
                <w:color w:val="000000"/>
                <w:sz w:val="18"/>
                <w:szCs w:val="18"/>
              </w:rPr>
            </w:pPr>
          </w:p>
          <w:p w14:paraId="5B967DF9" w14:textId="77777777" w:rsidR="00772DE3" w:rsidRPr="00103EA9" w:rsidRDefault="00772DE3" w:rsidP="00C64533">
            <w:pPr>
              <w:rPr>
                <w:b/>
                <w:bCs/>
                <w:color w:val="000000"/>
                <w:sz w:val="18"/>
                <w:szCs w:val="18"/>
              </w:rPr>
            </w:pPr>
          </w:p>
          <w:p w14:paraId="376BAD86" w14:textId="77777777" w:rsidR="00772DE3" w:rsidRPr="00103EA9" w:rsidRDefault="00772DE3" w:rsidP="00C64533">
            <w:pPr>
              <w:rPr>
                <w:b/>
                <w:bCs/>
                <w:color w:val="000000"/>
                <w:sz w:val="18"/>
                <w:szCs w:val="18"/>
              </w:rPr>
            </w:pPr>
          </w:p>
          <w:p w14:paraId="38ECAF05" w14:textId="77777777" w:rsidR="00772DE3" w:rsidRPr="00103EA9" w:rsidRDefault="00772DE3" w:rsidP="00C64533">
            <w:pPr>
              <w:rPr>
                <w:b/>
                <w:bCs/>
                <w:color w:val="000000"/>
                <w:sz w:val="18"/>
                <w:szCs w:val="18"/>
              </w:rPr>
            </w:pPr>
          </w:p>
          <w:p w14:paraId="6B031547" w14:textId="77777777" w:rsidR="00772DE3" w:rsidRPr="00103EA9" w:rsidRDefault="00772DE3" w:rsidP="00C64533">
            <w:pPr>
              <w:rPr>
                <w:b/>
                <w:bCs/>
                <w:color w:val="000000"/>
                <w:sz w:val="18"/>
                <w:szCs w:val="18"/>
              </w:rPr>
            </w:pPr>
          </w:p>
          <w:p w14:paraId="7054230D" w14:textId="77777777" w:rsidR="00772DE3" w:rsidRPr="00103EA9" w:rsidRDefault="00772DE3" w:rsidP="00C64533">
            <w:pPr>
              <w:rPr>
                <w:b/>
                <w:bCs/>
                <w:color w:val="000000"/>
                <w:sz w:val="18"/>
                <w:szCs w:val="18"/>
              </w:rPr>
            </w:pPr>
          </w:p>
          <w:p w14:paraId="66D1970A" w14:textId="77777777" w:rsidR="00772DE3" w:rsidRPr="00103EA9" w:rsidRDefault="00772DE3" w:rsidP="00C64533">
            <w:pPr>
              <w:rPr>
                <w:b/>
                <w:bCs/>
                <w:color w:val="000000"/>
                <w:sz w:val="18"/>
                <w:szCs w:val="18"/>
              </w:rPr>
            </w:pPr>
          </w:p>
          <w:p w14:paraId="119C5B70" w14:textId="77777777" w:rsidR="00772DE3" w:rsidRPr="00103EA9" w:rsidRDefault="00772DE3" w:rsidP="00C64533">
            <w:pPr>
              <w:rPr>
                <w:b/>
                <w:bCs/>
                <w:color w:val="000000"/>
                <w:sz w:val="18"/>
                <w:szCs w:val="18"/>
              </w:rPr>
            </w:pPr>
          </w:p>
          <w:p w14:paraId="366C9461" w14:textId="77777777" w:rsidR="00772DE3" w:rsidRPr="00103EA9" w:rsidRDefault="00772DE3" w:rsidP="00C64533">
            <w:pPr>
              <w:rPr>
                <w:b/>
                <w:bCs/>
                <w:color w:val="000000"/>
                <w:sz w:val="18"/>
                <w:szCs w:val="18"/>
              </w:rPr>
            </w:pPr>
          </w:p>
          <w:p w14:paraId="7E852C05" w14:textId="77777777" w:rsidR="00772DE3" w:rsidRPr="00103EA9" w:rsidRDefault="00772DE3" w:rsidP="00C64533">
            <w:pPr>
              <w:rPr>
                <w:b/>
                <w:bCs/>
                <w:color w:val="000000"/>
                <w:sz w:val="18"/>
                <w:szCs w:val="18"/>
              </w:rPr>
            </w:pPr>
          </w:p>
          <w:p w14:paraId="55F6B367" w14:textId="77777777" w:rsidR="00772DE3" w:rsidRPr="00103EA9" w:rsidRDefault="00772DE3" w:rsidP="00C64533">
            <w:pPr>
              <w:rPr>
                <w:b/>
                <w:bCs/>
                <w:color w:val="000000"/>
                <w:sz w:val="18"/>
                <w:szCs w:val="18"/>
              </w:rPr>
            </w:pPr>
          </w:p>
          <w:p w14:paraId="744D4C5C" w14:textId="77777777" w:rsidR="00772DE3" w:rsidRPr="00103EA9" w:rsidRDefault="00772DE3" w:rsidP="00C64533">
            <w:pPr>
              <w:rPr>
                <w:b/>
                <w:bCs/>
                <w:color w:val="000000"/>
                <w:sz w:val="18"/>
                <w:szCs w:val="18"/>
              </w:rPr>
            </w:pPr>
          </w:p>
          <w:p w14:paraId="54774C5F" w14:textId="77777777" w:rsidR="00772DE3" w:rsidRPr="00103EA9" w:rsidRDefault="00772DE3" w:rsidP="00C64533">
            <w:pPr>
              <w:rPr>
                <w:b/>
                <w:bCs/>
                <w:color w:val="000000"/>
                <w:sz w:val="18"/>
                <w:szCs w:val="18"/>
              </w:rPr>
            </w:pPr>
          </w:p>
          <w:p w14:paraId="7FB9C887" w14:textId="77777777" w:rsidR="00772DE3" w:rsidRPr="00103EA9" w:rsidRDefault="00772DE3" w:rsidP="00C64533">
            <w:pPr>
              <w:rPr>
                <w:b/>
                <w:bCs/>
                <w:color w:val="000000"/>
                <w:sz w:val="18"/>
                <w:szCs w:val="18"/>
              </w:rPr>
            </w:pPr>
          </w:p>
          <w:p w14:paraId="154ED217" w14:textId="77777777" w:rsidR="00772DE3" w:rsidRPr="00103EA9" w:rsidRDefault="00772DE3" w:rsidP="00C64533">
            <w:pPr>
              <w:rPr>
                <w:b/>
                <w:bCs/>
                <w:color w:val="000000"/>
                <w:sz w:val="18"/>
                <w:szCs w:val="18"/>
              </w:rPr>
            </w:pPr>
          </w:p>
          <w:p w14:paraId="0BDE7754" w14:textId="77777777" w:rsidR="00772DE3" w:rsidRPr="00103EA9" w:rsidRDefault="00772DE3" w:rsidP="00C64533">
            <w:pPr>
              <w:rPr>
                <w:b/>
                <w:bCs/>
                <w:color w:val="000000"/>
                <w:sz w:val="18"/>
                <w:szCs w:val="18"/>
              </w:rPr>
            </w:pPr>
          </w:p>
          <w:p w14:paraId="7094831E" w14:textId="77777777" w:rsidR="00772DE3" w:rsidRPr="00103EA9" w:rsidRDefault="00772DE3" w:rsidP="00C64533">
            <w:pPr>
              <w:rPr>
                <w:b/>
                <w:bCs/>
                <w:color w:val="000000"/>
                <w:sz w:val="18"/>
                <w:szCs w:val="18"/>
              </w:rPr>
            </w:pPr>
          </w:p>
          <w:p w14:paraId="0C76F92F" w14:textId="77777777" w:rsidR="00772DE3" w:rsidRPr="00103EA9" w:rsidRDefault="00772DE3" w:rsidP="00C64533">
            <w:pPr>
              <w:rPr>
                <w:b/>
                <w:bCs/>
                <w:color w:val="000000"/>
                <w:sz w:val="18"/>
                <w:szCs w:val="18"/>
              </w:rPr>
            </w:pPr>
          </w:p>
          <w:p w14:paraId="4B42271D" w14:textId="77777777" w:rsidR="00772DE3" w:rsidRPr="00103EA9" w:rsidRDefault="00772DE3" w:rsidP="00C64533">
            <w:pPr>
              <w:rPr>
                <w:b/>
                <w:bCs/>
                <w:color w:val="000000"/>
                <w:sz w:val="18"/>
                <w:szCs w:val="18"/>
              </w:rPr>
            </w:pPr>
          </w:p>
          <w:p w14:paraId="43E34F5D" w14:textId="77777777" w:rsidR="00772DE3" w:rsidRPr="00103EA9" w:rsidRDefault="00772DE3" w:rsidP="00C64533">
            <w:pPr>
              <w:rPr>
                <w:b/>
                <w:bCs/>
                <w:color w:val="000000"/>
                <w:sz w:val="18"/>
                <w:szCs w:val="18"/>
              </w:rPr>
            </w:pPr>
          </w:p>
          <w:p w14:paraId="026875BC" w14:textId="77777777" w:rsidR="00772DE3" w:rsidRPr="00103EA9" w:rsidRDefault="00772DE3" w:rsidP="00C64533">
            <w:pPr>
              <w:rPr>
                <w:b/>
                <w:bCs/>
                <w:color w:val="000000"/>
                <w:sz w:val="18"/>
                <w:szCs w:val="18"/>
              </w:rPr>
            </w:pPr>
          </w:p>
          <w:p w14:paraId="7C7963B1" w14:textId="77777777" w:rsidR="00772DE3" w:rsidRPr="00103EA9" w:rsidRDefault="00772DE3" w:rsidP="00C64533">
            <w:pPr>
              <w:rPr>
                <w:b/>
                <w:bCs/>
                <w:color w:val="000000"/>
                <w:sz w:val="18"/>
                <w:szCs w:val="18"/>
              </w:rPr>
            </w:pPr>
          </w:p>
          <w:p w14:paraId="57F2788F" w14:textId="77777777" w:rsidR="00772DE3" w:rsidRPr="00103EA9" w:rsidRDefault="00772DE3" w:rsidP="00C64533">
            <w:pPr>
              <w:rPr>
                <w:b/>
                <w:bCs/>
                <w:color w:val="000000"/>
                <w:sz w:val="18"/>
                <w:szCs w:val="18"/>
              </w:rPr>
            </w:pPr>
          </w:p>
          <w:p w14:paraId="0C07EF14" w14:textId="77777777" w:rsidR="00772DE3" w:rsidRPr="00103EA9" w:rsidRDefault="00772DE3" w:rsidP="00C64533">
            <w:pPr>
              <w:rPr>
                <w:b/>
                <w:bCs/>
                <w:color w:val="000000"/>
                <w:sz w:val="18"/>
                <w:szCs w:val="18"/>
              </w:rPr>
            </w:pPr>
          </w:p>
          <w:p w14:paraId="276B7FAD" w14:textId="77777777" w:rsidR="00772DE3" w:rsidRPr="00103EA9" w:rsidRDefault="00772DE3" w:rsidP="00C64533">
            <w:pPr>
              <w:rPr>
                <w:b/>
                <w:bCs/>
                <w:color w:val="000000"/>
                <w:sz w:val="18"/>
                <w:szCs w:val="18"/>
              </w:rPr>
            </w:pPr>
          </w:p>
          <w:p w14:paraId="620DC62B" w14:textId="77777777" w:rsidR="00772DE3" w:rsidRPr="00103EA9" w:rsidRDefault="00772DE3" w:rsidP="00C64533">
            <w:pPr>
              <w:rPr>
                <w:b/>
                <w:bCs/>
                <w:color w:val="000000"/>
                <w:sz w:val="18"/>
                <w:szCs w:val="18"/>
              </w:rPr>
            </w:pPr>
          </w:p>
          <w:p w14:paraId="457853E9" w14:textId="77777777" w:rsidR="00772DE3" w:rsidRPr="00103EA9" w:rsidRDefault="00772DE3" w:rsidP="00C64533">
            <w:pPr>
              <w:rPr>
                <w:b/>
                <w:bCs/>
                <w:color w:val="000000"/>
                <w:sz w:val="18"/>
                <w:szCs w:val="18"/>
              </w:rPr>
            </w:pPr>
          </w:p>
          <w:p w14:paraId="3437E7E3" w14:textId="77777777" w:rsidR="00772DE3" w:rsidRPr="00103EA9" w:rsidRDefault="00772DE3" w:rsidP="00C64533">
            <w:pPr>
              <w:rPr>
                <w:b/>
                <w:bCs/>
                <w:color w:val="000000"/>
                <w:sz w:val="18"/>
                <w:szCs w:val="18"/>
              </w:rPr>
            </w:pPr>
          </w:p>
          <w:p w14:paraId="5FC7CBED" w14:textId="77777777" w:rsidR="00772DE3" w:rsidRPr="00103EA9" w:rsidRDefault="00772DE3" w:rsidP="00C64533">
            <w:pPr>
              <w:rPr>
                <w:b/>
                <w:bCs/>
                <w:color w:val="000000"/>
                <w:sz w:val="18"/>
                <w:szCs w:val="18"/>
              </w:rPr>
            </w:pPr>
          </w:p>
          <w:p w14:paraId="0EE7227C" w14:textId="77777777" w:rsidR="00772DE3" w:rsidRPr="00103EA9" w:rsidRDefault="00772DE3" w:rsidP="00C64533">
            <w:pPr>
              <w:rPr>
                <w:b/>
                <w:bCs/>
                <w:color w:val="000000"/>
                <w:sz w:val="18"/>
                <w:szCs w:val="18"/>
              </w:rPr>
            </w:pPr>
          </w:p>
          <w:p w14:paraId="5422AB4A" w14:textId="77777777" w:rsidR="00772DE3" w:rsidRPr="00103EA9" w:rsidRDefault="00772DE3" w:rsidP="00C64533">
            <w:pPr>
              <w:rPr>
                <w:b/>
                <w:bCs/>
                <w:color w:val="000000"/>
                <w:sz w:val="18"/>
                <w:szCs w:val="18"/>
              </w:rPr>
            </w:pPr>
          </w:p>
          <w:p w14:paraId="51121138" w14:textId="65781B02" w:rsidR="00772DE3" w:rsidRPr="00103EA9" w:rsidRDefault="00772DE3" w:rsidP="00C64533">
            <w:pPr>
              <w:rPr>
                <w:b/>
                <w:bCs/>
                <w:color w:val="000000"/>
                <w:sz w:val="18"/>
                <w:szCs w:val="18"/>
              </w:rPr>
            </w:pPr>
            <w:r w:rsidRPr="00103EA9">
              <w:rPr>
                <w:b/>
                <w:bCs/>
                <w:color w:val="000000"/>
                <w:sz w:val="18"/>
                <w:szCs w:val="18"/>
              </w:rPr>
              <w:t xml:space="preserve">Regular: </w:t>
            </w:r>
            <w:r w:rsidR="00393EB3">
              <w:rPr>
                <w:b/>
                <w:bCs/>
                <w:color w:val="000000"/>
                <w:sz w:val="18"/>
                <w:szCs w:val="18"/>
              </w:rPr>
              <w:t>6</w:t>
            </w:r>
            <w:r w:rsidRPr="00103EA9">
              <w:rPr>
                <w:b/>
                <w:bCs/>
                <w:color w:val="000000"/>
                <w:sz w:val="18"/>
                <w:szCs w:val="18"/>
              </w:rPr>
              <w:t>15,000</w:t>
            </w:r>
          </w:p>
          <w:p w14:paraId="1E6AC784" w14:textId="5A24021A" w:rsidR="00772DE3" w:rsidRPr="00103EA9" w:rsidRDefault="00772DE3" w:rsidP="00BC4D71">
            <w:pPr>
              <w:rPr>
                <w:b/>
                <w:bCs/>
                <w:color w:val="000000"/>
                <w:sz w:val="18"/>
                <w:szCs w:val="18"/>
              </w:rPr>
            </w:pPr>
            <w:r w:rsidRPr="00103EA9">
              <w:rPr>
                <w:b/>
                <w:bCs/>
                <w:color w:val="000000"/>
                <w:sz w:val="18"/>
                <w:szCs w:val="18"/>
              </w:rPr>
              <w:t xml:space="preserve">Other: </w:t>
            </w:r>
            <w:r w:rsidR="00393EB3">
              <w:rPr>
                <w:b/>
                <w:bCs/>
                <w:color w:val="000000"/>
                <w:sz w:val="18"/>
                <w:szCs w:val="18"/>
              </w:rPr>
              <w:t>7</w:t>
            </w:r>
            <w:r w:rsidRPr="00103EA9">
              <w:rPr>
                <w:b/>
                <w:bCs/>
                <w:color w:val="000000"/>
                <w:sz w:val="18"/>
                <w:szCs w:val="18"/>
              </w:rPr>
              <w:t>,000,000</w:t>
            </w:r>
          </w:p>
        </w:tc>
      </w:tr>
      <w:tr w:rsidR="00772DE3" w:rsidRPr="00103EA9" w14:paraId="7C7DC727" w14:textId="77777777" w:rsidTr="00BC4D71">
        <w:tc>
          <w:tcPr>
            <w:tcW w:w="2851" w:type="dxa"/>
            <w:vMerge/>
            <w:tcMar>
              <w:top w:w="72" w:type="dxa"/>
              <w:left w:w="144" w:type="dxa"/>
              <w:bottom w:w="72" w:type="dxa"/>
              <w:right w:w="144" w:type="dxa"/>
            </w:tcMar>
          </w:tcPr>
          <w:p w14:paraId="66E3575E" w14:textId="77777777" w:rsidR="00772DE3" w:rsidRPr="00103EA9" w:rsidRDefault="00772DE3" w:rsidP="00ED0615">
            <w:pPr>
              <w:rPr>
                <w:sz w:val="18"/>
                <w:szCs w:val="18"/>
              </w:rPr>
            </w:pPr>
          </w:p>
        </w:tc>
        <w:tc>
          <w:tcPr>
            <w:tcW w:w="2598" w:type="dxa"/>
            <w:vMerge/>
          </w:tcPr>
          <w:p w14:paraId="003AAF07" w14:textId="141E962B" w:rsidR="00772DE3" w:rsidRPr="00103EA9" w:rsidRDefault="00772DE3" w:rsidP="00ED0615">
            <w:pPr>
              <w:rPr>
                <w:rFonts w:eastAsia="Calibri"/>
                <w:sz w:val="18"/>
                <w:szCs w:val="18"/>
              </w:rPr>
            </w:pPr>
          </w:p>
        </w:tc>
        <w:tc>
          <w:tcPr>
            <w:tcW w:w="3293" w:type="dxa"/>
            <w:tcMar>
              <w:top w:w="72" w:type="dxa"/>
              <w:left w:w="144" w:type="dxa"/>
              <w:bottom w:w="72" w:type="dxa"/>
              <w:right w:w="144" w:type="dxa"/>
            </w:tcMar>
          </w:tcPr>
          <w:p w14:paraId="66595F28" w14:textId="48574D3E" w:rsidR="00772DE3" w:rsidRPr="00103EA9" w:rsidRDefault="00772DE3" w:rsidP="00C64533">
            <w:pPr>
              <w:spacing w:line="257" w:lineRule="auto"/>
              <w:rPr>
                <w:rFonts w:eastAsia="Calibri"/>
                <w:sz w:val="18"/>
                <w:szCs w:val="18"/>
              </w:rPr>
            </w:pPr>
            <w:r w:rsidRPr="00103EA9">
              <w:rPr>
                <w:rFonts w:eastAsia="Calibri"/>
                <w:b/>
                <w:bCs/>
                <w:sz w:val="18"/>
                <w:szCs w:val="18"/>
              </w:rPr>
              <w:t>Output 1.3</w:t>
            </w:r>
            <w:r w:rsidR="00F85D2B">
              <w:rPr>
                <w:rFonts w:eastAsia="Calibri"/>
                <w:b/>
                <w:bCs/>
                <w:sz w:val="18"/>
                <w:szCs w:val="18"/>
              </w:rPr>
              <w:t>.</w:t>
            </w:r>
            <w:r w:rsidRPr="00103EA9">
              <w:rPr>
                <w:rFonts w:eastAsia="Calibri"/>
                <w:b/>
                <w:bCs/>
                <w:sz w:val="18"/>
                <w:szCs w:val="18"/>
              </w:rPr>
              <w:t xml:space="preserve">: </w:t>
            </w:r>
            <w:r w:rsidRPr="00103EA9">
              <w:rPr>
                <w:rFonts w:eastAsia="Calibri"/>
                <w:sz w:val="18"/>
                <w:szCs w:val="18"/>
              </w:rPr>
              <w:t xml:space="preserve">Degraded landscapes (reserves and off-reserves) restored through public and private </w:t>
            </w:r>
            <w:r w:rsidR="00F85D2B">
              <w:rPr>
                <w:rFonts w:eastAsia="Calibri"/>
                <w:sz w:val="18"/>
                <w:szCs w:val="18"/>
              </w:rPr>
              <w:t>p</w:t>
            </w:r>
            <w:r w:rsidRPr="00103EA9">
              <w:rPr>
                <w:rFonts w:eastAsia="Calibri"/>
                <w:sz w:val="18"/>
                <w:szCs w:val="18"/>
              </w:rPr>
              <w:t>artnerships for people and planet</w:t>
            </w:r>
            <w:r w:rsidR="00F85D2B">
              <w:rPr>
                <w:rFonts w:eastAsia="Calibri"/>
                <w:sz w:val="18"/>
                <w:szCs w:val="18"/>
              </w:rPr>
              <w:t>.</w:t>
            </w:r>
          </w:p>
          <w:p w14:paraId="0DA4638B" w14:textId="77777777" w:rsidR="00772DE3" w:rsidRPr="00103EA9" w:rsidRDefault="00772DE3" w:rsidP="00C64533">
            <w:pPr>
              <w:rPr>
                <w:sz w:val="18"/>
                <w:szCs w:val="18"/>
              </w:rPr>
            </w:pPr>
            <w:r w:rsidRPr="00103EA9">
              <w:rPr>
                <w:rFonts w:eastAsia="Calibri"/>
                <w:sz w:val="18"/>
                <w:szCs w:val="18"/>
              </w:rPr>
              <w:t xml:space="preserve"> </w:t>
            </w:r>
          </w:p>
          <w:p w14:paraId="768B7D78" w14:textId="0DC3CB2E" w:rsidR="00772DE3" w:rsidRPr="00103EA9" w:rsidRDefault="00772DE3" w:rsidP="00C64533">
            <w:pPr>
              <w:rPr>
                <w:rFonts w:eastAsia="Calibri"/>
                <w:sz w:val="18"/>
                <w:szCs w:val="18"/>
              </w:rPr>
            </w:pPr>
            <w:r w:rsidRPr="00103EA9">
              <w:rPr>
                <w:rFonts w:eastAsia="Calibri"/>
                <w:b/>
                <w:bCs/>
                <w:sz w:val="18"/>
                <w:szCs w:val="18"/>
              </w:rPr>
              <w:t>Indicator 1.3.1</w:t>
            </w:r>
            <w:r w:rsidR="00F85D2B">
              <w:rPr>
                <w:rFonts w:eastAsia="Calibri"/>
                <w:b/>
                <w:bCs/>
                <w:sz w:val="18"/>
                <w:szCs w:val="18"/>
              </w:rPr>
              <w:t>.</w:t>
            </w:r>
            <w:r w:rsidRPr="00103EA9">
              <w:rPr>
                <w:rFonts w:eastAsia="Calibri"/>
                <w:b/>
                <w:bCs/>
                <w:sz w:val="18"/>
                <w:szCs w:val="18"/>
              </w:rPr>
              <w:t>:</w:t>
            </w:r>
            <w:r w:rsidRPr="00103EA9">
              <w:rPr>
                <w:rFonts w:eastAsia="Calibri"/>
                <w:sz w:val="18"/>
                <w:szCs w:val="18"/>
              </w:rPr>
              <w:t xml:space="preserve"> Number of hectares of degraded land or forests under improved management (through </w:t>
            </w:r>
            <w:r w:rsidR="006B76AB" w:rsidRPr="006B76AB">
              <w:rPr>
                <w:rFonts w:eastAsia="Calibri"/>
                <w:sz w:val="18"/>
                <w:szCs w:val="18"/>
              </w:rPr>
              <w:t>Modified Taungya System (MTS)</w:t>
            </w:r>
            <w:r w:rsidRPr="00103EA9">
              <w:rPr>
                <w:rFonts w:eastAsia="Calibri"/>
                <w:sz w:val="18"/>
                <w:szCs w:val="18"/>
              </w:rPr>
              <w:t xml:space="preserve">, </w:t>
            </w:r>
            <w:r w:rsidR="006B76AB" w:rsidRPr="006B76AB">
              <w:rPr>
                <w:rFonts w:eastAsia="Calibri"/>
                <w:sz w:val="18"/>
                <w:szCs w:val="18"/>
              </w:rPr>
              <w:t>Community Resource Management Areas (CREMAs)</w:t>
            </w:r>
            <w:r w:rsidRPr="00103EA9">
              <w:rPr>
                <w:rFonts w:eastAsia="Calibri"/>
                <w:sz w:val="18"/>
                <w:szCs w:val="18"/>
              </w:rPr>
              <w:t xml:space="preserve"> that contributes to CO2 emission reductions</w:t>
            </w:r>
            <w:r w:rsidR="00F85D2B">
              <w:rPr>
                <w:rFonts w:eastAsia="Calibri"/>
                <w:sz w:val="18"/>
                <w:szCs w:val="18"/>
              </w:rPr>
              <w:t>.</w:t>
            </w:r>
            <w:r w:rsidRPr="00103EA9">
              <w:rPr>
                <w:rFonts w:eastAsia="Calibri"/>
                <w:sz w:val="18"/>
                <w:szCs w:val="18"/>
              </w:rPr>
              <w:t xml:space="preserve"> </w:t>
            </w:r>
          </w:p>
          <w:p w14:paraId="3363BA27" w14:textId="5FA2A1CA" w:rsidR="00772DE3" w:rsidRPr="00103EA9" w:rsidRDefault="00772DE3" w:rsidP="000A3683">
            <w:pPr>
              <w:spacing w:line="257" w:lineRule="auto"/>
              <w:rPr>
                <w:sz w:val="18"/>
                <w:szCs w:val="18"/>
              </w:rPr>
            </w:pPr>
            <w:r w:rsidRPr="00103EA9">
              <w:rPr>
                <w:rFonts w:eastAsia="Calibri"/>
                <w:b/>
                <w:bCs/>
                <w:sz w:val="18"/>
                <w:szCs w:val="18"/>
              </w:rPr>
              <w:t>Baseline:</w:t>
            </w:r>
            <w:r w:rsidRPr="00103EA9">
              <w:rPr>
                <w:rFonts w:eastAsia="Calibri"/>
                <w:sz w:val="18"/>
                <w:szCs w:val="18"/>
              </w:rPr>
              <w:t xml:space="preserve"> 124,096 ha (2021)</w:t>
            </w:r>
          </w:p>
          <w:p w14:paraId="7298C3CC" w14:textId="7D38918E" w:rsidR="00772DE3" w:rsidRPr="00103EA9" w:rsidRDefault="00772DE3" w:rsidP="00C044F7">
            <w:pPr>
              <w:spacing w:line="257" w:lineRule="auto"/>
              <w:rPr>
                <w:rFonts w:eastAsia="Calibri"/>
                <w:sz w:val="18"/>
                <w:szCs w:val="18"/>
              </w:rPr>
            </w:pPr>
            <w:r w:rsidRPr="00103EA9">
              <w:rPr>
                <w:rFonts w:eastAsia="Calibri"/>
                <w:b/>
                <w:bCs/>
                <w:sz w:val="18"/>
                <w:szCs w:val="18"/>
              </w:rPr>
              <w:t>Target</w:t>
            </w:r>
            <w:r w:rsidR="00CE184D" w:rsidRPr="00103EA9">
              <w:rPr>
                <w:rFonts w:eastAsia="Calibri"/>
                <w:b/>
                <w:bCs/>
                <w:sz w:val="18"/>
                <w:szCs w:val="18"/>
              </w:rPr>
              <w:t>:</w:t>
            </w:r>
            <w:r w:rsidRPr="00103EA9">
              <w:rPr>
                <w:rFonts w:eastAsia="Calibri"/>
                <w:sz w:val="18"/>
                <w:szCs w:val="18"/>
              </w:rPr>
              <w:t xml:space="preserve"> 730,000 ha (2027)</w:t>
            </w:r>
          </w:p>
          <w:p w14:paraId="699C6A35" w14:textId="711FE66E" w:rsidR="00772DE3" w:rsidRPr="00103EA9" w:rsidRDefault="00772DE3" w:rsidP="00C64533">
            <w:pPr>
              <w:rPr>
                <w:sz w:val="18"/>
                <w:szCs w:val="18"/>
              </w:rPr>
            </w:pPr>
            <w:r w:rsidRPr="00103EA9">
              <w:rPr>
                <w:rFonts w:eastAsia="Calibri"/>
                <w:b/>
                <w:bCs/>
                <w:sz w:val="18"/>
                <w:szCs w:val="18"/>
              </w:rPr>
              <w:t>Data Source:</w:t>
            </w:r>
            <w:r w:rsidRPr="00103EA9">
              <w:rPr>
                <w:rFonts w:eastAsia="Calibri"/>
                <w:sz w:val="18"/>
                <w:szCs w:val="18"/>
              </w:rPr>
              <w:t xml:space="preserve"> </w:t>
            </w:r>
            <w:r w:rsidR="00D3504E">
              <w:rPr>
                <w:rFonts w:eastAsia="Calibri"/>
                <w:sz w:val="18"/>
                <w:szCs w:val="18"/>
              </w:rPr>
              <w:t>FC</w:t>
            </w:r>
            <w:r w:rsidR="006707A0" w:rsidRPr="00103EA9">
              <w:rPr>
                <w:rFonts w:eastAsia="Calibri"/>
                <w:sz w:val="18"/>
                <w:szCs w:val="18"/>
              </w:rPr>
              <w:t xml:space="preserve"> </w:t>
            </w:r>
          </w:p>
          <w:p w14:paraId="30A37242" w14:textId="77777777" w:rsidR="00772DE3" w:rsidRPr="00103EA9" w:rsidRDefault="00772DE3" w:rsidP="00C64533">
            <w:pPr>
              <w:rPr>
                <w:sz w:val="18"/>
                <w:szCs w:val="18"/>
              </w:rPr>
            </w:pPr>
            <w:r w:rsidRPr="00103EA9">
              <w:rPr>
                <w:rFonts w:eastAsia="Calibri"/>
                <w:b/>
                <w:bCs/>
                <w:sz w:val="18"/>
                <w:szCs w:val="18"/>
              </w:rPr>
              <w:t>Frequency:</w:t>
            </w:r>
            <w:r w:rsidRPr="00103EA9">
              <w:rPr>
                <w:rFonts w:eastAsia="Calibri"/>
                <w:sz w:val="18"/>
                <w:szCs w:val="18"/>
              </w:rPr>
              <w:t xml:space="preserve"> Annual </w:t>
            </w:r>
          </w:p>
          <w:p w14:paraId="3B4BF67D" w14:textId="06D50C15" w:rsidR="00772DE3" w:rsidRPr="00103EA9" w:rsidRDefault="00772DE3" w:rsidP="00C64533">
            <w:pPr>
              <w:rPr>
                <w:sz w:val="18"/>
                <w:szCs w:val="18"/>
              </w:rPr>
            </w:pPr>
          </w:p>
          <w:p w14:paraId="6C3BE1A3" w14:textId="3FDCEE16" w:rsidR="00772DE3" w:rsidRPr="00103EA9" w:rsidRDefault="00772DE3" w:rsidP="00C64533">
            <w:pPr>
              <w:rPr>
                <w:rFonts w:eastAsia="Calibri"/>
                <w:sz w:val="18"/>
                <w:szCs w:val="18"/>
              </w:rPr>
            </w:pPr>
            <w:r w:rsidRPr="00103EA9">
              <w:rPr>
                <w:rFonts w:eastAsia="Calibri"/>
                <w:b/>
                <w:bCs/>
                <w:sz w:val="18"/>
                <w:szCs w:val="18"/>
              </w:rPr>
              <w:t>Indicator 1.3.2</w:t>
            </w:r>
            <w:r w:rsidR="00F85D2B">
              <w:rPr>
                <w:rFonts w:eastAsia="Calibri"/>
                <w:b/>
                <w:bCs/>
                <w:sz w:val="18"/>
                <w:szCs w:val="18"/>
              </w:rPr>
              <w:t>.</w:t>
            </w:r>
            <w:r w:rsidRPr="00103EA9">
              <w:rPr>
                <w:rFonts w:eastAsia="Calibri"/>
                <w:b/>
                <w:bCs/>
                <w:sz w:val="18"/>
                <w:szCs w:val="18"/>
              </w:rPr>
              <w:t>:</w:t>
            </w:r>
            <w:r w:rsidRPr="00103EA9">
              <w:rPr>
                <w:rFonts w:eastAsia="Calibri"/>
                <w:sz w:val="18"/>
                <w:szCs w:val="18"/>
              </w:rPr>
              <w:t xml:space="preserve"> Tonnes of carbon dioxide equivalent (t CO2eq) reduced or avoided (including increased removals)</w:t>
            </w:r>
            <w:r w:rsidR="00F85D2B">
              <w:rPr>
                <w:rFonts w:eastAsia="Calibri"/>
                <w:sz w:val="18"/>
                <w:szCs w:val="18"/>
              </w:rPr>
              <w:t>.</w:t>
            </w:r>
          </w:p>
          <w:p w14:paraId="159995E5" w14:textId="77777777" w:rsidR="00772DE3" w:rsidRPr="00103EA9" w:rsidRDefault="00772DE3" w:rsidP="00C64533">
            <w:pPr>
              <w:rPr>
                <w:sz w:val="18"/>
                <w:szCs w:val="18"/>
              </w:rPr>
            </w:pPr>
            <w:r w:rsidRPr="00103EA9">
              <w:rPr>
                <w:rFonts w:eastAsia="Calibri"/>
                <w:b/>
                <w:sz w:val="18"/>
                <w:szCs w:val="18"/>
              </w:rPr>
              <w:t>Baseline:</w:t>
            </w:r>
            <w:r w:rsidRPr="00103EA9">
              <w:rPr>
                <w:rFonts w:eastAsia="Calibri"/>
                <w:sz w:val="18"/>
                <w:szCs w:val="18"/>
              </w:rPr>
              <w:t xml:space="preserve"> 0 tCO2e (2021)</w:t>
            </w:r>
          </w:p>
          <w:p w14:paraId="7CC55C1F" w14:textId="71A24EFC" w:rsidR="00772DE3" w:rsidRPr="00103EA9" w:rsidRDefault="00772DE3" w:rsidP="00C64533">
            <w:pPr>
              <w:rPr>
                <w:sz w:val="18"/>
                <w:szCs w:val="18"/>
              </w:rPr>
            </w:pPr>
            <w:r w:rsidRPr="00103EA9">
              <w:rPr>
                <w:rFonts w:eastAsia="Calibri"/>
                <w:b/>
                <w:sz w:val="18"/>
                <w:szCs w:val="18"/>
              </w:rPr>
              <w:lastRenderedPageBreak/>
              <w:t xml:space="preserve">Target: </w:t>
            </w:r>
            <w:r w:rsidRPr="00103EA9">
              <w:rPr>
                <w:rFonts w:eastAsia="Calibri"/>
                <w:sz w:val="18"/>
                <w:szCs w:val="18"/>
              </w:rPr>
              <w:t xml:space="preserve"> 4.5 million tCO2e (2027)</w:t>
            </w:r>
          </w:p>
          <w:p w14:paraId="5E263C91" w14:textId="031B548B" w:rsidR="00772DE3" w:rsidRPr="00103EA9" w:rsidRDefault="00772DE3" w:rsidP="00C64533">
            <w:pPr>
              <w:rPr>
                <w:sz w:val="18"/>
                <w:szCs w:val="18"/>
              </w:rPr>
            </w:pPr>
            <w:r w:rsidRPr="00103EA9">
              <w:rPr>
                <w:rFonts w:eastAsia="Calibri"/>
                <w:b/>
                <w:bCs/>
                <w:sz w:val="18"/>
                <w:szCs w:val="18"/>
              </w:rPr>
              <w:t>Data Source:</w:t>
            </w:r>
            <w:r w:rsidRPr="00103EA9">
              <w:rPr>
                <w:rFonts w:eastAsia="Calibri"/>
                <w:sz w:val="18"/>
                <w:szCs w:val="18"/>
              </w:rPr>
              <w:t xml:space="preserve"> </w:t>
            </w:r>
            <w:r w:rsidR="00D3504E">
              <w:rPr>
                <w:rFonts w:eastAsia="Calibri"/>
                <w:sz w:val="18"/>
                <w:szCs w:val="18"/>
              </w:rPr>
              <w:t>FC,</w:t>
            </w:r>
            <w:r w:rsidRPr="00103EA9">
              <w:rPr>
                <w:rFonts w:eastAsia="Calibri"/>
                <w:sz w:val="18"/>
                <w:szCs w:val="18"/>
              </w:rPr>
              <w:t xml:space="preserve"> Ghana’s Communications and Biennial Update </w:t>
            </w:r>
            <w:r w:rsidR="00F85D2B">
              <w:rPr>
                <w:rFonts w:eastAsia="Calibri"/>
                <w:sz w:val="18"/>
                <w:szCs w:val="18"/>
              </w:rPr>
              <w:t>r</w:t>
            </w:r>
            <w:r w:rsidRPr="00103EA9">
              <w:rPr>
                <w:rFonts w:eastAsia="Calibri"/>
                <w:sz w:val="18"/>
                <w:szCs w:val="18"/>
              </w:rPr>
              <w:t>eports to UNFCCC</w:t>
            </w:r>
          </w:p>
          <w:p w14:paraId="23DD1434" w14:textId="29AD8640" w:rsidR="00772DE3" w:rsidRPr="00103EA9" w:rsidRDefault="00772DE3" w:rsidP="003A42A7">
            <w:pPr>
              <w:rPr>
                <w:rFonts w:eastAsia="Calibri"/>
                <w:sz w:val="18"/>
                <w:szCs w:val="18"/>
              </w:rPr>
            </w:pPr>
            <w:r w:rsidRPr="00103EA9">
              <w:rPr>
                <w:rFonts w:eastAsia="Calibri"/>
                <w:b/>
                <w:bCs/>
                <w:sz w:val="18"/>
                <w:szCs w:val="18"/>
              </w:rPr>
              <w:t>Frequency:</w:t>
            </w:r>
            <w:r w:rsidRPr="00103EA9">
              <w:rPr>
                <w:rFonts w:eastAsia="Calibri"/>
                <w:sz w:val="18"/>
                <w:szCs w:val="18"/>
              </w:rPr>
              <w:t xml:space="preserve"> </w:t>
            </w:r>
            <w:r w:rsidR="00F85D2B">
              <w:rPr>
                <w:rFonts w:eastAsia="Calibri"/>
                <w:sz w:val="18"/>
                <w:szCs w:val="18"/>
              </w:rPr>
              <w:t>A</w:t>
            </w:r>
            <w:r w:rsidRPr="00103EA9">
              <w:rPr>
                <w:rFonts w:eastAsia="Calibri"/>
                <w:sz w:val="18"/>
                <w:szCs w:val="18"/>
              </w:rPr>
              <w:t>nnual</w:t>
            </w:r>
            <w:r w:rsidR="003A42A7" w:rsidRPr="00103EA9">
              <w:rPr>
                <w:rFonts w:eastAsia="Calibri"/>
                <w:sz w:val="18"/>
                <w:szCs w:val="18"/>
              </w:rPr>
              <w:t xml:space="preserve"> </w:t>
            </w:r>
          </w:p>
        </w:tc>
        <w:tc>
          <w:tcPr>
            <w:tcW w:w="2593" w:type="dxa"/>
          </w:tcPr>
          <w:p w14:paraId="735CE14F" w14:textId="58F8C200" w:rsidR="00772DE3" w:rsidRPr="00103EA9" w:rsidRDefault="00772DE3" w:rsidP="008658B6">
            <w:pPr>
              <w:rPr>
                <w:rFonts w:eastAsia="Calibri"/>
                <w:sz w:val="18"/>
                <w:szCs w:val="18"/>
              </w:rPr>
            </w:pPr>
            <w:r w:rsidRPr="00103EA9">
              <w:rPr>
                <w:rFonts w:eastAsia="Calibri"/>
                <w:sz w:val="18"/>
                <w:szCs w:val="18"/>
              </w:rPr>
              <w:lastRenderedPageBreak/>
              <w:t>Ministry of Lands and Natural Resources (MLNR</w:t>
            </w:r>
            <w:r w:rsidR="00D3504E">
              <w:rPr>
                <w:rFonts w:eastAsia="Calibri"/>
                <w:sz w:val="18"/>
                <w:szCs w:val="18"/>
              </w:rPr>
              <w:t>), F</w:t>
            </w:r>
            <w:r w:rsidR="00731936">
              <w:rPr>
                <w:rFonts w:eastAsia="Calibri"/>
                <w:sz w:val="18"/>
                <w:szCs w:val="18"/>
              </w:rPr>
              <w:t xml:space="preserve">orestry </w:t>
            </w:r>
            <w:r w:rsidR="00D3504E">
              <w:rPr>
                <w:rFonts w:eastAsia="Calibri"/>
                <w:sz w:val="18"/>
                <w:szCs w:val="18"/>
              </w:rPr>
              <w:t>C</w:t>
            </w:r>
            <w:r w:rsidR="00731936">
              <w:rPr>
                <w:rFonts w:eastAsia="Calibri"/>
                <w:sz w:val="18"/>
                <w:szCs w:val="18"/>
              </w:rPr>
              <w:t>ommission</w:t>
            </w:r>
            <w:r w:rsidRPr="00103EA9">
              <w:rPr>
                <w:rFonts w:eastAsia="Calibri"/>
                <w:sz w:val="18"/>
                <w:szCs w:val="18"/>
              </w:rPr>
              <w:t xml:space="preserve">, </w:t>
            </w:r>
            <w:r w:rsidR="00731936">
              <w:rPr>
                <w:rFonts w:eastAsia="Calibri"/>
                <w:sz w:val="18"/>
                <w:szCs w:val="18"/>
              </w:rPr>
              <w:t xml:space="preserve">environment </w:t>
            </w:r>
            <w:r w:rsidR="00D3504E">
              <w:rPr>
                <w:rFonts w:eastAsia="Calibri"/>
                <w:sz w:val="18"/>
                <w:szCs w:val="18"/>
              </w:rPr>
              <w:t>P</w:t>
            </w:r>
            <w:r w:rsidR="00731936">
              <w:rPr>
                <w:rFonts w:eastAsia="Calibri"/>
                <w:sz w:val="18"/>
                <w:szCs w:val="18"/>
              </w:rPr>
              <w:t xml:space="preserve">rotection </w:t>
            </w:r>
            <w:r w:rsidR="00D3504E">
              <w:rPr>
                <w:rFonts w:eastAsia="Calibri"/>
                <w:sz w:val="18"/>
                <w:szCs w:val="18"/>
              </w:rPr>
              <w:t>A</w:t>
            </w:r>
            <w:r w:rsidR="00731936">
              <w:rPr>
                <w:rFonts w:eastAsia="Calibri"/>
                <w:sz w:val="18"/>
                <w:szCs w:val="18"/>
              </w:rPr>
              <w:t>gency</w:t>
            </w:r>
            <w:r w:rsidRPr="00103EA9">
              <w:rPr>
                <w:rFonts w:eastAsia="Calibri"/>
                <w:sz w:val="18"/>
                <w:szCs w:val="18"/>
              </w:rPr>
              <w:t xml:space="preserve">, MESTI, MMDAs, </w:t>
            </w:r>
            <w:r w:rsidR="00F85D2B">
              <w:rPr>
                <w:rFonts w:eastAsia="Calibri"/>
                <w:sz w:val="18"/>
                <w:szCs w:val="18"/>
              </w:rPr>
              <w:t>r</w:t>
            </w:r>
            <w:r w:rsidRPr="00103EA9">
              <w:rPr>
                <w:rFonts w:eastAsia="Calibri"/>
                <w:sz w:val="18"/>
                <w:szCs w:val="18"/>
              </w:rPr>
              <w:t>esearch institutions</w:t>
            </w:r>
            <w:r w:rsidR="00F85D2B">
              <w:rPr>
                <w:rFonts w:eastAsia="Calibri"/>
                <w:sz w:val="18"/>
                <w:szCs w:val="18"/>
              </w:rPr>
              <w:t>,</w:t>
            </w:r>
          </w:p>
          <w:p w14:paraId="4D3C8C69" w14:textId="7C266AA7" w:rsidR="00772DE3" w:rsidRPr="00103EA9" w:rsidRDefault="00772DE3" w:rsidP="008658B6">
            <w:pPr>
              <w:rPr>
                <w:rFonts w:eastAsia="Calibri"/>
                <w:sz w:val="18"/>
                <w:szCs w:val="18"/>
              </w:rPr>
            </w:pPr>
            <w:r w:rsidRPr="00103EA9">
              <w:rPr>
                <w:rFonts w:eastAsia="Calibri"/>
                <w:sz w:val="18"/>
                <w:szCs w:val="18"/>
              </w:rPr>
              <w:t xml:space="preserve">CSOs, </w:t>
            </w:r>
            <w:r w:rsidR="00F85D2B">
              <w:rPr>
                <w:rFonts w:eastAsia="Calibri"/>
                <w:sz w:val="18"/>
                <w:szCs w:val="18"/>
              </w:rPr>
              <w:t>t</w:t>
            </w:r>
            <w:r w:rsidRPr="00103EA9">
              <w:rPr>
                <w:rFonts w:eastAsia="Calibri"/>
                <w:sz w:val="18"/>
                <w:szCs w:val="18"/>
              </w:rPr>
              <w:t xml:space="preserve">raditional </w:t>
            </w:r>
            <w:r w:rsidR="00F85D2B">
              <w:rPr>
                <w:rFonts w:eastAsia="Calibri"/>
                <w:sz w:val="18"/>
                <w:szCs w:val="18"/>
              </w:rPr>
              <w:t>a</w:t>
            </w:r>
            <w:r w:rsidRPr="00103EA9">
              <w:rPr>
                <w:rFonts w:eastAsia="Calibri"/>
                <w:sz w:val="18"/>
                <w:szCs w:val="18"/>
              </w:rPr>
              <w:t>uthorities</w:t>
            </w:r>
            <w:r w:rsidR="00F85D2B">
              <w:rPr>
                <w:rFonts w:eastAsia="Calibri"/>
                <w:sz w:val="18"/>
                <w:szCs w:val="18"/>
              </w:rPr>
              <w:t>,</w:t>
            </w:r>
          </w:p>
          <w:p w14:paraId="26E36399" w14:textId="73A8D710" w:rsidR="00772DE3" w:rsidRPr="00103EA9" w:rsidRDefault="00F91FFB" w:rsidP="008658B6">
            <w:pPr>
              <w:rPr>
                <w:rFonts w:eastAsia="Calibri"/>
                <w:sz w:val="18"/>
                <w:szCs w:val="18"/>
              </w:rPr>
            </w:pPr>
            <w:r w:rsidRPr="00F91FFB">
              <w:rPr>
                <w:rFonts w:eastAsia="Calibri"/>
                <w:sz w:val="18"/>
                <w:szCs w:val="18"/>
              </w:rPr>
              <w:t xml:space="preserve">Ghana Cocoa </w:t>
            </w:r>
            <w:r w:rsidR="005238AE" w:rsidRPr="00F91FFB">
              <w:rPr>
                <w:rFonts w:eastAsia="Calibri"/>
                <w:sz w:val="18"/>
                <w:szCs w:val="18"/>
              </w:rPr>
              <w:t>Board</w:t>
            </w:r>
            <w:r w:rsidR="00772DE3" w:rsidRPr="00103EA9">
              <w:rPr>
                <w:rFonts w:eastAsia="Calibri"/>
                <w:sz w:val="18"/>
                <w:szCs w:val="18"/>
              </w:rPr>
              <w:t xml:space="preserve">, </w:t>
            </w:r>
            <w:r w:rsidRPr="00F91FFB">
              <w:rPr>
                <w:rFonts w:eastAsia="Calibri"/>
                <w:sz w:val="18"/>
                <w:szCs w:val="18"/>
              </w:rPr>
              <w:t xml:space="preserve">State Secretariat for Economic </w:t>
            </w:r>
            <w:r w:rsidR="005238AE" w:rsidRPr="00F91FFB">
              <w:rPr>
                <w:rFonts w:eastAsia="Calibri"/>
                <w:sz w:val="18"/>
                <w:szCs w:val="18"/>
              </w:rPr>
              <w:t>Affairs,</w:t>
            </w:r>
            <w:r w:rsidR="00772DE3" w:rsidRPr="00103EA9">
              <w:rPr>
                <w:rFonts w:eastAsia="Calibri"/>
                <w:sz w:val="18"/>
                <w:szCs w:val="18"/>
              </w:rPr>
              <w:t xml:space="preserve"> E</w:t>
            </w:r>
            <w:r w:rsidR="00F85D2B">
              <w:rPr>
                <w:rFonts w:eastAsia="Calibri"/>
                <w:sz w:val="18"/>
                <w:szCs w:val="18"/>
              </w:rPr>
              <w:t xml:space="preserve">uropean </w:t>
            </w:r>
            <w:r w:rsidR="00772DE3" w:rsidRPr="00103EA9">
              <w:rPr>
                <w:rFonts w:eastAsia="Calibri"/>
                <w:sz w:val="18"/>
                <w:szCs w:val="18"/>
              </w:rPr>
              <w:t>U</w:t>
            </w:r>
            <w:r w:rsidR="00F85D2B">
              <w:rPr>
                <w:rFonts w:eastAsia="Calibri"/>
                <w:sz w:val="18"/>
                <w:szCs w:val="18"/>
              </w:rPr>
              <w:t>nion</w:t>
            </w:r>
            <w:r w:rsidR="00772DE3" w:rsidRPr="00103EA9">
              <w:rPr>
                <w:rFonts w:eastAsia="Calibri"/>
                <w:sz w:val="18"/>
                <w:szCs w:val="18"/>
              </w:rPr>
              <w:t>, FAO</w:t>
            </w:r>
            <w:r w:rsidR="005E4A4D">
              <w:rPr>
                <w:rFonts w:eastAsia="Calibri"/>
                <w:sz w:val="18"/>
                <w:szCs w:val="18"/>
              </w:rPr>
              <w:t xml:space="preserve">, </w:t>
            </w:r>
            <w:r w:rsidR="00772DE3" w:rsidRPr="00103EA9">
              <w:rPr>
                <w:rFonts w:eastAsia="Calibri"/>
                <w:sz w:val="18"/>
                <w:szCs w:val="18"/>
              </w:rPr>
              <w:t xml:space="preserve">other </w:t>
            </w:r>
            <w:r w:rsidR="005E4A4D">
              <w:rPr>
                <w:rFonts w:eastAsia="Calibri"/>
                <w:sz w:val="18"/>
                <w:szCs w:val="18"/>
              </w:rPr>
              <w:t>d</w:t>
            </w:r>
            <w:r w:rsidR="006B76AB">
              <w:rPr>
                <w:rFonts w:eastAsia="Calibri"/>
                <w:sz w:val="18"/>
                <w:szCs w:val="18"/>
              </w:rPr>
              <w:t xml:space="preserve">evelopment </w:t>
            </w:r>
            <w:r w:rsidR="005E4A4D">
              <w:rPr>
                <w:rFonts w:eastAsia="Calibri"/>
                <w:sz w:val="18"/>
                <w:szCs w:val="18"/>
              </w:rPr>
              <w:t>p</w:t>
            </w:r>
            <w:r w:rsidR="006B76AB">
              <w:rPr>
                <w:rFonts w:eastAsia="Calibri"/>
                <w:sz w:val="18"/>
                <w:szCs w:val="18"/>
              </w:rPr>
              <w:t>artners</w:t>
            </w:r>
          </w:p>
          <w:p w14:paraId="7C70BB0C" w14:textId="77777777" w:rsidR="00772DE3" w:rsidRPr="00103EA9" w:rsidRDefault="00772DE3" w:rsidP="00C64533">
            <w:pPr>
              <w:rPr>
                <w:color w:val="000000"/>
                <w:sz w:val="18"/>
                <w:szCs w:val="18"/>
              </w:rPr>
            </w:pPr>
          </w:p>
        </w:tc>
        <w:tc>
          <w:tcPr>
            <w:tcW w:w="1709" w:type="dxa"/>
            <w:tcMar>
              <w:top w:w="15" w:type="dxa"/>
              <w:left w:w="108" w:type="dxa"/>
              <w:bottom w:w="0" w:type="dxa"/>
              <w:right w:w="108" w:type="dxa"/>
            </w:tcMar>
          </w:tcPr>
          <w:p w14:paraId="0BC4ACBB" w14:textId="6105939C" w:rsidR="00772DE3" w:rsidRPr="00103EA9" w:rsidRDefault="00772DE3" w:rsidP="00C64533">
            <w:pPr>
              <w:rPr>
                <w:b/>
                <w:bCs/>
                <w:color w:val="000000"/>
                <w:sz w:val="18"/>
                <w:szCs w:val="18"/>
              </w:rPr>
            </w:pPr>
            <w:r w:rsidRPr="00103EA9">
              <w:rPr>
                <w:b/>
                <w:bCs/>
                <w:color w:val="000000"/>
                <w:sz w:val="18"/>
                <w:szCs w:val="18"/>
              </w:rPr>
              <w:t xml:space="preserve">Regular: </w:t>
            </w:r>
            <w:r w:rsidR="00393EB3">
              <w:rPr>
                <w:b/>
                <w:bCs/>
                <w:color w:val="000000"/>
                <w:sz w:val="18"/>
                <w:szCs w:val="18"/>
              </w:rPr>
              <w:t>6</w:t>
            </w:r>
            <w:r w:rsidRPr="00103EA9">
              <w:rPr>
                <w:b/>
                <w:bCs/>
                <w:color w:val="000000"/>
                <w:sz w:val="18"/>
                <w:szCs w:val="18"/>
              </w:rPr>
              <w:t>00,000</w:t>
            </w:r>
          </w:p>
          <w:p w14:paraId="47C21A75" w14:textId="77777777" w:rsidR="00772DE3" w:rsidRPr="00103EA9" w:rsidRDefault="00772DE3" w:rsidP="00C64533">
            <w:pPr>
              <w:rPr>
                <w:b/>
                <w:bCs/>
                <w:color w:val="000000"/>
                <w:sz w:val="18"/>
                <w:szCs w:val="18"/>
              </w:rPr>
            </w:pPr>
            <w:r w:rsidRPr="00103EA9">
              <w:rPr>
                <w:b/>
                <w:bCs/>
                <w:color w:val="000000"/>
                <w:sz w:val="18"/>
                <w:szCs w:val="18"/>
              </w:rPr>
              <w:t>Others: 22,000,000</w:t>
            </w:r>
          </w:p>
        </w:tc>
      </w:tr>
      <w:tr w:rsidR="00772DE3" w:rsidRPr="00103EA9" w14:paraId="61A08372" w14:textId="77777777" w:rsidTr="00BC4D71">
        <w:tc>
          <w:tcPr>
            <w:tcW w:w="2851" w:type="dxa"/>
            <w:vMerge/>
            <w:tcMar>
              <w:top w:w="72" w:type="dxa"/>
              <w:left w:w="144" w:type="dxa"/>
              <w:bottom w:w="72" w:type="dxa"/>
              <w:right w:w="144" w:type="dxa"/>
            </w:tcMar>
          </w:tcPr>
          <w:p w14:paraId="740CB296" w14:textId="0467F113" w:rsidR="00772DE3" w:rsidRPr="00103EA9" w:rsidRDefault="00772DE3" w:rsidP="00ED0615">
            <w:pPr>
              <w:rPr>
                <w:color w:val="000000"/>
                <w:sz w:val="18"/>
                <w:szCs w:val="18"/>
              </w:rPr>
            </w:pPr>
          </w:p>
        </w:tc>
        <w:tc>
          <w:tcPr>
            <w:tcW w:w="2598" w:type="dxa"/>
            <w:vMerge/>
          </w:tcPr>
          <w:p w14:paraId="2E71E602" w14:textId="4A5B8123" w:rsidR="00772DE3" w:rsidRPr="00103EA9" w:rsidRDefault="00772DE3" w:rsidP="00ED0615">
            <w:pPr>
              <w:rPr>
                <w:color w:val="000000"/>
                <w:sz w:val="18"/>
                <w:szCs w:val="18"/>
              </w:rPr>
            </w:pPr>
          </w:p>
        </w:tc>
        <w:tc>
          <w:tcPr>
            <w:tcW w:w="3293" w:type="dxa"/>
            <w:tcMar>
              <w:top w:w="72" w:type="dxa"/>
              <w:left w:w="144" w:type="dxa"/>
              <w:bottom w:w="72" w:type="dxa"/>
              <w:right w:w="144" w:type="dxa"/>
            </w:tcMar>
          </w:tcPr>
          <w:p w14:paraId="6291AE92" w14:textId="2FC589D3" w:rsidR="00772DE3" w:rsidRPr="00103EA9" w:rsidRDefault="00772DE3" w:rsidP="008B4504">
            <w:pPr>
              <w:rPr>
                <w:b/>
                <w:bCs/>
                <w:sz w:val="18"/>
                <w:szCs w:val="18"/>
              </w:rPr>
            </w:pPr>
            <w:r w:rsidRPr="00103EA9">
              <w:rPr>
                <w:b/>
                <w:bCs/>
                <w:sz w:val="18"/>
                <w:szCs w:val="18"/>
              </w:rPr>
              <w:t>Output 1.4</w:t>
            </w:r>
            <w:r w:rsidR="00F85D2B">
              <w:rPr>
                <w:b/>
                <w:bCs/>
                <w:sz w:val="18"/>
                <w:szCs w:val="18"/>
              </w:rPr>
              <w:t>.</w:t>
            </w:r>
            <w:r w:rsidRPr="00103EA9">
              <w:rPr>
                <w:b/>
                <w:bCs/>
                <w:sz w:val="18"/>
                <w:szCs w:val="18"/>
              </w:rPr>
              <w:t xml:space="preserve">: </w:t>
            </w:r>
            <w:r w:rsidRPr="00103EA9">
              <w:rPr>
                <w:sz w:val="18"/>
                <w:szCs w:val="18"/>
              </w:rPr>
              <w:t xml:space="preserve">Communities enabled to adopt systems for </w:t>
            </w:r>
            <w:bookmarkStart w:id="6" w:name="_Hlk98233514"/>
            <w:r w:rsidRPr="00103EA9">
              <w:rPr>
                <w:sz w:val="18"/>
                <w:szCs w:val="18"/>
              </w:rPr>
              <w:t xml:space="preserve">integrating climate change and environmental considerations into management of natural resources </w:t>
            </w:r>
            <w:bookmarkEnd w:id="6"/>
            <w:r w:rsidRPr="00103EA9">
              <w:rPr>
                <w:sz w:val="18"/>
                <w:szCs w:val="18"/>
              </w:rPr>
              <w:t>(e.g., forest and land) and livelihood activities</w:t>
            </w:r>
            <w:r w:rsidR="00F85D2B">
              <w:rPr>
                <w:sz w:val="18"/>
                <w:szCs w:val="18"/>
              </w:rPr>
              <w:t>.</w:t>
            </w:r>
          </w:p>
          <w:p w14:paraId="09E2FAB3" w14:textId="77777777" w:rsidR="00772DE3" w:rsidRPr="00103EA9" w:rsidRDefault="00772DE3" w:rsidP="008B4504">
            <w:pPr>
              <w:rPr>
                <w:b/>
                <w:bCs/>
                <w:sz w:val="18"/>
                <w:szCs w:val="18"/>
              </w:rPr>
            </w:pPr>
            <w:r w:rsidRPr="00103EA9">
              <w:rPr>
                <w:b/>
                <w:bCs/>
                <w:sz w:val="18"/>
                <w:szCs w:val="18"/>
              </w:rPr>
              <w:t xml:space="preserve"> </w:t>
            </w:r>
          </w:p>
          <w:p w14:paraId="63B84877" w14:textId="59CB0A00" w:rsidR="00772DE3" w:rsidRPr="00103EA9" w:rsidRDefault="00772DE3" w:rsidP="008B4504">
            <w:pPr>
              <w:rPr>
                <w:sz w:val="18"/>
                <w:szCs w:val="18"/>
              </w:rPr>
            </w:pPr>
            <w:r w:rsidRPr="00103EA9">
              <w:rPr>
                <w:sz w:val="18"/>
                <w:szCs w:val="18"/>
              </w:rPr>
              <w:t>I</w:t>
            </w:r>
            <w:r w:rsidRPr="00103EA9">
              <w:rPr>
                <w:b/>
                <w:bCs/>
                <w:sz w:val="18"/>
                <w:szCs w:val="18"/>
              </w:rPr>
              <w:t>ndicator</w:t>
            </w:r>
            <w:r w:rsidRPr="00103EA9">
              <w:rPr>
                <w:sz w:val="18"/>
                <w:szCs w:val="18"/>
              </w:rPr>
              <w:t xml:space="preserve"> </w:t>
            </w:r>
            <w:r w:rsidRPr="00103EA9">
              <w:rPr>
                <w:b/>
                <w:bCs/>
                <w:sz w:val="18"/>
                <w:szCs w:val="18"/>
              </w:rPr>
              <w:t>1.4.1</w:t>
            </w:r>
            <w:r w:rsidR="00F85D2B">
              <w:rPr>
                <w:b/>
                <w:bCs/>
                <w:sz w:val="18"/>
                <w:szCs w:val="18"/>
              </w:rPr>
              <w:t>.</w:t>
            </w:r>
            <w:r w:rsidRPr="00103EA9">
              <w:rPr>
                <w:b/>
                <w:bCs/>
                <w:sz w:val="18"/>
                <w:szCs w:val="18"/>
              </w:rPr>
              <w:t>:</w:t>
            </w:r>
            <w:r w:rsidRPr="00103EA9">
              <w:rPr>
                <w:sz w:val="18"/>
                <w:szCs w:val="18"/>
              </w:rPr>
              <w:t xml:space="preserve"> Number of Community Resource Management Areas (CREMA) or similar landscape management structures established and operationalized</w:t>
            </w:r>
            <w:r w:rsidR="00F85D2B">
              <w:rPr>
                <w:sz w:val="18"/>
                <w:szCs w:val="18"/>
              </w:rPr>
              <w:t>.</w:t>
            </w:r>
            <w:r w:rsidRPr="00103EA9">
              <w:rPr>
                <w:sz w:val="18"/>
                <w:szCs w:val="18"/>
              </w:rPr>
              <w:t xml:space="preserve"> </w:t>
            </w:r>
          </w:p>
          <w:p w14:paraId="194BC28F" w14:textId="1108E51C" w:rsidR="00772DE3" w:rsidRPr="00103EA9" w:rsidRDefault="00772DE3" w:rsidP="008B4504">
            <w:pPr>
              <w:rPr>
                <w:sz w:val="18"/>
                <w:szCs w:val="18"/>
              </w:rPr>
            </w:pPr>
            <w:r w:rsidRPr="00103EA9">
              <w:rPr>
                <w:b/>
                <w:bCs/>
                <w:sz w:val="18"/>
                <w:szCs w:val="18"/>
              </w:rPr>
              <w:t>Baseline:</w:t>
            </w:r>
            <w:r w:rsidRPr="00103EA9">
              <w:rPr>
                <w:sz w:val="18"/>
                <w:szCs w:val="18"/>
              </w:rPr>
              <w:t xml:space="preserve"> 49 </w:t>
            </w:r>
          </w:p>
          <w:p w14:paraId="0A73B2BB" w14:textId="1D4A1EF8" w:rsidR="00772DE3" w:rsidRPr="00103EA9" w:rsidRDefault="00772DE3" w:rsidP="008B4504">
            <w:pPr>
              <w:rPr>
                <w:sz w:val="18"/>
                <w:szCs w:val="18"/>
              </w:rPr>
            </w:pPr>
            <w:r w:rsidRPr="00103EA9">
              <w:rPr>
                <w:b/>
                <w:bCs/>
                <w:sz w:val="18"/>
                <w:szCs w:val="18"/>
              </w:rPr>
              <w:t>Target:</w:t>
            </w:r>
            <w:r w:rsidRPr="00103EA9">
              <w:rPr>
                <w:sz w:val="18"/>
                <w:szCs w:val="18"/>
              </w:rPr>
              <w:t xml:space="preserve"> 60</w:t>
            </w:r>
          </w:p>
          <w:p w14:paraId="139C6E0D" w14:textId="21F368E8" w:rsidR="00772DE3" w:rsidRPr="00103EA9" w:rsidRDefault="00772DE3" w:rsidP="008B4504">
            <w:pPr>
              <w:rPr>
                <w:sz w:val="18"/>
                <w:szCs w:val="18"/>
              </w:rPr>
            </w:pPr>
            <w:r w:rsidRPr="00103EA9">
              <w:rPr>
                <w:b/>
                <w:bCs/>
                <w:sz w:val="18"/>
                <w:szCs w:val="18"/>
              </w:rPr>
              <w:t>Data Source:</w:t>
            </w:r>
            <w:r w:rsidRPr="00103EA9">
              <w:rPr>
                <w:sz w:val="18"/>
                <w:szCs w:val="18"/>
              </w:rPr>
              <w:t xml:space="preserve"> F</w:t>
            </w:r>
            <w:r w:rsidR="00731936">
              <w:rPr>
                <w:sz w:val="18"/>
                <w:szCs w:val="18"/>
              </w:rPr>
              <w:t xml:space="preserve">orestry </w:t>
            </w:r>
            <w:r w:rsidR="006707A0" w:rsidRPr="00103EA9">
              <w:rPr>
                <w:sz w:val="18"/>
                <w:szCs w:val="18"/>
              </w:rPr>
              <w:t>C</w:t>
            </w:r>
            <w:r w:rsidR="00731936">
              <w:rPr>
                <w:sz w:val="18"/>
                <w:szCs w:val="18"/>
              </w:rPr>
              <w:t>ommission</w:t>
            </w:r>
            <w:r w:rsidR="006707A0" w:rsidRPr="00103EA9">
              <w:rPr>
                <w:sz w:val="18"/>
                <w:szCs w:val="18"/>
              </w:rPr>
              <w:t xml:space="preserve"> </w:t>
            </w:r>
            <w:r w:rsidRPr="00103EA9">
              <w:rPr>
                <w:sz w:val="18"/>
                <w:szCs w:val="18"/>
              </w:rPr>
              <w:t>Report</w:t>
            </w:r>
            <w:r w:rsidR="006707A0" w:rsidRPr="00103EA9">
              <w:rPr>
                <w:sz w:val="18"/>
                <w:szCs w:val="18"/>
              </w:rPr>
              <w:t xml:space="preserve">s </w:t>
            </w:r>
            <w:r w:rsidRPr="00103EA9">
              <w:rPr>
                <w:sz w:val="18"/>
                <w:szCs w:val="18"/>
              </w:rPr>
              <w:t xml:space="preserve"> </w:t>
            </w:r>
          </w:p>
          <w:p w14:paraId="7336B273" w14:textId="3A82D550" w:rsidR="00772DE3" w:rsidRPr="00103EA9" w:rsidRDefault="00772DE3" w:rsidP="008B4504">
            <w:pPr>
              <w:rPr>
                <w:sz w:val="18"/>
                <w:szCs w:val="18"/>
              </w:rPr>
            </w:pPr>
            <w:r w:rsidRPr="00103EA9">
              <w:rPr>
                <w:b/>
                <w:bCs/>
                <w:sz w:val="18"/>
                <w:szCs w:val="18"/>
              </w:rPr>
              <w:t>Frequency</w:t>
            </w:r>
            <w:r w:rsidRPr="00103EA9">
              <w:rPr>
                <w:sz w:val="18"/>
                <w:szCs w:val="18"/>
              </w:rPr>
              <w:t xml:space="preserve">: </w:t>
            </w:r>
            <w:r w:rsidR="00F85D2B">
              <w:rPr>
                <w:sz w:val="18"/>
                <w:szCs w:val="18"/>
              </w:rPr>
              <w:t>A</w:t>
            </w:r>
            <w:r w:rsidRPr="00103EA9">
              <w:rPr>
                <w:sz w:val="18"/>
                <w:szCs w:val="18"/>
              </w:rPr>
              <w:t xml:space="preserve">nnual. </w:t>
            </w:r>
          </w:p>
          <w:p w14:paraId="15C4B186" w14:textId="7E858E3D" w:rsidR="00772DE3" w:rsidRPr="00103EA9" w:rsidRDefault="00772DE3" w:rsidP="008B4504">
            <w:pPr>
              <w:rPr>
                <w:b/>
                <w:bCs/>
                <w:sz w:val="18"/>
                <w:szCs w:val="18"/>
              </w:rPr>
            </w:pPr>
          </w:p>
          <w:p w14:paraId="35DB0CB1" w14:textId="0112666C" w:rsidR="00772DE3" w:rsidRPr="00103EA9" w:rsidRDefault="00772DE3" w:rsidP="008B4504">
            <w:pPr>
              <w:rPr>
                <w:sz w:val="18"/>
                <w:szCs w:val="18"/>
              </w:rPr>
            </w:pPr>
            <w:r w:rsidRPr="00103EA9">
              <w:rPr>
                <w:b/>
                <w:bCs/>
                <w:sz w:val="18"/>
                <w:szCs w:val="18"/>
              </w:rPr>
              <w:t>Indicator 1.4.2</w:t>
            </w:r>
            <w:r w:rsidR="00F85D2B">
              <w:rPr>
                <w:b/>
                <w:bCs/>
                <w:sz w:val="18"/>
                <w:szCs w:val="18"/>
              </w:rPr>
              <w:t>.</w:t>
            </w:r>
            <w:r w:rsidRPr="00103EA9">
              <w:rPr>
                <w:b/>
                <w:bCs/>
                <w:sz w:val="18"/>
                <w:szCs w:val="18"/>
              </w:rPr>
              <w:t>:</w:t>
            </w:r>
            <w:r w:rsidRPr="00103EA9">
              <w:rPr>
                <w:sz w:val="18"/>
                <w:szCs w:val="18"/>
              </w:rPr>
              <w:t xml:space="preserve"> Number of males and females benefit</w:t>
            </w:r>
            <w:r w:rsidR="00F85D2B">
              <w:rPr>
                <w:sz w:val="18"/>
                <w:szCs w:val="18"/>
              </w:rPr>
              <w:t>t</w:t>
            </w:r>
            <w:r w:rsidRPr="00103EA9">
              <w:rPr>
                <w:sz w:val="18"/>
                <w:szCs w:val="18"/>
              </w:rPr>
              <w:t>ing from the adoption of diversified, climate resilient livelihood options.</w:t>
            </w:r>
          </w:p>
          <w:p w14:paraId="4139F3A3" w14:textId="6B85EFBD" w:rsidR="00772DE3" w:rsidRPr="00103EA9" w:rsidRDefault="00772DE3" w:rsidP="008B4504">
            <w:pPr>
              <w:rPr>
                <w:b/>
                <w:bCs/>
                <w:sz w:val="18"/>
                <w:szCs w:val="18"/>
              </w:rPr>
            </w:pPr>
            <w:r w:rsidRPr="00103EA9">
              <w:rPr>
                <w:b/>
                <w:bCs/>
                <w:sz w:val="18"/>
                <w:szCs w:val="18"/>
              </w:rPr>
              <w:t xml:space="preserve">Baseline: </w:t>
            </w:r>
          </w:p>
          <w:p w14:paraId="67447E77" w14:textId="2F4F69DD" w:rsidR="00772DE3" w:rsidRPr="00103EA9" w:rsidRDefault="00772DE3" w:rsidP="008B4504">
            <w:pPr>
              <w:rPr>
                <w:sz w:val="18"/>
                <w:szCs w:val="18"/>
              </w:rPr>
            </w:pPr>
            <w:r w:rsidRPr="00103EA9">
              <w:rPr>
                <w:rFonts w:eastAsia="Calibri"/>
                <w:sz w:val="18"/>
                <w:szCs w:val="18"/>
              </w:rPr>
              <w:t>Females:</w:t>
            </w:r>
            <w:r w:rsidR="005E4A4D">
              <w:rPr>
                <w:rFonts w:eastAsia="Calibri"/>
                <w:sz w:val="18"/>
                <w:szCs w:val="18"/>
              </w:rPr>
              <w:t xml:space="preserve"> </w:t>
            </w:r>
            <w:r w:rsidRPr="00103EA9">
              <w:rPr>
                <w:rFonts w:eastAsia="Calibri"/>
                <w:sz w:val="18"/>
                <w:szCs w:val="18"/>
              </w:rPr>
              <w:t>3,600</w:t>
            </w:r>
            <w:r w:rsidR="00743EC6" w:rsidRPr="00103EA9">
              <w:rPr>
                <w:rFonts w:eastAsia="Calibri"/>
                <w:sz w:val="18"/>
                <w:szCs w:val="18"/>
              </w:rPr>
              <w:t xml:space="preserve"> </w:t>
            </w:r>
            <w:r w:rsidRPr="00103EA9">
              <w:rPr>
                <w:rFonts w:eastAsia="Calibri"/>
                <w:sz w:val="18"/>
                <w:szCs w:val="18"/>
              </w:rPr>
              <w:t>(2021)</w:t>
            </w:r>
          </w:p>
          <w:p w14:paraId="49B49BA8" w14:textId="3F92C19F" w:rsidR="00772DE3" w:rsidRPr="00103EA9" w:rsidRDefault="00772DE3" w:rsidP="008B4504">
            <w:pPr>
              <w:rPr>
                <w:sz w:val="18"/>
                <w:szCs w:val="18"/>
              </w:rPr>
            </w:pPr>
            <w:r w:rsidRPr="00103EA9">
              <w:rPr>
                <w:sz w:val="18"/>
                <w:szCs w:val="18"/>
              </w:rPr>
              <w:t>Males: 2,400 (2021)</w:t>
            </w:r>
          </w:p>
          <w:p w14:paraId="30C4629C" w14:textId="77777777" w:rsidR="00772DE3" w:rsidRPr="00103EA9" w:rsidRDefault="00772DE3" w:rsidP="008B4504">
            <w:pPr>
              <w:rPr>
                <w:sz w:val="18"/>
                <w:szCs w:val="18"/>
              </w:rPr>
            </w:pPr>
            <w:r w:rsidRPr="00103EA9">
              <w:rPr>
                <w:b/>
                <w:bCs/>
                <w:sz w:val="18"/>
                <w:szCs w:val="18"/>
              </w:rPr>
              <w:t>Target</w:t>
            </w:r>
            <w:r w:rsidRPr="00103EA9">
              <w:rPr>
                <w:sz w:val="18"/>
                <w:szCs w:val="18"/>
              </w:rPr>
              <w:t>:</w:t>
            </w:r>
          </w:p>
          <w:p w14:paraId="7907C7B2" w14:textId="77777777" w:rsidR="00772DE3" w:rsidRPr="00103EA9" w:rsidRDefault="00772DE3" w:rsidP="008B4504">
            <w:pPr>
              <w:rPr>
                <w:sz w:val="18"/>
                <w:szCs w:val="18"/>
              </w:rPr>
            </w:pPr>
            <w:r w:rsidRPr="00103EA9">
              <w:rPr>
                <w:rFonts w:eastAsia="Calibri"/>
                <w:sz w:val="18"/>
                <w:szCs w:val="18"/>
              </w:rPr>
              <w:t>Female: 15,600 (2027)</w:t>
            </w:r>
          </w:p>
          <w:p w14:paraId="3A84ED61" w14:textId="77777777" w:rsidR="00772DE3" w:rsidRPr="00103EA9" w:rsidRDefault="00772DE3" w:rsidP="008B4504">
            <w:pPr>
              <w:rPr>
                <w:sz w:val="18"/>
                <w:szCs w:val="18"/>
              </w:rPr>
            </w:pPr>
            <w:r w:rsidRPr="00103EA9">
              <w:rPr>
                <w:rFonts w:eastAsia="Calibri"/>
                <w:sz w:val="18"/>
                <w:szCs w:val="18"/>
              </w:rPr>
              <w:t>Male: 5,200 (2027)</w:t>
            </w:r>
          </w:p>
          <w:p w14:paraId="18936381" w14:textId="483E3E7F" w:rsidR="00772DE3" w:rsidRPr="00103EA9" w:rsidRDefault="00772DE3" w:rsidP="008B4504">
            <w:pPr>
              <w:rPr>
                <w:sz w:val="18"/>
                <w:szCs w:val="18"/>
              </w:rPr>
            </w:pPr>
            <w:r w:rsidRPr="00103EA9">
              <w:rPr>
                <w:b/>
                <w:bCs/>
                <w:sz w:val="18"/>
                <w:szCs w:val="18"/>
              </w:rPr>
              <w:t>Data Source:</w:t>
            </w:r>
            <w:r w:rsidRPr="00103EA9">
              <w:rPr>
                <w:sz w:val="18"/>
                <w:szCs w:val="18"/>
              </w:rPr>
              <w:t xml:space="preserve"> </w:t>
            </w:r>
            <w:r w:rsidR="00F85D2B">
              <w:rPr>
                <w:sz w:val="18"/>
                <w:szCs w:val="18"/>
              </w:rPr>
              <w:t>Forestry Commission</w:t>
            </w:r>
            <w:r w:rsidR="00F85D2B" w:rsidRPr="00103EA9">
              <w:rPr>
                <w:sz w:val="18"/>
                <w:szCs w:val="18"/>
              </w:rPr>
              <w:t xml:space="preserve"> </w:t>
            </w:r>
            <w:r w:rsidRPr="00103EA9">
              <w:rPr>
                <w:sz w:val="18"/>
                <w:szCs w:val="18"/>
              </w:rPr>
              <w:t>reports</w:t>
            </w:r>
          </w:p>
          <w:p w14:paraId="695D075B" w14:textId="77777777" w:rsidR="00772DE3" w:rsidRPr="00103EA9" w:rsidRDefault="00772DE3" w:rsidP="008B4504">
            <w:pPr>
              <w:rPr>
                <w:rFonts w:eastAsia="Calibri"/>
                <w:sz w:val="18"/>
                <w:szCs w:val="18"/>
              </w:rPr>
            </w:pPr>
            <w:r w:rsidRPr="00103EA9">
              <w:rPr>
                <w:rFonts w:eastAsia="Calibri"/>
                <w:b/>
                <w:bCs/>
                <w:sz w:val="18"/>
                <w:szCs w:val="18"/>
              </w:rPr>
              <w:t xml:space="preserve">Frequency: </w:t>
            </w:r>
            <w:r w:rsidRPr="00103EA9">
              <w:rPr>
                <w:rFonts w:eastAsia="Calibri"/>
                <w:sz w:val="18"/>
                <w:szCs w:val="18"/>
              </w:rPr>
              <w:t>Annual</w:t>
            </w:r>
          </w:p>
          <w:p w14:paraId="04B3857D" w14:textId="77777777" w:rsidR="00772DE3" w:rsidRPr="00103EA9" w:rsidRDefault="00772DE3" w:rsidP="008B4504">
            <w:pPr>
              <w:rPr>
                <w:rFonts w:eastAsia="Calibri"/>
                <w:sz w:val="18"/>
                <w:szCs w:val="18"/>
              </w:rPr>
            </w:pPr>
          </w:p>
          <w:p w14:paraId="7614B5FE" w14:textId="00AA7B20" w:rsidR="00772DE3" w:rsidRPr="00103EA9" w:rsidRDefault="00772DE3" w:rsidP="008B4504">
            <w:pPr>
              <w:rPr>
                <w:sz w:val="18"/>
                <w:szCs w:val="18"/>
              </w:rPr>
            </w:pPr>
            <w:r w:rsidRPr="00103EA9">
              <w:rPr>
                <w:b/>
                <w:bCs/>
                <w:sz w:val="18"/>
                <w:szCs w:val="18"/>
              </w:rPr>
              <w:t>Indicator 1.4.3</w:t>
            </w:r>
            <w:r w:rsidR="00F85D2B">
              <w:rPr>
                <w:b/>
                <w:bCs/>
                <w:sz w:val="18"/>
                <w:szCs w:val="18"/>
              </w:rPr>
              <w:t>.</w:t>
            </w:r>
            <w:r w:rsidRPr="00103EA9">
              <w:rPr>
                <w:b/>
                <w:bCs/>
                <w:sz w:val="18"/>
                <w:szCs w:val="18"/>
              </w:rPr>
              <w:t xml:space="preserve">: </w:t>
            </w:r>
            <w:r w:rsidRPr="00103EA9">
              <w:rPr>
                <w:sz w:val="18"/>
                <w:szCs w:val="18"/>
              </w:rPr>
              <w:t>Number of districts with development plans integrating climate change and environmental considerations</w:t>
            </w:r>
            <w:r w:rsidR="00F85D2B">
              <w:rPr>
                <w:sz w:val="18"/>
                <w:szCs w:val="18"/>
              </w:rPr>
              <w:t>.</w:t>
            </w:r>
          </w:p>
          <w:p w14:paraId="1AD833B0" w14:textId="77777777" w:rsidR="00772DE3" w:rsidRPr="00103EA9" w:rsidRDefault="00772DE3" w:rsidP="008B4504">
            <w:pPr>
              <w:rPr>
                <w:sz w:val="18"/>
                <w:szCs w:val="18"/>
              </w:rPr>
            </w:pPr>
            <w:r w:rsidRPr="00103EA9">
              <w:rPr>
                <w:b/>
                <w:bCs/>
                <w:sz w:val="18"/>
                <w:szCs w:val="18"/>
              </w:rPr>
              <w:t xml:space="preserve">Baseline: </w:t>
            </w:r>
            <w:r w:rsidRPr="00103EA9">
              <w:rPr>
                <w:sz w:val="18"/>
                <w:szCs w:val="18"/>
              </w:rPr>
              <w:t>10 (2021)</w:t>
            </w:r>
          </w:p>
          <w:p w14:paraId="7343B802" w14:textId="77777777" w:rsidR="00772DE3" w:rsidRPr="00103EA9" w:rsidRDefault="00772DE3" w:rsidP="008B4504">
            <w:pPr>
              <w:rPr>
                <w:sz w:val="18"/>
                <w:szCs w:val="18"/>
              </w:rPr>
            </w:pPr>
            <w:r w:rsidRPr="00103EA9">
              <w:rPr>
                <w:b/>
                <w:bCs/>
                <w:sz w:val="18"/>
                <w:szCs w:val="18"/>
              </w:rPr>
              <w:lastRenderedPageBreak/>
              <w:t>Target</w:t>
            </w:r>
            <w:r w:rsidRPr="00103EA9">
              <w:rPr>
                <w:sz w:val="18"/>
                <w:szCs w:val="18"/>
              </w:rPr>
              <w:t>: 50 (2025)</w:t>
            </w:r>
          </w:p>
          <w:p w14:paraId="07F7131A" w14:textId="12C62BCC" w:rsidR="00772DE3" w:rsidRPr="00103EA9" w:rsidRDefault="00772DE3" w:rsidP="008B4504">
            <w:pPr>
              <w:rPr>
                <w:sz w:val="18"/>
                <w:szCs w:val="18"/>
              </w:rPr>
            </w:pPr>
            <w:r w:rsidRPr="00103EA9">
              <w:rPr>
                <w:b/>
                <w:bCs/>
                <w:sz w:val="18"/>
                <w:szCs w:val="18"/>
              </w:rPr>
              <w:t>Data Source:</w:t>
            </w:r>
            <w:r w:rsidRPr="00103EA9">
              <w:rPr>
                <w:sz w:val="18"/>
                <w:szCs w:val="18"/>
              </w:rPr>
              <w:t xml:space="preserve"> NDPC reports</w:t>
            </w:r>
          </w:p>
          <w:p w14:paraId="7B9A90F9" w14:textId="4A77BE40" w:rsidR="00772DE3" w:rsidRPr="00103EA9" w:rsidRDefault="00772DE3" w:rsidP="003A42A7">
            <w:pPr>
              <w:rPr>
                <w:rFonts w:eastAsia="Calibri"/>
                <w:sz w:val="18"/>
                <w:szCs w:val="18"/>
              </w:rPr>
            </w:pPr>
            <w:r w:rsidRPr="00103EA9">
              <w:rPr>
                <w:rFonts w:eastAsia="Calibri"/>
                <w:b/>
                <w:bCs/>
                <w:sz w:val="18"/>
                <w:szCs w:val="18"/>
              </w:rPr>
              <w:t xml:space="preserve">Frequency: </w:t>
            </w:r>
            <w:r w:rsidRPr="00103EA9">
              <w:rPr>
                <w:rFonts w:eastAsia="Calibri"/>
                <w:sz w:val="18"/>
                <w:szCs w:val="18"/>
              </w:rPr>
              <w:t>Annual</w:t>
            </w:r>
            <w:r w:rsidR="003A42A7" w:rsidRPr="00103EA9">
              <w:rPr>
                <w:rFonts w:eastAsia="Calibri"/>
                <w:sz w:val="18"/>
                <w:szCs w:val="18"/>
              </w:rPr>
              <w:t xml:space="preserve"> </w:t>
            </w:r>
          </w:p>
        </w:tc>
        <w:tc>
          <w:tcPr>
            <w:tcW w:w="2593" w:type="dxa"/>
          </w:tcPr>
          <w:p w14:paraId="73B8A1A1" w14:textId="5755C11A" w:rsidR="00772DE3" w:rsidRPr="00103EA9" w:rsidRDefault="00772DE3" w:rsidP="008B4504">
            <w:pPr>
              <w:rPr>
                <w:rFonts w:eastAsia="Calibri"/>
                <w:sz w:val="18"/>
                <w:szCs w:val="18"/>
              </w:rPr>
            </w:pPr>
            <w:r w:rsidRPr="00103EA9">
              <w:rPr>
                <w:rFonts w:eastAsia="Calibri"/>
                <w:sz w:val="18"/>
                <w:szCs w:val="18"/>
              </w:rPr>
              <w:lastRenderedPageBreak/>
              <w:t xml:space="preserve">MLNR, </w:t>
            </w:r>
            <w:r w:rsidR="00D3504E">
              <w:rPr>
                <w:rFonts w:eastAsia="Calibri"/>
                <w:sz w:val="18"/>
                <w:szCs w:val="18"/>
              </w:rPr>
              <w:t>FC</w:t>
            </w:r>
            <w:r w:rsidRPr="00103EA9">
              <w:rPr>
                <w:rFonts w:eastAsia="Calibri"/>
                <w:sz w:val="18"/>
                <w:szCs w:val="18"/>
              </w:rPr>
              <w:t xml:space="preserve">, EPA, MESTI, MMDAs, </w:t>
            </w:r>
            <w:r w:rsidR="00F85D2B">
              <w:rPr>
                <w:rFonts w:eastAsia="Calibri"/>
                <w:sz w:val="18"/>
                <w:szCs w:val="18"/>
              </w:rPr>
              <w:t>r</w:t>
            </w:r>
            <w:r w:rsidRPr="00103EA9">
              <w:rPr>
                <w:rFonts w:eastAsia="Calibri"/>
                <w:sz w:val="18"/>
                <w:szCs w:val="18"/>
              </w:rPr>
              <w:t>esearch institutions</w:t>
            </w:r>
            <w:r w:rsidR="00F85D2B">
              <w:rPr>
                <w:rFonts w:eastAsia="Calibri"/>
                <w:sz w:val="18"/>
                <w:szCs w:val="18"/>
              </w:rPr>
              <w:t>,</w:t>
            </w:r>
          </w:p>
          <w:p w14:paraId="0D1DA363" w14:textId="0347EBC3" w:rsidR="00772DE3" w:rsidRPr="00103EA9" w:rsidRDefault="00772DE3" w:rsidP="008B4504">
            <w:pPr>
              <w:rPr>
                <w:rFonts w:eastAsia="Calibri"/>
                <w:sz w:val="18"/>
                <w:szCs w:val="18"/>
              </w:rPr>
            </w:pPr>
            <w:r w:rsidRPr="00103EA9">
              <w:rPr>
                <w:rFonts w:eastAsia="Calibri"/>
                <w:sz w:val="18"/>
                <w:szCs w:val="18"/>
              </w:rPr>
              <w:t xml:space="preserve">CSOs, </w:t>
            </w:r>
            <w:r w:rsidR="00F85D2B">
              <w:rPr>
                <w:rFonts w:eastAsia="Calibri"/>
                <w:sz w:val="18"/>
                <w:szCs w:val="18"/>
              </w:rPr>
              <w:t>and t</w:t>
            </w:r>
            <w:r w:rsidRPr="00103EA9">
              <w:rPr>
                <w:rFonts w:eastAsia="Calibri"/>
                <w:sz w:val="18"/>
                <w:szCs w:val="18"/>
              </w:rPr>
              <w:t xml:space="preserve">raditional </w:t>
            </w:r>
            <w:r w:rsidR="00F85D2B">
              <w:rPr>
                <w:rFonts w:eastAsia="Calibri"/>
                <w:sz w:val="18"/>
                <w:szCs w:val="18"/>
              </w:rPr>
              <w:t>a</w:t>
            </w:r>
            <w:r w:rsidRPr="00103EA9">
              <w:rPr>
                <w:rFonts w:eastAsia="Calibri"/>
                <w:sz w:val="18"/>
                <w:szCs w:val="18"/>
              </w:rPr>
              <w:t>uthorities</w:t>
            </w:r>
          </w:p>
          <w:p w14:paraId="4511D738" w14:textId="77777777" w:rsidR="00772DE3" w:rsidRPr="00103EA9" w:rsidRDefault="00772DE3" w:rsidP="008B4504">
            <w:pPr>
              <w:rPr>
                <w:color w:val="000000"/>
                <w:sz w:val="18"/>
                <w:szCs w:val="18"/>
              </w:rPr>
            </w:pPr>
          </w:p>
        </w:tc>
        <w:tc>
          <w:tcPr>
            <w:tcW w:w="1709" w:type="dxa"/>
            <w:tcMar>
              <w:top w:w="15" w:type="dxa"/>
              <w:left w:w="108" w:type="dxa"/>
              <w:bottom w:w="0" w:type="dxa"/>
              <w:right w:w="108" w:type="dxa"/>
            </w:tcMar>
          </w:tcPr>
          <w:p w14:paraId="587A5968" w14:textId="2DFCB8F7" w:rsidR="00772DE3" w:rsidRPr="00103EA9" w:rsidRDefault="00772DE3" w:rsidP="00C64533">
            <w:pPr>
              <w:rPr>
                <w:b/>
                <w:bCs/>
                <w:color w:val="000000"/>
                <w:sz w:val="18"/>
                <w:szCs w:val="18"/>
              </w:rPr>
            </w:pPr>
            <w:r w:rsidRPr="00103EA9">
              <w:rPr>
                <w:b/>
                <w:bCs/>
                <w:color w:val="000000"/>
                <w:sz w:val="18"/>
                <w:szCs w:val="18"/>
              </w:rPr>
              <w:t xml:space="preserve">Regular: </w:t>
            </w:r>
            <w:r w:rsidR="00393EB3">
              <w:rPr>
                <w:b/>
                <w:bCs/>
                <w:color w:val="000000"/>
                <w:sz w:val="18"/>
                <w:szCs w:val="18"/>
              </w:rPr>
              <w:t>6</w:t>
            </w:r>
            <w:r w:rsidRPr="00103EA9">
              <w:rPr>
                <w:b/>
                <w:bCs/>
                <w:color w:val="000000"/>
                <w:sz w:val="18"/>
                <w:szCs w:val="18"/>
              </w:rPr>
              <w:t>00,000</w:t>
            </w:r>
          </w:p>
          <w:p w14:paraId="68C4D15B" w14:textId="77777777" w:rsidR="00772DE3" w:rsidRPr="00103EA9" w:rsidRDefault="00772DE3" w:rsidP="00C64533">
            <w:pPr>
              <w:rPr>
                <w:b/>
                <w:bCs/>
                <w:color w:val="000000"/>
                <w:sz w:val="18"/>
                <w:szCs w:val="18"/>
              </w:rPr>
            </w:pPr>
            <w:r w:rsidRPr="00103EA9">
              <w:rPr>
                <w:b/>
                <w:bCs/>
                <w:color w:val="000000"/>
                <w:sz w:val="18"/>
                <w:szCs w:val="18"/>
              </w:rPr>
              <w:t>Others: 12,000,000</w:t>
            </w:r>
          </w:p>
        </w:tc>
      </w:tr>
      <w:tr w:rsidR="00CC20D5" w:rsidRPr="00103EA9" w14:paraId="0B7B45EC" w14:textId="77777777" w:rsidTr="00BC4D71">
        <w:tc>
          <w:tcPr>
            <w:tcW w:w="2851" w:type="dxa"/>
            <w:tcMar>
              <w:top w:w="72" w:type="dxa"/>
              <w:left w:w="144" w:type="dxa"/>
              <w:bottom w:w="72" w:type="dxa"/>
              <w:right w:w="144" w:type="dxa"/>
            </w:tcMar>
          </w:tcPr>
          <w:p w14:paraId="65DFA220" w14:textId="77777777" w:rsidR="00CC20D5" w:rsidRPr="00103EA9" w:rsidRDefault="00CC20D5" w:rsidP="00C64533">
            <w:pPr>
              <w:rPr>
                <w:color w:val="000000"/>
                <w:sz w:val="18"/>
                <w:szCs w:val="18"/>
              </w:rPr>
            </w:pPr>
          </w:p>
        </w:tc>
        <w:tc>
          <w:tcPr>
            <w:tcW w:w="2598" w:type="dxa"/>
          </w:tcPr>
          <w:p w14:paraId="1DE59F0D" w14:textId="4117CB46" w:rsidR="00CC20D5" w:rsidRPr="00103EA9" w:rsidRDefault="00CC20D5" w:rsidP="00BC261E">
            <w:pPr>
              <w:tabs>
                <w:tab w:val="left" w:pos="433"/>
              </w:tabs>
              <w:jc w:val="both"/>
              <w:rPr>
                <w:color w:val="000000"/>
                <w:sz w:val="18"/>
                <w:szCs w:val="18"/>
              </w:rPr>
            </w:pPr>
          </w:p>
        </w:tc>
        <w:tc>
          <w:tcPr>
            <w:tcW w:w="3293" w:type="dxa"/>
            <w:tcMar>
              <w:top w:w="72" w:type="dxa"/>
              <w:left w:w="144" w:type="dxa"/>
              <w:bottom w:w="72" w:type="dxa"/>
              <w:right w:w="144" w:type="dxa"/>
            </w:tcMar>
          </w:tcPr>
          <w:p w14:paraId="0D1369F3" w14:textId="035E189B" w:rsidR="00CC20D5" w:rsidRPr="00103EA9" w:rsidRDefault="00CC20D5" w:rsidP="00A01690">
            <w:pPr>
              <w:rPr>
                <w:rFonts w:eastAsia="Calibri"/>
                <w:sz w:val="18"/>
                <w:szCs w:val="18"/>
              </w:rPr>
            </w:pPr>
            <w:r w:rsidRPr="00103EA9">
              <w:rPr>
                <w:rFonts w:eastAsia="Calibri"/>
                <w:b/>
                <w:bCs/>
                <w:sz w:val="18"/>
                <w:szCs w:val="18"/>
              </w:rPr>
              <w:t>Output: 1.</w:t>
            </w:r>
            <w:r w:rsidR="008A39AD" w:rsidRPr="00103EA9">
              <w:rPr>
                <w:rFonts w:eastAsia="Calibri"/>
                <w:b/>
                <w:bCs/>
                <w:sz w:val="18"/>
                <w:szCs w:val="18"/>
              </w:rPr>
              <w:t>5</w:t>
            </w:r>
            <w:r w:rsidR="00F85D2B">
              <w:rPr>
                <w:rFonts w:eastAsia="Calibri"/>
                <w:b/>
                <w:bCs/>
                <w:sz w:val="18"/>
                <w:szCs w:val="18"/>
              </w:rPr>
              <w:t>.</w:t>
            </w:r>
            <w:r w:rsidR="000905D9" w:rsidRPr="00103EA9">
              <w:rPr>
                <w:rFonts w:eastAsia="Calibri"/>
                <w:b/>
                <w:bCs/>
                <w:sz w:val="18"/>
                <w:szCs w:val="18"/>
              </w:rPr>
              <w:t>:</w:t>
            </w:r>
            <w:r w:rsidRPr="00103EA9">
              <w:rPr>
                <w:rFonts w:eastAsia="Calibri"/>
                <w:sz w:val="18"/>
                <w:szCs w:val="18"/>
              </w:rPr>
              <w:t xml:space="preserve"> Risk-informed and Evidence-based plans/policies and </w:t>
            </w:r>
            <w:r w:rsidR="00370F9A" w:rsidRPr="00103EA9">
              <w:rPr>
                <w:rFonts w:eastAsia="Calibri"/>
                <w:sz w:val="18"/>
                <w:szCs w:val="18"/>
              </w:rPr>
              <w:t>i</w:t>
            </w:r>
            <w:r w:rsidRPr="00103EA9">
              <w:rPr>
                <w:rFonts w:eastAsia="Calibri"/>
                <w:sz w:val="18"/>
                <w:szCs w:val="18"/>
              </w:rPr>
              <w:t>nnovative solutions developed and financed at national and subnational levels for gender-responsive climate action, green and circular economy in line with international conventions.</w:t>
            </w:r>
          </w:p>
          <w:p w14:paraId="3CD459E8" w14:textId="77777777" w:rsidR="00CC20D5" w:rsidRPr="00103EA9" w:rsidRDefault="00CC20D5" w:rsidP="00C64533">
            <w:pPr>
              <w:jc w:val="both"/>
              <w:rPr>
                <w:rFonts w:eastAsia="Calibri"/>
                <w:sz w:val="18"/>
                <w:szCs w:val="18"/>
              </w:rPr>
            </w:pPr>
            <w:r w:rsidRPr="00103EA9">
              <w:rPr>
                <w:rFonts w:eastAsia="Calibri"/>
                <w:sz w:val="18"/>
                <w:szCs w:val="18"/>
              </w:rPr>
              <w:t xml:space="preserve"> </w:t>
            </w:r>
          </w:p>
          <w:p w14:paraId="7BC2439F" w14:textId="4BE292AD" w:rsidR="00CC20D5" w:rsidRPr="00103EA9" w:rsidRDefault="00CC20D5" w:rsidP="00A01690">
            <w:pPr>
              <w:rPr>
                <w:rFonts w:eastAsia="Calibri"/>
                <w:sz w:val="18"/>
                <w:szCs w:val="18"/>
              </w:rPr>
            </w:pPr>
            <w:r w:rsidRPr="00103EA9">
              <w:rPr>
                <w:rFonts w:eastAsia="Calibri"/>
                <w:b/>
                <w:bCs/>
                <w:sz w:val="18"/>
                <w:szCs w:val="18"/>
              </w:rPr>
              <w:t>Indicator1.</w:t>
            </w:r>
            <w:r w:rsidR="008A39AD" w:rsidRPr="00103EA9">
              <w:rPr>
                <w:rFonts w:eastAsia="Calibri"/>
                <w:b/>
                <w:bCs/>
                <w:sz w:val="18"/>
                <w:szCs w:val="18"/>
              </w:rPr>
              <w:t>5</w:t>
            </w:r>
            <w:r w:rsidRPr="00103EA9">
              <w:rPr>
                <w:rFonts w:eastAsia="Calibri"/>
                <w:b/>
                <w:bCs/>
                <w:sz w:val="18"/>
                <w:szCs w:val="18"/>
              </w:rPr>
              <w:t>.1</w:t>
            </w:r>
            <w:r w:rsidR="00F85D2B">
              <w:rPr>
                <w:rFonts w:eastAsia="Calibri"/>
                <w:b/>
                <w:bCs/>
                <w:sz w:val="18"/>
                <w:szCs w:val="18"/>
              </w:rPr>
              <w:t>.</w:t>
            </w:r>
            <w:r w:rsidR="000905D9" w:rsidRPr="00103EA9">
              <w:rPr>
                <w:rFonts w:eastAsia="Calibri"/>
                <w:b/>
                <w:bCs/>
                <w:sz w:val="18"/>
                <w:szCs w:val="18"/>
              </w:rPr>
              <w:t>:</w:t>
            </w:r>
            <w:r w:rsidR="00EB3F53" w:rsidRPr="00103EA9">
              <w:rPr>
                <w:rFonts w:eastAsia="Calibri"/>
                <w:b/>
                <w:bCs/>
                <w:sz w:val="18"/>
                <w:szCs w:val="18"/>
              </w:rPr>
              <w:t xml:space="preserve"> </w:t>
            </w:r>
            <w:r w:rsidRPr="00103EA9">
              <w:rPr>
                <w:rFonts w:eastAsia="Calibri"/>
                <w:sz w:val="18"/>
                <w:szCs w:val="18"/>
              </w:rPr>
              <w:t>Number of innovative finance instruments developed and implemented for climate smart agriculture, just energy transition and disaster risk reduction</w:t>
            </w:r>
            <w:r w:rsidR="000905D9" w:rsidRPr="00103EA9">
              <w:rPr>
                <w:rFonts w:eastAsia="Calibri"/>
                <w:sz w:val="18"/>
                <w:szCs w:val="18"/>
              </w:rPr>
              <w:t>.</w:t>
            </w:r>
          </w:p>
          <w:p w14:paraId="013E6A5D" w14:textId="77777777" w:rsidR="00CC20D5" w:rsidRPr="00103EA9" w:rsidRDefault="00CC20D5" w:rsidP="00C64533">
            <w:pPr>
              <w:jc w:val="both"/>
              <w:rPr>
                <w:rFonts w:eastAsia="Calibri"/>
                <w:sz w:val="18"/>
                <w:szCs w:val="18"/>
              </w:rPr>
            </w:pPr>
            <w:r w:rsidRPr="00103EA9">
              <w:rPr>
                <w:rFonts w:eastAsia="Calibri"/>
                <w:b/>
                <w:bCs/>
                <w:sz w:val="18"/>
                <w:szCs w:val="18"/>
              </w:rPr>
              <w:t>Baseline:</w:t>
            </w:r>
            <w:r w:rsidRPr="00103EA9">
              <w:rPr>
                <w:rFonts w:eastAsia="Calibri"/>
                <w:sz w:val="18"/>
                <w:szCs w:val="18"/>
              </w:rPr>
              <w:t xml:space="preserve"> 0 (2021)</w:t>
            </w:r>
          </w:p>
          <w:p w14:paraId="52831FA4" w14:textId="77777777" w:rsidR="00CC20D5" w:rsidRPr="00103EA9" w:rsidRDefault="00CC20D5" w:rsidP="00C64533">
            <w:pPr>
              <w:jc w:val="both"/>
              <w:rPr>
                <w:rFonts w:eastAsia="Calibri"/>
                <w:sz w:val="18"/>
                <w:szCs w:val="18"/>
              </w:rPr>
            </w:pPr>
            <w:r w:rsidRPr="00103EA9">
              <w:rPr>
                <w:rFonts w:eastAsia="Calibri"/>
                <w:b/>
                <w:bCs/>
                <w:sz w:val="18"/>
                <w:szCs w:val="18"/>
              </w:rPr>
              <w:t>Target:</w:t>
            </w:r>
            <w:r w:rsidRPr="00103EA9">
              <w:rPr>
                <w:rFonts w:eastAsia="Calibri"/>
                <w:sz w:val="18"/>
                <w:szCs w:val="18"/>
              </w:rPr>
              <w:t xml:space="preserve"> 4 (2027)</w:t>
            </w:r>
          </w:p>
          <w:p w14:paraId="0B61B6B7" w14:textId="77777777" w:rsidR="00CC20D5" w:rsidRPr="00103EA9" w:rsidRDefault="00CC20D5" w:rsidP="00C64533">
            <w:pPr>
              <w:rPr>
                <w:rFonts w:eastAsia="Calibri"/>
                <w:sz w:val="18"/>
                <w:szCs w:val="18"/>
              </w:rPr>
            </w:pPr>
            <w:r w:rsidRPr="00103EA9">
              <w:rPr>
                <w:rFonts w:eastAsia="Calibri"/>
                <w:b/>
                <w:bCs/>
                <w:sz w:val="18"/>
                <w:szCs w:val="18"/>
              </w:rPr>
              <w:t>Data Source:</w:t>
            </w:r>
            <w:r w:rsidRPr="00103EA9">
              <w:rPr>
                <w:rFonts w:eastAsia="Calibri"/>
                <w:sz w:val="18"/>
                <w:szCs w:val="18"/>
              </w:rPr>
              <w:t xml:space="preserve"> National Communication to the UNFCCC and Biennial Transparency Report</w:t>
            </w:r>
          </w:p>
          <w:p w14:paraId="3EAB4B25" w14:textId="77777777" w:rsidR="00CC20D5" w:rsidRPr="00103EA9" w:rsidRDefault="00CC20D5" w:rsidP="00C64533">
            <w:pPr>
              <w:jc w:val="both"/>
              <w:rPr>
                <w:rFonts w:eastAsia="Calibri"/>
                <w:sz w:val="18"/>
                <w:szCs w:val="18"/>
              </w:rPr>
            </w:pPr>
            <w:r w:rsidRPr="00103EA9">
              <w:rPr>
                <w:rFonts w:eastAsia="Calibri"/>
                <w:b/>
                <w:bCs/>
                <w:sz w:val="18"/>
                <w:szCs w:val="18"/>
              </w:rPr>
              <w:t>Frequency:</w:t>
            </w:r>
            <w:r w:rsidRPr="00103EA9">
              <w:rPr>
                <w:rFonts w:eastAsia="Calibri"/>
                <w:sz w:val="18"/>
                <w:szCs w:val="18"/>
              </w:rPr>
              <w:t xml:space="preserve"> Annual</w:t>
            </w:r>
          </w:p>
          <w:p w14:paraId="4A39DFFE" w14:textId="7B487BE3" w:rsidR="00CC20D5" w:rsidRPr="00103EA9" w:rsidRDefault="00CC20D5" w:rsidP="00C64533">
            <w:pPr>
              <w:jc w:val="both"/>
              <w:rPr>
                <w:rFonts w:eastAsia="Calibri"/>
                <w:sz w:val="18"/>
                <w:szCs w:val="18"/>
              </w:rPr>
            </w:pPr>
            <w:r w:rsidRPr="00103EA9">
              <w:rPr>
                <w:rFonts w:eastAsia="Calibri"/>
                <w:sz w:val="18"/>
                <w:szCs w:val="18"/>
              </w:rPr>
              <w:t xml:space="preserve"> </w:t>
            </w:r>
          </w:p>
          <w:p w14:paraId="2952FD13" w14:textId="54F8CF91" w:rsidR="00CC20D5" w:rsidRPr="00103EA9" w:rsidRDefault="00CC20D5" w:rsidP="00F83AF1">
            <w:pPr>
              <w:rPr>
                <w:rFonts w:eastAsia="Calibri"/>
                <w:sz w:val="18"/>
                <w:szCs w:val="18"/>
              </w:rPr>
            </w:pPr>
            <w:r w:rsidRPr="00103EA9">
              <w:rPr>
                <w:rFonts w:eastAsia="Calibri"/>
                <w:b/>
                <w:bCs/>
                <w:sz w:val="18"/>
                <w:szCs w:val="18"/>
              </w:rPr>
              <w:t>Indicator1.</w:t>
            </w:r>
            <w:r w:rsidR="008A39AD" w:rsidRPr="00103EA9">
              <w:rPr>
                <w:rFonts w:eastAsia="Calibri"/>
                <w:b/>
                <w:bCs/>
                <w:sz w:val="18"/>
                <w:szCs w:val="18"/>
              </w:rPr>
              <w:t>5</w:t>
            </w:r>
            <w:r w:rsidRPr="00103EA9">
              <w:rPr>
                <w:rFonts w:eastAsia="Calibri"/>
                <w:b/>
                <w:bCs/>
                <w:sz w:val="18"/>
                <w:szCs w:val="18"/>
              </w:rPr>
              <w:t>.2</w:t>
            </w:r>
            <w:r w:rsidR="00F85D2B">
              <w:rPr>
                <w:rFonts w:eastAsia="Calibri"/>
                <w:b/>
                <w:bCs/>
                <w:sz w:val="18"/>
                <w:szCs w:val="18"/>
              </w:rPr>
              <w:t>.</w:t>
            </w:r>
            <w:r w:rsidR="000905D9" w:rsidRPr="00103EA9">
              <w:rPr>
                <w:rFonts w:eastAsia="Calibri"/>
                <w:b/>
                <w:bCs/>
                <w:sz w:val="18"/>
                <w:szCs w:val="18"/>
              </w:rPr>
              <w:t>:</w:t>
            </w:r>
            <w:r w:rsidR="00EB3F53" w:rsidRPr="00103EA9">
              <w:rPr>
                <w:rFonts w:eastAsia="Calibri"/>
                <w:b/>
                <w:bCs/>
                <w:sz w:val="18"/>
                <w:szCs w:val="18"/>
              </w:rPr>
              <w:t xml:space="preserve"> </w:t>
            </w:r>
            <w:r w:rsidRPr="00103EA9">
              <w:rPr>
                <w:rFonts w:eastAsia="Calibri"/>
                <w:sz w:val="18"/>
                <w:szCs w:val="18"/>
              </w:rPr>
              <w:t xml:space="preserve">Number of partnerships with state and non-state actors for environmental services established and implemented. </w:t>
            </w:r>
          </w:p>
          <w:p w14:paraId="6FC387A8" w14:textId="5E13E1EE" w:rsidR="00CC20D5" w:rsidRPr="00103EA9" w:rsidRDefault="00CC20D5" w:rsidP="00C64533">
            <w:pPr>
              <w:jc w:val="both"/>
              <w:rPr>
                <w:rFonts w:eastAsia="Calibri"/>
                <w:sz w:val="18"/>
                <w:szCs w:val="18"/>
              </w:rPr>
            </w:pPr>
            <w:r w:rsidRPr="00103EA9">
              <w:rPr>
                <w:rFonts w:eastAsia="Calibri"/>
                <w:b/>
                <w:bCs/>
                <w:sz w:val="18"/>
                <w:szCs w:val="18"/>
              </w:rPr>
              <w:t>Baseline:</w:t>
            </w:r>
            <w:r w:rsidRPr="00103EA9">
              <w:rPr>
                <w:rFonts w:eastAsia="Calibri"/>
                <w:sz w:val="18"/>
                <w:szCs w:val="18"/>
              </w:rPr>
              <w:t xml:space="preserve"> 14</w:t>
            </w:r>
            <w:r w:rsidR="008A39AD" w:rsidRPr="00103EA9">
              <w:rPr>
                <w:rFonts w:eastAsia="Calibri"/>
                <w:sz w:val="18"/>
                <w:szCs w:val="18"/>
              </w:rPr>
              <w:t xml:space="preserve"> </w:t>
            </w:r>
            <w:r w:rsidRPr="00103EA9">
              <w:rPr>
                <w:rFonts w:eastAsia="Calibri"/>
                <w:sz w:val="18"/>
                <w:szCs w:val="18"/>
              </w:rPr>
              <w:t>(2021)</w:t>
            </w:r>
          </w:p>
          <w:p w14:paraId="3B383C5B" w14:textId="3F74167D" w:rsidR="00CC20D5" w:rsidRPr="00103EA9" w:rsidRDefault="00CC20D5" w:rsidP="00C64533">
            <w:pPr>
              <w:jc w:val="both"/>
              <w:rPr>
                <w:rFonts w:eastAsia="Calibri"/>
                <w:sz w:val="18"/>
                <w:szCs w:val="18"/>
              </w:rPr>
            </w:pPr>
            <w:r w:rsidRPr="00103EA9">
              <w:rPr>
                <w:rFonts w:eastAsia="Calibri"/>
                <w:b/>
                <w:bCs/>
                <w:sz w:val="18"/>
                <w:szCs w:val="18"/>
              </w:rPr>
              <w:t>Target:</w:t>
            </w:r>
            <w:r w:rsidRPr="00103EA9">
              <w:rPr>
                <w:rFonts w:eastAsia="Calibri"/>
                <w:sz w:val="18"/>
                <w:szCs w:val="18"/>
              </w:rPr>
              <w:t xml:space="preserve"> 30</w:t>
            </w:r>
            <w:r w:rsidR="008A39AD" w:rsidRPr="00103EA9">
              <w:rPr>
                <w:rFonts w:eastAsia="Calibri"/>
                <w:sz w:val="18"/>
                <w:szCs w:val="18"/>
              </w:rPr>
              <w:t xml:space="preserve"> </w:t>
            </w:r>
            <w:r w:rsidRPr="00103EA9">
              <w:rPr>
                <w:rFonts w:eastAsia="Calibri"/>
                <w:sz w:val="18"/>
                <w:szCs w:val="18"/>
              </w:rPr>
              <w:t>(2027)</w:t>
            </w:r>
          </w:p>
          <w:p w14:paraId="77704081" w14:textId="77777777" w:rsidR="00CC20D5" w:rsidRPr="00103EA9" w:rsidRDefault="00CC20D5" w:rsidP="00C64533">
            <w:pPr>
              <w:jc w:val="both"/>
              <w:rPr>
                <w:rFonts w:eastAsia="Calibri"/>
                <w:sz w:val="18"/>
                <w:szCs w:val="18"/>
              </w:rPr>
            </w:pPr>
            <w:r w:rsidRPr="00103EA9">
              <w:rPr>
                <w:rFonts w:eastAsia="Calibri"/>
                <w:b/>
                <w:bCs/>
                <w:sz w:val="18"/>
                <w:szCs w:val="18"/>
              </w:rPr>
              <w:t>Data Source:</w:t>
            </w:r>
            <w:r w:rsidRPr="00103EA9">
              <w:rPr>
                <w:rFonts w:eastAsia="Calibri"/>
                <w:sz w:val="18"/>
                <w:szCs w:val="18"/>
              </w:rPr>
              <w:t xml:space="preserve"> MESTI reports  </w:t>
            </w:r>
          </w:p>
          <w:p w14:paraId="28677FB6" w14:textId="792C59A0" w:rsidR="00CC20D5" w:rsidRPr="00103EA9" w:rsidRDefault="00CC20D5" w:rsidP="00C64533">
            <w:pPr>
              <w:jc w:val="both"/>
              <w:rPr>
                <w:rFonts w:eastAsia="Calibri"/>
                <w:sz w:val="18"/>
                <w:szCs w:val="18"/>
              </w:rPr>
            </w:pPr>
            <w:r w:rsidRPr="00103EA9">
              <w:rPr>
                <w:rFonts w:eastAsia="Calibri"/>
                <w:b/>
                <w:bCs/>
                <w:sz w:val="18"/>
                <w:szCs w:val="18"/>
              </w:rPr>
              <w:t>Frequency:</w:t>
            </w:r>
            <w:r w:rsidRPr="00103EA9">
              <w:rPr>
                <w:rFonts w:eastAsia="Calibri"/>
                <w:sz w:val="18"/>
                <w:szCs w:val="18"/>
              </w:rPr>
              <w:t xml:space="preserve"> </w:t>
            </w:r>
            <w:r w:rsidR="00F85D2B">
              <w:rPr>
                <w:rFonts w:eastAsia="Calibri"/>
                <w:sz w:val="18"/>
                <w:szCs w:val="18"/>
              </w:rPr>
              <w:t>A</w:t>
            </w:r>
            <w:r w:rsidRPr="00103EA9">
              <w:rPr>
                <w:rFonts w:eastAsia="Calibri"/>
                <w:sz w:val="18"/>
                <w:szCs w:val="18"/>
              </w:rPr>
              <w:t>nnual</w:t>
            </w:r>
          </w:p>
          <w:p w14:paraId="50870120" w14:textId="49264487" w:rsidR="00CC20D5" w:rsidRPr="00103EA9" w:rsidRDefault="00CC20D5" w:rsidP="00C64533">
            <w:pPr>
              <w:jc w:val="both"/>
              <w:rPr>
                <w:rFonts w:eastAsia="Calibri"/>
                <w:sz w:val="18"/>
                <w:szCs w:val="18"/>
              </w:rPr>
            </w:pPr>
          </w:p>
          <w:p w14:paraId="6642F6EC" w14:textId="12EC0238" w:rsidR="00CC20D5" w:rsidRPr="00103EA9" w:rsidRDefault="00CC20D5" w:rsidP="00F83AF1">
            <w:pPr>
              <w:rPr>
                <w:rFonts w:eastAsia="Calibri"/>
                <w:sz w:val="18"/>
                <w:szCs w:val="18"/>
              </w:rPr>
            </w:pPr>
            <w:r w:rsidRPr="00103EA9">
              <w:rPr>
                <w:rFonts w:eastAsia="Calibri"/>
                <w:b/>
                <w:bCs/>
                <w:sz w:val="18"/>
                <w:szCs w:val="18"/>
              </w:rPr>
              <w:t>Indicator 1.</w:t>
            </w:r>
            <w:r w:rsidR="008A39AD" w:rsidRPr="00103EA9">
              <w:rPr>
                <w:rFonts w:eastAsia="Calibri"/>
                <w:b/>
                <w:bCs/>
                <w:sz w:val="18"/>
                <w:szCs w:val="18"/>
              </w:rPr>
              <w:t>5</w:t>
            </w:r>
            <w:r w:rsidRPr="00103EA9">
              <w:rPr>
                <w:rFonts w:eastAsia="Calibri"/>
                <w:b/>
                <w:bCs/>
                <w:sz w:val="18"/>
                <w:szCs w:val="18"/>
              </w:rPr>
              <w:t>.3</w:t>
            </w:r>
            <w:r w:rsidR="00F85D2B">
              <w:rPr>
                <w:rFonts w:eastAsia="Calibri"/>
                <w:b/>
                <w:bCs/>
                <w:sz w:val="18"/>
                <w:szCs w:val="18"/>
              </w:rPr>
              <w:t>.</w:t>
            </w:r>
            <w:r w:rsidR="00711F79" w:rsidRPr="00103EA9">
              <w:rPr>
                <w:rFonts w:eastAsia="Calibri"/>
                <w:b/>
                <w:bCs/>
                <w:sz w:val="18"/>
                <w:szCs w:val="18"/>
              </w:rPr>
              <w:t>:</w:t>
            </w:r>
            <w:r w:rsidRPr="00103EA9">
              <w:rPr>
                <w:rFonts w:eastAsia="Calibri"/>
                <w:sz w:val="18"/>
                <w:szCs w:val="18"/>
              </w:rPr>
              <w:t xml:space="preserve"> Extent to which gender sensitive policy measures (governance, financing mechanisms and institutional capacities) are developed and implemented for climate action, green and circular economy</w:t>
            </w:r>
            <w:r w:rsidR="00F85D2B">
              <w:rPr>
                <w:rFonts w:eastAsia="Calibri"/>
                <w:sz w:val="18"/>
                <w:szCs w:val="18"/>
              </w:rPr>
              <w:t>.</w:t>
            </w:r>
            <w:r w:rsidRPr="00103EA9">
              <w:rPr>
                <w:rFonts w:eastAsia="Calibri"/>
                <w:sz w:val="18"/>
                <w:szCs w:val="18"/>
              </w:rPr>
              <w:t xml:space="preserve"> </w:t>
            </w:r>
          </w:p>
          <w:p w14:paraId="6CB0A425" w14:textId="77777777" w:rsidR="00CC20D5" w:rsidRPr="00103EA9" w:rsidRDefault="00CC20D5" w:rsidP="00C64533">
            <w:pPr>
              <w:jc w:val="both"/>
              <w:rPr>
                <w:rFonts w:eastAsia="Calibri"/>
                <w:sz w:val="18"/>
                <w:szCs w:val="18"/>
              </w:rPr>
            </w:pPr>
            <w:r w:rsidRPr="00103EA9">
              <w:rPr>
                <w:rFonts w:eastAsia="Calibri"/>
                <w:b/>
                <w:bCs/>
                <w:sz w:val="18"/>
                <w:szCs w:val="18"/>
              </w:rPr>
              <w:t>Baseline:</w:t>
            </w:r>
            <w:r w:rsidRPr="00103EA9">
              <w:rPr>
                <w:rFonts w:eastAsia="Calibri"/>
                <w:sz w:val="18"/>
                <w:szCs w:val="18"/>
              </w:rPr>
              <w:t xml:space="preserve"> 2 (very partially)</w:t>
            </w:r>
          </w:p>
          <w:p w14:paraId="4F9600B3" w14:textId="77777777" w:rsidR="00CC20D5" w:rsidRPr="00103EA9" w:rsidRDefault="00CC20D5" w:rsidP="00C64533">
            <w:pPr>
              <w:jc w:val="both"/>
              <w:rPr>
                <w:rFonts w:eastAsia="Calibri"/>
                <w:sz w:val="18"/>
                <w:szCs w:val="18"/>
              </w:rPr>
            </w:pPr>
            <w:r w:rsidRPr="00103EA9">
              <w:rPr>
                <w:rFonts w:eastAsia="Calibri"/>
                <w:b/>
                <w:bCs/>
                <w:sz w:val="18"/>
                <w:szCs w:val="18"/>
              </w:rPr>
              <w:t>Target:</w:t>
            </w:r>
            <w:r w:rsidRPr="00103EA9">
              <w:rPr>
                <w:rFonts w:eastAsia="Calibri"/>
                <w:sz w:val="18"/>
                <w:szCs w:val="18"/>
              </w:rPr>
              <w:t xml:space="preserve"> 3 (partially)</w:t>
            </w:r>
          </w:p>
          <w:p w14:paraId="48A5A42D" w14:textId="77777777" w:rsidR="00CC20D5" w:rsidRPr="00103EA9" w:rsidRDefault="00CC20D5" w:rsidP="00C64533">
            <w:pPr>
              <w:jc w:val="both"/>
              <w:rPr>
                <w:rFonts w:eastAsia="Calibri"/>
                <w:sz w:val="18"/>
                <w:szCs w:val="18"/>
              </w:rPr>
            </w:pPr>
            <w:r w:rsidRPr="00103EA9">
              <w:rPr>
                <w:rFonts w:eastAsia="Calibri"/>
                <w:b/>
                <w:bCs/>
                <w:sz w:val="18"/>
                <w:szCs w:val="18"/>
              </w:rPr>
              <w:t>Data Source:</w:t>
            </w:r>
            <w:r w:rsidRPr="00103EA9">
              <w:rPr>
                <w:rFonts w:eastAsia="Calibri"/>
                <w:sz w:val="18"/>
                <w:szCs w:val="18"/>
              </w:rPr>
              <w:t xml:space="preserve"> MESTI reports</w:t>
            </w:r>
          </w:p>
          <w:p w14:paraId="14DCB46B" w14:textId="5ABA3675" w:rsidR="00CC20D5" w:rsidRPr="00277E29" w:rsidRDefault="00CC20D5" w:rsidP="008876DF">
            <w:pPr>
              <w:jc w:val="both"/>
              <w:rPr>
                <w:rFonts w:eastAsia="Calibri"/>
                <w:sz w:val="18"/>
                <w:szCs w:val="18"/>
              </w:rPr>
            </w:pPr>
            <w:r w:rsidRPr="00103EA9">
              <w:rPr>
                <w:rFonts w:eastAsia="Calibri"/>
                <w:b/>
                <w:bCs/>
                <w:sz w:val="18"/>
                <w:szCs w:val="18"/>
              </w:rPr>
              <w:t>Frequency:</w:t>
            </w:r>
            <w:r w:rsidRPr="00103EA9">
              <w:rPr>
                <w:rFonts w:eastAsia="Calibri"/>
                <w:sz w:val="18"/>
                <w:szCs w:val="18"/>
              </w:rPr>
              <w:t xml:space="preserve"> annual</w:t>
            </w:r>
          </w:p>
        </w:tc>
        <w:tc>
          <w:tcPr>
            <w:tcW w:w="2593" w:type="dxa"/>
          </w:tcPr>
          <w:p w14:paraId="72022B22" w14:textId="3B1EBFFD" w:rsidR="00CC20D5" w:rsidRPr="00103EA9" w:rsidRDefault="00CC20D5" w:rsidP="00370F9A">
            <w:pPr>
              <w:rPr>
                <w:rFonts w:eastAsia="Calibri"/>
                <w:sz w:val="18"/>
                <w:szCs w:val="18"/>
              </w:rPr>
            </w:pPr>
            <w:r w:rsidRPr="00103EA9">
              <w:rPr>
                <w:rFonts w:eastAsia="Calibri"/>
                <w:sz w:val="18"/>
                <w:szCs w:val="18"/>
              </w:rPr>
              <w:t>MESTI, Association of Ghana Industries</w:t>
            </w:r>
            <w:r w:rsidR="00F85D2B">
              <w:rPr>
                <w:rFonts w:eastAsia="Calibri"/>
                <w:sz w:val="18"/>
                <w:szCs w:val="18"/>
              </w:rPr>
              <w:t xml:space="preserve">, </w:t>
            </w:r>
            <w:r w:rsidRPr="00103EA9">
              <w:rPr>
                <w:rFonts w:eastAsia="Calibri"/>
                <w:sz w:val="18"/>
                <w:szCs w:val="18"/>
              </w:rPr>
              <w:t xml:space="preserve">Ghana Recycling Initiative by Private Enterprises, Ministry of Local Government and Rural Development, Ministry of Sanitation and Water Resources, Accra Metropolitan Assembly, MMDAs, Private Enterprise Federation, UNICEF, UNIDO, </w:t>
            </w:r>
            <w:r w:rsidR="00F85D2B">
              <w:rPr>
                <w:rFonts w:eastAsia="Calibri"/>
                <w:sz w:val="18"/>
                <w:szCs w:val="18"/>
              </w:rPr>
              <w:t>r</w:t>
            </w:r>
            <w:r w:rsidRPr="00103EA9">
              <w:rPr>
                <w:rFonts w:eastAsia="Calibri"/>
                <w:sz w:val="18"/>
                <w:szCs w:val="18"/>
              </w:rPr>
              <w:t>esearch institutions</w:t>
            </w:r>
            <w:r w:rsidR="00F85D2B">
              <w:rPr>
                <w:rFonts w:eastAsia="Calibri"/>
                <w:sz w:val="18"/>
                <w:szCs w:val="18"/>
              </w:rPr>
              <w:t>,</w:t>
            </w:r>
            <w:r w:rsidRPr="00103EA9">
              <w:rPr>
                <w:rFonts w:eastAsia="Calibri"/>
                <w:sz w:val="18"/>
                <w:szCs w:val="18"/>
              </w:rPr>
              <w:t xml:space="preserve"> CSOs</w:t>
            </w:r>
            <w:r w:rsidR="00F85D2B">
              <w:rPr>
                <w:rFonts w:eastAsia="Calibri"/>
                <w:sz w:val="18"/>
                <w:szCs w:val="18"/>
              </w:rPr>
              <w:t>,</w:t>
            </w:r>
            <w:r w:rsidRPr="00103EA9">
              <w:rPr>
                <w:rFonts w:eastAsia="Calibri"/>
                <w:sz w:val="18"/>
                <w:szCs w:val="18"/>
              </w:rPr>
              <w:t xml:space="preserve"> </w:t>
            </w:r>
          </w:p>
          <w:p w14:paraId="583DB561" w14:textId="29E18FE4" w:rsidR="00CC20D5" w:rsidRPr="00103EA9" w:rsidRDefault="00F85D2B" w:rsidP="00C64533">
            <w:pPr>
              <w:jc w:val="both"/>
              <w:rPr>
                <w:rFonts w:eastAsia="Calibri"/>
                <w:sz w:val="18"/>
                <w:szCs w:val="18"/>
              </w:rPr>
            </w:pPr>
            <w:r>
              <w:rPr>
                <w:rFonts w:eastAsia="Calibri"/>
                <w:sz w:val="18"/>
                <w:szCs w:val="18"/>
              </w:rPr>
              <w:t>d</w:t>
            </w:r>
            <w:r w:rsidR="00CC20D5" w:rsidRPr="00103EA9">
              <w:rPr>
                <w:rFonts w:eastAsia="Calibri"/>
                <w:sz w:val="18"/>
                <w:szCs w:val="18"/>
              </w:rPr>
              <w:t xml:space="preserve">evelopment </w:t>
            </w:r>
            <w:r>
              <w:rPr>
                <w:rFonts w:eastAsia="Calibri"/>
                <w:sz w:val="18"/>
                <w:szCs w:val="18"/>
              </w:rPr>
              <w:t>p</w:t>
            </w:r>
            <w:r w:rsidR="00CC20D5" w:rsidRPr="00103EA9">
              <w:rPr>
                <w:rFonts w:eastAsia="Calibri"/>
                <w:sz w:val="18"/>
                <w:szCs w:val="18"/>
              </w:rPr>
              <w:t xml:space="preserve">artners, Netherlands Embassy in Ghana, Canadian Embassy, </w:t>
            </w:r>
            <w:r w:rsidR="00731936">
              <w:rPr>
                <w:rFonts w:eastAsia="Calibri"/>
                <w:sz w:val="18"/>
                <w:szCs w:val="18"/>
              </w:rPr>
              <w:t>Germany</w:t>
            </w:r>
            <w:r w:rsidR="00FF252B">
              <w:rPr>
                <w:rFonts w:eastAsia="Calibri"/>
                <w:sz w:val="18"/>
                <w:szCs w:val="18"/>
              </w:rPr>
              <w:t>,</w:t>
            </w:r>
          </w:p>
          <w:p w14:paraId="52643828" w14:textId="25B814FE" w:rsidR="00CC20D5" w:rsidRPr="00103EA9" w:rsidRDefault="00CC20D5" w:rsidP="00C64533">
            <w:pPr>
              <w:jc w:val="both"/>
              <w:rPr>
                <w:rFonts w:eastAsia="Calibri"/>
                <w:sz w:val="18"/>
                <w:szCs w:val="18"/>
              </w:rPr>
            </w:pPr>
            <w:r w:rsidRPr="00103EA9">
              <w:rPr>
                <w:rFonts w:eastAsia="Calibri"/>
                <w:sz w:val="18"/>
                <w:szCs w:val="18"/>
              </w:rPr>
              <w:t>Sweden, Switzerland</w:t>
            </w:r>
            <w:r w:rsidR="00D3504E">
              <w:rPr>
                <w:rFonts w:eastAsia="Calibri"/>
                <w:sz w:val="18"/>
                <w:szCs w:val="18"/>
              </w:rPr>
              <w:t>,</w:t>
            </w:r>
            <w:r w:rsidRPr="00103EA9">
              <w:rPr>
                <w:rFonts w:eastAsia="Calibri"/>
                <w:sz w:val="18"/>
                <w:szCs w:val="18"/>
              </w:rPr>
              <w:t xml:space="preserve"> </w:t>
            </w:r>
          </w:p>
          <w:p w14:paraId="69CB4247" w14:textId="77777777" w:rsidR="00CC20D5" w:rsidRPr="00103EA9" w:rsidRDefault="00CC20D5" w:rsidP="00C64533">
            <w:pPr>
              <w:rPr>
                <w:rFonts w:eastAsia="Calibri"/>
                <w:sz w:val="18"/>
                <w:szCs w:val="18"/>
              </w:rPr>
            </w:pPr>
            <w:r w:rsidRPr="00103EA9">
              <w:rPr>
                <w:rFonts w:eastAsia="Calibri"/>
                <w:sz w:val="18"/>
                <w:szCs w:val="18"/>
              </w:rPr>
              <w:t>EPA</w:t>
            </w:r>
          </w:p>
        </w:tc>
        <w:tc>
          <w:tcPr>
            <w:tcW w:w="1709" w:type="dxa"/>
            <w:tcMar>
              <w:top w:w="15" w:type="dxa"/>
              <w:left w:w="108" w:type="dxa"/>
              <w:bottom w:w="0" w:type="dxa"/>
              <w:right w:w="108" w:type="dxa"/>
            </w:tcMar>
          </w:tcPr>
          <w:p w14:paraId="35BA7F47" w14:textId="5350A7C8" w:rsidR="00CC20D5" w:rsidRPr="00103EA9" w:rsidRDefault="00CC20D5" w:rsidP="00C64533">
            <w:pPr>
              <w:rPr>
                <w:b/>
                <w:bCs/>
                <w:color w:val="000000"/>
                <w:sz w:val="18"/>
                <w:szCs w:val="18"/>
              </w:rPr>
            </w:pPr>
            <w:r w:rsidRPr="00103EA9">
              <w:rPr>
                <w:b/>
                <w:bCs/>
                <w:color w:val="000000"/>
                <w:sz w:val="18"/>
                <w:szCs w:val="18"/>
              </w:rPr>
              <w:t xml:space="preserve">Regular: </w:t>
            </w:r>
            <w:r w:rsidR="00393EB3">
              <w:rPr>
                <w:b/>
                <w:bCs/>
                <w:color w:val="000000"/>
                <w:sz w:val="18"/>
                <w:szCs w:val="18"/>
              </w:rPr>
              <w:t>6</w:t>
            </w:r>
            <w:r w:rsidRPr="00103EA9">
              <w:rPr>
                <w:b/>
                <w:bCs/>
                <w:color w:val="000000"/>
                <w:sz w:val="18"/>
                <w:szCs w:val="18"/>
              </w:rPr>
              <w:t>00,000</w:t>
            </w:r>
          </w:p>
          <w:p w14:paraId="4EB18655" w14:textId="77777777" w:rsidR="00CC20D5" w:rsidRPr="00103EA9" w:rsidRDefault="00CC20D5" w:rsidP="00C64533">
            <w:pPr>
              <w:rPr>
                <w:b/>
                <w:bCs/>
                <w:color w:val="000000"/>
                <w:sz w:val="18"/>
                <w:szCs w:val="18"/>
              </w:rPr>
            </w:pPr>
            <w:r w:rsidRPr="00103EA9">
              <w:rPr>
                <w:b/>
                <w:bCs/>
                <w:color w:val="000000"/>
                <w:sz w:val="18"/>
                <w:szCs w:val="18"/>
              </w:rPr>
              <w:t>Others: 12,000,000</w:t>
            </w:r>
          </w:p>
        </w:tc>
      </w:tr>
    </w:tbl>
    <w:p w14:paraId="3BEDB407" w14:textId="77777777" w:rsidR="00187BA9" w:rsidRDefault="00187BA9">
      <w:r>
        <w:br w:type="page"/>
      </w:r>
    </w:p>
    <w:tbl>
      <w:tblP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9"/>
        <w:gridCol w:w="2634"/>
        <w:gridCol w:w="4085"/>
        <w:gridCol w:w="2087"/>
        <w:gridCol w:w="1709"/>
      </w:tblGrid>
      <w:tr w:rsidR="00CC20D5" w:rsidRPr="008079CD" w14:paraId="324F4D9C" w14:textId="77777777" w:rsidTr="008462C7">
        <w:trPr>
          <w:trHeight w:val="314"/>
        </w:trPr>
        <w:tc>
          <w:tcPr>
            <w:tcW w:w="13044" w:type="dxa"/>
            <w:gridSpan w:val="5"/>
            <w:shd w:val="clear" w:color="auto" w:fill="D9E2F3"/>
            <w:vAlign w:val="center"/>
          </w:tcPr>
          <w:p w14:paraId="6E259197" w14:textId="67BC3FEF" w:rsidR="00CC20D5" w:rsidRPr="00742553" w:rsidRDefault="00CC20D5" w:rsidP="00C64533">
            <w:pPr>
              <w:rPr>
                <w:sz w:val="18"/>
                <w:szCs w:val="18"/>
              </w:rPr>
            </w:pPr>
            <w:r w:rsidRPr="00742553">
              <w:rPr>
                <w:b/>
                <w:bCs/>
                <w:color w:val="000000"/>
                <w:sz w:val="18"/>
                <w:szCs w:val="18"/>
              </w:rPr>
              <w:lastRenderedPageBreak/>
              <w:t xml:space="preserve">NATIONAL GOAL: </w:t>
            </w:r>
            <w:r w:rsidRPr="00742553">
              <w:rPr>
                <w:color w:val="000000"/>
                <w:sz w:val="18"/>
                <w:szCs w:val="18"/>
              </w:rPr>
              <w:t>A</w:t>
            </w:r>
            <w:r w:rsidRPr="00742553">
              <w:rPr>
                <w:color w:val="333333"/>
                <w:sz w:val="18"/>
                <w:szCs w:val="18"/>
              </w:rPr>
              <w:t xml:space="preserve"> democratic political system that</w:t>
            </w:r>
            <w:r w:rsidRPr="00742553">
              <w:rPr>
                <w:color w:val="000000"/>
                <w:sz w:val="18"/>
                <w:szCs w:val="18"/>
              </w:rPr>
              <w:t xml:space="preserve"> m</w:t>
            </w:r>
            <w:r w:rsidRPr="00742553">
              <w:rPr>
                <w:color w:val="333333"/>
                <w:sz w:val="18"/>
                <w:szCs w:val="18"/>
              </w:rPr>
              <w:t>aintains a stable, united and safe country, is issue based, people-centred, result-oriented and accountable to the public</w:t>
            </w:r>
            <w:r w:rsidR="00F85D2B">
              <w:rPr>
                <w:color w:val="333333"/>
                <w:sz w:val="18"/>
                <w:szCs w:val="18"/>
              </w:rPr>
              <w:t>.</w:t>
            </w:r>
            <w:r w:rsidRPr="00742553">
              <w:rPr>
                <w:color w:val="333333"/>
                <w:sz w:val="18"/>
                <w:szCs w:val="18"/>
              </w:rPr>
              <w:t xml:space="preserve"> </w:t>
            </w:r>
          </w:p>
        </w:tc>
      </w:tr>
      <w:tr w:rsidR="00CC20D5" w:rsidRPr="008079CD" w14:paraId="55474E2D" w14:textId="77777777" w:rsidTr="008462C7">
        <w:trPr>
          <w:trHeight w:val="530"/>
        </w:trPr>
        <w:tc>
          <w:tcPr>
            <w:tcW w:w="13044" w:type="dxa"/>
            <w:gridSpan w:val="5"/>
            <w:tcBorders>
              <w:bottom w:val="single" w:sz="4" w:space="0" w:color="auto"/>
            </w:tcBorders>
            <w:shd w:val="clear" w:color="auto" w:fill="D9E2F3"/>
            <w:vAlign w:val="center"/>
          </w:tcPr>
          <w:p w14:paraId="276127F9" w14:textId="610BAD2D" w:rsidR="00CC20D5" w:rsidRPr="00742553" w:rsidRDefault="00CC20D5" w:rsidP="00C64533">
            <w:pPr>
              <w:rPr>
                <w:sz w:val="18"/>
                <w:szCs w:val="18"/>
              </w:rPr>
            </w:pPr>
            <w:r w:rsidRPr="00742553">
              <w:rPr>
                <w:b/>
                <w:bCs/>
                <w:color w:val="000000"/>
                <w:sz w:val="18"/>
                <w:szCs w:val="18"/>
              </w:rPr>
              <w:t xml:space="preserve">COOPERATION FRAMEWORK OUTCOME #3: </w:t>
            </w:r>
            <w:r w:rsidRPr="00742553">
              <w:rPr>
                <w:color w:val="000000"/>
                <w:sz w:val="18"/>
                <w:szCs w:val="18"/>
              </w:rPr>
              <w:t>By 2025, people in Ghana will benefit from transparent, accountable, inclusive governance institutions and systems including quality integrated digital services delivering a peaceful, cohesive and just society</w:t>
            </w:r>
            <w:r w:rsidR="00F85D2B">
              <w:rPr>
                <w:color w:val="000000"/>
                <w:sz w:val="18"/>
                <w:szCs w:val="18"/>
              </w:rPr>
              <w:t>.</w:t>
            </w:r>
          </w:p>
        </w:tc>
      </w:tr>
      <w:tr w:rsidR="00CC20D5" w:rsidRPr="008079CD" w14:paraId="286255EF" w14:textId="77777777" w:rsidTr="008462C7">
        <w:trPr>
          <w:trHeight w:val="260"/>
        </w:trPr>
        <w:tc>
          <w:tcPr>
            <w:tcW w:w="13044" w:type="dxa"/>
            <w:gridSpan w:val="5"/>
            <w:shd w:val="clear" w:color="auto" w:fill="DBE5F1" w:themeFill="accent1" w:themeFillTint="33"/>
            <w:vAlign w:val="center"/>
          </w:tcPr>
          <w:p w14:paraId="2B8F0292" w14:textId="58B13E1B" w:rsidR="00CC20D5" w:rsidRPr="00742553" w:rsidRDefault="00CC20D5" w:rsidP="00C64533">
            <w:pPr>
              <w:rPr>
                <w:sz w:val="18"/>
                <w:szCs w:val="18"/>
              </w:rPr>
            </w:pPr>
            <w:r w:rsidRPr="00742553">
              <w:rPr>
                <w:b/>
                <w:bCs/>
                <w:color w:val="000000" w:themeColor="text1"/>
                <w:sz w:val="18"/>
                <w:szCs w:val="18"/>
              </w:rPr>
              <w:t xml:space="preserve">STRATEGIC PLAN OUTCOME: </w:t>
            </w:r>
            <w:r w:rsidRPr="00742553">
              <w:rPr>
                <w:color w:val="000000" w:themeColor="text1"/>
                <w:sz w:val="18"/>
                <w:szCs w:val="18"/>
              </w:rPr>
              <w:t>Structural transformation accelerated, particularly green, inclusive and digital transition</w:t>
            </w:r>
            <w:r w:rsidR="00F85D2B">
              <w:rPr>
                <w:color w:val="000000" w:themeColor="text1"/>
                <w:sz w:val="18"/>
                <w:szCs w:val="18"/>
              </w:rPr>
              <w:t>.</w:t>
            </w:r>
            <w:r w:rsidRPr="00742553">
              <w:rPr>
                <w:color w:val="000000" w:themeColor="text1"/>
                <w:sz w:val="18"/>
                <w:szCs w:val="18"/>
              </w:rPr>
              <w:t xml:space="preserve"> </w:t>
            </w:r>
          </w:p>
        </w:tc>
      </w:tr>
      <w:tr w:rsidR="00F6481F" w:rsidRPr="008079CD" w14:paraId="50A37154" w14:textId="77777777" w:rsidTr="00BC4D71">
        <w:tc>
          <w:tcPr>
            <w:tcW w:w="2529" w:type="dxa"/>
            <w:vMerge w:val="restart"/>
          </w:tcPr>
          <w:p w14:paraId="61115004" w14:textId="77777777" w:rsidR="00F6481F" w:rsidRPr="00742553" w:rsidRDefault="00F6481F" w:rsidP="00C64533">
            <w:pPr>
              <w:rPr>
                <w:color w:val="000000"/>
                <w:sz w:val="18"/>
                <w:szCs w:val="18"/>
              </w:rPr>
            </w:pPr>
            <w:r w:rsidRPr="00742553">
              <w:rPr>
                <w:rFonts w:eastAsia="Calibri"/>
                <w:b/>
                <w:bCs/>
                <w:color w:val="333333"/>
                <w:sz w:val="18"/>
                <w:szCs w:val="18"/>
              </w:rPr>
              <w:t xml:space="preserve">Indicator: </w:t>
            </w:r>
          </w:p>
          <w:p w14:paraId="008F3ACC" w14:textId="6CBD253D" w:rsidR="00F6481F" w:rsidRPr="00742553" w:rsidRDefault="00F6481F" w:rsidP="00C64533">
            <w:pPr>
              <w:rPr>
                <w:rFonts w:eastAsia="Calibri"/>
                <w:color w:val="333333"/>
                <w:sz w:val="18"/>
                <w:szCs w:val="18"/>
              </w:rPr>
            </w:pPr>
            <w:r w:rsidRPr="00742553">
              <w:rPr>
                <w:color w:val="000000"/>
                <w:sz w:val="18"/>
                <w:szCs w:val="18"/>
              </w:rPr>
              <w:t xml:space="preserve">Level of </w:t>
            </w:r>
            <w:r w:rsidR="00F85D2B">
              <w:rPr>
                <w:color w:val="000000"/>
                <w:sz w:val="18"/>
                <w:szCs w:val="18"/>
              </w:rPr>
              <w:t>c</w:t>
            </w:r>
            <w:r w:rsidRPr="00742553">
              <w:rPr>
                <w:color w:val="000000"/>
                <w:sz w:val="18"/>
                <w:szCs w:val="18"/>
              </w:rPr>
              <w:t xml:space="preserve">itizen </w:t>
            </w:r>
            <w:r w:rsidR="00F85D2B">
              <w:rPr>
                <w:color w:val="000000"/>
                <w:sz w:val="18"/>
                <w:szCs w:val="18"/>
              </w:rPr>
              <w:t>t</w:t>
            </w:r>
            <w:r w:rsidRPr="00742553">
              <w:rPr>
                <w:color w:val="000000"/>
                <w:sz w:val="18"/>
                <w:szCs w:val="18"/>
              </w:rPr>
              <w:t xml:space="preserve">rust in </w:t>
            </w:r>
            <w:r w:rsidR="00F85D2B">
              <w:rPr>
                <w:color w:val="000000"/>
                <w:sz w:val="18"/>
                <w:szCs w:val="18"/>
              </w:rPr>
              <w:t>i</w:t>
            </w:r>
            <w:r w:rsidRPr="00742553">
              <w:rPr>
                <w:color w:val="000000"/>
                <w:sz w:val="18"/>
                <w:szCs w:val="18"/>
              </w:rPr>
              <w:t xml:space="preserve">nstitutions </w:t>
            </w:r>
          </w:p>
          <w:p w14:paraId="11CF612E" w14:textId="77777777" w:rsidR="00F6481F" w:rsidRPr="00742553" w:rsidRDefault="00F6481F" w:rsidP="00C64533">
            <w:pPr>
              <w:rPr>
                <w:rFonts w:eastAsia="Calibri"/>
                <w:color w:val="333333"/>
                <w:sz w:val="18"/>
                <w:szCs w:val="18"/>
              </w:rPr>
            </w:pPr>
          </w:p>
          <w:p w14:paraId="5BCFD69C" w14:textId="5493223D" w:rsidR="00F6481F" w:rsidRPr="00742553" w:rsidRDefault="00F6481F" w:rsidP="00C64533">
            <w:pPr>
              <w:rPr>
                <w:rFonts w:eastAsia="Calibri"/>
                <w:color w:val="333333"/>
                <w:sz w:val="18"/>
                <w:szCs w:val="18"/>
              </w:rPr>
            </w:pPr>
            <w:r w:rsidRPr="00742553">
              <w:rPr>
                <w:rFonts w:eastAsia="Calibri"/>
                <w:b/>
                <w:bCs/>
                <w:color w:val="333333"/>
                <w:sz w:val="18"/>
                <w:szCs w:val="18"/>
              </w:rPr>
              <w:t>Baseline:</w:t>
            </w:r>
            <w:r w:rsidRPr="00742553">
              <w:rPr>
                <w:rFonts w:eastAsia="Calibri"/>
                <w:color w:val="333333"/>
                <w:sz w:val="18"/>
                <w:szCs w:val="18"/>
              </w:rPr>
              <w:t xml:space="preserve"> </w:t>
            </w:r>
            <w:r w:rsidRPr="00742553">
              <w:rPr>
                <w:color w:val="000000"/>
                <w:sz w:val="18"/>
                <w:szCs w:val="18"/>
              </w:rPr>
              <w:t>(2020)</w:t>
            </w:r>
          </w:p>
          <w:p w14:paraId="1310DE1B" w14:textId="0B9B33A9" w:rsidR="00F6481F" w:rsidRPr="00742553" w:rsidRDefault="00F6481F" w:rsidP="00463969">
            <w:pPr>
              <w:rPr>
                <w:color w:val="000000"/>
                <w:sz w:val="18"/>
                <w:szCs w:val="18"/>
              </w:rPr>
            </w:pPr>
            <w:r w:rsidRPr="00742553">
              <w:rPr>
                <w:color w:val="000000"/>
                <w:sz w:val="18"/>
                <w:szCs w:val="18"/>
              </w:rPr>
              <w:t>Parliament – 50.6%</w:t>
            </w:r>
          </w:p>
          <w:p w14:paraId="092562BE" w14:textId="77777777" w:rsidR="00F6481F" w:rsidRPr="00742553" w:rsidRDefault="00F6481F" w:rsidP="00463969">
            <w:pPr>
              <w:rPr>
                <w:color w:val="000000"/>
                <w:sz w:val="18"/>
                <w:szCs w:val="18"/>
              </w:rPr>
            </w:pPr>
            <w:r w:rsidRPr="00742553">
              <w:rPr>
                <w:color w:val="000000"/>
                <w:sz w:val="18"/>
                <w:szCs w:val="18"/>
              </w:rPr>
              <w:t>EC – 52.9%</w:t>
            </w:r>
          </w:p>
          <w:p w14:paraId="7A49B796" w14:textId="77777777" w:rsidR="00F6481F" w:rsidRPr="00742553" w:rsidRDefault="00F6481F" w:rsidP="00463969">
            <w:pPr>
              <w:rPr>
                <w:color w:val="000000"/>
                <w:sz w:val="18"/>
                <w:szCs w:val="18"/>
              </w:rPr>
            </w:pPr>
            <w:r w:rsidRPr="00742553">
              <w:rPr>
                <w:color w:val="000000"/>
                <w:sz w:val="18"/>
                <w:szCs w:val="18"/>
              </w:rPr>
              <w:t>Local Government Council – 41.3%</w:t>
            </w:r>
          </w:p>
          <w:p w14:paraId="7914E7E8" w14:textId="77777777" w:rsidR="00F6481F" w:rsidRPr="00742553" w:rsidRDefault="00F6481F" w:rsidP="00463969">
            <w:pPr>
              <w:rPr>
                <w:color w:val="000000"/>
                <w:sz w:val="18"/>
                <w:szCs w:val="18"/>
              </w:rPr>
            </w:pPr>
            <w:r w:rsidRPr="00742553">
              <w:rPr>
                <w:color w:val="000000"/>
                <w:sz w:val="18"/>
                <w:szCs w:val="18"/>
              </w:rPr>
              <w:t xml:space="preserve">The Police – 39% </w:t>
            </w:r>
          </w:p>
          <w:p w14:paraId="67E2A3B1" w14:textId="77777777" w:rsidR="00F6481F" w:rsidRPr="00742553" w:rsidRDefault="00F6481F" w:rsidP="00463969">
            <w:pPr>
              <w:rPr>
                <w:color w:val="000000"/>
                <w:sz w:val="18"/>
                <w:szCs w:val="18"/>
              </w:rPr>
            </w:pPr>
            <w:r w:rsidRPr="00742553">
              <w:rPr>
                <w:color w:val="000000"/>
                <w:sz w:val="18"/>
                <w:szCs w:val="18"/>
              </w:rPr>
              <w:t>Ghana Armed Forces – 72.9%</w:t>
            </w:r>
          </w:p>
          <w:p w14:paraId="4F690D27" w14:textId="7CAEBC87" w:rsidR="00F6481F" w:rsidRPr="00742553" w:rsidRDefault="00F6481F" w:rsidP="00463969">
            <w:pPr>
              <w:rPr>
                <w:rFonts w:eastAsia="Calibri"/>
                <w:color w:val="333333"/>
                <w:sz w:val="18"/>
                <w:szCs w:val="18"/>
              </w:rPr>
            </w:pPr>
            <w:r w:rsidRPr="00742553">
              <w:rPr>
                <w:color w:val="000000"/>
                <w:sz w:val="18"/>
                <w:szCs w:val="18"/>
              </w:rPr>
              <w:t>Courts – 47.9%</w:t>
            </w:r>
          </w:p>
          <w:p w14:paraId="0C2A77AC" w14:textId="73B12AF9" w:rsidR="00F6481F" w:rsidRPr="00742553" w:rsidRDefault="00F6481F" w:rsidP="00C64533">
            <w:pPr>
              <w:rPr>
                <w:sz w:val="18"/>
                <w:szCs w:val="18"/>
              </w:rPr>
            </w:pPr>
            <w:r w:rsidRPr="00742553">
              <w:rPr>
                <w:rFonts w:eastAsia="Calibri"/>
                <w:b/>
                <w:bCs/>
                <w:color w:val="333333"/>
                <w:sz w:val="18"/>
                <w:szCs w:val="18"/>
              </w:rPr>
              <w:t>Target:</w:t>
            </w:r>
            <w:r w:rsidRPr="00742553">
              <w:rPr>
                <w:rFonts w:eastAsia="Calibri"/>
                <w:color w:val="333333"/>
                <w:sz w:val="18"/>
                <w:szCs w:val="18"/>
              </w:rPr>
              <w:t xml:space="preserve"> </w:t>
            </w:r>
            <w:r w:rsidRPr="00742553">
              <w:rPr>
                <w:color w:val="000000"/>
                <w:sz w:val="18"/>
                <w:szCs w:val="18"/>
              </w:rPr>
              <w:t>(2025)</w:t>
            </w:r>
          </w:p>
          <w:p w14:paraId="20F44564" w14:textId="77777777" w:rsidR="00F6481F" w:rsidRPr="00742553" w:rsidRDefault="00F6481F" w:rsidP="00463969">
            <w:pPr>
              <w:rPr>
                <w:color w:val="000000"/>
                <w:sz w:val="18"/>
                <w:szCs w:val="18"/>
              </w:rPr>
            </w:pPr>
            <w:r w:rsidRPr="00742553">
              <w:rPr>
                <w:color w:val="000000"/>
                <w:sz w:val="18"/>
                <w:szCs w:val="18"/>
              </w:rPr>
              <w:t>Parliament – 60%</w:t>
            </w:r>
          </w:p>
          <w:p w14:paraId="5616D269" w14:textId="77777777" w:rsidR="00F6481F" w:rsidRPr="00742553" w:rsidRDefault="00F6481F" w:rsidP="00463969">
            <w:pPr>
              <w:rPr>
                <w:color w:val="000000"/>
                <w:sz w:val="18"/>
                <w:szCs w:val="18"/>
              </w:rPr>
            </w:pPr>
            <w:r w:rsidRPr="00742553">
              <w:rPr>
                <w:color w:val="000000"/>
                <w:sz w:val="18"/>
                <w:szCs w:val="18"/>
              </w:rPr>
              <w:t>EC – 55.9%</w:t>
            </w:r>
          </w:p>
          <w:p w14:paraId="4492F21E" w14:textId="77777777" w:rsidR="00F6481F" w:rsidRPr="00742553" w:rsidRDefault="00F6481F" w:rsidP="00463969">
            <w:pPr>
              <w:rPr>
                <w:color w:val="000000"/>
                <w:sz w:val="18"/>
                <w:szCs w:val="18"/>
              </w:rPr>
            </w:pPr>
            <w:r w:rsidRPr="00742553">
              <w:rPr>
                <w:color w:val="000000"/>
                <w:sz w:val="18"/>
                <w:szCs w:val="18"/>
              </w:rPr>
              <w:t>Local Government Council – 46.3%</w:t>
            </w:r>
          </w:p>
          <w:p w14:paraId="545F38EC" w14:textId="77777777" w:rsidR="00F6481F" w:rsidRPr="00742553" w:rsidRDefault="00F6481F" w:rsidP="00463969">
            <w:pPr>
              <w:rPr>
                <w:color w:val="000000"/>
                <w:sz w:val="18"/>
                <w:szCs w:val="18"/>
              </w:rPr>
            </w:pPr>
            <w:r w:rsidRPr="00742553">
              <w:rPr>
                <w:color w:val="000000"/>
                <w:sz w:val="18"/>
                <w:szCs w:val="18"/>
              </w:rPr>
              <w:t>The Police – 55%</w:t>
            </w:r>
          </w:p>
          <w:p w14:paraId="64178F46" w14:textId="77777777" w:rsidR="00F6481F" w:rsidRPr="00742553" w:rsidRDefault="00F6481F" w:rsidP="00463969">
            <w:pPr>
              <w:rPr>
                <w:color w:val="000000"/>
                <w:sz w:val="18"/>
                <w:szCs w:val="18"/>
              </w:rPr>
            </w:pPr>
            <w:r w:rsidRPr="00742553">
              <w:rPr>
                <w:color w:val="000000"/>
                <w:sz w:val="18"/>
                <w:szCs w:val="18"/>
              </w:rPr>
              <w:t>Ghana Armed Forces – 75%</w:t>
            </w:r>
          </w:p>
          <w:p w14:paraId="76E04C97" w14:textId="566872E3" w:rsidR="00F6481F" w:rsidRPr="00742553" w:rsidRDefault="00F6481F" w:rsidP="00463969">
            <w:pPr>
              <w:rPr>
                <w:color w:val="000000"/>
                <w:sz w:val="18"/>
                <w:szCs w:val="18"/>
              </w:rPr>
            </w:pPr>
            <w:r w:rsidRPr="00742553">
              <w:rPr>
                <w:color w:val="000000"/>
                <w:sz w:val="18"/>
                <w:szCs w:val="18"/>
              </w:rPr>
              <w:t>Courts – 50%</w:t>
            </w:r>
            <w:r w:rsidRPr="00742553">
              <w:rPr>
                <w:color w:val="000000"/>
                <w:sz w:val="18"/>
                <w:szCs w:val="18"/>
              </w:rPr>
              <w:tab/>
            </w:r>
          </w:p>
          <w:p w14:paraId="000C52B9" w14:textId="73CE3807" w:rsidR="00FB7B83" w:rsidRPr="00742553" w:rsidRDefault="00FB7B83" w:rsidP="00463969">
            <w:pPr>
              <w:rPr>
                <w:color w:val="000000"/>
                <w:sz w:val="18"/>
                <w:szCs w:val="18"/>
              </w:rPr>
            </w:pPr>
          </w:p>
          <w:p w14:paraId="7BF39191" w14:textId="77777777" w:rsidR="00F6481F" w:rsidRPr="00742553" w:rsidRDefault="00F6481F" w:rsidP="00C64533">
            <w:pPr>
              <w:rPr>
                <w:rFonts w:eastAsia="Calibri"/>
                <w:b/>
                <w:bCs/>
                <w:color w:val="333333"/>
                <w:sz w:val="18"/>
                <w:szCs w:val="18"/>
              </w:rPr>
            </w:pPr>
            <w:r w:rsidRPr="00742553">
              <w:rPr>
                <w:rFonts w:eastAsia="Calibri"/>
                <w:b/>
                <w:bCs/>
                <w:color w:val="333333"/>
                <w:sz w:val="18"/>
                <w:szCs w:val="18"/>
              </w:rPr>
              <w:t xml:space="preserve">Indicator: </w:t>
            </w:r>
          </w:p>
          <w:p w14:paraId="4A245CB7" w14:textId="2CB8F1B6" w:rsidR="00F6481F" w:rsidRPr="00742553" w:rsidRDefault="00F6481F" w:rsidP="00C64533">
            <w:pPr>
              <w:rPr>
                <w:rFonts w:eastAsia="Calibri"/>
                <w:color w:val="333333"/>
                <w:sz w:val="18"/>
                <w:szCs w:val="18"/>
              </w:rPr>
            </w:pPr>
            <w:r w:rsidRPr="00742553">
              <w:rPr>
                <w:sz w:val="18"/>
                <w:szCs w:val="18"/>
              </w:rPr>
              <w:t>Proportion of population that feel safe walking alone around the area they live</w:t>
            </w:r>
            <w:r w:rsidRPr="00742553">
              <w:rPr>
                <w:rFonts w:eastAsia="Calibri"/>
                <w:color w:val="333333"/>
                <w:sz w:val="18"/>
                <w:szCs w:val="18"/>
              </w:rPr>
              <w:t xml:space="preserve"> (SDG Indicator 16.1.4)</w:t>
            </w:r>
            <w:r w:rsidR="00F85D2B">
              <w:rPr>
                <w:rFonts w:eastAsia="Calibri"/>
                <w:color w:val="333333"/>
                <w:sz w:val="18"/>
                <w:szCs w:val="18"/>
              </w:rPr>
              <w:t>.</w:t>
            </w:r>
          </w:p>
          <w:p w14:paraId="7005A7D4" w14:textId="77777777" w:rsidR="00F6481F" w:rsidRPr="00742553" w:rsidRDefault="00F6481F" w:rsidP="00C64533">
            <w:pPr>
              <w:rPr>
                <w:rFonts w:eastAsia="Calibri"/>
                <w:color w:val="333333"/>
                <w:sz w:val="18"/>
                <w:szCs w:val="18"/>
              </w:rPr>
            </w:pPr>
          </w:p>
          <w:p w14:paraId="24045792" w14:textId="77777777" w:rsidR="00F6481F" w:rsidRPr="00742553" w:rsidRDefault="00F6481F" w:rsidP="00C64533">
            <w:pPr>
              <w:rPr>
                <w:rFonts w:eastAsia="Calibri"/>
                <w:b/>
                <w:bCs/>
                <w:color w:val="333333"/>
                <w:sz w:val="18"/>
                <w:szCs w:val="18"/>
              </w:rPr>
            </w:pPr>
            <w:r w:rsidRPr="00742553">
              <w:rPr>
                <w:rFonts w:eastAsia="Calibri"/>
                <w:b/>
                <w:bCs/>
                <w:color w:val="333333"/>
                <w:sz w:val="18"/>
                <w:szCs w:val="18"/>
              </w:rPr>
              <w:t xml:space="preserve">Baseline: </w:t>
            </w:r>
          </w:p>
          <w:p w14:paraId="55A030B6" w14:textId="77777777" w:rsidR="00F6481F" w:rsidRPr="00742553" w:rsidRDefault="00F6481F" w:rsidP="00C64533">
            <w:pPr>
              <w:rPr>
                <w:sz w:val="18"/>
                <w:szCs w:val="18"/>
              </w:rPr>
            </w:pPr>
            <w:r w:rsidRPr="00742553">
              <w:rPr>
                <w:sz w:val="18"/>
                <w:szCs w:val="18"/>
              </w:rPr>
              <w:t>37.4% (2019) -feels very safe</w:t>
            </w:r>
          </w:p>
          <w:p w14:paraId="3F90EDC4" w14:textId="77777777" w:rsidR="00F6481F" w:rsidRPr="00742553" w:rsidRDefault="00F6481F" w:rsidP="00C64533">
            <w:pPr>
              <w:rPr>
                <w:rFonts w:eastAsia="Calibri"/>
                <w:color w:val="333333"/>
                <w:sz w:val="18"/>
                <w:szCs w:val="18"/>
              </w:rPr>
            </w:pPr>
            <w:r w:rsidRPr="00742553">
              <w:rPr>
                <w:sz w:val="18"/>
                <w:szCs w:val="18"/>
              </w:rPr>
              <w:t>45.3% (2019) -feels moderately safe</w:t>
            </w:r>
          </w:p>
          <w:p w14:paraId="77C98B3C" w14:textId="77777777" w:rsidR="00F6481F" w:rsidRPr="00742553" w:rsidRDefault="00F6481F" w:rsidP="00C64533">
            <w:pPr>
              <w:rPr>
                <w:rFonts w:eastAsia="Calibri"/>
                <w:b/>
                <w:bCs/>
                <w:color w:val="333333"/>
                <w:sz w:val="18"/>
                <w:szCs w:val="18"/>
              </w:rPr>
            </w:pPr>
            <w:r w:rsidRPr="00742553">
              <w:rPr>
                <w:rFonts w:eastAsia="Calibri"/>
                <w:b/>
                <w:bCs/>
                <w:color w:val="333333"/>
                <w:sz w:val="18"/>
                <w:szCs w:val="18"/>
              </w:rPr>
              <w:t xml:space="preserve">Target: </w:t>
            </w:r>
          </w:p>
          <w:p w14:paraId="09EF7A9B" w14:textId="77777777" w:rsidR="00F6481F" w:rsidRPr="00742553" w:rsidRDefault="00F6481F" w:rsidP="00C64533">
            <w:pPr>
              <w:rPr>
                <w:sz w:val="18"/>
                <w:szCs w:val="18"/>
              </w:rPr>
            </w:pPr>
            <w:r w:rsidRPr="00742553">
              <w:rPr>
                <w:sz w:val="18"/>
                <w:szCs w:val="18"/>
              </w:rPr>
              <w:t>40.7% (2025) - feels very safe</w:t>
            </w:r>
          </w:p>
          <w:p w14:paraId="6C5C553E" w14:textId="77777777" w:rsidR="00F6481F" w:rsidRPr="00742553" w:rsidRDefault="00F6481F" w:rsidP="00C64533">
            <w:pPr>
              <w:rPr>
                <w:sz w:val="18"/>
                <w:szCs w:val="18"/>
              </w:rPr>
            </w:pPr>
            <w:r w:rsidRPr="00742553">
              <w:rPr>
                <w:sz w:val="18"/>
                <w:szCs w:val="18"/>
              </w:rPr>
              <w:t>42% (2025) feels moderately safe</w:t>
            </w:r>
          </w:p>
          <w:p w14:paraId="2314BD80" w14:textId="172E1F0B" w:rsidR="00F6481F" w:rsidRPr="00742553" w:rsidRDefault="00F6481F" w:rsidP="00D07781">
            <w:pPr>
              <w:rPr>
                <w:sz w:val="18"/>
                <w:szCs w:val="18"/>
              </w:rPr>
            </w:pPr>
          </w:p>
          <w:p w14:paraId="6DB6A31A" w14:textId="77777777" w:rsidR="00F6481F" w:rsidRPr="00742553" w:rsidRDefault="00F6481F" w:rsidP="0017218A">
            <w:pPr>
              <w:rPr>
                <w:b/>
                <w:bCs/>
                <w:sz w:val="18"/>
                <w:szCs w:val="18"/>
              </w:rPr>
            </w:pPr>
            <w:r w:rsidRPr="00742553">
              <w:rPr>
                <w:b/>
                <w:bCs/>
                <w:sz w:val="18"/>
                <w:szCs w:val="18"/>
              </w:rPr>
              <w:lastRenderedPageBreak/>
              <w:t>Indicator:</w:t>
            </w:r>
          </w:p>
          <w:p w14:paraId="129C00DA" w14:textId="454FEBE8" w:rsidR="00F6481F" w:rsidRPr="00742553" w:rsidRDefault="00F6481F" w:rsidP="0017218A">
            <w:pPr>
              <w:rPr>
                <w:sz w:val="18"/>
                <w:szCs w:val="18"/>
              </w:rPr>
            </w:pPr>
            <w:r w:rsidRPr="00742553">
              <w:rPr>
                <w:sz w:val="18"/>
                <w:szCs w:val="18"/>
              </w:rPr>
              <w:t>Extent to which Ghana’s national human rights institutions are in compliance with Paris Principles (SDG indicator 16.a.1).</w:t>
            </w:r>
            <w:r w:rsidRPr="00742553">
              <w:rPr>
                <w:sz w:val="18"/>
                <w:szCs w:val="18"/>
              </w:rPr>
              <w:tab/>
            </w:r>
          </w:p>
          <w:p w14:paraId="05D96DF6" w14:textId="77777777" w:rsidR="00F6481F" w:rsidRPr="00742553" w:rsidRDefault="00F6481F" w:rsidP="0017218A">
            <w:pPr>
              <w:rPr>
                <w:b/>
                <w:bCs/>
                <w:sz w:val="18"/>
                <w:szCs w:val="18"/>
              </w:rPr>
            </w:pPr>
          </w:p>
          <w:p w14:paraId="015C23C7" w14:textId="77777777" w:rsidR="00F6481F" w:rsidRPr="00742553" w:rsidRDefault="00F6481F" w:rsidP="0017218A">
            <w:pPr>
              <w:rPr>
                <w:b/>
                <w:bCs/>
                <w:sz w:val="18"/>
                <w:szCs w:val="18"/>
              </w:rPr>
            </w:pPr>
            <w:r w:rsidRPr="00742553">
              <w:rPr>
                <w:b/>
                <w:bCs/>
                <w:sz w:val="18"/>
                <w:szCs w:val="18"/>
              </w:rPr>
              <w:t>Scale:</w:t>
            </w:r>
          </w:p>
          <w:p w14:paraId="46D53F9E" w14:textId="77777777" w:rsidR="00F6481F" w:rsidRPr="00742553" w:rsidRDefault="00F6481F" w:rsidP="0017218A">
            <w:pPr>
              <w:rPr>
                <w:sz w:val="18"/>
                <w:szCs w:val="18"/>
              </w:rPr>
            </w:pPr>
            <w:r w:rsidRPr="00742553">
              <w:rPr>
                <w:sz w:val="18"/>
                <w:szCs w:val="18"/>
              </w:rPr>
              <w:t>0 – Not Compliant</w:t>
            </w:r>
          </w:p>
          <w:p w14:paraId="7DF65E52" w14:textId="77777777" w:rsidR="00F6481F" w:rsidRPr="00742553" w:rsidRDefault="00F6481F" w:rsidP="0017218A">
            <w:pPr>
              <w:rPr>
                <w:sz w:val="18"/>
                <w:szCs w:val="18"/>
              </w:rPr>
            </w:pPr>
            <w:r w:rsidRPr="00742553">
              <w:rPr>
                <w:sz w:val="18"/>
                <w:szCs w:val="18"/>
              </w:rPr>
              <w:t>1 – Partly Compliant</w:t>
            </w:r>
          </w:p>
          <w:p w14:paraId="6F8D77DB" w14:textId="77777777" w:rsidR="00F6481F" w:rsidRPr="00742553" w:rsidRDefault="00F6481F" w:rsidP="0017218A">
            <w:pPr>
              <w:rPr>
                <w:sz w:val="18"/>
                <w:szCs w:val="18"/>
              </w:rPr>
            </w:pPr>
            <w:r w:rsidRPr="00742553">
              <w:rPr>
                <w:sz w:val="18"/>
                <w:szCs w:val="18"/>
              </w:rPr>
              <w:t>2 – Mostly Compliant</w:t>
            </w:r>
          </w:p>
          <w:p w14:paraId="213C075E" w14:textId="77FCEA7A" w:rsidR="00F6481F" w:rsidRPr="00742553" w:rsidRDefault="00F6481F" w:rsidP="0017218A">
            <w:pPr>
              <w:rPr>
                <w:sz w:val="18"/>
                <w:szCs w:val="18"/>
              </w:rPr>
            </w:pPr>
            <w:r w:rsidRPr="00742553">
              <w:rPr>
                <w:sz w:val="18"/>
                <w:szCs w:val="18"/>
              </w:rPr>
              <w:t xml:space="preserve">3 – Fully Compliant </w:t>
            </w:r>
          </w:p>
          <w:p w14:paraId="1418A0BA" w14:textId="77777777" w:rsidR="00F6481F" w:rsidRPr="00742553" w:rsidRDefault="00F6481F" w:rsidP="0017218A">
            <w:pPr>
              <w:rPr>
                <w:sz w:val="18"/>
                <w:szCs w:val="18"/>
              </w:rPr>
            </w:pPr>
            <w:r w:rsidRPr="00742553">
              <w:rPr>
                <w:b/>
                <w:bCs/>
                <w:sz w:val="18"/>
                <w:szCs w:val="18"/>
              </w:rPr>
              <w:t>Baseline:</w:t>
            </w:r>
            <w:r w:rsidRPr="00742553">
              <w:rPr>
                <w:sz w:val="18"/>
                <w:szCs w:val="18"/>
              </w:rPr>
              <w:t xml:space="preserve"> 1(2022)</w:t>
            </w:r>
          </w:p>
          <w:p w14:paraId="536CEC88" w14:textId="77777777" w:rsidR="00F6481F" w:rsidRPr="00742553" w:rsidRDefault="00F6481F" w:rsidP="0017218A">
            <w:pPr>
              <w:rPr>
                <w:sz w:val="18"/>
                <w:szCs w:val="18"/>
              </w:rPr>
            </w:pPr>
            <w:r w:rsidRPr="00742553">
              <w:rPr>
                <w:b/>
                <w:bCs/>
                <w:sz w:val="18"/>
                <w:szCs w:val="18"/>
              </w:rPr>
              <w:t>Target:</w:t>
            </w:r>
            <w:r w:rsidRPr="00742553">
              <w:rPr>
                <w:sz w:val="18"/>
                <w:szCs w:val="18"/>
              </w:rPr>
              <w:t xml:space="preserve"> 2(2025)</w:t>
            </w:r>
          </w:p>
          <w:p w14:paraId="543DC78B" w14:textId="40CF1C86" w:rsidR="00F6481F" w:rsidRPr="00742553" w:rsidRDefault="00F6481F" w:rsidP="0017218A">
            <w:pPr>
              <w:rPr>
                <w:sz w:val="18"/>
                <w:szCs w:val="18"/>
              </w:rPr>
            </w:pPr>
          </w:p>
        </w:tc>
        <w:tc>
          <w:tcPr>
            <w:tcW w:w="2634" w:type="dxa"/>
            <w:vMerge w:val="restart"/>
          </w:tcPr>
          <w:p w14:paraId="611CF2F7" w14:textId="6DCD9076" w:rsidR="00F6481F" w:rsidRPr="00742553" w:rsidRDefault="00F6481F" w:rsidP="00C64533">
            <w:pPr>
              <w:rPr>
                <w:color w:val="000000"/>
                <w:sz w:val="18"/>
                <w:szCs w:val="18"/>
              </w:rPr>
            </w:pPr>
            <w:r w:rsidRPr="00742553">
              <w:rPr>
                <w:b/>
                <w:bCs/>
                <w:sz w:val="18"/>
                <w:szCs w:val="18"/>
              </w:rPr>
              <w:lastRenderedPageBreak/>
              <w:t>Data Source</w:t>
            </w:r>
            <w:r w:rsidRPr="00742553">
              <w:rPr>
                <w:sz w:val="18"/>
                <w:szCs w:val="18"/>
              </w:rPr>
              <w:t xml:space="preserve">: </w:t>
            </w:r>
            <w:r w:rsidRPr="00742553">
              <w:rPr>
                <w:color w:val="000000"/>
                <w:sz w:val="18"/>
                <w:szCs w:val="18"/>
              </w:rPr>
              <w:t>Afrobaromete</w:t>
            </w:r>
            <w:r w:rsidR="008A2F49">
              <w:rPr>
                <w:color w:val="000000"/>
                <w:sz w:val="18"/>
                <w:szCs w:val="18"/>
              </w:rPr>
              <w:t>r</w:t>
            </w:r>
            <w:r w:rsidRPr="00742553">
              <w:rPr>
                <w:color w:val="000000"/>
                <w:sz w:val="18"/>
                <w:szCs w:val="18"/>
              </w:rPr>
              <w:t xml:space="preserve"> Survey Report</w:t>
            </w:r>
          </w:p>
          <w:p w14:paraId="78091174" w14:textId="77777777" w:rsidR="00F6481F" w:rsidRPr="00742553" w:rsidRDefault="00F6481F" w:rsidP="00C64533">
            <w:pPr>
              <w:rPr>
                <w:sz w:val="18"/>
                <w:szCs w:val="18"/>
              </w:rPr>
            </w:pPr>
          </w:p>
          <w:p w14:paraId="2EA1D4E8" w14:textId="0EEF750C" w:rsidR="00F6481F" w:rsidRPr="00742553" w:rsidRDefault="00F6481F" w:rsidP="00C64533">
            <w:pPr>
              <w:rPr>
                <w:color w:val="000000"/>
                <w:sz w:val="18"/>
                <w:szCs w:val="18"/>
              </w:rPr>
            </w:pPr>
            <w:r w:rsidRPr="00742553">
              <w:rPr>
                <w:b/>
                <w:bCs/>
                <w:sz w:val="18"/>
                <w:szCs w:val="18"/>
              </w:rPr>
              <w:t>Frequency</w:t>
            </w:r>
            <w:r w:rsidRPr="00742553">
              <w:rPr>
                <w:sz w:val="18"/>
                <w:szCs w:val="18"/>
              </w:rPr>
              <w:t xml:space="preserve">: </w:t>
            </w:r>
            <w:r w:rsidRPr="00742553">
              <w:rPr>
                <w:color w:val="000000"/>
                <w:sz w:val="18"/>
                <w:szCs w:val="18"/>
              </w:rPr>
              <w:t>Biennial</w:t>
            </w:r>
          </w:p>
          <w:p w14:paraId="136A0209" w14:textId="77777777" w:rsidR="00F6481F" w:rsidRPr="00742553" w:rsidRDefault="00F6481F" w:rsidP="00C64533">
            <w:pPr>
              <w:rPr>
                <w:sz w:val="18"/>
                <w:szCs w:val="18"/>
              </w:rPr>
            </w:pPr>
          </w:p>
          <w:p w14:paraId="1171A6B2" w14:textId="3732927D" w:rsidR="00F6481F" w:rsidRPr="00742553" w:rsidRDefault="00F6481F" w:rsidP="00C64533">
            <w:pPr>
              <w:rPr>
                <w:sz w:val="18"/>
                <w:szCs w:val="18"/>
              </w:rPr>
            </w:pPr>
            <w:r w:rsidRPr="00742553">
              <w:rPr>
                <w:b/>
                <w:bCs/>
                <w:sz w:val="18"/>
                <w:szCs w:val="18"/>
              </w:rPr>
              <w:t>Responsibility</w:t>
            </w:r>
            <w:r w:rsidRPr="00742553">
              <w:rPr>
                <w:sz w:val="18"/>
                <w:szCs w:val="18"/>
              </w:rPr>
              <w:t xml:space="preserve">: </w:t>
            </w:r>
            <w:r w:rsidRPr="00742553">
              <w:rPr>
                <w:color w:val="000000"/>
                <w:sz w:val="18"/>
                <w:szCs w:val="18"/>
              </w:rPr>
              <w:t>Ghana Centre for Democratic Development (CDD)</w:t>
            </w:r>
          </w:p>
          <w:p w14:paraId="5014A90B" w14:textId="4FEEA42C" w:rsidR="00F6481F" w:rsidRPr="00742553" w:rsidRDefault="00F6481F" w:rsidP="00C64533">
            <w:pPr>
              <w:rPr>
                <w:sz w:val="18"/>
                <w:szCs w:val="18"/>
              </w:rPr>
            </w:pPr>
          </w:p>
          <w:p w14:paraId="3FC581F3" w14:textId="111CFC89" w:rsidR="00F6481F" w:rsidRPr="00742553" w:rsidRDefault="00F6481F" w:rsidP="00D07781">
            <w:pPr>
              <w:rPr>
                <w:sz w:val="18"/>
                <w:szCs w:val="18"/>
              </w:rPr>
            </w:pPr>
          </w:p>
          <w:p w14:paraId="46AF9D1B" w14:textId="77777777" w:rsidR="00FB7B83" w:rsidRPr="00742553" w:rsidRDefault="00FB7B83" w:rsidP="00C64533">
            <w:pPr>
              <w:rPr>
                <w:rFonts w:eastAsia="Calibri"/>
                <w:b/>
                <w:bCs/>
                <w:sz w:val="18"/>
                <w:szCs w:val="18"/>
              </w:rPr>
            </w:pPr>
          </w:p>
          <w:p w14:paraId="3B1AF319" w14:textId="77777777" w:rsidR="00FB7B83" w:rsidRPr="00742553" w:rsidRDefault="00FB7B83" w:rsidP="00C64533">
            <w:pPr>
              <w:rPr>
                <w:rFonts w:eastAsia="Calibri"/>
                <w:b/>
                <w:bCs/>
                <w:sz w:val="18"/>
                <w:szCs w:val="18"/>
              </w:rPr>
            </w:pPr>
          </w:p>
          <w:p w14:paraId="02A4A369" w14:textId="77777777" w:rsidR="00FB7B83" w:rsidRPr="00742553" w:rsidRDefault="00FB7B83" w:rsidP="00C64533">
            <w:pPr>
              <w:rPr>
                <w:rFonts w:eastAsia="Calibri"/>
                <w:b/>
                <w:bCs/>
                <w:sz w:val="18"/>
                <w:szCs w:val="18"/>
              </w:rPr>
            </w:pPr>
          </w:p>
          <w:p w14:paraId="66D652BB" w14:textId="77777777" w:rsidR="00FB7B83" w:rsidRPr="00742553" w:rsidRDefault="00FB7B83" w:rsidP="00C64533">
            <w:pPr>
              <w:rPr>
                <w:rFonts w:eastAsia="Calibri"/>
                <w:b/>
                <w:bCs/>
                <w:sz w:val="18"/>
                <w:szCs w:val="18"/>
              </w:rPr>
            </w:pPr>
          </w:p>
          <w:p w14:paraId="34492277" w14:textId="77777777" w:rsidR="00FB7B83" w:rsidRPr="00742553" w:rsidRDefault="00FB7B83" w:rsidP="00C64533">
            <w:pPr>
              <w:rPr>
                <w:rFonts w:eastAsia="Calibri"/>
                <w:b/>
                <w:bCs/>
                <w:sz w:val="18"/>
                <w:szCs w:val="18"/>
              </w:rPr>
            </w:pPr>
          </w:p>
          <w:p w14:paraId="6A1FA6F4" w14:textId="77777777" w:rsidR="00FB7B83" w:rsidRPr="00742553" w:rsidRDefault="00FB7B83" w:rsidP="00C64533">
            <w:pPr>
              <w:rPr>
                <w:rFonts w:eastAsia="Calibri"/>
                <w:b/>
                <w:bCs/>
                <w:sz w:val="18"/>
                <w:szCs w:val="18"/>
              </w:rPr>
            </w:pPr>
          </w:p>
          <w:p w14:paraId="60356A50" w14:textId="77777777" w:rsidR="00FB7B83" w:rsidRPr="00742553" w:rsidRDefault="00FB7B83" w:rsidP="00C64533">
            <w:pPr>
              <w:rPr>
                <w:rFonts w:eastAsia="Calibri"/>
                <w:b/>
                <w:bCs/>
                <w:sz w:val="18"/>
                <w:szCs w:val="18"/>
              </w:rPr>
            </w:pPr>
          </w:p>
          <w:p w14:paraId="36757630" w14:textId="77777777" w:rsidR="00FB7B83" w:rsidRPr="00742553" w:rsidRDefault="00FB7B83" w:rsidP="00C64533">
            <w:pPr>
              <w:rPr>
                <w:rFonts w:eastAsia="Calibri"/>
                <w:b/>
                <w:bCs/>
                <w:sz w:val="18"/>
                <w:szCs w:val="18"/>
              </w:rPr>
            </w:pPr>
          </w:p>
          <w:p w14:paraId="6F141D91" w14:textId="77777777" w:rsidR="00FB7B83" w:rsidRPr="00742553" w:rsidRDefault="00FB7B83" w:rsidP="00C64533">
            <w:pPr>
              <w:rPr>
                <w:rFonts w:eastAsia="Calibri"/>
                <w:b/>
                <w:bCs/>
                <w:sz w:val="18"/>
                <w:szCs w:val="18"/>
              </w:rPr>
            </w:pPr>
          </w:p>
          <w:p w14:paraId="4F1DBD32" w14:textId="77777777" w:rsidR="00FB7B83" w:rsidRPr="00742553" w:rsidRDefault="00FB7B83" w:rsidP="00C64533">
            <w:pPr>
              <w:rPr>
                <w:rFonts w:eastAsia="Calibri"/>
                <w:b/>
                <w:bCs/>
                <w:sz w:val="18"/>
                <w:szCs w:val="18"/>
              </w:rPr>
            </w:pPr>
          </w:p>
          <w:p w14:paraId="0C8013BF" w14:textId="77777777" w:rsidR="00FB7B83" w:rsidRPr="00742553" w:rsidRDefault="00FB7B83" w:rsidP="00C64533">
            <w:pPr>
              <w:rPr>
                <w:rFonts w:eastAsia="Calibri"/>
                <w:b/>
                <w:bCs/>
                <w:sz w:val="18"/>
                <w:szCs w:val="18"/>
              </w:rPr>
            </w:pPr>
          </w:p>
          <w:p w14:paraId="26742AA6" w14:textId="77777777" w:rsidR="00FB7B83" w:rsidRPr="00742553" w:rsidRDefault="00FB7B83" w:rsidP="00C64533">
            <w:pPr>
              <w:rPr>
                <w:rFonts w:eastAsia="Calibri"/>
                <w:b/>
                <w:bCs/>
                <w:sz w:val="18"/>
                <w:szCs w:val="18"/>
              </w:rPr>
            </w:pPr>
          </w:p>
          <w:p w14:paraId="59F63BFE" w14:textId="72FA9D3D" w:rsidR="00FB7B83" w:rsidRPr="00742553" w:rsidRDefault="00FB7B83" w:rsidP="00C64533">
            <w:pPr>
              <w:rPr>
                <w:rFonts w:eastAsia="Calibri"/>
                <w:b/>
                <w:bCs/>
                <w:sz w:val="18"/>
                <w:szCs w:val="18"/>
              </w:rPr>
            </w:pPr>
          </w:p>
          <w:p w14:paraId="136F3263" w14:textId="2BECB1F2" w:rsidR="00FB7B83" w:rsidRPr="00742553" w:rsidRDefault="00FB7B83" w:rsidP="00C64533">
            <w:pPr>
              <w:rPr>
                <w:rFonts w:eastAsia="Calibri"/>
                <w:b/>
                <w:bCs/>
                <w:sz w:val="18"/>
                <w:szCs w:val="18"/>
              </w:rPr>
            </w:pPr>
          </w:p>
          <w:p w14:paraId="3424E8C2" w14:textId="5194F134" w:rsidR="00F6481F" w:rsidRPr="00742553" w:rsidRDefault="00F6481F" w:rsidP="00C64533">
            <w:pPr>
              <w:rPr>
                <w:rFonts w:eastAsia="Calibri"/>
                <w:sz w:val="18"/>
                <w:szCs w:val="18"/>
              </w:rPr>
            </w:pPr>
            <w:r w:rsidRPr="00742553">
              <w:rPr>
                <w:rFonts w:eastAsia="Calibri"/>
                <w:b/>
                <w:bCs/>
                <w:sz w:val="18"/>
                <w:szCs w:val="18"/>
              </w:rPr>
              <w:t xml:space="preserve">Data Source: </w:t>
            </w:r>
            <w:r w:rsidRPr="00742553">
              <w:rPr>
                <w:rFonts w:eastAsia="Calibri"/>
                <w:sz w:val="18"/>
                <w:szCs w:val="18"/>
              </w:rPr>
              <w:t>Ghana Living Standard Survey</w:t>
            </w:r>
          </w:p>
          <w:p w14:paraId="07022482" w14:textId="77777777" w:rsidR="00F6481F" w:rsidRPr="00742553" w:rsidRDefault="00F6481F" w:rsidP="00C64533">
            <w:pPr>
              <w:rPr>
                <w:rFonts w:eastAsia="Calibri"/>
                <w:b/>
                <w:bCs/>
                <w:sz w:val="18"/>
                <w:szCs w:val="18"/>
              </w:rPr>
            </w:pPr>
          </w:p>
          <w:p w14:paraId="783F5462" w14:textId="2F4A863A" w:rsidR="00F6481F" w:rsidRPr="00742553" w:rsidRDefault="00F6481F" w:rsidP="00C64533">
            <w:pPr>
              <w:rPr>
                <w:rFonts w:eastAsia="Calibri"/>
                <w:b/>
                <w:bCs/>
                <w:sz w:val="18"/>
                <w:szCs w:val="18"/>
              </w:rPr>
            </w:pPr>
            <w:r w:rsidRPr="00742553">
              <w:rPr>
                <w:rFonts w:eastAsia="Calibri"/>
                <w:b/>
                <w:bCs/>
                <w:sz w:val="18"/>
                <w:szCs w:val="18"/>
              </w:rPr>
              <w:t xml:space="preserve">Frequency: </w:t>
            </w:r>
            <w:r w:rsidRPr="00742553">
              <w:rPr>
                <w:sz w:val="18"/>
                <w:szCs w:val="18"/>
              </w:rPr>
              <w:t xml:space="preserve">Every </w:t>
            </w:r>
            <w:r w:rsidR="00F85D2B">
              <w:rPr>
                <w:sz w:val="18"/>
                <w:szCs w:val="18"/>
              </w:rPr>
              <w:t>four</w:t>
            </w:r>
            <w:r w:rsidRPr="00742553">
              <w:rPr>
                <w:sz w:val="18"/>
                <w:szCs w:val="18"/>
              </w:rPr>
              <w:t xml:space="preserve"> years</w:t>
            </w:r>
            <w:r w:rsidRPr="00742553">
              <w:rPr>
                <w:rFonts w:eastAsia="Calibri"/>
                <w:b/>
                <w:bCs/>
                <w:sz w:val="18"/>
                <w:szCs w:val="18"/>
              </w:rPr>
              <w:t xml:space="preserve"> </w:t>
            </w:r>
          </w:p>
          <w:p w14:paraId="3095268B" w14:textId="77777777" w:rsidR="00F6481F" w:rsidRPr="00742553" w:rsidRDefault="00F6481F" w:rsidP="00C64533">
            <w:pPr>
              <w:rPr>
                <w:rFonts w:eastAsia="Calibri"/>
                <w:b/>
                <w:bCs/>
                <w:sz w:val="18"/>
                <w:szCs w:val="18"/>
              </w:rPr>
            </w:pPr>
          </w:p>
          <w:p w14:paraId="64F46E8C" w14:textId="70E8DB48" w:rsidR="00F6481F" w:rsidRPr="00742553" w:rsidRDefault="00F6481F" w:rsidP="00463969">
            <w:pPr>
              <w:rPr>
                <w:sz w:val="18"/>
                <w:szCs w:val="18"/>
              </w:rPr>
            </w:pPr>
            <w:r w:rsidRPr="00742553">
              <w:rPr>
                <w:rFonts w:eastAsia="Calibri"/>
                <w:b/>
                <w:bCs/>
                <w:sz w:val="18"/>
                <w:szCs w:val="18"/>
              </w:rPr>
              <w:t xml:space="preserve">Responsibility: </w:t>
            </w:r>
            <w:r w:rsidR="008C7AC7">
              <w:rPr>
                <w:sz w:val="18"/>
                <w:szCs w:val="18"/>
              </w:rPr>
              <w:t>GSS</w:t>
            </w:r>
          </w:p>
          <w:p w14:paraId="2D672E35" w14:textId="6A64709B" w:rsidR="00885AAD" w:rsidRPr="00742553" w:rsidRDefault="00885AAD" w:rsidP="00463969">
            <w:pPr>
              <w:rPr>
                <w:sz w:val="18"/>
                <w:szCs w:val="18"/>
              </w:rPr>
            </w:pPr>
          </w:p>
          <w:p w14:paraId="2A40E3D8" w14:textId="1671A0C6" w:rsidR="00885AAD" w:rsidRPr="00742553" w:rsidRDefault="00885AAD" w:rsidP="00463969">
            <w:pPr>
              <w:rPr>
                <w:sz w:val="18"/>
                <w:szCs w:val="18"/>
              </w:rPr>
            </w:pPr>
          </w:p>
          <w:p w14:paraId="20319476" w14:textId="2919461D" w:rsidR="00885AAD" w:rsidRPr="00742553" w:rsidRDefault="00885AAD" w:rsidP="00463969">
            <w:pPr>
              <w:rPr>
                <w:sz w:val="18"/>
                <w:szCs w:val="18"/>
              </w:rPr>
            </w:pPr>
          </w:p>
          <w:p w14:paraId="49A398CE" w14:textId="242A019C" w:rsidR="00885AAD" w:rsidRPr="00742553" w:rsidRDefault="00885AAD" w:rsidP="00463969">
            <w:pPr>
              <w:rPr>
                <w:sz w:val="18"/>
                <w:szCs w:val="18"/>
              </w:rPr>
            </w:pPr>
          </w:p>
          <w:p w14:paraId="7A8C914A" w14:textId="7DAEB8FE" w:rsidR="00885AAD" w:rsidRPr="00742553" w:rsidRDefault="00885AAD" w:rsidP="00463969">
            <w:pPr>
              <w:rPr>
                <w:sz w:val="18"/>
                <w:szCs w:val="18"/>
              </w:rPr>
            </w:pPr>
          </w:p>
          <w:p w14:paraId="32FBE4E1" w14:textId="04886847" w:rsidR="00885AAD" w:rsidRPr="00742553" w:rsidRDefault="00885AAD" w:rsidP="00463969">
            <w:pPr>
              <w:rPr>
                <w:sz w:val="18"/>
                <w:szCs w:val="18"/>
              </w:rPr>
            </w:pPr>
          </w:p>
          <w:p w14:paraId="00152BC9" w14:textId="473D7624" w:rsidR="00885AAD" w:rsidRPr="00742553" w:rsidRDefault="00885AAD" w:rsidP="00463969">
            <w:pPr>
              <w:rPr>
                <w:sz w:val="18"/>
                <w:szCs w:val="18"/>
              </w:rPr>
            </w:pPr>
          </w:p>
          <w:p w14:paraId="1BEA1ECB" w14:textId="7FAC1F71" w:rsidR="00885AAD" w:rsidRPr="00742553" w:rsidRDefault="00885AAD" w:rsidP="00463969">
            <w:pPr>
              <w:rPr>
                <w:sz w:val="18"/>
                <w:szCs w:val="18"/>
              </w:rPr>
            </w:pPr>
          </w:p>
          <w:p w14:paraId="093F401E" w14:textId="77777777" w:rsidR="00885AAD" w:rsidRPr="00742553" w:rsidRDefault="00885AAD" w:rsidP="00463969">
            <w:pPr>
              <w:rPr>
                <w:sz w:val="18"/>
                <w:szCs w:val="18"/>
              </w:rPr>
            </w:pPr>
          </w:p>
          <w:p w14:paraId="3AF39574" w14:textId="3C285404" w:rsidR="00FB7B83" w:rsidRPr="00742553" w:rsidRDefault="00FB7B83" w:rsidP="00D07781">
            <w:pPr>
              <w:rPr>
                <w:sz w:val="18"/>
                <w:szCs w:val="18"/>
              </w:rPr>
            </w:pPr>
          </w:p>
          <w:p w14:paraId="3890391E" w14:textId="6BAC1908" w:rsidR="00FB7B83" w:rsidRPr="00742553" w:rsidRDefault="00FB7B83" w:rsidP="00D07781">
            <w:pPr>
              <w:rPr>
                <w:sz w:val="18"/>
                <w:szCs w:val="18"/>
              </w:rPr>
            </w:pPr>
          </w:p>
          <w:p w14:paraId="44492FD5" w14:textId="77777777" w:rsidR="00885AAD" w:rsidRPr="00742553" w:rsidRDefault="00885AAD" w:rsidP="00D07781">
            <w:pPr>
              <w:rPr>
                <w:sz w:val="18"/>
                <w:szCs w:val="18"/>
              </w:rPr>
            </w:pPr>
          </w:p>
          <w:p w14:paraId="567FD02B" w14:textId="46BCD5D2" w:rsidR="00F6481F" w:rsidRPr="00742553" w:rsidRDefault="00FB7B83" w:rsidP="0017218A">
            <w:pPr>
              <w:rPr>
                <w:sz w:val="18"/>
                <w:szCs w:val="18"/>
              </w:rPr>
            </w:pPr>
            <w:r w:rsidRPr="00742553">
              <w:rPr>
                <w:b/>
                <w:bCs/>
                <w:sz w:val="18"/>
                <w:szCs w:val="18"/>
              </w:rPr>
              <w:t xml:space="preserve">Data </w:t>
            </w:r>
            <w:r w:rsidR="00F6481F" w:rsidRPr="00742553">
              <w:rPr>
                <w:b/>
                <w:bCs/>
                <w:sz w:val="18"/>
                <w:szCs w:val="18"/>
              </w:rPr>
              <w:t>Source:</w:t>
            </w:r>
            <w:r w:rsidR="00F6481F" w:rsidRPr="00742553">
              <w:rPr>
                <w:sz w:val="18"/>
                <w:szCs w:val="18"/>
              </w:rPr>
              <w:t xml:space="preserve"> Annual Progress Reports</w:t>
            </w:r>
          </w:p>
          <w:p w14:paraId="5563B227" w14:textId="77777777" w:rsidR="00885AAD" w:rsidRPr="00742553" w:rsidRDefault="00885AAD" w:rsidP="0017218A">
            <w:pPr>
              <w:rPr>
                <w:sz w:val="18"/>
                <w:szCs w:val="18"/>
              </w:rPr>
            </w:pPr>
          </w:p>
          <w:p w14:paraId="0061EA60" w14:textId="77777777" w:rsidR="00F6481F" w:rsidRPr="00742553" w:rsidRDefault="00F6481F" w:rsidP="0017218A">
            <w:pPr>
              <w:rPr>
                <w:sz w:val="18"/>
                <w:szCs w:val="18"/>
              </w:rPr>
            </w:pPr>
            <w:r w:rsidRPr="00742553">
              <w:rPr>
                <w:b/>
                <w:bCs/>
                <w:sz w:val="18"/>
                <w:szCs w:val="18"/>
              </w:rPr>
              <w:t>Frequency:</w:t>
            </w:r>
            <w:r w:rsidRPr="00742553">
              <w:rPr>
                <w:sz w:val="18"/>
                <w:szCs w:val="18"/>
              </w:rPr>
              <w:t xml:space="preserve"> Annual</w:t>
            </w:r>
          </w:p>
          <w:p w14:paraId="476915CE" w14:textId="77777777" w:rsidR="00F6481F" w:rsidRPr="00742553" w:rsidRDefault="00F6481F" w:rsidP="0017218A">
            <w:pPr>
              <w:rPr>
                <w:sz w:val="18"/>
                <w:szCs w:val="18"/>
              </w:rPr>
            </w:pPr>
          </w:p>
          <w:p w14:paraId="43A5F58B" w14:textId="25764AC5" w:rsidR="00F6481F" w:rsidRPr="00742553" w:rsidRDefault="00F6481F" w:rsidP="0017218A">
            <w:pPr>
              <w:rPr>
                <w:sz w:val="18"/>
                <w:szCs w:val="18"/>
              </w:rPr>
            </w:pPr>
            <w:r w:rsidRPr="00742553">
              <w:rPr>
                <w:b/>
                <w:bCs/>
                <w:sz w:val="18"/>
                <w:szCs w:val="18"/>
              </w:rPr>
              <w:t>Responsibility:</w:t>
            </w:r>
            <w:r w:rsidRPr="00742553">
              <w:rPr>
                <w:sz w:val="18"/>
                <w:szCs w:val="18"/>
              </w:rPr>
              <w:t xml:space="preserve"> Commission on Human Rights and Administrative Justice (CHRAJ), Amnesty International Ghana</w:t>
            </w:r>
          </w:p>
        </w:tc>
        <w:tc>
          <w:tcPr>
            <w:tcW w:w="4085" w:type="dxa"/>
          </w:tcPr>
          <w:p w14:paraId="50C9BA93" w14:textId="18384891" w:rsidR="00F6481F" w:rsidRPr="00742553" w:rsidRDefault="00F6481F" w:rsidP="00177804">
            <w:pPr>
              <w:rPr>
                <w:sz w:val="18"/>
                <w:szCs w:val="18"/>
              </w:rPr>
            </w:pPr>
            <w:r w:rsidRPr="00742553">
              <w:rPr>
                <w:rFonts w:eastAsia="Calibri"/>
                <w:b/>
                <w:bCs/>
                <w:color w:val="000000" w:themeColor="text1"/>
                <w:sz w:val="18"/>
                <w:szCs w:val="18"/>
              </w:rPr>
              <w:lastRenderedPageBreak/>
              <w:t>Output 2.1</w:t>
            </w:r>
            <w:r w:rsidR="00F85D2B">
              <w:rPr>
                <w:rFonts w:eastAsia="Calibri"/>
                <w:b/>
                <w:bCs/>
                <w:color w:val="000000" w:themeColor="text1"/>
                <w:sz w:val="18"/>
                <w:szCs w:val="18"/>
              </w:rPr>
              <w:t>.</w:t>
            </w:r>
            <w:r w:rsidRPr="00742553">
              <w:rPr>
                <w:rFonts w:eastAsia="Calibri"/>
                <w:b/>
                <w:bCs/>
                <w:color w:val="000000" w:themeColor="text1"/>
                <w:sz w:val="18"/>
                <w:szCs w:val="18"/>
              </w:rPr>
              <w:t>:</w:t>
            </w:r>
            <w:r w:rsidRPr="00742553">
              <w:rPr>
                <w:rFonts w:eastAsia="Calibri"/>
                <w:color w:val="000000" w:themeColor="text1"/>
                <w:sz w:val="18"/>
                <w:szCs w:val="18"/>
              </w:rPr>
              <w:t xml:space="preserve"> </w:t>
            </w:r>
            <w:r w:rsidRPr="00742553">
              <w:rPr>
                <w:rFonts w:eastAsia="Arial Nova"/>
                <w:b/>
                <w:bCs/>
                <w:sz w:val="18"/>
                <w:szCs w:val="18"/>
              </w:rPr>
              <w:t xml:space="preserve"> Democratic institutions and processes</w:t>
            </w:r>
            <w:r w:rsidRPr="00742553">
              <w:rPr>
                <w:rFonts w:eastAsia="Arial Nova"/>
                <w:sz w:val="18"/>
                <w:szCs w:val="18"/>
              </w:rPr>
              <w:t xml:space="preserve"> strengthened for an inclusive and open public sphere with expanded public engagement</w:t>
            </w:r>
            <w:r w:rsidR="00F85D2B">
              <w:rPr>
                <w:rFonts w:eastAsia="Arial Nova"/>
                <w:sz w:val="18"/>
                <w:szCs w:val="18"/>
              </w:rPr>
              <w:t>.</w:t>
            </w:r>
          </w:p>
          <w:p w14:paraId="66077483" w14:textId="77777777" w:rsidR="00F6481F" w:rsidRPr="00742553" w:rsidRDefault="00F6481F" w:rsidP="00177804">
            <w:pPr>
              <w:rPr>
                <w:rFonts w:eastAsia="Calibri"/>
                <w:color w:val="000000" w:themeColor="text1"/>
                <w:sz w:val="18"/>
                <w:szCs w:val="18"/>
              </w:rPr>
            </w:pPr>
          </w:p>
          <w:p w14:paraId="470DC0FF" w14:textId="7685B584" w:rsidR="00F6481F" w:rsidRPr="00742553" w:rsidRDefault="00F6481F" w:rsidP="00177804">
            <w:pPr>
              <w:rPr>
                <w:sz w:val="18"/>
                <w:szCs w:val="18"/>
              </w:rPr>
            </w:pPr>
            <w:r w:rsidRPr="00742553">
              <w:rPr>
                <w:rFonts w:eastAsia="Calibri"/>
                <w:b/>
                <w:bCs/>
                <w:color w:val="000000" w:themeColor="text1"/>
                <w:sz w:val="18"/>
                <w:szCs w:val="18"/>
              </w:rPr>
              <w:t>Indicator 2.1.1</w:t>
            </w:r>
            <w:r w:rsidR="00F85D2B">
              <w:rPr>
                <w:rFonts w:eastAsia="Calibri"/>
                <w:b/>
                <w:bCs/>
                <w:color w:val="000000" w:themeColor="text1"/>
                <w:sz w:val="18"/>
                <w:szCs w:val="18"/>
              </w:rPr>
              <w:t>.</w:t>
            </w:r>
            <w:r w:rsidRPr="00742553">
              <w:rPr>
                <w:rFonts w:eastAsia="Calibri"/>
                <w:b/>
                <w:bCs/>
                <w:color w:val="000000" w:themeColor="text1"/>
                <w:sz w:val="18"/>
                <w:szCs w:val="18"/>
              </w:rPr>
              <w:t xml:space="preserve">: </w:t>
            </w:r>
            <w:r w:rsidRPr="00742553">
              <w:rPr>
                <w:color w:val="000000" w:themeColor="text1"/>
                <w:sz w:val="18"/>
                <w:szCs w:val="18"/>
              </w:rPr>
              <w:t>Number of strategies implemented at the national and sub-national levels  to promote inclusive spaces for advancing leadership and participation of women, and youth in public life.</w:t>
            </w:r>
          </w:p>
          <w:p w14:paraId="42863F42" w14:textId="2DEBF84F" w:rsidR="00F6481F" w:rsidRPr="00742553" w:rsidRDefault="00F6481F" w:rsidP="00177804">
            <w:pPr>
              <w:spacing w:line="257" w:lineRule="auto"/>
              <w:rPr>
                <w:color w:val="000000" w:themeColor="text1"/>
                <w:sz w:val="18"/>
                <w:szCs w:val="18"/>
              </w:rPr>
            </w:pPr>
            <w:r w:rsidRPr="00742553">
              <w:rPr>
                <w:b/>
                <w:bCs/>
                <w:color w:val="000000" w:themeColor="text1"/>
                <w:sz w:val="18"/>
                <w:szCs w:val="18"/>
              </w:rPr>
              <w:t>Baseline:</w:t>
            </w:r>
            <w:r w:rsidR="00194881" w:rsidRPr="00742553">
              <w:rPr>
                <w:b/>
                <w:bCs/>
                <w:color w:val="000000" w:themeColor="text1"/>
                <w:sz w:val="18"/>
                <w:szCs w:val="18"/>
              </w:rPr>
              <w:t xml:space="preserve"> </w:t>
            </w:r>
            <w:r w:rsidRPr="00742553">
              <w:rPr>
                <w:color w:val="000000" w:themeColor="text1"/>
                <w:sz w:val="18"/>
                <w:szCs w:val="18"/>
              </w:rPr>
              <w:t>5 (2021)</w:t>
            </w:r>
          </w:p>
          <w:p w14:paraId="3335A3AA" w14:textId="77777777" w:rsidR="00F6481F" w:rsidRPr="00742553" w:rsidRDefault="00F6481F" w:rsidP="00177804">
            <w:pPr>
              <w:spacing w:line="257" w:lineRule="auto"/>
              <w:rPr>
                <w:color w:val="000000" w:themeColor="text1"/>
                <w:sz w:val="18"/>
                <w:szCs w:val="18"/>
              </w:rPr>
            </w:pPr>
            <w:r w:rsidRPr="00742553">
              <w:rPr>
                <w:b/>
                <w:bCs/>
                <w:color w:val="000000" w:themeColor="text1"/>
                <w:sz w:val="18"/>
                <w:szCs w:val="18"/>
              </w:rPr>
              <w:t>Target:</w:t>
            </w:r>
            <w:r w:rsidRPr="00742553">
              <w:rPr>
                <w:color w:val="000000" w:themeColor="text1"/>
                <w:sz w:val="18"/>
                <w:szCs w:val="18"/>
              </w:rPr>
              <w:t xml:space="preserve"> 10 (2027)</w:t>
            </w:r>
          </w:p>
          <w:p w14:paraId="2BD47EAF" w14:textId="77777777" w:rsidR="00F6481F" w:rsidRPr="00742553" w:rsidRDefault="00F6481F" w:rsidP="00177804">
            <w:pPr>
              <w:spacing w:line="257" w:lineRule="auto"/>
              <w:rPr>
                <w:color w:val="000000" w:themeColor="text1"/>
                <w:sz w:val="18"/>
                <w:szCs w:val="18"/>
              </w:rPr>
            </w:pPr>
            <w:r w:rsidRPr="00742553">
              <w:rPr>
                <w:b/>
                <w:bCs/>
                <w:color w:val="000000" w:themeColor="text1"/>
                <w:sz w:val="18"/>
                <w:szCs w:val="18"/>
              </w:rPr>
              <w:t>Data Source:</w:t>
            </w:r>
            <w:r w:rsidRPr="00742553">
              <w:rPr>
                <w:color w:val="000000" w:themeColor="text1"/>
                <w:sz w:val="18"/>
                <w:szCs w:val="18"/>
              </w:rPr>
              <w:t xml:space="preserve"> MoGCSP Reports</w:t>
            </w:r>
          </w:p>
          <w:p w14:paraId="120CD5D2" w14:textId="77777777" w:rsidR="00F6481F" w:rsidRPr="00742553" w:rsidRDefault="00F6481F" w:rsidP="00177804">
            <w:pPr>
              <w:spacing w:line="257" w:lineRule="auto"/>
              <w:rPr>
                <w:color w:val="000000" w:themeColor="text1"/>
                <w:sz w:val="18"/>
                <w:szCs w:val="18"/>
              </w:rPr>
            </w:pPr>
            <w:r w:rsidRPr="00742553">
              <w:rPr>
                <w:b/>
                <w:bCs/>
                <w:color w:val="000000" w:themeColor="text1"/>
                <w:sz w:val="18"/>
                <w:szCs w:val="18"/>
              </w:rPr>
              <w:t>Frequency:</w:t>
            </w:r>
            <w:r w:rsidRPr="00742553">
              <w:rPr>
                <w:color w:val="000000" w:themeColor="text1"/>
                <w:sz w:val="18"/>
                <w:szCs w:val="18"/>
              </w:rPr>
              <w:t xml:space="preserve"> Annual</w:t>
            </w:r>
          </w:p>
          <w:p w14:paraId="465740F0" w14:textId="77777777" w:rsidR="00F6481F" w:rsidRPr="00742553" w:rsidRDefault="00F6481F" w:rsidP="00177804">
            <w:pPr>
              <w:spacing w:line="257" w:lineRule="auto"/>
              <w:rPr>
                <w:sz w:val="18"/>
                <w:szCs w:val="18"/>
              </w:rPr>
            </w:pPr>
          </w:p>
          <w:p w14:paraId="1C631287" w14:textId="2888C414" w:rsidR="00F6481F" w:rsidRPr="00742553" w:rsidRDefault="00F6481F" w:rsidP="00177804">
            <w:pPr>
              <w:rPr>
                <w:sz w:val="18"/>
                <w:szCs w:val="18"/>
              </w:rPr>
            </w:pPr>
            <w:r w:rsidRPr="00742553">
              <w:rPr>
                <w:b/>
                <w:bCs/>
                <w:color w:val="000000" w:themeColor="text1"/>
                <w:sz w:val="18"/>
                <w:szCs w:val="18"/>
              </w:rPr>
              <w:t>Indicator 2.1.2</w:t>
            </w:r>
            <w:r w:rsidR="00F85D2B">
              <w:rPr>
                <w:b/>
                <w:bCs/>
                <w:color w:val="000000" w:themeColor="text1"/>
                <w:sz w:val="18"/>
                <w:szCs w:val="18"/>
              </w:rPr>
              <w:t>.</w:t>
            </w:r>
            <w:r w:rsidRPr="00742553">
              <w:rPr>
                <w:b/>
                <w:bCs/>
                <w:color w:val="000000" w:themeColor="text1"/>
                <w:sz w:val="18"/>
                <w:szCs w:val="18"/>
              </w:rPr>
              <w:t>:</w:t>
            </w:r>
            <w:r w:rsidRPr="00742553">
              <w:rPr>
                <w:color w:val="000000" w:themeColor="text1"/>
                <w:sz w:val="18"/>
                <w:szCs w:val="18"/>
              </w:rPr>
              <w:t xml:space="preserve"> Number of mechanisms instituted to strengthen public sector agility and effectiveness for improved service delivery.</w:t>
            </w:r>
          </w:p>
          <w:p w14:paraId="37E85C2F" w14:textId="32BAFAD2" w:rsidR="00F6481F" w:rsidRPr="00742553" w:rsidRDefault="00F6481F" w:rsidP="00177804">
            <w:pPr>
              <w:rPr>
                <w:sz w:val="18"/>
                <w:szCs w:val="18"/>
              </w:rPr>
            </w:pPr>
            <w:r w:rsidRPr="00742553">
              <w:rPr>
                <w:b/>
                <w:bCs/>
                <w:color w:val="000000" w:themeColor="text1"/>
                <w:sz w:val="18"/>
                <w:szCs w:val="18"/>
              </w:rPr>
              <w:t>Baseline</w:t>
            </w:r>
            <w:r w:rsidRPr="00742553">
              <w:rPr>
                <w:color w:val="000000" w:themeColor="text1"/>
                <w:sz w:val="18"/>
                <w:szCs w:val="18"/>
              </w:rPr>
              <w:t>:0 (2022)</w:t>
            </w:r>
          </w:p>
          <w:p w14:paraId="68254CCA" w14:textId="77777777" w:rsidR="00F6481F" w:rsidRPr="00742553" w:rsidRDefault="00F6481F" w:rsidP="00177804">
            <w:pPr>
              <w:rPr>
                <w:sz w:val="18"/>
                <w:szCs w:val="18"/>
              </w:rPr>
            </w:pPr>
            <w:r w:rsidRPr="00742553">
              <w:rPr>
                <w:b/>
                <w:bCs/>
                <w:color w:val="000000" w:themeColor="text1"/>
                <w:sz w:val="18"/>
                <w:szCs w:val="18"/>
              </w:rPr>
              <w:t>Target</w:t>
            </w:r>
            <w:r w:rsidRPr="00742553">
              <w:rPr>
                <w:color w:val="000000" w:themeColor="text1"/>
                <w:sz w:val="18"/>
                <w:szCs w:val="18"/>
              </w:rPr>
              <w:t>: 5 (2027)</w:t>
            </w:r>
          </w:p>
          <w:p w14:paraId="79FFD9CA" w14:textId="77777777" w:rsidR="00F6481F" w:rsidRPr="00742553" w:rsidRDefault="00F6481F" w:rsidP="00177804">
            <w:pPr>
              <w:rPr>
                <w:sz w:val="18"/>
                <w:szCs w:val="18"/>
              </w:rPr>
            </w:pPr>
            <w:r w:rsidRPr="00742553">
              <w:rPr>
                <w:b/>
                <w:bCs/>
                <w:color w:val="000000" w:themeColor="text1"/>
                <w:sz w:val="18"/>
                <w:szCs w:val="18"/>
              </w:rPr>
              <w:t>Data Source:</w:t>
            </w:r>
            <w:r w:rsidRPr="00742553">
              <w:rPr>
                <w:color w:val="000000" w:themeColor="text1"/>
                <w:sz w:val="18"/>
                <w:szCs w:val="18"/>
              </w:rPr>
              <w:t xml:space="preserve"> MMDA Reports</w:t>
            </w:r>
          </w:p>
          <w:p w14:paraId="4010FE2F" w14:textId="3B684667" w:rsidR="00F6481F" w:rsidRPr="00742553" w:rsidRDefault="00F6481F" w:rsidP="003A42A7">
            <w:pPr>
              <w:rPr>
                <w:sz w:val="18"/>
                <w:szCs w:val="18"/>
              </w:rPr>
            </w:pPr>
            <w:r w:rsidRPr="00742553">
              <w:rPr>
                <w:b/>
                <w:bCs/>
                <w:color w:val="000000" w:themeColor="text1"/>
                <w:sz w:val="18"/>
                <w:szCs w:val="18"/>
              </w:rPr>
              <w:t>Frequency:</w:t>
            </w:r>
            <w:r w:rsidRPr="00742553">
              <w:rPr>
                <w:color w:val="000000" w:themeColor="text1"/>
                <w:sz w:val="18"/>
                <w:szCs w:val="18"/>
              </w:rPr>
              <w:t xml:space="preserve"> Annual</w:t>
            </w:r>
            <w:r w:rsidR="001E5847" w:rsidRPr="00742553">
              <w:rPr>
                <w:color w:val="000000" w:themeColor="text1"/>
                <w:sz w:val="18"/>
                <w:szCs w:val="18"/>
              </w:rPr>
              <w:t xml:space="preserve"> </w:t>
            </w:r>
          </w:p>
        </w:tc>
        <w:tc>
          <w:tcPr>
            <w:tcW w:w="2087" w:type="dxa"/>
            <w:shd w:val="clear" w:color="auto" w:fill="FFFFFF" w:themeFill="background1"/>
          </w:tcPr>
          <w:p w14:paraId="66F429B6" w14:textId="50E9F517" w:rsidR="00F6481F" w:rsidRPr="00742553" w:rsidRDefault="00F6481F" w:rsidP="00C64533">
            <w:pPr>
              <w:rPr>
                <w:sz w:val="18"/>
                <w:szCs w:val="18"/>
              </w:rPr>
            </w:pPr>
            <w:r w:rsidRPr="00742553">
              <w:rPr>
                <w:sz w:val="18"/>
                <w:szCs w:val="18"/>
              </w:rPr>
              <w:t>Ministry of Local Governance</w:t>
            </w:r>
            <w:r w:rsidR="00D3504E">
              <w:rPr>
                <w:sz w:val="18"/>
                <w:szCs w:val="18"/>
              </w:rPr>
              <w:t xml:space="preserve"> (MoLC)</w:t>
            </w:r>
            <w:r w:rsidRPr="00742553">
              <w:rPr>
                <w:sz w:val="18"/>
                <w:szCs w:val="18"/>
              </w:rPr>
              <w:t xml:space="preserve">, Inter-ministerial committee on local government, MMDAs, </w:t>
            </w:r>
          </w:p>
          <w:p w14:paraId="2168625A" w14:textId="52B03682" w:rsidR="00F6481F" w:rsidRPr="00742553" w:rsidRDefault="00F6481F" w:rsidP="00C64533">
            <w:pPr>
              <w:rPr>
                <w:sz w:val="18"/>
                <w:szCs w:val="18"/>
              </w:rPr>
            </w:pPr>
            <w:r w:rsidRPr="00742553">
              <w:rPr>
                <w:sz w:val="18"/>
                <w:szCs w:val="18"/>
              </w:rPr>
              <w:t xml:space="preserve">Public Service Commission, </w:t>
            </w:r>
            <w:r w:rsidR="006A7CE7">
              <w:rPr>
                <w:sz w:val="18"/>
                <w:szCs w:val="18"/>
              </w:rPr>
              <w:t>NDPC, MoGSP</w:t>
            </w:r>
            <w:r w:rsidRPr="00742553">
              <w:rPr>
                <w:sz w:val="18"/>
                <w:szCs w:val="18"/>
              </w:rPr>
              <w:t xml:space="preserve">, Children and Social Protection, </w:t>
            </w:r>
          </w:p>
          <w:p w14:paraId="3C91DEED" w14:textId="0B35D44D" w:rsidR="00F6481F" w:rsidRPr="00742553" w:rsidRDefault="008C7AC7" w:rsidP="00C64533">
            <w:pPr>
              <w:rPr>
                <w:sz w:val="18"/>
                <w:szCs w:val="18"/>
              </w:rPr>
            </w:pPr>
            <w:r>
              <w:rPr>
                <w:sz w:val="18"/>
                <w:szCs w:val="18"/>
              </w:rPr>
              <w:t>NYA</w:t>
            </w:r>
            <w:r w:rsidR="00F6481F" w:rsidRPr="00742553">
              <w:rPr>
                <w:sz w:val="18"/>
                <w:szCs w:val="18"/>
              </w:rPr>
              <w:t>, Ministry of Interior, Electoral Commission,</w:t>
            </w:r>
          </w:p>
          <w:p w14:paraId="432207D5" w14:textId="779E7773" w:rsidR="00F6481F" w:rsidRPr="00742553" w:rsidRDefault="00F6481F" w:rsidP="00C64533">
            <w:pPr>
              <w:jc w:val="both"/>
              <w:rPr>
                <w:rFonts w:eastAsia="Calibri"/>
                <w:sz w:val="18"/>
                <w:szCs w:val="18"/>
              </w:rPr>
            </w:pPr>
            <w:r w:rsidRPr="00742553">
              <w:rPr>
                <w:rFonts w:eastAsia="Calibri"/>
                <w:sz w:val="18"/>
                <w:szCs w:val="18"/>
              </w:rPr>
              <w:t>CSOs</w:t>
            </w:r>
            <w:r w:rsidR="00F85D2B">
              <w:rPr>
                <w:rFonts w:eastAsia="Calibri"/>
                <w:sz w:val="18"/>
                <w:szCs w:val="18"/>
              </w:rPr>
              <w:t>,</w:t>
            </w:r>
            <w:r w:rsidRPr="00742553">
              <w:rPr>
                <w:rFonts w:eastAsia="Calibri"/>
                <w:sz w:val="18"/>
                <w:szCs w:val="18"/>
              </w:rPr>
              <w:t xml:space="preserve"> </w:t>
            </w:r>
          </w:p>
          <w:p w14:paraId="2ECF56A1" w14:textId="30F82ECA" w:rsidR="00F6481F" w:rsidRPr="008462C7" w:rsidRDefault="00F85D2B" w:rsidP="008462C7">
            <w:pPr>
              <w:jc w:val="both"/>
              <w:rPr>
                <w:rFonts w:eastAsia="Calibri"/>
                <w:sz w:val="18"/>
                <w:szCs w:val="18"/>
              </w:rPr>
            </w:pPr>
            <w:r>
              <w:rPr>
                <w:rFonts w:eastAsia="Calibri"/>
                <w:sz w:val="18"/>
                <w:szCs w:val="18"/>
              </w:rPr>
              <w:t>development partners,</w:t>
            </w:r>
            <w:r w:rsidR="00F6481F" w:rsidRPr="00742553">
              <w:rPr>
                <w:rFonts w:eastAsia="Calibri"/>
                <w:sz w:val="18"/>
                <w:szCs w:val="18"/>
              </w:rPr>
              <w:t xml:space="preserve"> Netherlands Embassy in Ghana, Canadian Embassy, GIZ, </w:t>
            </w:r>
            <w:r w:rsidR="00C4704E" w:rsidRPr="00C4704E">
              <w:rPr>
                <w:rFonts w:eastAsia="Calibri"/>
                <w:sz w:val="18"/>
                <w:szCs w:val="18"/>
              </w:rPr>
              <w:t>United Nations Educational, Scientific and Cultural Organization</w:t>
            </w:r>
            <w:r w:rsidR="00C4704E">
              <w:rPr>
                <w:rFonts w:eastAsia="Calibri"/>
                <w:sz w:val="18"/>
                <w:szCs w:val="18"/>
              </w:rPr>
              <w:t xml:space="preserve"> (</w:t>
            </w:r>
            <w:r w:rsidR="00F6481F" w:rsidRPr="00742553">
              <w:rPr>
                <w:rFonts w:eastAsia="Calibri"/>
                <w:sz w:val="18"/>
                <w:szCs w:val="18"/>
              </w:rPr>
              <w:t>UNESCO</w:t>
            </w:r>
            <w:r w:rsidR="00C4704E">
              <w:rPr>
                <w:rFonts w:eastAsia="Calibri"/>
                <w:sz w:val="18"/>
                <w:szCs w:val="18"/>
              </w:rPr>
              <w:t>)</w:t>
            </w:r>
            <w:r w:rsidR="00F6481F" w:rsidRPr="00742553">
              <w:rPr>
                <w:rFonts w:eastAsia="Calibri"/>
                <w:sz w:val="18"/>
                <w:szCs w:val="18"/>
              </w:rPr>
              <w:t xml:space="preserve">, </w:t>
            </w:r>
            <w:r w:rsidR="00CF75E6">
              <w:rPr>
                <w:rFonts w:eastAsia="Calibri"/>
                <w:sz w:val="18"/>
                <w:szCs w:val="18"/>
              </w:rPr>
              <w:t xml:space="preserve">and </w:t>
            </w:r>
            <w:r w:rsidR="00C4704E">
              <w:rPr>
                <w:rFonts w:eastAsia="Calibri"/>
                <w:sz w:val="18"/>
                <w:szCs w:val="18"/>
              </w:rPr>
              <w:t>United Nations Population Fund (</w:t>
            </w:r>
            <w:r w:rsidR="00F6481F" w:rsidRPr="00742553">
              <w:rPr>
                <w:rFonts w:eastAsia="Calibri"/>
                <w:sz w:val="18"/>
                <w:szCs w:val="18"/>
              </w:rPr>
              <w:t>UNFPA</w:t>
            </w:r>
            <w:r w:rsidR="00C4704E">
              <w:rPr>
                <w:rFonts w:eastAsia="Calibri"/>
                <w:sz w:val="18"/>
                <w:szCs w:val="18"/>
              </w:rPr>
              <w:t>)</w:t>
            </w:r>
          </w:p>
        </w:tc>
        <w:tc>
          <w:tcPr>
            <w:tcW w:w="1709" w:type="dxa"/>
          </w:tcPr>
          <w:p w14:paraId="633B19D4" w14:textId="58418B81" w:rsidR="00F6481F" w:rsidRPr="00742553" w:rsidRDefault="00F6481F" w:rsidP="00C64533">
            <w:pPr>
              <w:rPr>
                <w:sz w:val="18"/>
                <w:szCs w:val="18"/>
              </w:rPr>
            </w:pPr>
            <w:r w:rsidRPr="00742553">
              <w:rPr>
                <w:b/>
                <w:bCs/>
                <w:color w:val="000000"/>
                <w:sz w:val="18"/>
                <w:szCs w:val="18"/>
              </w:rPr>
              <w:t xml:space="preserve">Regular: </w:t>
            </w:r>
            <w:r w:rsidR="00393EB3">
              <w:rPr>
                <w:b/>
                <w:bCs/>
                <w:color w:val="000000"/>
                <w:sz w:val="18"/>
                <w:szCs w:val="18"/>
              </w:rPr>
              <w:t>5</w:t>
            </w:r>
            <w:r w:rsidRPr="00742553">
              <w:rPr>
                <w:b/>
                <w:bCs/>
                <w:color w:val="000000"/>
                <w:sz w:val="18"/>
                <w:szCs w:val="18"/>
              </w:rPr>
              <w:t>00,000</w:t>
            </w:r>
            <w:r w:rsidRPr="00742553">
              <w:rPr>
                <w:color w:val="000000"/>
                <w:sz w:val="18"/>
                <w:szCs w:val="18"/>
              </w:rPr>
              <w:t xml:space="preserve"> </w:t>
            </w:r>
          </w:p>
          <w:p w14:paraId="6D5AD4D2" w14:textId="457FCDDA" w:rsidR="00F6481F" w:rsidRPr="00742553" w:rsidRDefault="00F6481F" w:rsidP="00C64533">
            <w:pPr>
              <w:rPr>
                <w:sz w:val="18"/>
                <w:szCs w:val="18"/>
              </w:rPr>
            </w:pPr>
            <w:r w:rsidRPr="00742553">
              <w:rPr>
                <w:b/>
                <w:bCs/>
                <w:color w:val="000000"/>
                <w:sz w:val="18"/>
                <w:szCs w:val="18"/>
              </w:rPr>
              <w:t xml:space="preserve">Others: </w:t>
            </w:r>
            <w:r w:rsidR="00E10658">
              <w:rPr>
                <w:b/>
                <w:bCs/>
                <w:color w:val="000000"/>
                <w:sz w:val="18"/>
                <w:szCs w:val="18"/>
              </w:rPr>
              <w:t>5</w:t>
            </w:r>
            <w:r w:rsidRPr="00742553">
              <w:rPr>
                <w:b/>
                <w:bCs/>
                <w:color w:val="000000"/>
                <w:sz w:val="18"/>
                <w:szCs w:val="18"/>
              </w:rPr>
              <w:t>,500,000</w:t>
            </w:r>
            <w:r w:rsidRPr="00742553">
              <w:rPr>
                <w:color w:val="000000"/>
                <w:sz w:val="18"/>
                <w:szCs w:val="18"/>
              </w:rPr>
              <w:t xml:space="preserve"> </w:t>
            </w:r>
          </w:p>
        </w:tc>
      </w:tr>
      <w:tr w:rsidR="00F6481F" w:rsidRPr="008079CD" w14:paraId="28034DAE" w14:textId="77777777" w:rsidTr="00BC4D71">
        <w:tc>
          <w:tcPr>
            <w:tcW w:w="2529" w:type="dxa"/>
            <w:vMerge/>
          </w:tcPr>
          <w:p w14:paraId="6791B7A5" w14:textId="77777777" w:rsidR="00F6481F" w:rsidRPr="00742553" w:rsidRDefault="00F6481F" w:rsidP="0017218A">
            <w:pPr>
              <w:rPr>
                <w:sz w:val="18"/>
                <w:szCs w:val="18"/>
              </w:rPr>
            </w:pPr>
          </w:p>
        </w:tc>
        <w:tc>
          <w:tcPr>
            <w:tcW w:w="2634" w:type="dxa"/>
            <w:vMerge/>
          </w:tcPr>
          <w:p w14:paraId="30869876" w14:textId="66AB54B0" w:rsidR="00F6481F" w:rsidRPr="00742553" w:rsidRDefault="00F6481F" w:rsidP="0017218A">
            <w:pPr>
              <w:rPr>
                <w:sz w:val="18"/>
                <w:szCs w:val="18"/>
              </w:rPr>
            </w:pPr>
          </w:p>
        </w:tc>
        <w:tc>
          <w:tcPr>
            <w:tcW w:w="4085" w:type="dxa"/>
            <w:vAlign w:val="center"/>
          </w:tcPr>
          <w:p w14:paraId="3693BD43" w14:textId="72DEB597" w:rsidR="00F6481F" w:rsidRPr="00742553" w:rsidRDefault="00F6481F" w:rsidP="00C64533">
            <w:pPr>
              <w:spacing w:after="120"/>
              <w:jc w:val="both"/>
              <w:rPr>
                <w:sz w:val="18"/>
                <w:szCs w:val="18"/>
                <w:lang w:eastAsia="en-GB"/>
              </w:rPr>
            </w:pPr>
            <w:r w:rsidRPr="00742553">
              <w:rPr>
                <w:b/>
                <w:bCs/>
                <w:sz w:val="18"/>
                <w:szCs w:val="18"/>
                <w:lang w:eastAsia="en-GB"/>
              </w:rPr>
              <w:t>Output 2.2</w:t>
            </w:r>
            <w:r w:rsidR="00F85D2B">
              <w:rPr>
                <w:b/>
                <w:bCs/>
                <w:sz w:val="18"/>
                <w:szCs w:val="18"/>
                <w:lang w:eastAsia="en-GB"/>
              </w:rPr>
              <w:t>.</w:t>
            </w:r>
            <w:r w:rsidRPr="00742553">
              <w:rPr>
                <w:b/>
                <w:bCs/>
                <w:sz w:val="18"/>
                <w:szCs w:val="18"/>
                <w:lang w:eastAsia="en-GB"/>
              </w:rPr>
              <w:t xml:space="preserve">: </w:t>
            </w:r>
            <w:r w:rsidRPr="00742553">
              <w:rPr>
                <w:sz w:val="18"/>
                <w:szCs w:val="18"/>
              </w:rPr>
              <w:t xml:space="preserve">Communities and infrastructures for peace enabled to adopt systems for </w:t>
            </w:r>
            <w:r w:rsidRPr="00742553">
              <w:rPr>
                <w:sz w:val="18"/>
                <w:szCs w:val="18"/>
                <w:lang w:eastAsia="en-GB"/>
              </w:rPr>
              <w:t>resilience and, early action and prevention.</w:t>
            </w:r>
          </w:p>
          <w:p w14:paraId="5CD07760" w14:textId="6A6AC9E3" w:rsidR="00F6481F" w:rsidRPr="00742553" w:rsidRDefault="00F6481F" w:rsidP="00C64533">
            <w:pPr>
              <w:rPr>
                <w:rFonts w:eastAsia="Calibri"/>
                <w:color w:val="000000"/>
                <w:sz w:val="18"/>
                <w:szCs w:val="18"/>
              </w:rPr>
            </w:pPr>
            <w:r w:rsidRPr="00742553">
              <w:rPr>
                <w:rFonts w:eastAsia="Calibri"/>
                <w:b/>
                <w:bCs/>
                <w:color w:val="000000"/>
                <w:sz w:val="18"/>
                <w:szCs w:val="18"/>
              </w:rPr>
              <w:t>Indicator 2.2.1</w:t>
            </w:r>
            <w:r w:rsidR="00F85D2B">
              <w:rPr>
                <w:rFonts w:eastAsia="Calibri"/>
                <w:b/>
                <w:bCs/>
                <w:color w:val="000000"/>
                <w:sz w:val="18"/>
                <w:szCs w:val="18"/>
              </w:rPr>
              <w:t>.</w:t>
            </w:r>
            <w:r w:rsidRPr="00742553">
              <w:rPr>
                <w:rFonts w:eastAsia="Calibri"/>
                <w:b/>
                <w:bCs/>
                <w:color w:val="000000"/>
                <w:sz w:val="18"/>
                <w:szCs w:val="18"/>
              </w:rPr>
              <w:t>:</w:t>
            </w:r>
            <w:r w:rsidRPr="00742553">
              <w:rPr>
                <w:rFonts w:eastAsia="Calibri"/>
                <w:color w:val="000000"/>
                <w:sz w:val="18"/>
                <w:szCs w:val="18"/>
              </w:rPr>
              <w:t xml:space="preserve"> Extent to which early action measures are adopted to manage current and emerging conflicts.</w:t>
            </w:r>
          </w:p>
          <w:p w14:paraId="0F15FDD0" w14:textId="77777777" w:rsidR="00F6481F" w:rsidRPr="00742553" w:rsidRDefault="00F6481F" w:rsidP="00C64533">
            <w:pPr>
              <w:rPr>
                <w:rFonts w:eastAsia="Calibri"/>
                <w:color w:val="000000"/>
                <w:sz w:val="18"/>
                <w:szCs w:val="18"/>
              </w:rPr>
            </w:pPr>
            <w:bookmarkStart w:id="7" w:name="_Hlk100172841"/>
            <w:r w:rsidRPr="00742553">
              <w:rPr>
                <w:rFonts w:eastAsia="Calibri"/>
                <w:b/>
                <w:bCs/>
                <w:color w:val="000000"/>
                <w:sz w:val="18"/>
                <w:szCs w:val="18"/>
              </w:rPr>
              <w:t>Baseline:</w:t>
            </w:r>
            <w:r w:rsidRPr="00742553">
              <w:rPr>
                <w:rFonts w:eastAsia="Calibri"/>
                <w:color w:val="000000"/>
                <w:sz w:val="18"/>
                <w:szCs w:val="18"/>
              </w:rPr>
              <w:t xml:space="preserve">  Level 2: Partially</w:t>
            </w:r>
          </w:p>
          <w:p w14:paraId="59B6C27E" w14:textId="6EDE73E7" w:rsidR="00F6481F" w:rsidRPr="00742553" w:rsidRDefault="00F6481F" w:rsidP="00C64533">
            <w:pPr>
              <w:rPr>
                <w:rFonts w:eastAsia="Calibri"/>
                <w:color w:val="000000"/>
                <w:sz w:val="18"/>
                <w:szCs w:val="18"/>
              </w:rPr>
            </w:pPr>
            <w:r w:rsidRPr="00742553">
              <w:rPr>
                <w:rFonts w:eastAsia="Calibri"/>
                <w:b/>
                <w:bCs/>
                <w:color w:val="000000"/>
                <w:sz w:val="18"/>
                <w:szCs w:val="18"/>
              </w:rPr>
              <w:t xml:space="preserve">Target: </w:t>
            </w:r>
            <w:r w:rsidRPr="00742553">
              <w:rPr>
                <w:rFonts w:eastAsia="Calibri"/>
                <w:color w:val="000000"/>
                <w:sz w:val="18"/>
                <w:szCs w:val="18"/>
              </w:rPr>
              <w:t xml:space="preserve">Level 3: Moderately </w:t>
            </w:r>
          </w:p>
          <w:p w14:paraId="535042E0" w14:textId="77777777" w:rsidR="00F6481F" w:rsidRPr="00742553" w:rsidRDefault="00F6481F" w:rsidP="00C64533">
            <w:pPr>
              <w:rPr>
                <w:rFonts w:eastAsia="Calibri"/>
                <w:color w:val="000000"/>
                <w:sz w:val="18"/>
                <w:szCs w:val="18"/>
              </w:rPr>
            </w:pPr>
            <w:r w:rsidRPr="00742553">
              <w:rPr>
                <w:rFonts w:eastAsia="Calibri"/>
                <w:b/>
                <w:bCs/>
                <w:color w:val="000000"/>
                <w:sz w:val="18"/>
                <w:szCs w:val="18"/>
              </w:rPr>
              <w:t>Data Source:</w:t>
            </w:r>
            <w:r w:rsidRPr="00742553">
              <w:rPr>
                <w:rFonts w:eastAsia="Calibri"/>
                <w:color w:val="000000"/>
                <w:sz w:val="18"/>
                <w:szCs w:val="18"/>
              </w:rPr>
              <w:t xml:space="preserve"> NPC Reports</w:t>
            </w:r>
          </w:p>
          <w:p w14:paraId="492262D1" w14:textId="77777777" w:rsidR="00F6481F" w:rsidRPr="00742553" w:rsidRDefault="00F6481F" w:rsidP="00C64533">
            <w:pPr>
              <w:rPr>
                <w:rFonts w:eastAsia="Calibri"/>
                <w:color w:val="000000"/>
                <w:sz w:val="18"/>
                <w:szCs w:val="18"/>
              </w:rPr>
            </w:pPr>
            <w:r w:rsidRPr="00742553">
              <w:rPr>
                <w:rFonts w:eastAsia="Calibri"/>
                <w:b/>
                <w:bCs/>
                <w:color w:val="000000"/>
                <w:sz w:val="18"/>
                <w:szCs w:val="18"/>
              </w:rPr>
              <w:t>Frequency:</w:t>
            </w:r>
            <w:r w:rsidRPr="00742553">
              <w:rPr>
                <w:rFonts w:eastAsia="Calibri"/>
                <w:color w:val="000000"/>
                <w:sz w:val="18"/>
                <w:szCs w:val="18"/>
              </w:rPr>
              <w:t xml:space="preserve"> Annual</w:t>
            </w:r>
          </w:p>
          <w:bookmarkEnd w:id="7"/>
          <w:p w14:paraId="74CB638E" w14:textId="77777777" w:rsidR="00F6481F" w:rsidRPr="00742553" w:rsidRDefault="00F6481F" w:rsidP="00C64533">
            <w:pPr>
              <w:rPr>
                <w:sz w:val="18"/>
                <w:szCs w:val="18"/>
              </w:rPr>
            </w:pPr>
          </w:p>
          <w:p w14:paraId="39B72730" w14:textId="74FDDB10" w:rsidR="00F6481F" w:rsidRPr="00742553" w:rsidRDefault="00F6481F" w:rsidP="00C64533">
            <w:pPr>
              <w:rPr>
                <w:rFonts w:eastAsia="Calibri"/>
                <w:color w:val="000000" w:themeColor="text1"/>
                <w:sz w:val="18"/>
                <w:szCs w:val="18"/>
              </w:rPr>
            </w:pPr>
            <w:r w:rsidRPr="00742553">
              <w:rPr>
                <w:b/>
                <w:bCs/>
                <w:sz w:val="18"/>
                <w:szCs w:val="18"/>
              </w:rPr>
              <w:t>Indicator 2.2.2</w:t>
            </w:r>
            <w:r w:rsidR="00CF75E6">
              <w:rPr>
                <w:b/>
                <w:bCs/>
                <w:sz w:val="18"/>
                <w:szCs w:val="18"/>
              </w:rPr>
              <w:t>.</w:t>
            </w:r>
            <w:r w:rsidRPr="00742553">
              <w:rPr>
                <w:b/>
                <w:bCs/>
                <w:sz w:val="18"/>
                <w:szCs w:val="18"/>
              </w:rPr>
              <w:t>:</w:t>
            </w:r>
            <w:r w:rsidRPr="00742553">
              <w:rPr>
                <w:sz w:val="18"/>
                <w:szCs w:val="18"/>
              </w:rPr>
              <w:t xml:space="preserve"> </w:t>
            </w:r>
            <w:r w:rsidRPr="00742553">
              <w:rPr>
                <w:rFonts w:eastAsia="Calibri"/>
                <w:color w:val="000000" w:themeColor="text1"/>
                <w:sz w:val="18"/>
                <w:szCs w:val="18"/>
              </w:rPr>
              <w:t xml:space="preserve">Number of </w:t>
            </w:r>
            <w:r w:rsidRPr="00742553">
              <w:rPr>
                <w:sz w:val="18"/>
                <w:szCs w:val="18"/>
              </w:rPr>
              <w:t>gender-</w:t>
            </w:r>
            <w:r w:rsidRPr="00742553">
              <w:rPr>
                <w:color w:val="000000" w:themeColor="text1"/>
                <w:sz w:val="18"/>
                <w:szCs w:val="18"/>
              </w:rPr>
              <w:t xml:space="preserve"> </w:t>
            </w:r>
            <w:r w:rsidRPr="00742553">
              <w:rPr>
                <w:sz w:val="18"/>
                <w:szCs w:val="18"/>
              </w:rPr>
              <w:t xml:space="preserve">responsive community and </w:t>
            </w:r>
            <w:r w:rsidRPr="00742553">
              <w:rPr>
                <w:rFonts w:eastAsia="Calibri"/>
                <w:color w:val="000000" w:themeColor="text1"/>
                <w:sz w:val="18"/>
                <w:szCs w:val="18"/>
              </w:rPr>
              <w:t xml:space="preserve">cross-border initiatives and action </w:t>
            </w:r>
            <w:r w:rsidRPr="00742553">
              <w:rPr>
                <w:rFonts w:eastAsia="Calibri"/>
                <w:color w:val="000000" w:themeColor="text1"/>
                <w:sz w:val="18"/>
                <w:szCs w:val="18"/>
              </w:rPr>
              <w:lastRenderedPageBreak/>
              <w:t>plans in place for enhancing resilience and conflict prevention.</w:t>
            </w:r>
          </w:p>
          <w:p w14:paraId="0A21AFEC" w14:textId="77777777" w:rsidR="00F6481F" w:rsidRPr="00742553" w:rsidRDefault="00F6481F" w:rsidP="00C64533">
            <w:pPr>
              <w:rPr>
                <w:rFonts w:eastAsia="Calibri"/>
                <w:color w:val="000000"/>
                <w:sz w:val="18"/>
                <w:szCs w:val="18"/>
              </w:rPr>
            </w:pPr>
            <w:r w:rsidRPr="00742553">
              <w:rPr>
                <w:rFonts w:eastAsia="Calibri"/>
                <w:b/>
                <w:bCs/>
                <w:color w:val="000000" w:themeColor="text1"/>
                <w:sz w:val="18"/>
                <w:szCs w:val="18"/>
              </w:rPr>
              <w:t>Baseline</w:t>
            </w:r>
            <w:r w:rsidRPr="00742553">
              <w:rPr>
                <w:rFonts w:eastAsia="Calibri"/>
                <w:color w:val="000000" w:themeColor="text1"/>
                <w:sz w:val="18"/>
                <w:szCs w:val="18"/>
              </w:rPr>
              <w:t xml:space="preserve">: National 2 (2021); Sub-national 5 (2021) </w:t>
            </w:r>
          </w:p>
          <w:p w14:paraId="496695AC" w14:textId="2619FE79" w:rsidR="00F6481F" w:rsidRPr="00742553" w:rsidRDefault="00F6481F" w:rsidP="00C64533">
            <w:pPr>
              <w:rPr>
                <w:rFonts w:eastAsia="Calibri"/>
                <w:color w:val="000000"/>
                <w:sz w:val="18"/>
                <w:szCs w:val="18"/>
              </w:rPr>
            </w:pPr>
            <w:r w:rsidRPr="00742553">
              <w:rPr>
                <w:rFonts w:eastAsia="Calibri"/>
                <w:b/>
                <w:bCs/>
                <w:color w:val="000000" w:themeColor="text1"/>
                <w:sz w:val="18"/>
                <w:szCs w:val="18"/>
              </w:rPr>
              <w:t>Target</w:t>
            </w:r>
            <w:r w:rsidRPr="00742553">
              <w:rPr>
                <w:rFonts w:eastAsia="Calibri"/>
                <w:color w:val="000000" w:themeColor="text1"/>
                <w:sz w:val="18"/>
                <w:szCs w:val="18"/>
              </w:rPr>
              <w:t>: National 4 (2027); Sub-national 10 (2027)</w:t>
            </w:r>
          </w:p>
          <w:p w14:paraId="7F88D660" w14:textId="4A6749C6" w:rsidR="00F6481F" w:rsidRPr="00742553" w:rsidRDefault="00BC2059" w:rsidP="00C64533">
            <w:pPr>
              <w:rPr>
                <w:rFonts w:eastAsia="Calibri"/>
                <w:color w:val="000000"/>
                <w:sz w:val="18"/>
                <w:szCs w:val="18"/>
              </w:rPr>
            </w:pPr>
            <w:r w:rsidRPr="00742553">
              <w:rPr>
                <w:rFonts w:eastAsia="Calibri"/>
                <w:b/>
                <w:bCs/>
                <w:color w:val="000000"/>
                <w:sz w:val="18"/>
                <w:szCs w:val="18"/>
              </w:rPr>
              <w:t xml:space="preserve">Data </w:t>
            </w:r>
            <w:r w:rsidR="00F6481F" w:rsidRPr="00742553">
              <w:rPr>
                <w:rFonts w:eastAsia="Calibri"/>
                <w:b/>
                <w:bCs/>
                <w:color w:val="000000"/>
                <w:sz w:val="18"/>
                <w:szCs w:val="18"/>
              </w:rPr>
              <w:t>Source:</w:t>
            </w:r>
            <w:r w:rsidR="00F6481F" w:rsidRPr="00742553">
              <w:rPr>
                <w:rFonts w:eastAsia="Calibri"/>
                <w:color w:val="000000"/>
                <w:sz w:val="18"/>
                <w:szCs w:val="18"/>
              </w:rPr>
              <w:t xml:space="preserve"> NPC/GNACSA Reports</w:t>
            </w:r>
          </w:p>
          <w:p w14:paraId="3F951A7C" w14:textId="77777777" w:rsidR="00F6481F" w:rsidRPr="00742553" w:rsidRDefault="00F6481F" w:rsidP="00C64533">
            <w:pPr>
              <w:rPr>
                <w:rFonts w:eastAsia="Calibri"/>
                <w:color w:val="000000"/>
                <w:sz w:val="18"/>
                <w:szCs w:val="18"/>
              </w:rPr>
            </w:pPr>
            <w:r w:rsidRPr="00742553">
              <w:rPr>
                <w:rFonts w:eastAsia="Calibri"/>
                <w:b/>
                <w:bCs/>
                <w:color w:val="000000"/>
                <w:sz w:val="18"/>
                <w:szCs w:val="18"/>
              </w:rPr>
              <w:t>Frequency:</w:t>
            </w:r>
            <w:r w:rsidRPr="00742553">
              <w:rPr>
                <w:rFonts w:eastAsia="Calibri"/>
                <w:color w:val="000000"/>
                <w:sz w:val="18"/>
                <w:szCs w:val="18"/>
              </w:rPr>
              <w:t xml:space="preserve"> Annual</w:t>
            </w:r>
          </w:p>
          <w:p w14:paraId="0511C313" w14:textId="77777777" w:rsidR="00F6481F" w:rsidRPr="00742553" w:rsidRDefault="00F6481F" w:rsidP="00C64533">
            <w:pPr>
              <w:rPr>
                <w:rFonts w:eastAsia="Calibri"/>
                <w:color w:val="000000"/>
                <w:sz w:val="18"/>
                <w:szCs w:val="18"/>
              </w:rPr>
            </w:pPr>
          </w:p>
          <w:p w14:paraId="1575590A" w14:textId="733E945E" w:rsidR="00F6481F" w:rsidRPr="00742553" w:rsidRDefault="00F6481F" w:rsidP="00C64533">
            <w:pPr>
              <w:rPr>
                <w:rFonts w:eastAsia="Calibri"/>
                <w:color w:val="000000" w:themeColor="text1"/>
                <w:sz w:val="18"/>
                <w:szCs w:val="18"/>
              </w:rPr>
            </w:pPr>
            <w:r w:rsidRPr="00742553">
              <w:rPr>
                <w:rFonts w:eastAsia="Calibri"/>
                <w:b/>
                <w:bCs/>
                <w:color w:val="000000" w:themeColor="text1"/>
                <w:sz w:val="18"/>
                <w:szCs w:val="18"/>
              </w:rPr>
              <w:t>Indicator 2.2.3</w:t>
            </w:r>
            <w:r w:rsidR="00CF75E6">
              <w:rPr>
                <w:rFonts w:eastAsia="Calibri"/>
                <w:b/>
                <w:bCs/>
                <w:color w:val="000000" w:themeColor="text1"/>
                <w:sz w:val="18"/>
                <w:szCs w:val="18"/>
              </w:rPr>
              <w:t>.</w:t>
            </w:r>
            <w:r w:rsidRPr="00742553">
              <w:rPr>
                <w:rFonts w:eastAsia="Calibri"/>
                <w:b/>
                <w:bCs/>
                <w:color w:val="000000" w:themeColor="text1"/>
                <w:sz w:val="18"/>
                <w:szCs w:val="18"/>
              </w:rPr>
              <w:t>:</w:t>
            </w:r>
            <w:r w:rsidRPr="00742553">
              <w:rPr>
                <w:rFonts w:eastAsia="Calibri"/>
                <w:color w:val="000000" w:themeColor="text1"/>
                <w:sz w:val="18"/>
                <w:szCs w:val="18"/>
              </w:rPr>
              <w:t xml:space="preserve"> Number of </w:t>
            </w:r>
            <w:r w:rsidR="00CF75E6">
              <w:rPr>
                <w:rFonts w:eastAsia="Calibri"/>
                <w:color w:val="000000" w:themeColor="text1"/>
                <w:sz w:val="18"/>
                <w:szCs w:val="18"/>
              </w:rPr>
              <w:t>w</w:t>
            </w:r>
            <w:r w:rsidRPr="00742553">
              <w:rPr>
                <w:rFonts w:eastAsia="Calibri"/>
                <w:color w:val="000000" w:themeColor="text1"/>
                <w:sz w:val="18"/>
                <w:szCs w:val="18"/>
              </w:rPr>
              <w:t xml:space="preserve">omen and </w:t>
            </w:r>
            <w:r w:rsidR="00CF75E6">
              <w:rPr>
                <w:rFonts w:eastAsia="Calibri"/>
                <w:color w:val="000000" w:themeColor="text1"/>
                <w:sz w:val="18"/>
                <w:szCs w:val="18"/>
              </w:rPr>
              <w:t>y</w:t>
            </w:r>
            <w:r w:rsidRPr="00742553">
              <w:rPr>
                <w:rFonts w:eastAsia="Calibri"/>
                <w:color w:val="000000" w:themeColor="text1"/>
                <w:sz w:val="18"/>
                <w:szCs w:val="18"/>
              </w:rPr>
              <w:t xml:space="preserve">outh  </w:t>
            </w:r>
            <w:r w:rsidR="00CF75E6" w:rsidRPr="00742553">
              <w:rPr>
                <w:rFonts w:eastAsia="Calibri"/>
                <w:color w:val="000000" w:themeColor="text1"/>
                <w:sz w:val="18"/>
                <w:szCs w:val="18"/>
              </w:rPr>
              <w:t>organizations</w:t>
            </w:r>
            <w:r w:rsidRPr="00742553">
              <w:rPr>
                <w:rFonts w:eastAsia="Calibri"/>
                <w:color w:val="000000" w:themeColor="text1"/>
                <w:sz w:val="18"/>
                <w:szCs w:val="18"/>
              </w:rPr>
              <w:t>, movements and networks at sub-national level with strengthened capacity for conflict prevention, resilience and national interest.</w:t>
            </w:r>
          </w:p>
          <w:p w14:paraId="71C81C1F" w14:textId="72C0776A" w:rsidR="00F6481F" w:rsidRPr="00742553" w:rsidRDefault="00F6481F" w:rsidP="00C64533">
            <w:pPr>
              <w:rPr>
                <w:rFonts w:eastAsia="Calibri"/>
                <w:color w:val="000000"/>
                <w:sz w:val="18"/>
                <w:szCs w:val="18"/>
              </w:rPr>
            </w:pPr>
            <w:r w:rsidRPr="00742553">
              <w:rPr>
                <w:rFonts w:eastAsia="Calibri"/>
                <w:b/>
                <w:bCs/>
                <w:color w:val="000000"/>
                <w:sz w:val="18"/>
                <w:szCs w:val="18"/>
              </w:rPr>
              <w:t>Baseline</w:t>
            </w:r>
            <w:r w:rsidRPr="00742553">
              <w:rPr>
                <w:rFonts w:eastAsia="Calibri"/>
                <w:color w:val="000000"/>
                <w:sz w:val="18"/>
                <w:szCs w:val="18"/>
              </w:rPr>
              <w:t>: Women</w:t>
            </w:r>
            <w:r w:rsidR="007F067D">
              <w:rPr>
                <w:rFonts w:eastAsia="Calibri"/>
                <w:color w:val="000000"/>
                <w:sz w:val="18"/>
                <w:szCs w:val="18"/>
              </w:rPr>
              <w:t>:</w:t>
            </w:r>
            <w:r w:rsidRPr="00742553">
              <w:rPr>
                <w:rFonts w:eastAsia="Calibri"/>
                <w:color w:val="000000"/>
                <w:sz w:val="18"/>
                <w:szCs w:val="18"/>
              </w:rPr>
              <w:t xml:space="preserve"> 3, Youth</w:t>
            </w:r>
            <w:r w:rsidR="007F067D">
              <w:rPr>
                <w:rFonts w:eastAsia="Calibri"/>
                <w:color w:val="000000"/>
                <w:sz w:val="18"/>
                <w:szCs w:val="18"/>
              </w:rPr>
              <w:t>:</w:t>
            </w:r>
            <w:r w:rsidRPr="00742553">
              <w:rPr>
                <w:rFonts w:eastAsia="Calibri"/>
                <w:color w:val="000000"/>
                <w:sz w:val="18"/>
                <w:szCs w:val="18"/>
              </w:rPr>
              <w:t xml:space="preserve"> 3 (2021)</w:t>
            </w:r>
          </w:p>
          <w:p w14:paraId="24EBB884" w14:textId="4340F223" w:rsidR="00F6481F" w:rsidRPr="00742553" w:rsidRDefault="00F6481F" w:rsidP="00C64533">
            <w:pPr>
              <w:rPr>
                <w:rFonts w:eastAsia="Calibri"/>
                <w:color w:val="000000"/>
                <w:sz w:val="18"/>
                <w:szCs w:val="18"/>
              </w:rPr>
            </w:pPr>
            <w:r w:rsidRPr="00742553">
              <w:rPr>
                <w:rFonts w:eastAsia="Calibri"/>
                <w:b/>
                <w:bCs/>
                <w:color w:val="000000"/>
                <w:sz w:val="18"/>
                <w:szCs w:val="18"/>
              </w:rPr>
              <w:t>Target:</w:t>
            </w:r>
            <w:r w:rsidRPr="00742553">
              <w:rPr>
                <w:rFonts w:eastAsia="Calibri"/>
                <w:color w:val="000000"/>
                <w:sz w:val="18"/>
                <w:szCs w:val="18"/>
              </w:rPr>
              <w:t xml:space="preserve"> Women</w:t>
            </w:r>
            <w:r w:rsidR="007F067D">
              <w:rPr>
                <w:rFonts w:eastAsia="Calibri"/>
                <w:color w:val="000000"/>
                <w:sz w:val="18"/>
                <w:szCs w:val="18"/>
              </w:rPr>
              <w:t>:</w:t>
            </w:r>
            <w:r w:rsidRPr="00742553">
              <w:rPr>
                <w:rFonts w:eastAsia="Calibri"/>
                <w:color w:val="000000"/>
                <w:sz w:val="18"/>
                <w:szCs w:val="18"/>
              </w:rPr>
              <w:t xml:space="preserve">  6, Youth</w:t>
            </w:r>
            <w:r w:rsidR="007F067D">
              <w:rPr>
                <w:rFonts w:eastAsia="Calibri"/>
                <w:color w:val="000000"/>
                <w:sz w:val="18"/>
                <w:szCs w:val="18"/>
              </w:rPr>
              <w:t xml:space="preserve">: </w:t>
            </w:r>
            <w:r w:rsidRPr="00742553">
              <w:rPr>
                <w:rFonts w:eastAsia="Calibri"/>
                <w:color w:val="000000"/>
                <w:sz w:val="18"/>
                <w:szCs w:val="18"/>
              </w:rPr>
              <w:t>6 (2027)</w:t>
            </w:r>
          </w:p>
          <w:p w14:paraId="02125F1F" w14:textId="77777777" w:rsidR="00F6481F" w:rsidRPr="00742553" w:rsidRDefault="00F6481F" w:rsidP="00C64533">
            <w:pPr>
              <w:rPr>
                <w:rFonts w:eastAsia="Calibri"/>
                <w:color w:val="000000"/>
                <w:sz w:val="18"/>
                <w:szCs w:val="18"/>
              </w:rPr>
            </w:pPr>
            <w:r w:rsidRPr="00742553">
              <w:rPr>
                <w:rFonts w:eastAsia="Calibri"/>
                <w:b/>
                <w:bCs/>
                <w:color w:val="000000"/>
                <w:sz w:val="18"/>
                <w:szCs w:val="18"/>
              </w:rPr>
              <w:t>Data Sources:</w:t>
            </w:r>
            <w:r w:rsidRPr="00742553">
              <w:rPr>
                <w:rFonts w:eastAsia="Calibri"/>
                <w:color w:val="000000"/>
                <w:sz w:val="18"/>
                <w:szCs w:val="18"/>
              </w:rPr>
              <w:t xml:space="preserve"> NPC Reports </w:t>
            </w:r>
          </w:p>
          <w:p w14:paraId="1FE1C363" w14:textId="42CED209" w:rsidR="00F6481F" w:rsidRPr="00742553" w:rsidRDefault="00F6481F" w:rsidP="00722B3F">
            <w:pPr>
              <w:rPr>
                <w:sz w:val="18"/>
                <w:szCs w:val="18"/>
              </w:rPr>
            </w:pPr>
            <w:r w:rsidRPr="00742553">
              <w:rPr>
                <w:rFonts w:eastAsia="Calibri"/>
                <w:b/>
                <w:bCs/>
                <w:color w:val="000000"/>
                <w:sz w:val="18"/>
                <w:szCs w:val="18"/>
              </w:rPr>
              <w:t>Frequency:</w:t>
            </w:r>
            <w:r w:rsidRPr="00742553">
              <w:rPr>
                <w:rFonts w:eastAsia="Calibri"/>
                <w:color w:val="000000"/>
                <w:sz w:val="18"/>
                <w:szCs w:val="18"/>
              </w:rPr>
              <w:t xml:space="preserve"> Annual </w:t>
            </w:r>
          </w:p>
        </w:tc>
        <w:tc>
          <w:tcPr>
            <w:tcW w:w="2087" w:type="dxa"/>
          </w:tcPr>
          <w:p w14:paraId="3311635D" w14:textId="24DABE76" w:rsidR="00F6481F" w:rsidRPr="00742553" w:rsidRDefault="00F6481F" w:rsidP="004649C3">
            <w:pPr>
              <w:rPr>
                <w:rFonts w:eastAsia="Calibri"/>
                <w:sz w:val="18"/>
                <w:szCs w:val="18"/>
              </w:rPr>
            </w:pPr>
            <w:r w:rsidRPr="00742553">
              <w:rPr>
                <w:sz w:val="18"/>
                <w:szCs w:val="18"/>
              </w:rPr>
              <w:lastRenderedPageBreak/>
              <w:t>National Peace Council (NPC), National Commission on Small Arms and Light Weapons, CSOs,  National Security Fusion Center,</w:t>
            </w:r>
            <w:r w:rsidR="00C4704E">
              <w:rPr>
                <w:sz w:val="18"/>
                <w:szCs w:val="18"/>
              </w:rPr>
              <w:t xml:space="preserve"> International Organization for Migration</w:t>
            </w:r>
            <w:r w:rsidRPr="00742553">
              <w:rPr>
                <w:sz w:val="18"/>
                <w:szCs w:val="18"/>
              </w:rPr>
              <w:t xml:space="preserve"> </w:t>
            </w:r>
            <w:r w:rsidR="00C4704E">
              <w:rPr>
                <w:sz w:val="18"/>
                <w:szCs w:val="18"/>
              </w:rPr>
              <w:t>(</w:t>
            </w:r>
            <w:r w:rsidRPr="00742553">
              <w:rPr>
                <w:sz w:val="18"/>
                <w:szCs w:val="18"/>
              </w:rPr>
              <w:t>IOM</w:t>
            </w:r>
            <w:r w:rsidR="00CF75E6">
              <w:rPr>
                <w:sz w:val="18"/>
                <w:szCs w:val="18"/>
              </w:rPr>
              <w:t>)</w:t>
            </w:r>
            <w:r w:rsidRPr="00742553">
              <w:rPr>
                <w:sz w:val="18"/>
                <w:szCs w:val="18"/>
              </w:rPr>
              <w:t xml:space="preserve">, UNFPA, </w:t>
            </w:r>
            <w:r w:rsidR="00CF75E6">
              <w:rPr>
                <w:sz w:val="18"/>
                <w:szCs w:val="18"/>
              </w:rPr>
              <w:t>United Nations Office on Drugs and Crime (</w:t>
            </w:r>
            <w:r w:rsidRPr="00742553">
              <w:rPr>
                <w:sz w:val="18"/>
                <w:szCs w:val="18"/>
              </w:rPr>
              <w:t>UNODC</w:t>
            </w:r>
            <w:r w:rsidR="00CF75E6">
              <w:rPr>
                <w:sz w:val="18"/>
                <w:szCs w:val="18"/>
              </w:rPr>
              <w:t>)</w:t>
            </w:r>
            <w:r w:rsidRPr="00742553">
              <w:rPr>
                <w:sz w:val="18"/>
                <w:szCs w:val="18"/>
              </w:rPr>
              <w:t xml:space="preserve">, UNICEF, </w:t>
            </w:r>
          </w:p>
          <w:p w14:paraId="3D1DBBAE" w14:textId="6D916637" w:rsidR="00F6481F" w:rsidRPr="00742553" w:rsidRDefault="00CF75E6" w:rsidP="004649C3">
            <w:pPr>
              <w:rPr>
                <w:rFonts w:eastAsia="Calibri"/>
                <w:sz w:val="18"/>
                <w:szCs w:val="18"/>
              </w:rPr>
            </w:pPr>
            <w:r>
              <w:rPr>
                <w:rFonts w:eastAsia="Calibri"/>
                <w:sz w:val="18"/>
                <w:szCs w:val="18"/>
              </w:rPr>
              <w:lastRenderedPageBreak/>
              <w:t>d</w:t>
            </w:r>
            <w:r w:rsidR="00F6481F" w:rsidRPr="00742553">
              <w:rPr>
                <w:rFonts w:eastAsia="Calibri"/>
                <w:sz w:val="18"/>
                <w:szCs w:val="18"/>
              </w:rPr>
              <w:t xml:space="preserve">evelopment </w:t>
            </w:r>
            <w:r>
              <w:rPr>
                <w:rFonts w:eastAsia="Calibri"/>
                <w:sz w:val="18"/>
                <w:szCs w:val="18"/>
              </w:rPr>
              <w:t>p</w:t>
            </w:r>
            <w:r w:rsidR="00F6481F" w:rsidRPr="00742553">
              <w:rPr>
                <w:rFonts w:eastAsia="Calibri"/>
                <w:sz w:val="18"/>
                <w:szCs w:val="18"/>
              </w:rPr>
              <w:t xml:space="preserve">artners, </w:t>
            </w:r>
            <w:r>
              <w:rPr>
                <w:rFonts w:eastAsia="Calibri"/>
                <w:sz w:val="18"/>
                <w:szCs w:val="18"/>
              </w:rPr>
              <w:t xml:space="preserve">and </w:t>
            </w:r>
            <w:r w:rsidR="00F6481F" w:rsidRPr="00742553">
              <w:rPr>
                <w:rFonts w:eastAsia="Calibri"/>
                <w:sz w:val="18"/>
                <w:szCs w:val="18"/>
              </w:rPr>
              <w:t xml:space="preserve">Netherlands Embassy in Ghana </w:t>
            </w:r>
          </w:p>
          <w:p w14:paraId="30725158" w14:textId="11D6791D" w:rsidR="00F6481F" w:rsidRPr="00742553" w:rsidRDefault="00F6481F" w:rsidP="00C64533">
            <w:pPr>
              <w:rPr>
                <w:sz w:val="18"/>
                <w:szCs w:val="18"/>
              </w:rPr>
            </w:pPr>
          </w:p>
        </w:tc>
        <w:tc>
          <w:tcPr>
            <w:tcW w:w="1709" w:type="dxa"/>
          </w:tcPr>
          <w:p w14:paraId="2CA76AF8" w14:textId="6591CA9F" w:rsidR="00F6481F" w:rsidRPr="00742553" w:rsidRDefault="00F6481F" w:rsidP="00C64533">
            <w:pPr>
              <w:rPr>
                <w:sz w:val="18"/>
                <w:szCs w:val="18"/>
              </w:rPr>
            </w:pPr>
            <w:r w:rsidRPr="00742553">
              <w:rPr>
                <w:b/>
                <w:bCs/>
                <w:color w:val="000000"/>
                <w:sz w:val="18"/>
                <w:szCs w:val="18"/>
              </w:rPr>
              <w:lastRenderedPageBreak/>
              <w:t xml:space="preserve">Regular: </w:t>
            </w:r>
            <w:r w:rsidR="00393EB3">
              <w:rPr>
                <w:b/>
                <w:bCs/>
                <w:color w:val="000000"/>
                <w:sz w:val="18"/>
                <w:szCs w:val="18"/>
              </w:rPr>
              <w:t>404</w:t>
            </w:r>
            <w:r w:rsidRPr="00742553">
              <w:rPr>
                <w:b/>
                <w:bCs/>
                <w:color w:val="000000"/>
                <w:sz w:val="18"/>
                <w:szCs w:val="18"/>
              </w:rPr>
              <w:t>,000</w:t>
            </w:r>
            <w:r w:rsidRPr="00742553">
              <w:rPr>
                <w:color w:val="000000"/>
                <w:sz w:val="18"/>
                <w:szCs w:val="18"/>
              </w:rPr>
              <w:t xml:space="preserve"> </w:t>
            </w:r>
          </w:p>
          <w:p w14:paraId="2DBF894E" w14:textId="77777777" w:rsidR="00F6481F" w:rsidRPr="00742553" w:rsidRDefault="00F6481F" w:rsidP="00C64533">
            <w:pPr>
              <w:rPr>
                <w:sz w:val="18"/>
                <w:szCs w:val="18"/>
              </w:rPr>
            </w:pPr>
            <w:r w:rsidRPr="00742553">
              <w:rPr>
                <w:b/>
                <w:bCs/>
                <w:color w:val="000000"/>
                <w:sz w:val="18"/>
                <w:szCs w:val="18"/>
              </w:rPr>
              <w:t>Others: 4,000,000</w:t>
            </w:r>
            <w:r w:rsidRPr="00742553">
              <w:rPr>
                <w:color w:val="000000"/>
                <w:sz w:val="18"/>
                <w:szCs w:val="18"/>
              </w:rPr>
              <w:t xml:space="preserve"> </w:t>
            </w:r>
          </w:p>
        </w:tc>
      </w:tr>
      <w:tr w:rsidR="00F6481F" w:rsidRPr="008079CD" w14:paraId="2A5B3EF5" w14:textId="77777777" w:rsidTr="00BC4D71">
        <w:tc>
          <w:tcPr>
            <w:tcW w:w="2529" w:type="dxa"/>
            <w:vMerge/>
          </w:tcPr>
          <w:p w14:paraId="21C7C59C" w14:textId="77777777" w:rsidR="00F6481F" w:rsidRPr="00742553" w:rsidRDefault="00F6481F" w:rsidP="0017218A">
            <w:pPr>
              <w:rPr>
                <w:sz w:val="18"/>
                <w:szCs w:val="18"/>
              </w:rPr>
            </w:pPr>
          </w:p>
        </w:tc>
        <w:tc>
          <w:tcPr>
            <w:tcW w:w="2634" w:type="dxa"/>
            <w:vMerge/>
          </w:tcPr>
          <w:p w14:paraId="253C508E" w14:textId="23A51A0C" w:rsidR="00F6481F" w:rsidRPr="00742553" w:rsidRDefault="00F6481F" w:rsidP="0017218A">
            <w:pPr>
              <w:rPr>
                <w:sz w:val="18"/>
                <w:szCs w:val="18"/>
              </w:rPr>
            </w:pPr>
          </w:p>
        </w:tc>
        <w:tc>
          <w:tcPr>
            <w:tcW w:w="4085" w:type="dxa"/>
            <w:vAlign w:val="center"/>
          </w:tcPr>
          <w:p w14:paraId="15EB0CB7" w14:textId="7E0B2FB5" w:rsidR="00F6481F" w:rsidRPr="00742553" w:rsidRDefault="00F6481F" w:rsidP="00C64533">
            <w:pPr>
              <w:rPr>
                <w:sz w:val="18"/>
                <w:szCs w:val="18"/>
              </w:rPr>
            </w:pPr>
            <w:r w:rsidRPr="00742553">
              <w:rPr>
                <w:rFonts w:eastAsia="Calibri"/>
                <w:b/>
                <w:bCs/>
                <w:sz w:val="18"/>
                <w:szCs w:val="18"/>
              </w:rPr>
              <w:t>Output 2.3</w:t>
            </w:r>
            <w:r w:rsidR="00CF75E6">
              <w:rPr>
                <w:rFonts w:eastAsia="Calibri"/>
                <w:b/>
                <w:bCs/>
                <w:sz w:val="18"/>
                <w:szCs w:val="18"/>
              </w:rPr>
              <w:t>.</w:t>
            </w:r>
            <w:r w:rsidRPr="00742553">
              <w:rPr>
                <w:rFonts w:eastAsia="Calibri"/>
                <w:b/>
                <w:bCs/>
                <w:sz w:val="18"/>
                <w:szCs w:val="18"/>
              </w:rPr>
              <w:t>:</w:t>
            </w:r>
            <w:r w:rsidRPr="00742553">
              <w:rPr>
                <w:rFonts w:eastAsia="Calibri"/>
                <w:sz w:val="18"/>
                <w:szCs w:val="18"/>
              </w:rPr>
              <w:t xml:space="preserve"> Local governance systems strengthened for increased socioeconomic opportunity, inclusive and gender sensitive basic service delivery, transparency and accountability.</w:t>
            </w:r>
          </w:p>
          <w:p w14:paraId="755373A3" w14:textId="77777777" w:rsidR="00F6481F" w:rsidRPr="00742553" w:rsidRDefault="00F6481F" w:rsidP="00C64533">
            <w:pPr>
              <w:rPr>
                <w:rFonts w:eastAsia="Calibri"/>
                <w:b/>
                <w:bCs/>
                <w:sz w:val="18"/>
                <w:szCs w:val="18"/>
              </w:rPr>
            </w:pPr>
          </w:p>
          <w:p w14:paraId="1D882609" w14:textId="02033EC9" w:rsidR="00F6481F" w:rsidRPr="00742553" w:rsidRDefault="00F6481F" w:rsidP="00C64533">
            <w:pPr>
              <w:rPr>
                <w:rFonts w:eastAsia="Calibri"/>
                <w:sz w:val="18"/>
                <w:szCs w:val="18"/>
              </w:rPr>
            </w:pPr>
            <w:r w:rsidRPr="00742553">
              <w:rPr>
                <w:rFonts w:eastAsia="Calibri"/>
                <w:b/>
                <w:bCs/>
                <w:sz w:val="18"/>
                <w:szCs w:val="18"/>
              </w:rPr>
              <w:t>Indicators 2.3.1</w:t>
            </w:r>
            <w:r w:rsidR="00CF75E6">
              <w:rPr>
                <w:rFonts w:eastAsia="Calibri"/>
                <w:b/>
                <w:bCs/>
                <w:sz w:val="18"/>
                <w:szCs w:val="18"/>
              </w:rPr>
              <w:t>.</w:t>
            </w:r>
            <w:r w:rsidRPr="00742553">
              <w:rPr>
                <w:rFonts w:eastAsia="Calibri"/>
                <w:b/>
                <w:bCs/>
                <w:sz w:val="18"/>
                <w:szCs w:val="18"/>
              </w:rPr>
              <w:t>:</w:t>
            </w:r>
            <w:r w:rsidRPr="00742553">
              <w:rPr>
                <w:rFonts w:eastAsia="Calibri"/>
                <w:sz w:val="18"/>
                <w:szCs w:val="18"/>
              </w:rPr>
              <w:t xml:space="preserve"> Number of new measures implemented to enhance the agility and responsiveness of local governance institutions for improved service delivery and accountability.</w:t>
            </w:r>
          </w:p>
          <w:p w14:paraId="128128C1" w14:textId="1B2418C2" w:rsidR="00F6481F" w:rsidRPr="00742553" w:rsidRDefault="00F6481F" w:rsidP="00C64533">
            <w:pPr>
              <w:rPr>
                <w:sz w:val="18"/>
                <w:szCs w:val="18"/>
              </w:rPr>
            </w:pPr>
            <w:r w:rsidRPr="00742553">
              <w:rPr>
                <w:b/>
                <w:bCs/>
                <w:sz w:val="18"/>
                <w:szCs w:val="18"/>
              </w:rPr>
              <w:t>Baseline</w:t>
            </w:r>
            <w:r w:rsidRPr="00742553">
              <w:rPr>
                <w:sz w:val="18"/>
                <w:szCs w:val="18"/>
              </w:rPr>
              <w:t xml:space="preserve">: 0 </w:t>
            </w:r>
            <w:r w:rsidR="001A24AE" w:rsidRPr="00742553">
              <w:rPr>
                <w:sz w:val="18"/>
                <w:szCs w:val="18"/>
              </w:rPr>
              <w:t>(2021)</w:t>
            </w:r>
          </w:p>
          <w:p w14:paraId="00051CA7" w14:textId="75366814" w:rsidR="00F6481F" w:rsidRPr="00742553" w:rsidRDefault="00F6481F" w:rsidP="00C64533">
            <w:pPr>
              <w:rPr>
                <w:sz w:val="18"/>
                <w:szCs w:val="18"/>
              </w:rPr>
            </w:pPr>
            <w:r w:rsidRPr="00742553">
              <w:rPr>
                <w:rFonts w:eastAsia="Calibri"/>
                <w:b/>
                <w:bCs/>
                <w:sz w:val="18"/>
                <w:szCs w:val="18"/>
              </w:rPr>
              <w:t>Target</w:t>
            </w:r>
            <w:r w:rsidRPr="00742553">
              <w:rPr>
                <w:rFonts w:eastAsia="Calibri"/>
                <w:sz w:val="18"/>
                <w:szCs w:val="18"/>
              </w:rPr>
              <w:t>: 20</w:t>
            </w:r>
            <w:r w:rsidR="001A24AE" w:rsidRPr="00742553">
              <w:rPr>
                <w:rFonts w:eastAsia="Calibri"/>
                <w:sz w:val="18"/>
                <w:szCs w:val="18"/>
              </w:rPr>
              <w:t xml:space="preserve"> (2027)</w:t>
            </w:r>
          </w:p>
          <w:p w14:paraId="5F28F068" w14:textId="380E964E" w:rsidR="00F6481F" w:rsidRPr="00742553" w:rsidRDefault="004E13C8" w:rsidP="00C64533">
            <w:pPr>
              <w:rPr>
                <w:rFonts w:eastAsia="Calibri"/>
                <w:sz w:val="18"/>
                <w:szCs w:val="18"/>
              </w:rPr>
            </w:pPr>
            <w:r w:rsidRPr="00742553">
              <w:rPr>
                <w:rFonts w:eastAsia="Calibri"/>
                <w:b/>
                <w:bCs/>
                <w:sz w:val="18"/>
                <w:szCs w:val="18"/>
              </w:rPr>
              <w:t xml:space="preserve">Data </w:t>
            </w:r>
            <w:r w:rsidR="00F6481F" w:rsidRPr="00742553">
              <w:rPr>
                <w:rFonts w:eastAsia="Calibri"/>
                <w:b/>
                <w:bCs/>
                <w:sz w:val="18"/>
                <w:szCs w:val="18"/>
              </w:rPr>
              <w:t>Source:</w:t>
            </w:r>
            <w:r w:rsidR="00F6481F" w:rsidRPr="00742553">
              <w:rPr>
                <w:rFonts w:eastAsia="Calibri"/>
                <w:sz w:val="18"/>
                <w:szCs w:val="18"/>
              </w:rPr>
              <w:t xml:space="preserve"> Local Government Service Reports</w:t>
            </w:r>
          </w:p>
          <w:p w14:paraId="409BB966" w14:textId="77777777" w:rsidR="00F6481F" w:rsidRPr="00742553" w:rsidRDefault="00F6481F" w:rsidP="00C64533">
            <w:pPr>
              <w:rPr>
                <w:rFonts w:eastAsia="Calibri"/>
                <w:sz w:val="18"/>
                <w:szCs w:val="18"/>
              </w:rPr>
            </w:pPr>
            <w:r w:rsidRPr="00742553">
              <w:rPr>
                <w:rFonts w:eastAsia="Calibri"/>
                <w:b/>
                <w:bCs/>
                <w:sz w:val="18"/>
                <w:szCs w:val="18"/>
              </w:rPr>
              <w:t>Frequency:</w:t>
            </w:r>
            <w:r w:rsidRPr="00742553">
              <w:rPr>
                <w:rFonts w:eastAsia="Calibri"/>
                <w:sz w:val="18"/>
                <w:szCs w:val="18"/>
              </w:rPr>
              <w:t xml:space="preserve"> Annual</w:t>
            </w:r>
          </w:p>
          <w:p w14:paraId="5830562D" w14:textId="77777777" w:rsidR="00F6481F" w:rsidRPr="00742553" w:rsidRDefault="00F6481F" w:rsidP="00C64533">
            <w:pPr>
              <w:rPr>
                <w:rFonts w:eastAsia="Calibri"/>
                <w:b/>
                <w:bCs/>
                <w:sz w:val="18"/>
                <w:szCs w:val="18"/>
              </w:rPr>
            </w:pPr>
          </w:p>
          <w:p w14:paraId="5166DD3B" w14:textId="78FF5E39" w:rsidR="00F6481F" w:rsidRPr="00742553" w:rsidRDefault="00F6481F" w:rsidP="00C64533">
            <w:pPr>
              <w:rPr>
                <w:rFonts w:eastAsia="Calibri"/>
                <w:sz w:val="18"/>
                <w:szCs w:val="18"/>
              </w:rPr>
            </w:pPr>
            <w:r w:rsidRPr="00742553">
              <w:rPr>
                <w:rFonts w:eastAsia="Calibri"/>
                <w:b/>
                <w:bCs/>
                <w:sz w:val="18"/>
                <w:szCs w:val="18"/>
              </w:rPr>
              <w:t>Indicator</w:t>
            </w:r>
            <w:r w:rsidRPr="00742553">
              <w:rPr>
                <w:rFonts w:eastAsia="Calibri"/>
                <w:sz w:val="18"/>
                <w:szCs w:val="18"/>
              </w:rPr>
              <w:t xml:space="preserve"> </w:t>
            </w:r>
            <w:r w:rsidRPr="00742553">
              <w:rPr>
                <w:rFonts w:eastAsia="Calibri"/>
                <w:b/>
                <w:bCs/>
                <w:sz w:val="18"/>
                <w:szCs w:val="18"/>
              </w:rPr>
              <w:t>2.3.2</w:t>
            </w:r>
            <w:r w:rsidR="00CF75E6">
              <w:rPr>
                <w:rFonts w:eastAsia="Calibri"/>
                <w:b/>
                <w:bCs/>
                <w:sz w:val="18"/>
                <w:szCs w:val="18"/>
              </w:rPr>
              <w:t>.</w:t>
            </w:r>
            <w:r w:rsidRPr="00742553">
              <w:rPr>
                <w:rFonts w:eastAsia="Calibri"/>
                <w:b/>
                <w:bCs/>
                <w:sz w:val="18"/>
                <w:szCs w:val="18"/>
              </w:rPr>
              <w:t>:</w:t>
            </w:r>
            <w:r w:rsidRPr="00742553">
              <w:rPr>
                <w:rFonts w:eastAsia="Calibri"/>
                <w:sz w:val="18"/>
                <w:szCs w:val="18"/>
              </w:rPr>
              <w:t xml:space="preserve"> Number of women and youth focused CSOs with enhanced capacity to participate in governance processes at the local level.  </w:t>
            </w:r>
          </w:p>
          <w:p w14:paraId="7241F4F3" w14:textId="178A033B" w:rsidR="00F6481F" w:rsidRPr="00742553" w:rsidRDefault="00F6481F" w:rsidP="00C64533">
            <w:pPr>
              <w:rPr>
                <w:sz w:val="18"/>
                <w:szCs w:val="18"/>
              </w:rPr>
            </w:pPr>
            <w:r w:rsidRPr="00742553">
              <w:rPr>
                <w:rFonts w:eastAsia="Calibri"/>
                <w:b/>
                <w:bCs/>
                <w:sz w:val="18"/>
                <w:szCs w:val="18"/>
              </w:rPr>
              <w:t>Baseline (2021):</w:t>
            </w:r>
            <w:r w:rsidRPr="00742553">
              <w:rPr>
                <w:rFonts w:eastAsia="Calibri"/>
                <w:sz w:val="18"/>
                <w:szCs w:val="18"/>
              </w:rPr>
              <w:t xml:space="preserve">  1 CSO (Y), 2 CSOs (W)</w:t>
            </w:r>
          </w:p>
          <w:p w14:paraId="675F0A48" w14:textId="32325D11" w:rsidR="00F6481F" w:rsidRPr="00742553" w:rsidRDefault="00F6481F" w:rsidP="00C64533">
            <w:pPr>
              <w:rPr>
                <w:sz w:val="18"/>
                <w:szCs w:val="18"/>
              </w:rPr>
            </w:pPr>
            <w:r w:rsidRPr="00742553">
              <w:rPr>
                <w:rFonts w:eastAsia="Calibri"/>
                <w:b/>
                <w:bCs/>
                <w:sz w:val="18"/>
                <w:szCs w:val="18"/>
              </w:rPr>
              <w:t>Target (2027):</w:t>
            </w:r>
            <w:r w:rsidRPr="00742553">
              <w:rPr>
                <w:rFonts w:eastAsia="Calibri"/>
                <w:sz w:val="18"/>
                <w:szCs w:val="18"/>
              </w:rPr>
              <w:t xml:space="preserve"> 6 CSO (Y), 4 CSOs (W)</w:t>
            </w:r>
          </w:p>
          <w:p w14:paraId="441A5DAC" w14:textId="6EAB8246" w:rsidR="00F6481F" w:rsidRPr="00742553" w:rsidRDefault="004E13C8" w:rsidP="00C64533">
            <w:pPr>
              <w:rPr>
                <w:rFonts w:eastAsia="Calibri"/>
                <w:sz w:val="18"/>
                <w:szCs w:val="18"/>
              </w:rPr>
            </w:pPr>
            <w:r w:rsidRPr="00742553">
              <w:rPr>
                <w:rFonts w:eastAsia="Calibri"/>
                <w:b/>
                <w:bCs/>
                <w:sz w:val="18"/>
                <w:szCs w:val="18"/>
              </w:rPr>
              <w:t xml:space="preserve">Data </w:t>
            </w:r>
            <w:r w:rsidR="00F6481F" w:rsidRPr="00742553">
              <w:rPr>
                <w:rFonts w:eastAsia="Calibri"/>
                <w:b/>
                <w:bCs/>
                <w:sz w:val="18"/>
                <w:szCs w:val="18"/>
              </w:rPr>
              <w:t>Source:</w:t>
            </w:r>
            <w:r w:rsidR="00F6481F" w:rsidRPr="00742553">
              <w:rPr>
                <w:rFonts w:eastAsia="Calibri"/>
                <w:sz w:val="18"/>
                <w:szCs w:val="18"/>
              </w:rPr>
              <w:t xml:space="preserve"> </w:t>
            </w:r>
            <w:r w:rsidR="004A455D" w:rsidRPr="00742553">
              <w:rPr>
                <w:sz w:val="18"/>
                <w:szCs w:val="18"/>
              </w:rPr>
              <w:t xml:space="preserve">GSS </w:t>
            </w:r>
            <w:r w:rsidR="00F6481F" w:rsidRPr="00742553">
              <w:rPr>
                <w:rFonts w:eastAsia="Calibri"/>
                <w:sz w:val="18"/>
                <w:szCs w:val="18"/>
              </w:rPr>
              <w:t>Reports</w:t>
            </w:r>
          </w:p>
          <w:p w14:paraId="074E7A8B" w14:textId="77FFA3E3" w:rsidR="00F6481F" w:rsidRPr="00742553" w:rsidRDefault="00F6481F" w:rsidP="004E13C8">
            <w:pPr>
              <w:rPr>
                <w:sz w:val="18"/>
                <w:szCs w:val="18"/>
              </w:rPr>
            </w:pPr>
            <w:r w:rsidRPr="00742553">
              <w:rPr>
                <w:rFonts w:eastAsia="Calibri"/>
                <w:b/>
                <w:bCs/>
                <w:sz w:val="18"/>
                <w:szCs w:val="18"/>
              </w:rPr>
              <w:t>Frequency:</w:t>
            </w:r>
            <w:r w:rsidRPr="00742553">
              <w:rPr>
                <w:rFonts w:eastAsia="Calibri"/>
                <w:sz w:val="18"/>
                <w:szCs w:val="18"/>
              </w:rPr>
              <w:t xml:space="preserve"> Annual</w:t>
            </w:r>
            <w:r w:rsidR="00714843" w:rsidRPr="00742553">
              <w:rPr>
                <w:rFonts w:eastAsia="Calibri"/>
                <w:sz w:val="18"/>
                <w:szCs w:val="18"/>
              </w:rPr>
              <w:t xml:space="preserve"> </w:t>
            </w:r>
          </w:p>
        </w:tc>
        <w:tc>
          <w:tcPr>
            <w:tcW w:w="2087" w:type="dxa"/>
          </w:tcPr>
          <w:p w14:paraId="68BFD1A7" w14:textId="7A069CEE" w:rsidR="00F6481F" w:rsidRPr="00742553" w:rsidRDefault="00D3504E" w:rsidP="00C64533">
            <w:pPr>
              <w:rPr>
                <w:sz w:val="18"/>
                <w:szCs w:val="18"/>
              </w:rPr>
            </w:pPr>
            <w:r>
              <w:rPr>
                <w:color w:val="000000"/>
                <w:sz w:val="18"/>
                <w:szCs w:val="18"/>
              </w:rPr>
              <w:t>MoLC</w:t>
            </w:r>
            <w:r w:rsidR="00F6481F" w:rsidRPr="00742553">
              <w:rPr>
                <w:color w:val="000000"/>
                <w:sz w:val="18"/>
                <w:szCs w:val="18"/>
              </w:rPr>
              <w:t xml:space="preserve">, ministerial committee on local government, MMDAs, </w:t>
            </w:r>
            <w:r w:rsidR="00CF75E6">
              <w:rPr>
                <w:color w:val="000000"/>
                <w:sz w:val="18"/>
                <w:szCs w:val="18"/>
              </w:rPr>
              <w:t>l</w:t>
            </w:r>
            <w:r w:rsidR="00F6481F" w:rsidRPr="00742553">
              <w:rPr>
                <w:color w:val="000000"/>
                <w:sz w:val="18"/>
                <w:szCs w:val="18"/>
              </w:rPr>
              <w:t xml:space="preserve">ocal </w:t>
            </w:r>
            <w:r w:rsidR="00CF75E6">
              <w:rPr>
                <w:color w:val="000000"/>
                <w:sz w:val="18"/>
                <w:szCs w:val="18"/>
              </w:rPr>
              <w:t>g</w:t>
            </w:r>
            <w:r w:rsidR="00F6481F" w:rsidRPr="00742553">
              <w:rPr>
                <w:color w:val="000000"/>
                <w:sz w:val="18"/>
                <w:szCs w:val="18"/>
              </w:rPr>
              <w:t xml:space="preserve">overnment </w:t>
            </w:r>
            <w:r w:rsidR="00CF75E6">
              <w:rPr>
                <w:color w:val="000000"/>
                <w:sz w:val="18"/>
                <w:szCs w:val="18"/>
              </w:rPr>
              <w:t>s</w:t>
            </w:r>
            <w:r w:rsidR="00F6481F" w:rsidRPr="00742553">
              <w:rPr>
                <w:color w:val="000000"/>
                <w:sz w:val="18"/>
                <w:szCs w:val="18"/>
              </w:rPr>
              <w:t xml:space="preserve">ervice, </w:t>
            </w:r>
            <w:r w:rsidR="00CF75E6">
              <w:rPr>
                <w:color w:val="000000"/>
                <w:sz w:val="18"/>
                <w:szCs w:val="18"/>
              </w:rPr>
              <w:t>a</w:t>
            </w:r>
            <w:r w:rsidR="00F6481F" w:rsidRPr="00742553">
              <w:rPr>
                <w:color w:val="000000"/>
                <w:sz w:val="18"/>
                <w:szCs w:val="18"/>
              </w:rPr>
              <w:t xml:space="preserve">cademia, </w:t>
            </w:r>
            <w:r w:rsidR="00F6481F" w:rsidRPr="00742553">
              <w:rPr>
                <w:sz w:val="18"/>
                <w:szCs w:val="18"/>
              </w:rPr>
              <w:t xml:space="preserve">CSO’s, private sector, </w:t>
            </w:r>
            <w:r w:rsidR="00CF75E6">
              <w:rPr>
                <w:sz w:val="18"/>
                <w:szCs w:val="18"/>
              </w:rPr>
              <w:t xml:space="preserve">and </w:t>
            </w:r>
            <w:r w:rsidR="00F6481F" w:rsidRPr="00742553">
              <w:rPr>
                <w:sz w:val="18"/>
                <w:szCs w:val="18"/>
              </w:rPr>
              <w:t>UNICEF</w:t>
            </w:r>
          </w:p>
        </w:tc>
        <w:tc>
          <w:tcPr>
            <w:tcW w:w="1709" w:type="dxa"/>
          </w:tcPr>
          <w:p w14:paraId="21DAE57C" w14:textId="25173225" w:rsidR="00F6481F" w:rsidRPr="00742553" w:rsidRDefault="00F6481F" w:rsidP="00C64533">
            <w:pPr>
              <w:rPr>
                <w:sz w:val="18"/>
                <w:szCs w:val="18"/>
              </w:rPr>
            </w:pPr>
            <w:r w:rsidRPr="00742553">
              <w:rPr>
                <w:b/>
                <w:bCs/>
                <w:sz w:val="18"/>
                <w:szCs w:val="18"/>
              </w:rPr>
              <w:t>Regular: 5</w:t>
            </w:r>
            <w:r w:rsidR="00393EB3">
              <w:rPr>
                <w:b/>
                <w:bCs/>
                <w:sz w:val="18"/>
                <w:szCs w:val="18"/>
              </w:rPr>
              <w:t>0</w:t>
            </w:r>
            <w:r w:rsidRPr="00742553">
              <w:rPr>
                <w:b/>
                <w:bCs/>
                <w:sz w:val="18"/>
                <w:szCs w:val="18"/>
              </w:rPr>
              <w:t>0,000</w:t>
            </w:r>
            <w:r w:rsidRPr="00742553">
              <w:rPr>
                <w:sz w:val="18"/>
                <w:szCs w:val="18"/>
              </w:rPr>
              <w:t xml:space="preserve"> </w:t>
            </w:r>
          </w:p>
          <w:p w14:paraId="65A29C83" w14:textId="77777777" w:rsidR="00F6481F" w:rsidRPr="00742553" w:rsidRDefault="00F6481F" w:rsidP="00C64533">
            <w:pPr>
              <w:rPr>
                <w:sz w:val="18"/>
                <w:szCs w:val="18"/>
              </w:rPr>
            </w:pPr>
            <w:r w:rsidRPr="00742553">
              <w:rPr>
                <w:b/>
                <w:bCs/>
                <w:sz w:val="18"/>
                <w:szCs w:val="18"/>
              </w:rPr>
              <w:t>Others: 10,000,000</w:t>
            </w:r>
          </w:p>
        </w:tc>
      </w:tr>
      <w:tr w:rsidR="00F6481F" w:rsidRPr="008079CD" w14:paraId="6248A755" w14:textId="77777777" w:rsidTr="00BC4D71">
        <w:tc>
          <w:tcPr>
            <w:tcW w:w="2529" w:type="dxa"/>
            <w:vMerge/>
          </w:tcPr>
          <w:p w14:paraId="098B1007" w14:textId="6395C38C" w:rsidR="00F6481F" w:rsidRPr="00742553" w:rsidRDefault="00F6481F" w:rsidP="0017218A">
            <w:pPr>
              <w:rPr>
                <w:sz w:val="18"/>
                <w:szCs w:val="18"/>
              </w:rPr>
            </w:pPr>
          </w:p>
        </w:tc>
        <w:tc>
          <w:tcPr>
            <w:tcW w:w="2634" w:type="dxa"/>
            <w:vMerge/>
          </w:tcPr>
          <w:p w14:paraId="5ACF7548" w14:textId="071656FF" w:rsidR="00F6481F" w:rsidRPr="00742553" w:rsidRDefault="00F6481F" w:rsidP="0017218A">
            <w:pPr>
              <w:rPr>
                <w:sz w:val="18"/>
                <w:szCs w:val="18"/>
              </w:rPr>
            </w:pPr>
          </w:p>
        </w:tc>
        <w:tc>
          <w:tcPr>
            <w:tcW w:w="4085" w:type="dxa"/>
          </w:tcPr>
          <w:p w14:paraId="63D33D45" w14:textId="65596878" w:rsidR="00F6481F" w:rsidRPr="00742553" w:rsidRDefault="00F6481F" w:rsidP="009122D4">
            <w:pPr>
              <w:rPr>
                <w:sz w:val="18"/>
                <w:szCs w:val="18"/>
              </w:rPr>
            </w:pPr>
            <w:r w:rsidRPr="00742553">
              <w:rPr>
                <w:rFonts w:eastAsia="Calibri"/>
                <w:b/>
                <w:bCs/>
                <w:sz w:val="18"/>
                <w:szCs w:val="18"/>
              </w:rPr>
              <w:t>Output 2.4</w:t>
            </w:r>
            <w:r w:rsidR="00CF75E6">
              <w:rPr>
                <w:rFonts w:eastAsia="Calibri"/>
                <w:b/>
                <w:bCs/>
                <w:sz w:val="18"/>
                <w:szCs w:val="18"/>
              </w:rPr>
              <w:t>.</w:t>
            </w:r>
            <w:r w:rsidRPr="00742553">
              <w:rPr>
                <w:rFonts w:eastAsia="Calibri"/>
                <w:b/>
                <w:bCs/>
                <w:sz w:val="18"/>
                <w:szCs w:val="18"/>
              </w:rPr>
              <w:t>:</w:t>
            </w:r>
            <w:r w:rsidRPr="00742553">
              <w:rPr>
                <w:rFonts w:eastAsia="Calibri"/>
                <w:sz w:val="18"/>
                <w:szCs w:val="18"/>
              </w:rPr>
              <w:t xml:space="preserve"> Economic governance capabilities, including on natural resource management strengthened, to contribute to social cohesion and delivery of the economic dividends of democratic governance.</w:t>
            </w:r>
          </w:p>
          <w:p w14:paraId="39E27268" w14:textId="0FE9754B" w:rsidR="00F6481F" w:rsidRPr="00742553" w:rsidRDefault="00F6481F" w:rsidP="009122D4">
            <w:pPr>
              <w:rPr>
                <w:sz w:val="18"/>
                <w:szCs w:val="18"/>
              </w:rPr>
            </w:pPr>
          </w:p>
          <w:p w14:paraId="3F4BE0AA" w14:textId="3C5D4F62" w:rsidR="00F6481F" w:rsidRPr="00742553" w:rsidRDefault="00F6481F" w:rsidP="009122D4">
            <w:pPr>
              <w:spacing w:line="259" w:lineRule="auto"/>
              <w:rPr>
                <w:rFonts w:eastAsia="Calibri"/>
                <w:b/>
                <w:bCs/>
                <w:color w:val="000000" w:themeColor="text1"/>
                <w:sz w:val="18"/>
                <w:szCs w:val="18"/>
              </w:rPr>
            </w:pPr>
            <w:r w:rsidRPr="00742553">
              <w:rPr>
                <w:rFonts w:eastAsia="Calibri"/>
                <w:b/>
                <w:bCs/>
                <w:color w:val="000000" w:themeColor="text1"/>
                <w:sz w:val="18"/>
                <w:szCs w:val="18"/>
              </w:rPr>
              <w:t>Indicator 2.4.1</w:t>
            </w:r>
            <w:r w:rsidR="00CF75E6">
              <w:rPr>
                <w:rFonts w:eastAsia="Calibri"/>
                <w:b/>
                <w:bCs/>
                <w:color w:val="000000" w:themeColor="text1"/>
                <w:sz w:val="18"/>
                <w:szCs w:val="18"/>
              </w:rPr>
              <w:t>.</w:t>
            </w:r>
            <w:r w:rsidRPr="00742553">
              <w:rPr>
                <w:rFonts w:eastAsia="Calibri"/>
                <w:b/>
                <w:bCs/>
                <w:color w:val="000000" w:themeColor="text1"/>
                <w:sz w:val="18"/>
                <w:szCs w:val="18"/>
              </w:rPr>
              <w:t xml:space="preserve">: </w:t>
            </w:r>
            <w:r w:rsidRPr="00742553">
              <w:rPr>
                <w:rFonts w:eastAsia="Calibri"/>
                <w:color w:val="000000" w:themeColor="text1"/>
                <w:sz w:val="18"/>
                <w:szCs w:val="18"/>
              </w:rPr>
              <w:t xml:space="preserve">Number of initiatives implemented at national and sub-national level to enhance the </w:t>
            </w:r>
            <w:r w:rsidRPr="00742553">
              <w:rPr>
                <w:rFonts w:eastAsia="Calibri"/>
                <w:color w:val="000000" w:themeColor="text1"/>
                <w:sz w:val="18"/>
                <w:szCs w:val="18"/>
              </w:rPr>
              <w:lastRenderedPageBreak/>
              <w:t xml:space="preserve">enabling environment for economic and natural resource governance. </w:t>
            </w:r>
          </w:p>
          <w:p w14:paraId="6461C091" w14:textId="3AEBD3F0" w:rsidR="00F6481F" w:rsidRPr="00742553" w:rsidRDefault="00F6481F" w:rsidP="009122D4">
            <w:pPr>
              <w:rPr>
                <w:rFonts w:eastAsia="Calibri"/>
                <w:color w:val="000000" w:themeColor="text1"/>
                <w:sz w:val="18"/>
                <w:szCs w:val="18"/>
              </w:rPr>
            </w:pPr>
            <w:r w:rsidRPr="00742553">
              <w:rPr>
                <w:rFonts w:eastAsia="Calibri"/>
                <w:b/>
                <w:bCs/>
                <w:color w:val="000000" w:themeColor="text1"/>
                <w:sz w:val="18"/>
                <w:szCs w:val="18"/>
              </w:rPr>
              <w:t>Baseline:</w:t>
            </w:r>
            <w:r w:rsidRPr="00742553">
              <w:rPr>
                <w:rFonts w:eastAsia="Calibri"/>
                <w:color w:val="000000" w:themeColor="text1"/>
                <w:sz w:val="18"/>
                <w:szCs w:val="18"/>
              </w:rPr>
              <w:t xml:space="preserve"> </w:t>
            </w:r>
          </w:p>
          <w:p w14:paraId="7E88AF6F" w14:textId="042E7D6D" w:rsidR="00F6481F" w:rsidRPr="00742553" w:rsidRDefault="00F6481F" w:rsidP="009122D4">
            <w:pPr>
              <w:rPr>
                <w:rFonts w:eastAsia="Calibri"/>
                <w:color w:val="000000" w:themeColor="text1"/>
                <w:sz w:val="18"/>
                <w:szCs w:val="18"/>
              </w:rPr>
            </w:pPr>
            <w:r w:rsidRPr="00742553">
              <w:rPr>
                <w:rFonts w:eastAsia="Calibri"/>
                <w:color w:val="000000" w:themeColor="text1"/>
                <w:sz w:val="18"/>
                <w:szCs w:val="18"/>
              </w:rPr>
              <w:t>National</w:t>
            </w:r>
            <w:r w:rsidR="006945EC" w:rsidRPr="00742553">
              <w:rPr>
                <w:rFonts w:eastAsia="Calibri"/>
                <w:color w:val="000000" w:themeColor="text1"/>
                <w:sz w:val="18"/>
                <w:szCs w:val="18"/>
              </w:rPr>
              <w:t>:</w:t>
            </w:r>
            <w:r w:rsidRPr="00742553">
              <w:rPr>
                <w:rFonts w:eastAsia="Calibri"/>
                <w:color w:val="000000" w:themeColor="text1"/>
                <w:sz w:val="18"/>
                <w:szCs w:val="18"/>
              </w:rPr>
              <w:t xml:space="preserve"> 0</w:t>
            </w:r>
            <w:r w:rsidR="001A24AE" w:rsidRPr="00742553">
              <w:rPr>
                <w:rFonts w:eastAsia="Calibri"/>
                <w:color w:val="000000" w:themeColor="text1"/>
                <w:sz w:val="18"/>
                <w:szCs w:val="18"/>
              </w:rPr>
              <w:t xml:space="preserve"> </w:t>
            </w:r>
            <w:r w:rsidRPr="00742553">
              <w:rPr>
                <w:rFonts w:eastAsia="Calibri"/>
                <w:color w:val="000000" w:themeColor="text1"/>
                <w:sz w:val="18"/>
                <w:szCs w:val="18"/>
              </w:rPr>
              <w:t>(2021)</w:t>
            </w:r>
          </w:p>
          <w:p w14:paraId="593AC4DA" w14:textId="068E6CE8" w:rsidR="00F6481F" w:rsidRPr="00742553" w:rsidRDefault="00F6481F" w:rsidP="009122D4">
            <w:pPr>
              <w:rPr>
                <w:rFonts w:eastAsia="Calibri"/>
                <w:color w:val="000000" w:themeColor="text1"/>
                <w:sz w:val="18"/>
                <w:szCs w:val="18"/>
              </w:rPr>
            </w:pPr>
            <w:r w:rsidRPr="00742553">
              <w:rPr>
                <w:rFonts w:eastAsia="Calibri"/>
                <w:color w:val="000000" w:themeColor="text1"/>
                <w:sz w:val="18"/>
                <w:szCs w:val="18"/>
              </w:rPr>
              <w:t>Sub-national</w:t>
            </w:r>
            <w:r w:rsidR="006945EC" w:rsidRPr="00742553">
              <w:rPr>
                <w:rFonts w:eastAsia="Calibri"/>
                <w:color w:val="000000" w:themeColor="text1"/>
                <w:sz w:val="18"/>
                <w:szCs w:val="18"/>
              </w:rPr>
              <w:t>:</w:t>
            </w:r>
            <w:r w:rsidRPr="00742553">
              <w:rPr>
                <w:rFonts w:eastAsia="Calibri"/>
                <w:color w:val="000000" w:themeColor="text1"/>
                <w:sz w:val="18"/>
                <w:szCs w:val="18"/>
              </w:rPr>
              <w:t xml:space="preserve"> 0</w:t>
            </w:r>
            <w:r w:rsidR="001A24AE" w:rsidRPr="00742553">
              <w:rPr>
                <w:rFonts w:eastAsia="Calibri"/>
                <w:color w:val="000000" w:themeColor="text1"/>
                <w:sz w:val="18"/>
                <w:szCs w:val="18"/>
              </w:rPr>
              <w:t xml:space="preserve"> </w:t>
            </w:r>
            <w:r w:rsidRPr="00742553">
              <w:rPr>
                <w:rFonts w:eastAsia="Calibri"/>
                <w:color w:val="000000" w:themeColor="text1"/>
                <w:sz w:val="18"/>
                <w:szCs w:val="18"/>
              </w:rPr>
              <w:t>(2021)</w:t>
            </w:r>
          </w:p>
          <w:p w14:paraId="64EF4BB3" w14:textId="77777777" w:rsidR="00F6481F" w:rsidRPr="00742553" w:rsidRDefault="00F6481F" w:rsidP="009122D4">
            <w:pPr>
              <w:rPr>
                <w:rFonts w:eastAsia="Calibri"/>
                <w:color w:val="000000" w:themeColor="text1"/>
                <w:sz w:val="18"/>
                <w:szCs w:val="18"/>
              </w:rPr>
            </w:pPr>
            <w:r w:rsidRPr="00742553">
              <w:rPr>
                <w:rFonts w:eastAsia="Calibri"/>
                <w:b/>
                <w:bCs/>
                <w:color w:val="000000" w:themeColor="text1"/>
                <w:sz w:val="18"/>
                <w:szCs w:val="18"/>
              </w:rPr>
              <w:t xml:space="preserve">Target: </w:t>
            </w:r>
            <w:r w:rsidRPr="00742553">
              <w:rPr>
                <w:rFonts w:eastAsia="Calibri"/>
                <w:color w:val="000000" w:themeColor="text1"/>
                <w:sz w:val="18"/>
                <w:szCs w:val="18"/>
              </w:rPr>
              <w:t xml:space="preserve"> </w:t>
            </w:r>
          </w:p>
          <w:p w14:paraId="5CBF26C4" w14:textId="794CAD75" w:rsidR="00F6481F" w:rsidRPr="00742553" w:rsidRDefault="00F6481F" w:rsidP="009122D4">
            <w:pPr>
              <w:rPr>
                <w:rFonts w:eastAsia="Calibri"/>
                <w:color w:val="000000" w:themeColor="text1"/>
                <w:sz w:val="18"/>
                <w:szCs w:val="18"/>
              </w:rPr>
            </w:pPr>
            <w:r w:rsidRPr="00742553">
              <w:rPr>
                <w:rFonts w:eastAsia="Calibri"/>
                <w:color w:val="000000" w:themeColor="text1"/>
                <w:sz w:val="18"/>
                <w:szCs w:val="18"/>
              </w:rPr>
              <w:t>National</w:t>
            </w:r>
            <w:r w:rsidR="00B753D3" w:rsidRPr="00742553">
              <w:rPr>
                <w:rFonts w:eastAsia="Calibri"/>
                <w:color w:val="000000" w:themeColor="text1"/>
                <w:sz w:val="18"/>
                <w:szCs w:val="18"/>
              </w:rPr>
              <w:t>:</w:t>
            </w:r>
            <w:r w:rsidRPr="00742553">
              <w:rPr>
                <w:rFonts w:eastAsia="Calibri"/>
                <w:color w:val="000000" w:themeColor="text1"/>
                <w:sz w:val="18"/>
                <w:szCs w:val="18"/>
              </w:rPr>
              <w:t xml:space="preserve"> 2</w:t>
            </w:r>
            <w:r w:rsidR="00B753D3" w:rsidRPr="00742553">
              <w:rPr>
                <w:rFonts w:eastAsia="Calibri"/>
                <w:color w:val="000000" w:themeColor="text1"/>
                <w:sz w:val="18"/>
                <w:szCs w:val="18"/>
              </w:rPr>
              <w:t xml:space="preserve"> </w:t>
            </w:r>
            <w:r w:rsidRPr="00742553">
              <w:rPr>
                <w:rFonts w:eastAsia="Calibri"/>
                <w:color w:val="000000" w:themeColor="text1"/>
                <w:sz w:val="18"/>
                <w:szCs w:val="18"/>
              </w:rPr>
              <w:t xml:space="preserve">(2027) </w:t>
            </w:r>
          </w:p>
          <w:p w14:paraId="39CEE381" w14:textId="606CE110" w:rsidR="00F6481F" w:rsidRPr="00742553" w:rsidRDefault="00F6481F" w:rsidP="009122D4">
            <w:pPr>
              <w:rPr>
                <w:rFonts w:eastAsia="Calibri"/>
                <w:color w:val="000000" w:themeColor="text1"/>
                <w:sz w:val="18"/>
                <w:szCs w:val="18"/>
              </w:rPr>
            </w:pPr>
            <w:r w:rsidRPr="00742553">
              <w:rPr>
                <w:rFonts w:eastAsia="Calibri"/>
                <w:color w:val="000000" w:themeColor="text1"/>
                <w:sz w:val="18"/>
                <w:szCs w:val="18"/>
              </w:rPr>
              <w:t>Sub-national</w:t>
            </w:r>
            <w:r w:rsidR="00B753D3" w:rsidRPr="00742553">
              <w:rPr>
                <w:rFonts w:eastAsia="Calibri"/>
                <w:color w:val="000000" w:themeColor="text1"/>
                <w:sz w:val="18"/>
                <w:szCs w:val="18"/>
              </w:rPr>
              <w:t xml:space="preserve">: </w:t>
            </w:r>
            <w:r w:rsidRPr="00742553">
              <w:rPr>
                <w:rFonts w:eastAsia="Calibri"/>
                <w:color w:val="000000" w:themeColor="text1"/>
                <w:sz w:val="18"/>
                <w:szCs w:val="18"/>
              </w:rPr>
              <w:t>3</w:t>
            </w:r>
            <w:r w:rsidR="0039607A" w:rsidRPr="00742553">
              <w:rPr>
                <w:rFonts w:eastAsia="Calibri"/>
                <w:color w:val="000000" w:themeColor="text1"/>
                <w:sz w:val="18"/>
                <w:szCs w:val="18"/>
              </w:rPr>
              <w:t xml:space="preserve"> </w:t>
            </w:r>
            <w:r w:rsidRPr="00742553">
              <w:rPr>
                <w:rFonts w:eastAsia="Calibri"/>
                <w:color w:val="000000" w:themeColor="text1"/>
                <w:sz w:val="18"/>
                <w:szCs w:val="18"/>
              </w:rPr>
              <w:t>(2027)</w:t>
            </w:r>
          </w:p>
          <w:p w14:paraId="2C3F0758" w14:textId="1F99668B" w:rsidR="00F6481F" w:rsidRPr="00742553" w:rsidRDefault="00F6481F" w:rsidP="009122D4">
            <w:pPr>
              <w:spacing w:line="259" w:lineRule="auto"/>
              <w:rPr>
                <w:rFonts w:eastAsia="Calibri"/>
                <w:color w:val="000000" w:themeColor="text1"/>
                <w:sz w:val="18"/>
                <w:szCs w:val="18"/>
              </w:rPr>
            </w:pPr>
            <w:r w:rsidRPr="00742553">
              <w:rPr>
                <w:rFonts w:eastAsia="Calibri"/>
                <w:b/>
                <w:bCs/>
                <w:color w:val="000000" w:themeColor="text1"/>
                <w:sz w:val="18"/>
                <w:szCs w:val="18"/>
              </w:rPr>
              <w:t>Data Source:</w:t>
            </w:r>
            <w:r w:rsidRPr="00742553">
              <w:rPr>
                <w:rFonts w:eastAsia="Calibri"/>
                <w:color w:val="000000" w:themeColor="text1"/>
                <w:sz w:val="18"/>
                <w:szCs w:val="18"/>
              </w:rPr>
              <w:t xml:space="preserve"> NDPC reports </w:t>
            </w:r>
            <w:r w:rsidR="00CF75E6">
              <w:rPr>
                <w:rFonts w:eastAsia="Calibri"/>
                <w:color w:val="000000" w:themeColor="text1"/>
                <w:sz w:val="18"/>
                <w:szCs w:val="18"/>
              </w:rPr>
              <w:t>and</w:t>
            </w:r>
            <w:r w:rsidR="00CF75E6" w:rsidRPr="00742553">
              <w:rPr>
                <w:rFonts w:eastAsia="Calibri"/>
                <w:color w:val="000000" w:themeColor="text1"/>
                <w:sz w:val="18"/>
                <w:szCs w:val="18"/>
              </w:rPr>
              <w:t xml:space="preserve"> </w:t>
            </w:r>
            <w:r w:rsidRPr="00742553">
              <w:rPr>
                <w:rFonts w:eastAsia="Calibri"/>
                <w:color w:val="000000" w:themeColor="text1"/>
                <w:sz w:val="18"/>
                <w:szCs w:val="18"/>
              </w:rPr>
              <w:t>MMDA composite budgets</w:t>
            </w:r>
          </w:p>
          <w:p w14:paraId="09098228" w14:textId="77777777" w:rsidR="00F6481F" w:rsidRPr="00742553" w:rsidRDefault="00F6481F" w:rsidP="009122D4">
            <w:pPr>
              <w:spacing w:line="259" w:lineRule="auto"/>
              <w:rPr>
                <w:rFonts w:eastAsia="Calibri"/>
                <w:color w:val="000000" w:themeColor="text1"/>
                <w:sz w:val="18"/>
                <w:szCs w:val="18"/>
              </w:rPr>
            </w:pPr>
            <w:r w:rsidRPr="00742553">
              <w:rPr>
                <w:rFonts w:eastAsia="Calibri"/>
                <w:b/>
                <w:bCs/>
                <w:color w:val="000000" w:themeColor="text1"/>
                <w:sz w:val="18"/>
                <w:szCs w:val="18"/>
              </w:rPr>
              <w:t>Frequency:</w:t>
            </w:r>
            <w:r w:rsidRPr="00742553">
              <w:rPr>
                <w:rFonts w:eastAsia="Calibri"/>
                <w:color w:val="000000" w:themeColor="text1"/>
                <w:sz w:val="18"/>
                <w:szCs w:val="18"/>
              </w:rPr>
              <w:t xml:space="preserve"> Annual</w:t>
            </w:r>
          </w:p>
          <w:p w14:paraId="502B37A0" w14:textId="77777777" w:rsidR="00F6481F" w:rsidRPr="00742553" w:rsidRDefault="00F6481F" w:rsidP="009122D4">
            <w:pPr>
              <w:rPr>
                <w:rFonts w:eastAsia="Calibri"/>
                <w:color w:val="000000" w:themeColor="text1"/>
                <w:sz w:val="18"/>
                <w:szCs w:val="18"/>
              </w:rPr>
            </w:pPr>
          </w:p>
          <w:p w14:paraId="2501D928" w14:textId="2F88D5C6" w:rsidR="00F6481F" w:rsidRPr="00742553" w:rsidRDefault="00F6481F" w:rsidP="009122D4">
            <w:pPr>
              <w:rPr>
                <w:rFonts w:eastAsia="Calibri"/>
                <w:color w:val="000000" w:themeColor="text1"/>
                <w:sz w:val="18"/>
                <w:szCs w:val="18"/>
              </w:rPr>
            </w:pPr>
            <w:r w:rsidRPr="00742553">
              <w:rPr>
                <w:rFonts w:eastAsia="Calibri"/>
                <w:b/>
                <w:bCs/>
                <w:color w:val="000000" w:themeColor="text1"/>
                <w:sz w:val="18"/>
                <w:szCs w:val="18"/>
              </w:rPr>
              <w:t>Indicator 2.4.2</w:t>
            </w:r>
            <w:r w:rsidR="00CF75E6">
              <w:rPr>
                <w:rFonts w:eastAsia="Calibri"/>
                <w:b/>
                <w:bCs/>
                <w:color w:val="000000" w:themeColor="text1"/>
                <w:sz w:val="18"/>
                <w:szCs w:val="18"/>
              </w:rPr>
              <w:t>.</w:t>
            </w:r>
            <w:r w:rsidRPr="00742553">
              <w:rPr>
                <w:rFonts w:eastAsia="Calibri"/>
                <w:color w:val="000000" w:themeColor="text1"/>
                <w:sz w:val="18"/>
                <w:szCs w:val="18"/>
              </w:rPr>
              <w:t>: Number of women and youth and their networks engaged in the economic and natural resource governance ecosystem.</w:t>
            </w:r>
          </w:p>
          <w:p w14:paraId="0CBDA8F1" w14:textId="77777777" w:rsidR="00F6481F" w:rsidRPr="00742553" w:rsidRDefault="00F6481F" w:rsidP="009122D4">
            <w:pPr>
              <w:spacing w:line="259" w:lineRule="auto"/>
              <w:rPr>
                <w:rFonts w:eastAsia="Calibri"/>
                <w:b/>
                <w:bCs/>
                <w:sz w:val="18"/>
                <w:szCs w:val="18"/>
              </w:rPr>
            </w:pPr>
            <w:r w:rsidRPr="00742553">
              <w:rPr>
                <w:rFonts w:eastAsia="Calibri"/>
                <w:b/>
                <w:bCs/>
                <w:sz w:val="18"/>
                <w:szCs w:val="18"/>
              </w:rPr>
              <w:t>Baseline (2021):</w:t>
            </w:r>
            <w:r w:rsidRPr="00742553">
              <w:rPr>
                <w:rFonts w:eastAsia="Calibri"/>
                <w:sz w:val="18"/>
                <w:szCs w:val="18"/>
              </w:rPr>
              <w:t xml:space="preserve"> 0 Networks</w:t>
            </w:r>
          </w:p>
          <w:p w14:paraId="6306DA00" w14:textId="77777777" w:rsidR="00F6481F" w:rsidRPr="00742553" w:rsidRDefault="00F6481F" w:rsidP="009122D4">
            <w:pPr>
              <w:spacing w:line="259" w:lineRule="auto"/>
              <w:rPr>
                <w:rFonts w:eastAsia="Calibri"/>
                <w:sz w:val="18"/>
                <w:szCs w:val="18"/>
              </w:rPr>
            </w:pPr>
            <w:r w:rsidRPr="00742553">
              <w:rPr>
                <w:rFonts w:eastAsia="Calibri"/>
                <w:b/>
                <w:bCs/>
                <w:sz w:val="18"/>
                <w:szCs w:val="18"/>
              </w:rPr>
              <w:t>Target (2027):</w:t>
            </w:r>
            <w:r w:rsidRPr="00742553">
              <w:rPr>
                <w:rFonts w:eastAsia="Calibri"/>
                <w:sz w:val="18"/>
                <w:szCs w:val="18"/>
              </w:rPr>
              <w:t xml:space="preserve"> 5 Networks</w:t>
            </w:r>
          </w:p>
          <w:p w14:paraId="18E61189" w14:textId="1DC92A43" w:rsidR="00F6481F" w:rsidRPr="00742553" w:rsidRDefault="004E13C8" w:rsidP="009122D4">
            <w:pPr>
              <w:rPr>
                <w:rFonts w:eastAsia="Calibri"/>
                <w:sz w:val="18"/>
                <w:szCs w:val="18"/>
              </w:rPr>
            </w:pPr>
            <w:r w:rsidRPr="00742553">
              <w:rPr>
                <w:rFonts w:eastAsia="Calibri"/>
                <w:b/>
                <w:bCs/>
                <w:sz w:val="18"/>
                <w:szCs w:val="18"/>
              </w:rPr>
              <w:t xml:space="preserve">Data </w:t>
            </w:r>
            <w:r w:rsidR="00F6481F" w:rsidRPr="00742553">
              <w:rPr>
                <w:rFonts w:eastAsia="Calibri"/>
                <w:b/>
                <w:bCs/>
                <w:sz w:val="18"/>
                <w:szCs w:val="18"/>
              </w:rPr>
              <w:t>Source:</w:t>
            </w:r>
            <w:r w:rsidR="00F6481F" w:rsidRPr="00742553">
              <w:rPr>
                <w:rFonts w:eastAsia="Calibri"/>
                <w:sz w:val="18"/>
                <w:szCs w:val="18"/>
              </w:rPr>
              <w:t xml:space="preserve"> NDPC Reports</w:t>
            </w:r>
          </w:p>
          <w:p w14:paraId="4D3B7EF3" w14:textId="77777777" w:rsidR="00F6481F" w:rsidRPr="00742553" w:rsidRDefault="00F6481F" w:rsidP="009122D4">
            <w:pPr>
              <w:rPr>
                <w:rFonts w:eastAsia="Calibri"/>
                <w:sz w:val="18"/>
                <w:szCs w:val="18"/>
              </w:rPr>
            </w:pPr>
            <w:r w:rsidRPr="00742553">
              <w:rPr>
                <w:rFonts w:eastAsia="Calibri"/>
                <w:b/>
                <w:bCs/>
                <w:sz w:val="18"/>
                <w:szCs w:val="18"/>
              </w:rPr>
              <w:t>Frequency:</w:t>
            </w:r>
            <w:r w:rsidRPr="00742553">
              <w:rPr>
                <w:rFonts w:eastAsia="Calibri"/>
                <w:sz w:val="18"/>
                <w:szCs w:val="18"/>
              </w:rPr>
              <w:t xml:space="preserve"> Annual</w:t>
            </w:r>
          </w:p>
          <w:p w14:paraId="09076A46" w14:textId="77777777" w:rsidR="00F6481F" w:rsidRPr="00742553" w:rsidRDefault="00F6481F" w:rsidP="009122D4">
            <w:pPr>
              <w:rPr>
                <w:sz w:val="18"/>
                <w:szCs w:val="18"/>
              </w:rPr>
            </w:pPr>
          </w:p>
          <w:p w14:paraId="7C84ABEF" w14:textId="5AFFA7E1" w:rsidR="00F6481F" w:rsidRPr="00742553" w:rsidRDefault="00F6481F" w:rsidP="009122D4">
            <w:pPr>
              <w:rPr>
                <w:sz w:val="18"/>
                <w:szCs w:val="18"/>
              </w:rPr>
            </w:pPr>
            <w:r w:rsidRPr="00742553">
              <w:rPr>
                <w:b/>
                <w:bCs/>
                <w:sz w:val="18"/>
                <w:szCs w:val="18"/>
              </w:rPr>
              <w:t>Output 2.5</w:t>
            </w:r>
            <w:r w:rsidR="00CF75E6">
              <w:rPr>
                <w:b/>
                <w:bCs/>
                <w:sz w:val="18"/>
                <w:szCs w:val="18"/>
              </w:rPr>
              <w:t>.</w:t>
            </w:r>
            <w:r w:rsidRPr="00742553">
              <w:rPr>
                <w:sz w:val="18"/>
                <w:szCs w:val="18"/>
              </w:rPr>
              <w:t>: Policies and strategies developed and implemented for equitable health services for all of society, particularly the vulnerable.</w:t>
            </w:r>
          </w:p>
          <w:p w14:paraId="08C4EBFC" w14:textId="77777777" w:rsidR="00F6481F" w:rsidRPr="00742553" w:rsidRDefault="00F6481F" w:rsidP="009122D4">
            <w:pPr>
              <w:rPr>
                <w:sz w:val="18"/>
                <w:szCs w:val="18"/>
              </w:rPr>
            </w:pPr>
          </w:p>
          <w:p w14:paraId="059DD547" w14:textId="1CD84439" w:rsidR="00F6481F" w:rsidRPr="00742553" w:rsidRDefault="00F6481F" w:rsidP="009122D4">
            <w:pPr>
              <w:spacing w:line="257" w:lineRule="auto"/>
              <w:rPr>
                <w:sz w:val="18"/>
                <w:szCs w:val="18"/>
              </w:rPr>
            </w:pPr>
            <w:r w:rsidRPr="00742553">
              <w:rPr>
                <w:b/>
                <w:bCs/>
                <w:sz w:val="18"/>
                <w:szCs w:val="18"/>
              </w:rPr>
              <w:t>Indicator 2.5.1</w:t>
            </w:r>
            <w:r w:rsidR="00CF75E6">
              <w:rPr>
                <w:b/>
                <w:bCs/>
                <w:sz w:val="18"/>
                <w:szCs w:val="18"/>
              </w:rPr>
              <w:t>.</w:t>
            </w:r>
            <w:r w:rsidRPr="00742553">
              <w:rPr>
                <w:b/>
                <w:bCs/>
                <w:sz w:val="18"/>
                <w:szCs w:val="18"/>
              </w:rPr>
              <w:t>:</w:t>
            </w:r>
            <w:r w:rsidRPr="00742553">
              <w:rPr>
                <w:sz w:val="18"/>
                <w:szCs w:val="18"/>
              </w:rPr>
              <w:t xml:space="preserve"> The number of digital solutions introduced to accelerate equitable health service delivery to the vulnerable and marginali</w:t>
            </w:r>
            <w:r w:rsidR="00CF75E6">
              <w:rPr>
                <w:sz w:val="18"/>
                <w:szCs w:val="18"/>
              </w:rPr>
              <w:t>z</w:t>
            </w:r>
            <w:r w:rsidRPr="00742553">
              <w:rPr>
                <w:sz w:val="18"/>
                <w:szCs w:val="18"/>
              </w:rPr>
              <w:t>ed.</w:t>
            </w:r>
          </w:p>
          <w:p w14:paraId="437DE2AE" w14:textId="77777777" w:rsidR="00F6481F" w:rsidRPr="00742553" w:rsidRDefault="00F6481F" w:rsidP="009122D4">
            <w:pPr>
              <w:rPr>
                <w:sz w:val="18"/>
                <w:szCs w:val="18"/>
              </w:rPr>
            </w:pPr>
            <w:r w:rsidRPr="00742553">
              <w:rPr>
                <w:b/>
                <w:bCs/>
                <w:color w:val="000000" w:themeColor="text1"/>
                <w:sz w:val="18"/>
                <w:szCs w:val="18"/>
              </w:rPr>
              <w:t>Baseline:</w:t>
            </w:r>
            <w:r w:rsidRPr="00742553">
              <w:rPr>
                <w:color w:val="000000" w:themeColor="text1"/>
                <w:sz w:val="18"/>
                <w:szCs w:val="18"/>
              </w:rPr>
              <w:t xml:space="preserve"> 1 (2021)</w:t>
            </w:r>
            <w:r w:rsidRPr="00742553">
              <w:rPr>
                <w:sz w:val="18"/>
                <w:szCs w:val="18"/>
              </w:rPr>
              <w:t xml:space="preserve"> </w:t>
            </w:r>
          </w:p>
          <w:p w14:paraId="4F6DF7B0" w14:textId="77777777" w:rsidR="00F6481F" w:rsidRPr="00742553" w:rsidRDefault="00F6481F" w:rsidP="009122D4">
            <w:pPr>
              <w:rPr>
                <w:sz w:val="18"/>
                <w:szCs w:val="18"/>
              </w:rPr>
            </w:pPr>
            <w:r w:rsidRPr="00742553">
              <w:rPr>
                <w:b/>
                <w:bCs/>
                <w:color w:val="000000" w:themeColor="text1"/>
                <w:sz w:val="18"/>
                <w:szCs w:val="18"/>
              </w:rPr>
              <w:t>Target:</w:t>
            </w:r>
            <w:r w:rsidRPr="00742553">
              <w:rPr>
                <w:color w:val="000000" w:themeColor="text1"/>
                <w:sz w:val="18"/>
                <w:szCs w:val="18"/>
              </w:rPr>
              <w:t xml:space="preserve"> 3 (2027)</w:t>
            </w:r>
            <w:r w:rsidRPr="00742553">
              <w:rPr>
                <w:sz w:val="18"/>
                <w:szCs w:val="18"/>
              </w:rPr>
              <w:t xml:space="preserve"> </w:t>
            </w:r>
          </w:p>
          <w:p w14:paraId="48C409E8" w14:textId="6348804C" w:rsidR="00F6481F" w:rsidRPr="00742553" w:rsidRDefault="004B3171" w:rsidP="009122D4">
            <w:pPr>
              <w:rPr>
                <w:sz w:val="18"/>
                <w:szCs w:val="18"/>
              </w:rPr>
            </w:pPr>
            <w:r w:rsidRPr="00742553">
              <w:rPr>
                <w:b/>
                <w:bCs/>
                <w:sz w:val="18"/>
                <w:szCs w:val="18"/>
              </w:rPr>
              <w:t xml:space="preserve">Data </w:t>
            </w:r>
            <w:r w:rsidR="00F6481F" w:rsidRPr="00742553">
              <w:rPr>
                <w:b/>
                <w:bCs/>
                <w:sz w:val="18"/>
                <w:szCs w:val="18"/>
              </w:rPr>
              <w:t>Source</w:t>
            </w:r>
            <w:r w:rsidR="00F91FFB">
              <w:rPr>
                <w:sz w:val="18"/>
                <w:szCs w:val="18"/>
              </w:rPr>
              <w:t xml:space="preserve"> </w:t>
            </w:r>
            <w:r w:rsidR="007F067D">
              <w:rPr>
                <w:sz w:val="18"/>
                <w:szCs w:val="18"/>
              </w:rPr>
              <w:t>GHS</w:t>
            </w:r>
            <w:r w:rsidR="00F6481F" w:rsidRPr="00742553">
              <w:rPr>
                <w:sz w:val="18"/>
                <w:szCs w:val="18"/>
              </w:rPr>
              <w:t xml:space="preserve"> and NDPC Report </w:t>
            </w:r>
          </w:p>
          <w:p w14:paraId="23BCE37F" w14:textId="77777777" w:rsidR="00F6481F" w:rsidRPr="00742553" w:rsidRDefault="00F6481F" w:rsidP="009122D4">
            <w:pPr>
              <w:rPr>
                <w:sz w:val="18"/>
                <w:szCs w:val="18"/>
              </w:rPr>
            </w:pPr>
            <w:r w:rsidRPr="00742553">
              <w:rPr>
                <w:b/>
                <w:bCs/>
                <w:sz w:val="18"/>
                <w:szCs w:val="18"/>
              </w:rPr>
              <w:t>Frequency</w:t>
            </w:r>
            <w:r w:rsidRPr="00742553">
              <w:rPr>
                <w:sz w:val="18"/>
                <w:szCs w:val="18"/>
              </w:rPr>
              <w:t xml:space="preserve">: Annual </w:t>
            </w:r>
          </w:p>
          <w:p w14:paraId="0F51D4AC" w14:textId="77777777" w:rsidR="00F6481F" w:rsidRPr="00742553" w:rsidRDefault="00F6481F" w:rsidP="009122D4">
            <w:pPr>
              <w:rPr>
                <w:b/>
                <w:bCs/>
                <w:sz w:val="18"/>
                <w:szCs w:val="18"/>
              </w:rPr>
            </w:pPr>
          </w:p>
          <w:p w14:paraId="51587438" w14:textId="0086D6A5" w:rsidR="00F6481F" w:rsidRPr="00742553" w:rsidRDefault="00F6481F" w:rsidP="009122D4">
            <w:pPr>
              <w:rPr>
                <w:sz w:val="18"/>
                <w:szCs w:val="18"/>
              </w:rPr>
            </w:pPr>
            <w:r w:rsidRPr="00742553">
              <w:rPr>
                <w:b/>
                <w:bCs/>
                <w:color w:val="000000" w:themeColor="text1"/>
                <w:sz w:val="18"/>
                <w:szCs w:val="18"/>
              </w:rPr>
              <w:t>Indicator 2.5.2</w:t>
            </w:r>
            <w:r w:rsidR="00CF75E6">
              <w:rPr>
                <w:b/>
                <w:bCs/>
                <w:color w:val="000000" w:themeColor="text1"/>
                <w:sz w:val="18"/>
                <w:szCs w:val="18"/>
              </w:rPr>
              <w:t>.</w:t>
            </w:r>
            <w:r w:rsidRPr="00742553">
              <w:rPr>
                <w:b/>
                <w:bCs/>
                <w:color w:val="000000" w:themeColor="text1"/>
                <w:sz w:val="18"/>
                <w:szCs w:val="18"/>
              </w:rPr>
              <w:t>:</w:t>
            </w:r>
            <w:r w:rsidRPr="00742553">
              <w:rPr>
                <w:color w:val="000000" w:themeColor="text1"/>
                <w:sz w:val="18"/>
                <w:szCs w:val="18"/>
              </w:rPr>
              <w:t xml:space="preserve"> Number of health institutions with strengthened capacity to provide non-discriminatory service</w:t>
            </w:r>
            <w:r w:rsidR="00CF75E6">
              <w:rPr>
                <w:color w:val="000000" w:themeColor="text1"/>
                <w:sz w:val="18"/>
                <w:szCs w:val="18"/>
              </w:rPr>
              <w:t>s</w:t>
            </w:r>
            <w:r w:rsidRPr="00742553">
              <w:rPr>
                <w:color w:val="000000" w:themeColor="text1"/>
                <w:sz w:val="18"/>
                <w:szCs w:val="18"/>
              </w:rPr>
              <w:t xml:space="preserve"> to all.</w:t>
            </w:r>
            <w:r w:rsidRPr="00742553">
              <w:rPr>
                <w:sz w:val="18"/>
                <w:szCs w:val="18"/>
              </w:rPr>
              <w:t xml:space="preserve"> </w:t>
            </w:r>
          </w:p>
          <w:p w14:paraId="496F68DA" w14:textId="370FF31F" w:rsidR="00F6481F" w:rsidRPr="00742553" w:rsidRDefault="00F6481F" w:rsidP="009122D4">
            <w:pPr>
              <w:rPr>
                <w:sz w:val="18"/>
                <w:szCs w:val="18"/>
              </w:rPr>
            </w:pPr>
            <w:r w:rsidRPr="00742553">
              <w:rPr>
                <w:b/>
                <w:bCs/>
                <w:color w:val="000000"/>
                <w:sz w:val="18"/>
                <w:szCs w:val="18"/>
              </w:rPr>
              <w:t>Baseline:</w:t>
            </w:r>
            <w:r w:rsidRPr="00742553">
              <w:rPr>
                <w:color w:val="000000"/>
                <w:sz w:val="18"/>
                <w:szCs w:val="18"/>
              </w:rPr>
              <w:t xml:space="preserve"> 4</w:t>
            </w:r>
            <w:r w:rsidRPr="00742553">
              <w:rPr>
                <w:sz w:val="18"/>
                <w:szCs w:val="18"/>
              </w:rPr>
              <w:t xml:space="preserve"> </w:t>
            </w:r>
            <w:r w:rsidR="00875665" w:rsidRPr="00742553">
              <w:rPr>
                <w:sz w:val="18"/>
                <w:szCs w:val="18"/>
              </w:rPr>
              <w:t xml:space="preserve">(2021) </w:t>
            </w:r>
          </w:p>
          <w:p w14:paraId="52164B3C" w14:textId="2E5316FA" w:rsidR="00F6481F" w:rsidRPr="00742553" w:rsidRDefault="00F6481F" w:rsidP="009122D4">
            <w:pPr>
              <w:rPr>
                <w:sz w:val="18"/>
                <w:szCs w:val="18"/>
              </w:rPr>
            </w:pPr>
            <w:r w:rsidRPr="00742553">
              <w:rPr>
                <w:b/>
                <w:bCs/>
                <w:color w:val="000000"/>
                <w:sz w:val="18"/>
                <w:szCs w:val="18"/>
              </w:rPr>
              <w:t>Target:</w:t>
            </w:r>
            <w:r w:rsidRPr="00742553">
              <w:rPr>
                <w:color w:val="000000"/>
                <w:sz w:val="18"/>
                <w:szCs w:val="18"/>
              </w:rPr>
              <w:t xml:space="preserve"> 8</w:t>
            </w:r>
            <w:r w:rsidRPr="00742553">
              <w:rPr>
                <w:sz w:val="18"/>
                <w:szCs w:val="18"/>
              </w:rPr>
              <w:t xml:space="preserve"> </w:t>
            </w:r>
            <w:r w:rsidR="00875665" w:rsidRPr="00742553">
              <w:rPr>
                <w:sz w:val="18"/>
                <w:szCs w:val="18"/>
              </w:rPr>
              <w:t xml:space="preserve">(2027) </w:t>
            </w:r>
          </w:p>
          <w:p w14:paraId="3C51270C" w14:textId="1A7AD4D0" w:rsidR="00F6481F" w:rsidRPr="00742553" w:rsidRDefault="004B3171" w:rsidP="009122D4">
            <w:pPr>
              <w:rPr>
                <w:sz w:val="18"/>
                <w:szCs w:val="18"/>
              </w:rPr>
            </w:pPr>
            <w:r w:rsidRPr="00742553">
              <w:rPr>
                <w:b/>
                <w:bCs/>
                <w:sz w:val="18"/>
                <w:szCs w:val="18"/>
              </w:rPr>
              <w:t xml:space="preserve">Data </w:t>
            </w:r>
            <w:r w:rsidR="00F6481F" w:rsidRPr="00742553">
              <w:rPr>
                <w:b/>
                <w:bCs/>
                <w:sz w:val="18"/>
                <w:szCs w:val="18"/>
              </w:rPr>
              <w:t>Source:</w:t>
            </w:r>
            <w:r w:rsidR="00F6481F" w:rsidRPr="00742553">
              <w:rPr>
                <w:sz w:val="18"/>
                <w:szCs w:val="18"/>
              </w:rPr>
              <w:t xml:space="preserve"> GHS Report </w:t>
            </w:r>
          </w:p>
          <w:p w14:paraId="1053C091" w14:textId="77777777" w:rsidR="00F6481F" w:rsidRPr="00742553" w:rsidRDefault="00F6481F" w:rsidP="009122D4">
            <w:pPr>
              <w:rPr>
                <w:sz w:val="18"/>
                <w:szCs w:val="18"/>
              </w:rPr>
            </w:pPr>
            <w:r w:rsidRPr="00742553">
              <w:rPr>
                <w:b/>
                <w:bCs/>
                <w:sz w:val="18"/>
                <w:szCs w:val="18"/>
              </w:rPr>
              <w:t>Frequency:</w:t>
            </w:r>
            <w:r w:rsidRPr="00742553">
              <w:rPr>
                <w:sz w:val="18"/>
                <w:szCs w:val="18"/>
              </w:rPr>
              <w:t xml:space="preserve"> Annual </w:t>
            </w:r>
          </w:p>
          <w:p w14:paraId="7C13A130" w14:textId="77777777" w:rsidR="00F6481F" w:rsidRPr="00742553" w:rsidRDefault="00F6481F" w:rsidP="009122D4">
            <w:pPr>
              <w:rPr>
                <w:sz w:val="18"/>
                <w:szCs w:val="18"/>
              </w:rPr>
            </w:pPr>
          </w:p>
          <w:p w14:paraId="181B9CA9" w14:textId="1845A0EA" w:rsidR="00F6481F" w:rsidRPr="00742553" w:rsidRDefault="00F6481F" w:rsidP="009122D4">
            <w:pPr>
              <w:rPr>
                <w:sz w:val="18"/>
                <w:szCs w:val="18"/>
              </w:rPr>
            </w:pPr>
            <w:r w:rsidRPr="00742553">
              <w:rPr>
                <w:b/>
                <w:bCs/>
                <w:sz w:val="18"/>
                <w:szCs w:val="18"/>
              </w:rPr>
              <w:t>Output 2.6</w:t>
            </w:r>
            <w:r w:rsidR="00CF75E6">
              <w:rPr>
                <w:b/>
                <w:bCs/>
                <w:sz w:val="18"/>
                <w:szCs w:val="18"/>
              </w:rPr>
              <w:t>.</w:t>
            </w:r>
            <w:r w:rsidRPr="00742553">
              <w:rPr>
                <w:b/>
                <w:bCs/>
                <w:sz w:val="18"/>
                <w:szCs w:val="18"/>
              </w:rPr>
              <w:t xml:space="preserve">: </w:t>
            </w:r>
            <w:r w:rsidRPr="00742553">
              <w:rPr>
                <w:sz w:val="18"/>
                <w:szCs w:val="18"/>
              </w:rPr>
              <w:t xml:space="preserve">National capacities for planning, budgeting and data systems for SDGs </w:t>
            </w:r>
            <w:r w:rsidRPr="00742553">
              <w:rPr>
                <w:sz w:val="18"/>
                <w:szCs w:val="18"/>
              </w:rPr>
              <w:lastRenderedPageBreak/>
              <w:t>implementation, including indicator tracking and reporting, strengthened.</w:t>
            </w:r>
          </w:p>
          <w:p w14:paraId="7655BA5C" w14:textId="77777777" w:rsidR="00F6481F" w:rsidRPr="00742553" w:rsidRDefault="00F6481F" w:rsidP="009122D4">
            <w:pPr>
              <w:rPr>
                <w:sz w:val="18"/>
                <w:szCs w:val="18"/>
              </w:rPr>
            </w:pPr>
          </w:p>
          <w:p w14:paraId="51DB59C0" w14:textId="2149FC6C" w:rsidR="00F6481F" w:rsidRPr="00742553" w:rsidRDefault="00F6481F" w:rsidP="009122D4">
            <w:pPr>
              <w:rPr>
                <w:sz w:val="18"/>
                <w:szCs w:val="18"/>
              </w:rPr>
            </w:pPr>
            <w:r w:rsidRPr="00742553">
              <w:rPr>
                <w:b/>
                <w:bCs/>
                <w:sz w:val="18"/>
                <w:szCs w:val="18"/>
              </w:rPr>
              <w:t>Indicator 2.6.1</w:t>
            </w:r>
            <w:r w:rsidR="00CF75E6">
              <w:rPr>
                <w:b/>
                <w:bCs/>
                <w:sz w:val="18"/>
                <w:szCs w:val="18"/>
              </w:rPr>
              <w:t>.</w:t>
            </w:r>
            <w:r w:rsidRPr="00742553">
              <w:rPr>
                <w:b/>
                <w:bCs/>
                <w:sz w:val="18"/>
                <w:szCs w:val="18"/>
              </w:rPr>
              <w:t>:</w:t>
            </w:r>
            <w:r w:rsidRPr="00742553">
              <w:rPr>
                <w:sz w:val="18"/>
                <w:szCs w:val="18"/>
              </w:rPr>
              <w:t xml:space="preserve"> Number of strategies implemented  to generate data for SDG implementation and reporting. </w:t>
            </w:r>
          </w:p>
          <w:p w14:paraId="670EFE2E" w14:textId="77777777" w:rsidR="00F6481F" w:rsidRPr="00742553" w:rsidRDefault="00F6481F" w:rsidP="009122D4">
            <w:pPr>
              <w:rPr>
                <w:sz w:val="18"/>
                <w:szCs w:val="18"/>
              </w:rPr>
            </w:pPr>
            <w:r w:rsidRPr="00742553">
              <w:rPr>
                <w:b/>
                <w:bCs/>
                <w:sz w:val="18"/>
                <w:szCs w:val="18"/>
              </w:rPr>
              <w:t>Baseline:</w:t>
            </w:r>
            <w:r w:rsidRPr="00742553">
              <w:rPr>
                <w:sz w:val="18"/>
                <w:szCs w:val="18"/>
              </w:rPr>
              <w:t xml:space="preserve"> 5 (2021</w:t>
            </w:r>
          </w:p>
          <w:p w14:paraId="453A05F9" w14:textId="77777777" w:rsidR="00F6481F" w:rsidRPr="00742553" w:rsidRDefault="00F6481F" w:rsidP="009122D4">
            <w:pPr>
              <w:rPr>
                <w:sz w:val="18"/>
                <w:szCs w:val="18"/>
              </w:rPr>
            </w:pPr>
            <w:r w:rsidRPr="00742553">
              <w:rPr>
                <w:b/>
                <w:bCs/>
                <w:sz w:val="18"/>
                <w:szCs w:val="18"/>
              </w:rPr>
              <w:t>Target:</w:t>
            </w:r>
            <w:r w:rsidRPr="00742553">
              <w:rPr>
                <w:sz w:val="18"/>
                <w:szCs w:val="18"/>
              </w:rPr>
              <w:t xml:space="preserve"> 10 (2027)</w:t>
            </w:r>
          </w:p>
          <w:p w14:paraId="5E040470" w14:textId="32CCDB0E" w:rsidR="00F6481F" w:rsidRPr="00742553" w:rsidRDefault="004B3171" w:rsidP="009122D4">
            <w:pPr>
              <w:rPr>
                <w:sz w:val="18"/>
                <w:szCs w:val="18"/>
              </w:rPr>
            </w:pPr>
            <w:r w:rsidRPr="00742553">
              <w:rPr>
                <w:b/>
                <w:bCs/>
                <w:sz w:val="18"/>
                <w:szCs w:val="18"/>
              </w:rPr>
              <w:t xml:space="preserve">Data </w:t>
            </w:r>
            <w:r w:rsidR="00F6481F" w:rsidRPr="00742553">
              <w:rPr>
                <w:b/>
                <w:bCs/>
                <w:sz w:val="18"/>
                <w:szCs w:val="18"/>
              </w:rPr>
              <w:t>Source:</w:t>
            </w:r>
            <w:r w:rsidR="00F6481F" w:rsidRPr="00742553">
              <w:rPr>
                <w:sz w:val="18"/>
                <w:szCs w:val="18"/>
              </w:rPr>
              <w:t xml:space="preserve"> V</w:t>
            </w:r>
            <w:r w:rsidR="00731936">
              <w:rPr>
                <w:sz w:val="18"/>
                <w:szCs w:val="18"/>
              </w:rPr>
              <w:t xml:space="preserve">oluntary </w:t>
            </w:r>
            <w:r w:rsidR="00F6481F" w:rsidRPr="00742553">
              <w:rPr>
                <w:sz w:val="18"/>
                <w:szCs w:val="18"/>
              </w:rPr>
              <w:t>N</w:t>
            </w:r>
            <w:r w:rsidR="00731936">
              <w:rPr>
                <w:sz w:val="18"/>
                <w:szCs w:val="18"/>
              </w:rPr>
              <w:t xml:space="preserve">ational </w:t>
            </w:r>
            <w:r w:rsidR="00F6481F" w:rsidRPr="00742553">
              <w:rPr>
                <w:sz w:val="18"/>
                <w:szCs w:val="18"/>
              </w:rPr>
              <w:t>R</w:t>
            </w:r>
            <w:r w:rsidR="00731936">
              <w:rPr>
                <w:sz w:val="18"/>
                <w:szCs w:val="18"/>
              </w:rPr>
              <w:t>eview</w:t>
            </w:r>
            <w:r w:rsidR="00F6481F" w:rsidRPr="00742553">
              <w:rPr>
                <w:sz w:val="18"/>
                <w:szCs w:val="18"/>
              </w:rPr>
              <w:t xml:space="preserve"> Report</w:t>
            </w:r>
          </w:p>
          <w:p w14:paraId="0A96BCD3" w14:textId="041DFF2D" w:rsidR="00F6481F" w:rsidRPr="00742553" w:rsidRDefault="00F6481F" w:rsidP="009122D4">
            <w:pPr>
              <w:rPr>
                <w:sz w:val="18"/>
                <w:szCs w:val="18"/>
              </w:rPr>
            </w:pPr>
            <w:r w:rsidRPr="00742553">
              <w:rPr>
                <w:b/>
                <w:bCs/>
                <w:sz w:val="18"/>
                <w:szCs w:val="18"/>
              </w:rPr>
              <w:t>Frequency</w:t>
            </w:r>
            <w:r w:rsidRPr="00742553">
              <w:rPr>
                <w:sz w:val="18"/>
                <w:szCs w:val="18"/>
              </w:rPr>
              <w:t xml:space="preserve">: </w:t>
            </w:r>
            <w:r w:rsidR="00CF75E6">
              <w:rPr>
                <w:sz w:val="18"/>
                <w:szCs w:val="18"/>
              </w:rPr>
              <w:t>B</w:t>
            </w:r>
            <w:r w:rsidRPr="00742553">
              <w:rPr>
                <w:sz w:val="18"/>
                <w:szCs w:val="18"/>
              </w:rPr>
              <w:t>iennial</w:t>
            </w:r>
            <w:r w:rsidR="00714843" w:rsidRPr="00742553">
              <w:rPr>
                <w:sz w:val="18"/>
                <w:szCs w:val="18"/>
              </w:rPr>
              <w:t xml:space="preserve"> </w:t>
            </w:r>
          </w:p>
        </w:tc>
        <w:tc>
          <w:tcPr>
            <w:tcW w:w="2087" w:type="dxa"/>
          </w:tcPr>
          <w:p w14:paraId="53D6AEC3" w14:textId="41888A4E" w:rsidR="00F6481F" w:rsidRPr="00742553" w:rsidRDefault="006B76AB" w:rsidP="00C64533">
            <w:pPr>
              <w:rPr>
                <w:sz w:val="18"/>
                <w:szCs w:val="18"/>
              </w:rPr>
            </w:pPr>
            <w:r w:rsidRPr="006B76AB">
              <w:rPr>
                <w:sz w:val="18"/>
                <w:szCs w:val="18"/>
              </w:rPr>
              <w:lastRenderedPageBreak/>
              <w:t>Commission of Human Rights and Administrative Justice</w:t>
            </w:r>
            <w:r w:rsidR="00F6481F" w:rsidRPr="00742553">
              <w:rPr>
                <w:sz w:val="18"/>
                <w:szCs w:val="18"/>
              </w:rPr>
              <w:t>, Judicial Service,</w:t>
            </w:r>
            <w:r w:rsidR="00F6481F" w:rsidRPr="00742553">
              <w:rPr>
                <w:color w:val="000000" w:themeColor="text1"/>
                <w:sz w:val="18"/>
                <w:szCs w:val="18"/>
              </w:rPr>
              <w:t xml:space="preserve"> </w:t>
            </w:r>
            <w:r>
              <w:rPr>
                <w:color w:val="000000" w:themeColor="text1"/>
                <w:sz w:val="18"/>
                <w:szCs w:val="18"/>
              </w:rPr>
              <w:t>Ministries, Departments and Agencies (</w:t>
            </w:r>
            <w:r w:rsidR="00F6481F" w:rsidRPr="00742553">
              <w:rPr>
                <w:sz w:val="18"/>
                <w:szCs w:val="18"/>
              </w:rPr>
              <w:t>MMDAs</w:t>
            </w:r>
            <w:r>
              <w:rPr>
                <w:sz w:val="18"/>
                <w:szCs w:val="18"/>
              </w:rPr>
              <w:t>)</w:t>
            </w:r>
            <w:r w:rsidR="00F6481F" w:rsidRPr="00742553">
              <w:rPr>
                <w:sz w:val="18"/>
                <w:szCs w:val="18"/>
              </w:rPr>
              <w:t>, N</w:t>
            </w:r>
            <w:r>
              <w:rPr>
                <w:sz w:val="18"/>
                <w:szCs w:val="18"/>
              </w:rPr>
              <w:t xml:space="preserve">ational </w:t>
            </w:r>
            <w:r w:rsidR="00F6481F" w:rsidRPr="00742553">
              <w:rPr>
                <w:sz w:val="18"/>
                <w:szCs w:val="18"/>
              </w:rPr>
              <w:t>Y</w:t>
            </w:r>
            <w:r>
              <w:rPr>
                <w:sz w:val="18"/>
                <w:szCs w:val="18"/>
              </w:rPr>
              <w:t xml:space="preserve">outh </w:t>
            </w:r>
            <w:r w:rsidR="00F6481F" w:rsidRPr="00742553">
              <w:rPr>
                <w:sz w:val="18"/>
                <w:szCs w:val="18"/>
              </w:rPr>
              <w:t>A</w:t>
            </w:r>
            <w:r>
              <w:rPr>
                <w:sz w:val="18"/>
                <w:szCs w:val="18"/>
              </w:rPr>
              <w:t>uthority</w:t>
            </w:r>
            <w:r w:rsidR="00F6481F" w:rsidRPr="00742553">
              <w:rPr>
                <w:sz w:val="18"/>
                <w:szCs w:val="18"/>
              </w:rPr>
              <w:t>,</w:t>
            </w:r>
            <w:r>
              <w:rPr>
                <w:sz w:val="18"/>
                <w:szCs w:val="18"/>
              </w:rPr>
              <w:t xml:space="preserve"> </w:t>
            </w:r>
            <w:r w:rsidR="007F067D" w:rsidRPr="007F067D">
              <w:rPr>
                <w:sz w:val="18"/>
                <w:szCs w:val="18"/>
              </w:rPr>
              <w:t>MoGCSP</w:t>
            </w:r>
            <w:r w:rsidR="00F6481F" w:rsidRPr="00742553">
              <w:rPr>
                <w:sz w:val="18"/>
                <w:szCs w:val="18"/>
              </w:rPr>
              <w:t>, UN</w:t>
            </w:r>
            <w:r w:rsidR="00CF75E6">
              <w:rPr>
                <w:sz w:val="18"/>
                <w:szCs w:val="18"/>
              </w:rPr>
              <w:t xml:space="preserve"> Women</w:t>
            </w:r>
            <w:r w:rsidR="00F6481F" w:rsidRPr="00742553">
              <w:rPr>
                <w:sz w:val="18"/>
                <w:szCs w:val="18"/>
              </w:rPr>
              <w:t xml:space="preserve">, </w:t>
            </w:r>
            <w:r w:rsidR="00CF75E6">
              <w:rPr>
                <w:sz w:val="18"/>
                <w:szCs w:val="18"/>
              </w:rPr>
              <w:t xml:space="preserve">International </w:t>
            </w:r>
            <w:r w:rsidR="00CF75E6">
              <w:rPr>
                <w:sz w:val="18"/>
                <w:szCs w:val="18"/>
              </w:rPr>
              <w:lastRenderedPageBreak/>
              <w:t>Labour Organization (</w:t>
            </w:r>
            <w:r w:rsidR="00F6481F" w:rsidRPr="00742553">
              <w:rPr>
                <w:sz w:val="18"/>
                <w:szCs w:val="18"/>
              </w:rPr>
              <w:t>ILO</w:t>
            </w:r>
            <w:r w:rsidR="00CF75E6">
              <w:rPr>
                <w:sz w:val="18"/>
                <w:szCs w:val="18"/>
              </w:rPr>
              <w:t>)</w:t>
            </w:r>
            <w:r w:rsidR="00F6481F" w:rsidRPr="00742553">
              <w:rPr>
                <w:sz w:val="18"/>
                <w:szCs w:val="18"/>
              </w:rPr>
              <w:t>, UNFPA, UNAIDS,</w:t>
            </w:r>
            <w:r w:rsidR="00F6481F" w:rsidRPr="00742553">
              <w:rPr>
                <w:color w:val="000000" w:themeColor="text1"/>
                <w:sz w:val="18"/>
                <w:szCs w:val="18"/>
                <w:highlight w:val="yellow"/>
              </w:rPr>
              <w:t xml:space="preserve"> </w:t>
            </w:r>
            <w:r w:rsidR="00F6481F" w:rsidRPr="00742553">
              <w:rPr>
                <w:sz w:val="18"/>
                <w:szCs w:val="18"/>
              </w:rPr>
              <w:t>National AIDS Control program,</w:t>
            </w:r>
            <w:r w:rsidR="00F6481F" w:rsidRPr="00742553">
              <w:rPr>
                <w:color w:val="000000" w:themeColor="text1"/>
                <w:sz w:val="18"/>
                <w:szCs w:val="18"/>
              </w:rPr>
              <w:t xml:space="preserve"> </w:t>
            </w:r>
            <w:r w:rsidR="00F6481F" w:rsidRPr="00742553">
              <w:rPr>
                <w:sz w:val="18"/>
                <w:szCs w:val="18"/>
              </w:rPr>
              <w:t xml:space="preserve">Ghana AIDS Commission, Inter-Ministerial Coordination Committee on Implementation of </w:t>
            </w:r>
            <w:r>
              <w:rPr>
                <w:sz w:val="18"/>
                <w:szCs w:val="18"/>
              </w:rPr>
              <w:t>Universal Periodic Review (</w:t>
            </w:r>
            <w:r w:rsidR="00F6481F" w:rsidRPr="00742553">
              <w:rPr>
                <w:sz w:val="18"/>
                <w:szCs w:val="18"/>
              </w:rPr>
              <w:t>UPR</w:t>
            </w:r>
            <w:r>
              <w:rPr>
                <w:sz w:val="18"/>
                <w:szCs w:val="18"/>
              </w:rPr>
              <w:t>)</w:t>
            </w:r>
            <w:r w:rsidR="00F6481F" w:rsidRPr="00742553">
              <w:rPr>
                <w:sz w:val="18"/>
                <w:szCs w:val="18"/>
              </w:rPr>
              <w:t>, Ministry of Health, Ghana Health Service</w:t>
            </w:r>
            <w:r w:rsidR="007F067D">
              <w:rPr>
                <w:sz w:val="18"/>
                <w:szCs w:val="18"/>
              </w:rPr>
              <w:t xml:space="preserve"> (GHS)</w:t>
            </w:r>
            <w:r w:rsidR="00F6481F" w:rsidRPr="00742553">
              <w:rPr>
                <w:sz w:val="18"/>
                <w:szCs w:val="18"/>
              </w:rPr>
              <w:t xml:space="preserve">, </w:t>
            </w:r>
            <w:r w:rsidR="00CF75E6">
              <w:rPr>
                <w:sz w:val="18"/>
                <w:szCs w:val="18"/>
              </w:rPr>
              <w:t>non</w:t>
            </w:r>
            <w:r w:rsidR="00F6481F" w:rsidRPr="00742553">
              <w:rPr>
                <w:sz w:val="18"/>
                <w:szCs w:val="18"/>
              </w:rPr>
              <w:t>-</w:t>
            </w:r>
            <w:r w:rsidR="00CF75E6">
              <w:rPr>
                <w:sz w:val="18"/>
                <w:szCs w:val="18"/>
              </w:rPr>
              <w:t>s</w:t>
            </w:r>
            <w:r w:rsidR="00F6481F" w:rsidRPr="00742553">
              <w:rPr>
                <w:sz w:val="18"/>
                <w:szCs w:val="18"/>
              </w:rPr>
              <w:t xml:space="preserve">tate </w:t>
            </w:r>
            <w:r w:rsidR="00CF75E6">
              <w:rPr>
                <w:sz w:val="18"/>
                <w:szCs w:val="18"/>
              </w:rPr>
              <w:t>a</w:t>
            </w:r>
            <w:r w:rsidR="00F6481F" w:rsidRPr="00742553">
              <w:rPr>
                <w:sz w:val="18"/>
                <w:szCs w:val="18"/>
              </w:rPr>
              <w:t>ctors,</w:t>
            </w:r>
            <w:r w:rsidR="00CF75E6">
              <w:rPr>
                <w:sz w:val="18"/>
                <w:szCs w:val="18"/>
              </w:rPr>
              <w:t xml:space="preserve"> and</w:t>
            </w:r>
            <w:r w:rsidR="00F6481F" w:rsidRPr="00742553">
              <w:rPr>
                <w:sz w:val="18"/>
                <w:szCs w:val="18"/>
              </w:rPr>
              <w:t xml:space="preserve"> Ministry of Lands and </w:t>
            </w:r>
            <w:r w:rsidR="00CF75E6">
              <w:rPr>
                <w:sz w:val="18"/>
                <w:szCs w:val="18"/>
              </w:rPr>
              <w:t>N</w:t>
            </w:r>
            <w:r w:rsidR="00F6481F" w:rsidRPr="00742553">
              <w:rPr>
                <w:sz w:val="18"/>
                <w:szCs w:val="18"/>
              </w:rPr>
              <w:t xml:space="preserve">atural </w:t>
            </w:r>
            <w:r w:rsidR="00CF75E6">
              <w:rPr>
                <w:sz w:val="18"/>
                <w:szCs w:val="18"/>
              </w:rPr>
              <w:t>R</w:t>
            </w:r>
            <w:r w:rsidR="00F6481F" w:rsidRPr="00742553">
              <w:rPr>
                <w:sz w:val="18"/>
                <w:szCs w:val="18"/>
              </w:rPr>
              <w:t>esources</w:t>
            </w:r>
          </w:p>
        </w:tc>
        <w:tc>
          <w:tcPr>
            <w:tcW w:w="1709" w:type="dxa"/>
          </w:tcPr>
          <w:p w14:paraId="6DFB4CF3" w14:textId="77777777" w:rsidR="00F6481F" w:rsidRPr="00742553" w:rsidRDefault="00F6481F" w:rsidP="00C64533">
            <w:pPr>
              <w:jc w:val="center"/>
              <w:rPr>
                <w:sz w:val="18"/>
                <w:szCs w:val="18"/>
              </w:rPr>
            </w:pPr>
            <w:r w:rsidRPr="00742553">
              <w:rPr>
                <w:b/>
                <w:bCs/>
                <w:sz w:val="18"/>
                <w:szCs w:val="18"/>
              </w:rPr>
              <w:lastRenderedPageBreak/>
              <w:t>Regular: 300,000</w:t>
            </w:r>
          </w:p>
          <w:p w14:paraId="5CC3E583" w14:textId="77777777" w:rsidR="00F6481F" w:rsidRPr="00742553" w:rsidRDefault="00F6481F" w:rsidP="00C64533">
            <w:pPr>
              <w:jc w:val="center"/>
              <w:rPr>
                <w:sz w:val="18"/>
                <w:szCs w:val="18"/>
              </w:rPr>
            </w:pPr>
            <w:r w:rsidRPr="00742553">
              <w:rPr>
                <w:b/>
                <w:bCs/>
                <w:sz w:val="18"/>
                <w:szCs w:val="18"/>
              </w:rPr>
              <w:t>Others: 3,500,000</w:t>
            </w:r>
          </w:p>
        </w:tc>
      </w:tr>
    </w:tbl>
    <w:p w14:paraId="2440D4A0" w14:textId="77777777" w:rsidR="00125010" w:rsidRPr="008079CD" w:rsidRDefault="00125010" w:rsidP="00125010">
      <w:pPr>
        <w:rPr>
          <w:color w:val="000000"/>
        </w:rPr>
      </w:pPr>
    </w:p>
    <w:p w14:paraId="0BFCE2E5" w14:textId="36FA172D" w:rsidR="00D6679C" w:rsidRDefault="00D63630" w:rsidP="00D63630">
      <w:pPr>
        <w:jc w:val="center"/>
        <w:rPr>
          <w:color w:val="000000"/>
        </w:rPr>
      </w:pPr>
      <w:r>
        <w:rPr>
          <w:noProof/>
          <w:color w:val="000000"/>
        </w:rPr>
        <w:drawing>
          <wp:inline distT="0" distB="0" distL="0" distR="0" wp14:anchorId="02D24EF9" wp14:editId="6D6E2E7B">
            <wp:extent cx="920750" cy="6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D6679C" w:rsidSect="0036139C">
      <w:headerReference w:type="even" r:id="rId20"/>
      <w:headerReference w:type="default" r:id="rId21"/>
      <w:footerReference w:type="even" r:id="rId22"/>
      <w:footerReference w:type="default" r:id="rId23"/>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8CCDA" w14:textId="77777777" w:rsidR="00C5090C" w:rsidRDefault="00C5090C" w:rsidP="00441061">
      <w:r>
        <w:separator/>
      </w:r>
    </w:p>
  </w:endnote>
  <w:endnote w:type="continuationSeparator" w:id="0">
    <w:p w14:paraId="21A2B361" w14:textId="77777777" w:rsidR="00C5090C" w:rsidRDefault="00C5090C" w:rsidP="00441061">
      <w:r>
        <w:continuationSeparator/>
      </w:r>
    </w:p>
  </w:endnote>
  <w:endnote w:type="continuationNotice" w:id="1">
    <w:p w14:paraId="18133905" w14:textId="77777777" w:rsidR="00C5090C" w:rsidRDefault="00C509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611633"/>
      <w:docPartObj>
        <w:docPartGallery w:val="Page Numbers (Bottom of Page)"/>
        <w:docPartUnique/>
      </w:docPartObj>
    </w:sdtPr>
    <w:sdtEndPr>
      <w:rPr>
        <w:b/>
        <w:bCs/>
        <w:noProof/>
        <w:sz w:val="17"/>
        <w:szCs w:val="17"/>
      </w:rPr>
    </w:sdtEndPr>
    <w:sdtContent>
      <w:p w14:paraId="2440D567" w14:textId="1C94CE79" w:rsidR="003D3682" w:rsidRPr="00BC69D9" w:rsidRDefault="00BC69D9" w:rsidP="00BC69D9">
        <w:pPr>
          <w:pStyle w:val="Footer"/>
          <w:ind w:firstLine="630"/>
          <w:rPr>
            <w:b/>
            <w:bCs/>
            <w:sz w:val="17"/>
            <w:szCs w:val="17"/>
          </w:rPr>
        </w:pPr>
        <w:r w:rsidRPr="00BC69D9">
          <w:rPr>
            <w:b/>
            <w:bCs/>
            <w:sz w:val="17"/>
            <w:szCs w:val="17"/>
          </w:rPr>
          <w:fldChar w:fldCharType="begin"/>
        </w:r>
        <w:r w:rsidRPr="00BC69D9">
          <w:rPr>
            <w:b/>
            <w:bCs/>
            <w:sz w:val="17"/>
            <w:szCs w:val="17"/>
          </w:rPr>
          <w:instrText xml:space="preserve"> PAGE   \* MERGEFORMAT </w:instrText>
        </w:r>
        <w:r w:rsidRPr="00BC69D9">
          <w:rPr>
            <w:b/>
            <w:bCs/>
            <w:sz w:val="17"/>
            <w:szCs w:val="17"/>
          </w:rPr>
          <w:fldChar w:fldCharType="separate"/>
        </w:r>
        <w:r w:rsidRPr="00BC69D9">
          <w:rPr>
            <w:b/>
            <w:bCs/>
            <w:noProof/>
            <w:sz w:val="17"/>
            <w:szCs w:val="17"/>
          </w:rPr>
          <w:t>2</w:t>
        </w:r>
        <w:r w:rsidRPr="00BC69D9">
          <w:rPr>
            <w:b/>
            <w:bCs/>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613523"/>
      <w:docPartObj>
        <w:docPartGallery w:val="Page Numbers (Bottom of Page)"/>
        <w:docPartUnique/>
      </w:docPartObj>
    </w:sdtPr>
    <w:sdtEndPr>
      <w:rPr>
        <w:b/>
        <w:bCs/>
        <w:noProof/>
        <w:sz w:val="17"/>
        <w:szCs w:val="17"/>
      </w:rPr>
    </w:sdtEndPr>
    <w:sdtContent>
      <w:p w14:paraId="2440D569" w14:textId="70F98E07" w:rsidR="003D3682" w:rsidRPr="00CE2A86" w:rsidRDefault="00CE2A86" w:rsidP="00CE2A86">
        <w:pPr>
          <w:pStyle w:val="Footer"/>
          <w:ind w:right="270"/>
          <w:jc w:val="right"/>
          <w:rPr>
            <w:b/>
            <w:bCs/>
            <w:sz w:val="17"/>
            <w:szCs w:val="17"/>
          </w:rPr>
        </w:pPr>
        <w:r w:rsidRPr="00CE2A86">
          <w:rPr>
            <w:b/>
            <w:bCs/>
            <w:sz w:val="17"/>
            <w:szCs w:val="17"/>
          </w:rPr>
          <w:fldChar w:fldCharType="begin"/>
        </w:r>
        <w:r w:rsidRPr="00CE2A86">
          <w:rPr>
            <w:b/>
            <w:bCs/>
            <w:sz w:val="17"/>
            <w:szCs w:val="17"/>
          </w:rPr>
          <w:instrText xml:space="preserve"> PAGE   \* MERGEFORMAT </w:instrText>
        </w:r>
        <w:r w:rsidRPr="00CE2A86">
          <w:rPr>
            <w:b/>
            <w:bCs/>
            <w:sz w:val="17"/>
            <w:szCs w:val="17"/>
          </w:rPr>
          <w:fldChar w:fldCharType="separate"/>
        </w:r>
        <w:r w:rsidRPr="00CE2A86">
          <w:rPr>
            <w:b/>
            <w:bCs/>
            <w:noProof/>
            <w:sz w:val="17"/>
            <w:szCs w:val="17"/>
          </w:rPr>
          <w:t>2</w:t>
        </w:r>
        <w:r w:rsidRPr="00CE2A86">
          <w:rPr>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962712"/>
      <w:docPartObj>
        <w:docPartGallery w:val="Page Numbers (Bottom of Page)"/>
        <w:docPartUnique/>
      </w:docPartObj>
    </w:sdtPr>
    <w:sdtEndPr>
      <w:rPr>
        <w:b/>
        <w:bCs/>
        <w:noProof/>
        <w:sz w:val="17"/>
        <w:szCs w:val="17"/>
      </w:rPr>
    </w:sdtEndPr>
    <w:sdtContent>
      <w:p w14:paraId="06093A11" w14:textId="77777777" w:rsidR="00461411" w:rsidRPr="00BC69D9" w:rsidRDefault="00461411" w:rsidP="00461411">
        <w:pPr>
          <w:pStyle w:val="Footer"/>
          <w:rPr>
            <w:b/>
            <w:bCs/>
            <w:sz w:val="17"/>
            <w:szCs w:val="17"/>
          </w:rPr>
        </w:pPr>
        <w:r w:rsidRPr="00BC69D9">
          <w:rPr>
            <w:b/>
            <w:bCs/>
            <w:sz w:val="17"/>
            <w:szCs w:val="17"/>
          </w:rPr>
          <w:fldChar w:fldCharType="begin"/>
        </w:r>
        <w:r w:rsidRPr="00BC69D9">
          <w:rPr>
            <w:b/>
            <w:bCs/>
            <w:sz w:val="17"/>
            <w:szCs w:val="17"/>
          </w:rPr>
          <w:instrText xml:space="preserve"> PAGE   \* MERGEFORMAT </w:instrText>
        </w:r>
        <w:r w:rsidRPr="00BC69D9">
          <w:rPr>
            <w:b/>
            <w:bCs/>
            <w:sz w:val="17"/>
            <w:szCs w:val="17"/>
          </w:rPr>
          <w:fldChar w:fldCharType="separate"/>
        </w:r>
        <w:r w:rsidRPr="00BC69D9">
          <w:rPr>
            <w:b/>
            <w:bCs/>
            <w:noProof/>
            <w:sz w:val="17"/>
            <w:szCs w:val="17"/>
          </w:rPr>
          <w:t>2</w:t>
        </w:r>
        <w:r w:rsidRPr="00BC69D9">
          <w:rPr>
            <w:b/>
            <w:bCs/>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560207"/>
      <w:docPartObj>
        <w:docPartGallery w:val="Page Numbers (Bottom of Page)"/>
        <w:docPartUnique/>
      </w:docPartObj>
    </w:sdtPr>
    <w:sdtEndPr>
      <w:rPr>
        <w:b/>
        <w:bCs/>
        <w:noProof/>
        <w:sz w:val="17"/>
        <w:szCs w:val="17"/>
      </w:rPr>
    </w:sdtEndPr>
    <w:sdtContent>
      <w:p w14:paraId="54AA5783" w14:textId="77777777" w:rsidR="00461411" w:rsidRPr="00CE2A86" w:rsidRDefault="00461411" w:rsidP="00461411">
        <w:pPr>
          <w:pStyle w:val="Footer"/>
          <w:ind w:right="486"/>
          <w:jc w:val="right"/>
          <w:rPr>
            <w:b/>
            <w:bCs/>
            <w:sz w:val="17"/>
            <w:szCs w:val="17"/>
          </w:rPr>
        </w:pPr>
        <w:r w:rsidRPr="00CE2A86">
          <w:rPr>
            <w:b/>
            <w:bCs/>
            <w:sz w:val="17"/>
            <w:szCs w:val="17"/>
          </w:rPr>
          <w:fldChar w:fldCharType="begin"/>
        </w:r>
        <w:r w:rsidRPr="00CE2A86">
          <w:rPr>
            <w:b/>
            <w:bCs/>
            <w:sz w:val="17"/>
            <w:szCs w:val="17"/>
          </w:rPr>
          <w:instrText xml:space="preserve"> PAGE   \* MERGEFORMAT </w:instrText>
        </w:r>
        <w:r w:rsidRPr="00CE2A86">
          <w:rPr>
            <w:b/>
            <w:bCs/>
            <w:sz w:val="17"/>
            <w:szCs w:val="17"/>
          </w:rPr>
          <w:fldChar w:fldCharType="separate"/>
        </w:r>
        <w:r w:rsidRPr="00CE2A86">
          <w:rPr>
            <w:b/>
            <w:bCs/>
            <w:noProof/>
            <w:sz w:val="17"/>
            <w:szCs w:val="17"/>
          </w:rPr>
          <w:t>2</w:t>
        </w:r>
        <w:r w:rsidRPr="00CE2A86">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94AE7" w14:textId="77777777" w:rsidR="00C5090C" w:rsidRDefault="00C5090C" w:rsidP="00441061">
      <w:r>
        <w:separator/>
      </w:r>
    </w:p>
  </w:footnote>
  <w:footnote w:type="continuationSeparator" w:id="0">
    <w:p w14:paraId="726FC614" w14:textId="77777777" w:rsidR="00C5090C" w:rsidRDefault="00C5090C" w:rsidP="00441061">
      <w:r>
        <w:continuationSeparator/>
      </w:r>
    </w:p>
  </w:footnote>
  <w:footnote w:type="continuationNotice" w:id="1">
    <w:p w14:paraId="672C382F" w14:textId="77777777" w:rsidR="00C5090C" w:rsidRDefault="00C5090C"/>
  </w:footnote>
  <w:footnote w:id="2">
    <w:p w14:paraId="5D120EAF" w14:textId="1E820DD6" w:rsidR="00D53D9D" w:rsidRPr="005E4A4D" w:rsidRDefault="00D53D9D" w:rsidP="00D53D9D">
      <w:pPr>
        <w:pStyle w:val="FootnoteText"/>
        <w:rPr>
          <w:rFonts w:ascii="Times New Roman" w:hAnsi="Times New Roman"/>
          <w:sz w:val="16"/>
          <w:szCs w:val="16"/>
        </w:rPr>
      </w:pPr>
      <w:r w:rsidRPr="005E4A4D">
        <w:rPr>
          <w:rStyle w:val="FootnoteReference"/>
          <w:rFonts w:ascii="Times New Roman" w:hAnsi="Times New Roman"/>
          <w:sz w:val="16"/>
          <w:szCs w:val="16"/>
        </w:rPr>
        <w:footnoteRef/>
      </w:r>
      <w:r w:rsidRPr="005E4A4D">
        <w:rPr>
          <w:rFonts w:ascii="Times New Roman" w:hAnsi="Times New Roman"/>
          <w:sz w:val="16"/>
          <w:szCs w:val="16"/>
        </w:rPr>
        <w:t xml:space="preserve"> NDPC/GoG (2019)</w:t>
      </w:r>
      <w:r w:rsidR="00564418" w:rsidRPr="005E4A4D">
        <w:rPr>
          <w:rFonts w:ascii="Times New Roman" w:hAnsi="Times New Roman"/>
          <w:sz w:val="16"/>
          <w:szCs w:val="16"/>
        </w:rPr>
        <w:t>, “</w:t>
      </w:r>
      <w:r w:rsidRPr="005E4A4D">
        <w:rPr>
          <w:rFonts w:ascii="Times New Roman" w:hAnsi="Times New Roman"/>
          <w:sz w:val="16"/>
          <w:szCs w:val="16"/>
        </w:rPr>
        <w:t xml:space="preserve">Ghana: VNR Report on the Implementation of the 2030 Agenda for </w:t>
      </w:r>
      <w:r w:rsidR="00564418" w:rsidRPr="005E4A4D">
        <w:rPr>
          <w:rFonts w:ascii="Times New Roman" w:hAnsi="Times New Roman"/>
          <w:sz w:val="16"/>
          <w:szCs w:val="16"/>
        </w:rPr>
        <w:t>S</w:t>
      </w:r>
      <w:r w:rsidRPr="005E4A4D">
        <w:rPr>
          <w:rFonts w:ascii="Times New Roman" w:hAnsi="Times New Roman"/>
          <w:sz w:val="16"/>
          <w:szCs w:val="16"/>
        </w:rPr>
        <w:t>ustainable Development</w:t>
      </w:r>
      <w:r w:rsidR="00564418" w:rsidRPr="005E4A4D">
        <w:rPr>
          <w:rFonts w:ascii="Times New Roman" w:hAnsi="Times New Roman"/>
          <w:sz w:val="16"/>
          <w:szCs w:val="16"/>
        </w:rPr>
        <w:t>,</w:t>
      </w:r>
      <w:r w:rsidRPr="005E4A4D">
        <w:rPr>
          <w:rFonts w:ascii="Times New Roman" w:hAnsi="Times New Roman"/>
          <w:sz w:val="16"/>
          <w:szCs w:val="16"/>
        </w:rPr>
        <w:t>”</w:t>
      </w:r>
      <w:r w:rsidR="00564418" w:rsidRPr="005E4A4D">
        <w:rPr>
          <w:rFonts w:ascii="Times New Roman" w:hAnsi="Times New Roman"/>
          <w:sz w:val="16"/>
          <w:szCs w:val="16"/>
        </w:rPr>
        <w:t xml:space="preserve"> p. </w:t>
      </w:r>
      <w:r w:rsidRPr="005E4A4D">
        <w:rPr>
          <w:rFonts w:ascii="Times New Roman" w:hAnsi="Times New Roman"/>
          <w:sz w:val="16"/>
          <w:szCs w:val="16"/>
        </w:rPr>
        <w:t>118</w:t>
      </w:r>
      <w:r w:rsidR="00564418" w:rsidRPr="005E4A4D">
        <w:rPr>
          <w:rFonts w:ascii="Times New Roman" w:hAnsi="Times New Roman"/>
          <w:sz w:val="16"/>
          <w:szCs w:val="16"/>
        </w:rPr>
        <w:t>.</w:t>
      </w:r>
    </w:p>
  </w:footnote>
  <w:footnote w:id="3">
    <w:p w14:paraId="0478ABF0" w14:textId="7835C54D" w:rsidR="006119F8" w:rsidRPr="005E4A4D" w:rsidRDefault="006119F8">
      <w:pPr>
        <w:pStyle w:val="FootnoteText"/>
        <w:rPr>
          <w:rFonts w:ascii="Times New Roman" w:hAnsi="Times New Roman"/>
          <w:sz w:val="16"/>
          <w:szCs w:val="16"/>
        </w:rPr>
      </w:pPr>
      <w:r w:rsidRPr="005E4A4D">
        <w:rPr>
          <w:rStyle w:val="FootnoteReference"/>
          <w:rFonts w:ascii="Times New Roman" w:hAnsi="Times New Roman"/>
          <w:sz w:val="16"/>
          <w:szCs w:val="16"/>
        </w:rPr>
        <w:footnoteRef/>
      </w:r>
      <w:r w:rsidRPr="005E4A4D">
        <w:rPr>
          <w:rFonts w:ascii="Times New Roman" w:hAnsi="Times New Roman"/>
          <w:sz w:val="16"/>
          <w:szCs w:val="16"/>
        </w:rPr>
        <w:t xml:space="preserve"> </w:t>
      </w:r>
      <w:r w:rsidR="009A4268" w:rsidRPr="005E4A4D">
        <w:rPr>
          <w:rFonts w:ascii="Times New Roman" w:hAnsi="Times New Roman"/>
          <w:sz w:val="16"/>
          <w:szCs w:val="16"/>
        </w:rPr>
        <w:t>UN Ghana (2021)</w:t>
      </w:r>
      <w:r w:rsidR="00564418" w:rsidRPr="005E4A4D">
        <w:rPr>
          <w:rFonts w:ascii="Times New Roman" w:hAnsi="Times New Roman"/>
          <w:sz w:val="16"/>
          <w:szCs w:val="16"/>
        </w:rPr>
        <w:t>,</w:t>
      </w:r>
      <w:r w:rsidR="009A4268" w:rsidRPr="005E4A4D">
        <w:rPr>
          <w:rFonts w:ascii="Times New Roman" w:hAnsi="Times New Roman"/>
          <w:sz w:val="16"/>
          <w:szCs w:val="16"/>
        </w:rPr>
        <w:t xml:space="preserve"> United Nations Common Country Analysis </w:t>
      </w:r>
      <w:r w:rsidR="00056D08" w:rsidRPr="005E4A4D">
        <w:rPr>
          <w:rFonts w:ascii="Times New Roman" w:hAnsi="Times New Roman"/>
          <w:sz w:val="16"/>
          <w:szCs w:val="16"/>
        </w:rPr>
        <w:t>for</w:t>
      </w:r>
      <w:r w:rsidR="009A4268" w:rsidRPr="005E4A4D">
        <w:rPr>
          <w:rFonts w:ascii="Times New Roman" w:hAnsi="Times New Roman"/>
          <w:sz w:val="16"/>
          <w:szCs w:val="16"/>
        </w:rPr>
        <w:t xml:space="preserve"> The Republic </w:t>
      </w:r>
      <w:r w:rsidR="00E064D9" w:rsidRPr="005E4A4D">
        <w:rPr>
          <w:rFonts w:ascii="Times New Roman" w:hAnsi="Times New Roman"/>
          <w:sz w:val="16"/>
          <w:szCs w:val="16"/>
        </w:rPr>
        <w:t>of</w:t>
      </w:r>
      <w:r w:rsidR="009A4268" w:rsidRPr="005E4A4D">
        <w:rPr>
          <w:rFonts w:ascii="Times New Roman" w:hAnsi="Times New Roman"/>
          <w:sz w:val="16"/>
          <w:szCs w:val="16"/>
        </w:rPr>
        <w:t xml:space="preserve"> Ghana.</w:t>
      </w:r>
    </w:p>
  </w:footnote>
  <w:footnote w:id="4">
    <w:p w14:paraId="060C3484" w14:textId="26990009" w:rsidR="00340A68" w:rsidRPr="005E4A4D" w:rsidRDefault="00340A68" w:rsidP="00340A68">
      <w:pPr>
        <w:pStyle w:val="FootnoteText"/>
        <w:rPr>
          <w:rFonts w:ascii="Times New Roman" w:hAnsi="Times New Roman"/>
          <w:sz w:val="16"/>
          <w:szCs w:val="16"/>
        </w:rPr>
      </w:pPr>
      <w:r w:rsidRPr="005E4A4D">
        <w:rPr>
          <w:rFonts w:ascii="Times New Roman" w:hAnsi="Times New Roman"/>
          <w:sz w:val="16"/>
          <w:szCs w:val="16"/>
          <w:vertAlign w:val="superscript"/>
        </w:rPr>
        <w:footnoteRef/>
      </w:r>
      <w:r w:rsidRPr="005E4A4D">
        <w:rPr>
          <w:rFonts w:ascii="Times New Roman" w:hAnsi="Times New Roman"/>
          <w:sz w:val="16"/>
          <w:szCs w:val="16"/>
        </w:rPr>
        <w:t xml:space="preserve"> UN Ghana</w:t>
      </w:r>
      <w:r w:rsidR="009A4268" w:rsidRPr="005E4A4D">
        <w:rPr>
          <w:rFonts w:ascii="Times New Roman" w:hAnsi="Times New Roman"/>
          <w:sz w:val="16"/>
          <w:szCs w:val="16"/>
        </w:rPr>
        <w:t xml:space="preserve"> </w:t>
      </w:r>
      <w:r w:rsidRPr="005E4A4D">
        <w:rPr>
          <w:rFonts w:ascii="Times New Roman" w:hAnsi="Times New Roman"/>
          <w:sz w:val="16"/>
          <w:szCs w:val="16"/>
        </w:rPr>
        <w:t>(2021)</w:t>
      </w:r>
      <w:r w:rsidR="00564418" w:rsidRPr="005E4A4D">
        <w:rPr>
          <w:rFonts w:ascii="Times New Roman" w:hAnsi="Times New Roman"/>
          <w:sz w:val="16"/>
          <w:szCs w:val="16"/>
        </w:rPr>
        <w:t>,</w:t>
      </w:r>
      <w:r w:rsidR="009A4268" w:rsidRPr="005E4A4D">
        <w:rPr>
          <w:rFonts w:ascii="Times New Roman" w:hAnsi="Times New Roman"/>
          <w:sz w:val="16"/>
          <w:szCs w:val="16"/>
        </w:rPr>
        <w:t xml:space="preserve"> </w:t>
      </w:r>
      <w:r w:rsidR="00564418" w:rsidRPr="005E4A4D">
        <w:rPr>
          <w:rFonts w:ascii="Times New Roman" w:hAnsi="Times New Roman"/>
          <w:sz w:val="16"/>
          <w:szCs w:val="16"/>
        </w:rPr>
        <w:t>“</w:t>
      </w:r>
      <w:r w:rsidRPr="005E4A4D">
        <w:rPr>
          <w:rFonts w:ascii="Times New Roman" w:hAnsi="Times New Roman"/>
          <w:sz w:val="16"/>
          <w:szCs w:val="16"/>
        </w:rPr>
        <w:t>Economic Transformation Analysis</w:t>
      </w:r>
      <w:r w:rsidR="00564418" w:rsidRPr="005E4A4D">
        <w:rPr>
          <w:rFonts w:ascii="Times New Roman" w:hAnsi="Times New Roman"/>
          <w:sz w:val="16"/>
          <w:szCs w:val="16"/>
        </w:rPr>
        <w:t>,</w:t>
      </w:r>
      <w:r w:rsidRPr="005E4A4D">
        <w:rPr>
          <w:rFonts w:ascii="Times New Roman" w:hAnsi="Times New Roman"/>
          <w:sz w:val="16"/>
          <w:szCs w:val="16"/>
        </w:rPr>
        <w:t>” CCA Thematic Brief,</w:t>
      </w:r>
      <w:r w:rsidR="00564418" w:rsidRPr="005E4A4D">
        <w:rPr>
          <w:rFonts w:ascii="Times New Roman" w:hAnsi="Times New Roman"/>
          <w:sz w:val="16"/>
          <w:szCs w:val="16"/>
        </w:rPr>
        <w:t xml:space="preserve"> p. </w:t>
      </w:r>
      <w:r w:rsidRPr="005E4A4D">
        <w:rPr>
          <w:rFonts w:ascii="Times New Roman" w:hAnsi="Times New Roman"/>
          <w:sz w:val="16"/>
          <w:szCs w:val="16"/>
        </w:rPr>
        <w:t>52</w:t>
      </w:r>
      <w:r w:rsidR="00564418" w:rsidRPr="005E4A4D">
        <w:rPr>
          <w:rFonts w:ascii="Times New Roman" w:hAnsi="Times New Roman"/>
          <w:sz w:val="16"/>
          <w:szCs w:val="16"/>
        </w:rPr>
        <w:t>.</w:t>
      </w:r>
    </w:p>
  </w:footnote>
  <w:footnote w:id="5">
    <w:p w14:paraId="53A85B81" w14:textId="6937D8D2" w:rsidR="00B04449" w:rsidRPr="005E4A4D" w:rsidRDefault="00B04449">
      <w:pPr>
        <w:pStyle w:val="FootnoteText"/>
        <w:rPr>
          <w:rFonts w:ascii="Times New Roman" w:hAnsi="Times New Roman"/>
          <w:sz w:val="16"/>
          <w:szCs w:val="16"/>
        </w:rPr>
      </w:pPr>
      <w:r w:rsidRPr="005E4A4D">
        <w:rPr>
          <w:rStyle w:val="FootnoteReference"/>
          <w:rFonts w:ascii="Times New Roman" w:hAnsi="Times New Roman"/>
          <w:sz w:val="16"/>
          <w:szCs w:val="16"/>
        </w:rPr>
        <w:footnoteRef/>
      </w:r>
      <w:r w:rsidRPr="005E4A4D">
        <w:rPr>
          <w:rFonts w:ascii="Times New Roman" w:hAnsi="Times New Roman"/>
          <w:sz w:val="16"/>
          <w:szCs w:val="16"/>
        </w:rPr>
        <w:t xml:space="preserve"> UNDP Ghana Briefing Note Impact </w:t>
      </w:r>
      <w:r w:rsidR="00056D08" w:rsidRPr="005E4A4D">
        <w:rPr>
          <w:rFonts w:ascii="Times New Roman" w:hAnsi="Times New Roman"/>
          <w:sz w:val="16"/>
          <w:szCs w:val="16"/>
        </w:rPr>
        <w:t>of</w:t>
      </w:r>
      <w:r w:rsidRPr="005E4A4D">
        <w:rPr>
          <w:rFonts w:ascii="Times New Roman" w:hAnsi="Times New Roman"/>
          <w:sz w:val="16"/>
          <w:szCs w:val="16"/>
        </w:rPr>
        <w:t xml:space="preserve"> Russia-Ukraine War </w:t>
      </w:r>
      <w:r w:rsidR="00E064D9" w:rsidRPr="005E4A4D">
        <w:rPr>
          <w:rFonts w:ascii="Times New Roman" w:hAnsi="Times New Roman"/>
          <w:sz w:val="16"/>
          <w:szCs w:val="16"/>
        </w:rPr>
        <w:t>on</w:t>
      </w:r>
      <w:r w:rsidRPr="005E4A4D">
        <w:rPr>
          <w:rFonts w:ascii="Times New Roman" w:hAnsi="Times New Roman"/>
          <w:sz w:val="16"/>
          <w:szCs w:val="16"/>
        </w:rPr>
        <w:t xml:space="preserve"> Ghana.</w:t>
      </w:r>
      <w:r w:rsidR="00BF2F39" w:rsidRPr="005E4A4D">
        <w:rPr>
          <w:rFonts w:ascii="Times New Roman" w:hAnsi="Times New Roman"/>
          <w:sz w:val="16"/>
          <w:szCs w:val="16"/>
        </w:rPr>
        <w:t xml:space="preserve"> </w:t>
      </w:r>
    </w:p>
  </w:footnote>
  <w:footnote w:id="6">
    <w:p w14:paraId="66307AB1" w14:textId="71F0DCB3" w:rsidR="00826A13" w:rsidRPr="005E4A4D" w:rsidRDefault="00826A13" w:rsidP="00826A13">
      <w:pPr>
        <w:pStyle w:val="FootnoteText"/>
        <w:rPr>
          <w:rFonts w:ascii="Times New Roman" w:hAnsi="Times New Roman"/>
          <w:sz w:val="16"/>
          <w:szCs w:val="16"/>
        </w:rPr>
      </w:pPr>
      <w:r w:rsidRPr="005E4A4D">
        <w:rPr>
          <w:rFonts w:ascii="Times New Roman" w:hAnsi="Times New Roman"/>
          <w:sz w:val="16"/>
          <w:szCs w:val="16"/>
          <w:vertAlign w:val="superscript"/>
        </w:rPr>
        <w:footnoteRef/>
      </w:r>
      <w:r w:rsidRPr="005E4A4D">
        <w:rPr>
          <w:rFonts w:ascii="Times New Roman" w:hAnsi="Times New Roman"/>
          <w:sz w:val="16"/>
          <w:szCs w:val="16"/>
        </w:rPr>
        <w:t xml:space="preserve"> The World Bank</w:t>
      </w:r>
      <w:r w:rsidR="00564418" w:rsidRPr="005E4A4D">
        <w:rPr>
          <w:rFonts w:ascii="Times New Roman" w:hAnsi="Times New Roman"/>
          <w:sz w:val="16"/>
          <w:szCs w:val="16"/>
        </w:rPr>
        <w:t xml:space="preserve"> (</w:t>
      </w:r>
      <w:r w:rsidRPr="005E4A4D">
        <w:rPr>
          <w:rFonts w:ascii="Times New Roman" w:hAnsi="Times New Roman"/>
          <w:sz w:val="16"/>
          <w:szCs w:val="16"/>
        </w:rPr>
        <w:t>2020</w:t>
      </w:r>
      <w:r w:rsidR="00564418" w:rsidRPr="005E4A4D">
        <w:rPr>
          <w:rFonts w:ascii="Times New Roman" w:hAnsi="Times New Roman"/>
          <w:sz w:val="16"/>
          <w:szCs w:val="16"/>
        </w:rPr>
        <w:t>),</w:t>
      </w:r>
      <w:r w:rsidRPr="005E4A4D">
        <w:rPr>
          <w:rFonts w:ascii="Times New Roman" w:hAnsi="Times New Roman"/>
          <w:sz w:val="16"/>
          <w:szCs w:val="16"/>
        </w:rPr>
        <w:t xml:space="preserve"> Ghana Country Environmental Analysis</w:t>
      </w:r>
      <w:r w:rsidR="00FF252B">
        <w:rPr>
          <w:rFonts w:ascii="Times New Roman" w:hAnsi="Times New Roman"/>
          <w:sz w:val="16"/>
          <w:szCs w:val="16"/>
        </w:rPr>
        <w:t>.</w:t>
      </w:r>
    </w:p>
  </w:footnote>
  <w:footnote w:id="7">
    <w:p w14:paraId="34DB3D0F" w14:textId="5DC0F565" w:rsidR="003B271D" w:rsidRPr="005E4A4D" w:rsidRDefault="003B271D" w:rsidP="003B271D">
      <w:pPr>
        <w:pStyle w:val="FootnoteText"/>
        <w:rPr>
          <w:rFonts w:ascii="Times New Roman" w:hAnsi="Times New Roman"/>
          <w:sz w:val="16"/>
          <w:szCs w:val="16"/>
        </w:rPr>
      </w:pPr>
      <w:r w:rsidRPr="005E4A4D">
        <w:rPr>
          <w:rStyle w:val="FootnoteReference"/>
          <w:rFonts w:ascii="Times New Roman" w:hAnsi="Times New Roman"/>
          <w:sz w:val="16"/>
          <w:szCs w:val="16"/>
        </w:rPr>
        <w:footnoteRef/>
      </w:r>
      <w:r w:rsidR="00FA6AFC" w:rsidRPr="005E4A4D">
        <w:rPr>
          <w:rFonts w:ascii="Times New Roman" w:hAnsi="Times New Roman"/>
          <w:sz w:val="16"/>
          <w:szCs w:val="16"/>
        </w:rPr>
        <w:t xml:space="preserve"> </w:t>
      </w:r>
      <w:r w:rsidRPr="005E4A4D">
        <w:rPr>
          <w:rFonts w:ascii="Times New Roman" w:hAnsi="Times New Roman"/>
          <w:sz w:val="16"/>
          <w:szCs w:val="16"/>
        </w:rPr>
        <w:t>Updated Nationally Determined Contribution under the Paris Agreement (2020 - 2030)</w:t>
      </w:r>
      <w:r w:rsidR="00FA6AFC" w:rsidRPr="005E4A4D">
        <w:rPr>
          <w:rFonts w:ascii="Times New Roman" w:hAnsi="Times New Roman"/>
          <w:sz w:val="16"/>
          <w:szCs w:val="16"/>
        </w:rPr>
        <w:t>.</w:t>
      </w:r>
    </w:p>
  </w:footnote>
  <w:footnote w:id="8">
    <w:p w14:paraId="1C4BE41C" w14:textId="47521096" w:rsidR="007E4CA1" w:rsidRPr="005E4A4D" w:rsidRDefault="007E4CA1" w:rsidP="007E4CA1">
      <w:pPr>
        <w:pStyle w:val="FootnoteText"/>
        <w:rPr>
          <w:rFonts w:ascii="Times New Roman" w:hAnsi="Times New Roman"/>
          <w:sz w:val="16"/>
          <w:szCs w:val="16"/>
        </w:rPr>
      </w:pPr>
      <w:r w:rsidRPr="005E4A4D">
        <w:rPr>
          <w:rFonts w:ascii="Times New Roman" w:hAnsi="Times New Roman"/>
          <w:sz w:val="16"/>
          <w:szCs w:val="16"/>
          <w:vertAlign w:val="superscript"/>
        </w:rPr>
        <w:footnoteRef/>
      </w:r>
      <w:r w:rsidRPr="005E4A4D">
        <w:rPr>
          <w:rFonts w:ascii="Times New Roman" w:hAnsi="Times New Roman"/>
          <w:sz w:val="16"/>
          <w:szCs w:val="16"/>
          <w:vertAlign w:val="superscript"/>
        </w:rPr>
        <w:t xml:space="preserve"> </w:t>
      </w:r>
      <w:r w:rsidRPr="005E4A4D">
        <w:rPr>
          <w:rFonts w:ascii="Times New Roman" w:hAnsi="Times New Roman"/>
          <w:sz w:val="16"/>
          <w:szCs w:val="16"/>
        </w:rPr>
        <w:t>World Economic Forum (2021)</w:t>
      </w:r>
      <w:r w:rsidR="00341EC6" w:rsidRPr="005E4A4D">
        <w:rPr>
          <w:rFonts w:ascii="Times New Roman" w:hAnsi="Times New Roman"/>
          <w:sz w:val="16"/>
          <w:szCs w:val="16"/>
        </w:rPr>
        <w:t>,</w:t>
      </w:r>
      <w:r w:rsidRPr="005E4A4D">
        <w:rPr>
          <w:rFonts w:ascii="Times New Roman" w:hAnsi="Times New Roman"/>
          <w:sz w:val="16"/>
          <w:szCs w:val="16"/>
        </w:rPr>
        <w:t xml:space="preserve"> Country Financing Roadmap for the SDGs: Ghana</w:t>
      </w:r>
      <w:r w:rsidR="00341EC6" w:rsidRPr="005E4A4D">
        <w:rPr>
          <w:rFonts w:ascii="Times New Roman" w:hAnsi="Times New Roman"/>
          <w:sz w:val="16"/>
          <w:szCs w:val="16"/>
        </w:rPr>
        <w:t>.</w:t>
      </w:r>
    </w:p>
  </w:footnote>
  <w:footnote w:id="9">
    <w:p w14:paraId="0ABDE777" w14:textId="508A7C21" w:rsidR="00287914" w:rsidRPr="005E4A4D" w:rsidRDefault="00287914">
      <w:pPr>
        <w:pStyle w:val="FootnoteText"/>
        <w:rPr>
          <w:rFonts w:ascii="Times New Roman" w:hAnsi="Times New Roman"/>
          <w:sz w:val="16"/>
          <w:szCs w:val="16"/>
        </w:rPr>
      </w:pPr>
      <w:r w:rsidRPr="005E4A4D">
        <w:rPr>
          <w:rStyle w:val="FootnoteReference"/>
          <w:rFonts w:ascii="Times New Roman" w:hAnsi="Times New Roman"/>
          <w:sz w:val="16"/>
          <w:szCs w:val="16"/>
        </w:rPr>
        <w:footnoteRef/>
      </w:r>
      <w:r w:rsidR="00711062" w:rsidRPr="005E4A4D">
        <w:rPr>
          <w:rFonts w:ascii="Times New Roman" w:hAnsi="Times New Roman"/>
          <w:sz w:val="16"/>
          <w:szCs w:val="16"/>
        </w:rPr>
        <w:t xml:space="preserve"> See</w:t>
      </w:r>
      <w:r w:rsidRPr="005E4A4D">
        <w:rPr>
          <w:rFonts w:ascii="Times New Roman" w:hAnsi="Times New Roman"/>
          <w:sz w:val="16"/>
          <w:szCs w:val="16"/>
        </w:rPr>
        <w:t xml:space="preserve"> </w:t>
      </w:r>
      <w:hyperlink r:id="rId1" w:history="1">
        <w:r w:rsidRPr="005E4A4D">
          <w:rPr>
            <w:rStyle w:val="cf01"/>
            <w:rFonts w:ascii="Times New Roman" w:hAnsi="Times New Roman" w:cs="Times New Roman"/>
            <w:color w:val="0000FF"/>
            <w:sz w:val="16"/>
            <w:szCs w:val="16"/>
            <w:u w:val="single"/>
          </w:rPr>
          <w:t>https://inff.org/report/governance-and-coordination-report</w:t>
        </w:r>
      </w:hyperlink>
      <w:r w:rsidR="00711062" w:rsidRPr="005E4A4D">
        <w:rPr>
          <w:rFonts w:ascii="Times New Roman" w:hAnsi="Times New Roman"/>
          <w:sz w:val="16"/>
          <w:szCs w:val="16"/>
        </w:rPr>
        <w:t>.</w:t>
      </w:r>
    </w:p>
  </w:footnote>
  <w:footnote w:id="10">
    <w:p w14:paraId="3DDE9622" w14:textId="79A98916" w:rsidR="00BB0EB7" w:rsidRPr="005E4A4D" w:rsidRDefault="00BB0EB7" w:rsidP="00BB0EB7">
      <w:pPr>
        <w:rPr>
          <w:rFonts w:eastAsia="Calibri"/>
          <w:sz w:val="16"/>
          <w:szCs w:val="16"/>
          <w:lang w:val="en-GB"/>
        </w:rPr>
      </w:pPr>
      <w:r w:rsidRPr="005E4A4D">
        <w:rPr>
          <w:rStyle w:val="FootnoteReference"/>
          <w:sz w:val="16"/>
          <w:szCs w:val="16"/>
        </w:rPr>
        <w:footnoteRef/>
      </w:r>
      <w:r w:rsidRPr="005E4A4D">
        <w:rPr>
          <w:sz w:val="16"/>
          <w:szCs w:val="16"/>
        </w:rPr>
        <w:t xml:space="preserve"> </w:t>
      </w:r>
      <w:r w:rsidR="005E4A4D">
        <w:rPr>
          <w:rFonts w:eastAsia="Calibri"/>
          <w:sz w:val="16"/>
          <w:szCs w:val="16"/>
          <w:lang w:val="en-GB"/>
        </w:rPr>
        <w:t>U</w:t>
      </w:r>
      <w:r w:rsidRPr="005E4A4D">
        <w:rPr>
          <w:rFonts w:eastAsia="Calibri"/>
          <w:sz w:val="16"/>
          <w:szCs w:val="16"/>
          <w:lang w:val="en-GB"/>
        </w:rPr>
        <w:t xml:space="preserve">nit of measurement refers to </w:t>
      </w:r>
      <w:r w:rsidR="005E4A4D">
        <w:rPr>
          <w:rFonts w:eastAsia="Calibri"/>
          <w:sz w:val="16"/>
          <w:szCs w:val="16"/>
          <w:lang w:val="en-GB"/>
        </w:rPr>
        <w:t>m</w:t>
      </w:r>
      <w:r w:rsidRPr="005E4A4D">
        <w:rPr>
          <w:rFonts w:eastAsia="Calibri"/>
          <w:sz w:val="16"/>
          <w:szCs w:val="16"/>
          <w:lang w:val="en-GB"/>
        </w:rPr>
        <w:t>etric tons of carbon dioxide equivalent</w:t>
      </w:r>
      <w:r w:rsidR="005E4A4D">
        <w:rPr>
          <w:rFonts w:eastAsia="Calibri"/>
          <w:sz w:val="16"/>
          <w:szCs w:val="16"/>
          <w:lang w:val="en-GB"/>
        </w:rPr>
        <w:t>.</w:t>
      </w:r>
      <w:r w:rsidRPr="005E4A4D">
        <w:rPr>
          <w:rFonts w:eastAsia="Calibri"/>
          <w:sz w:val="16"/>
          <w:szCs w:val="16"/>
          <w:lang w:val="en-GB"/>
        </w:rPr>
        <w:t xml:space="preserve"> </w:t>
      </w:r>
    </w:p>
    <w:p w14:paraId="627E5ACC" w14:textId="1F3265EE" w:rsidR="00BB0EB7" w:rsidRPr="005E4A4D" w:rsidRDefault="00BB0EB7">
      <w:pPr>
        <w:pStyle w:val="FootnoteText"/>
        <w:rPr>
          <w:rFonts w:ascii="Times New Roman" w:hAnsi="Times New Roman"/>
          <w:sz w:val="16"/>
          <w:szCs w:val="16"/>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4872"/>
    </w:tblGrid>
    <w:tr w:rsidR="00BC69D9" w:rsidRPr="00657A41" w14:paraId="6C8F084B" w14:textId="77777777" w:rsidTr="00CE2A86">
      <w:trPr>
        <w:trHeight w:hRule="exact" w:val="864"/>
      </w:trPr>
      <w:tc>
        <w:tcPr>
          <w:tcW w:w="4668" w:type="dxa"/>
          <w:shd w:val="clear" w:color="auto" w:fill="auto"/>
          <w:vAlign w:val="bottom"/>
        </w:tcPr>
        <w:p w14:paraId="51B1F22D" w14:textId="7DB227A3" w:rsidR="00BC69D9" w:rsidRPr="00657A41" w:rsidRDefault="00BC69D9" w:rsidP="00BC69D9">
          <w:pPr>
            <w:tabs>
              <w:tab w:val="center" w:pos="4320"/>
              <w:tab w:val="right" w:pos="8640"/>
            </w:tabs>
            <w:spacing w:after="80"/>
            <w:rPr>
              <w:b/>
              <w:noProof/>
              <w:sz w:val="17"/>
            </w:rPr>
          </w:pPr>
          <w:bookmarkStart w:id="5" w:name="_Hlk72161445"/>
          <w:r w:rsidRPr="00657A41">
            <w:rPr>
              <w:b/>
              <w:noProof/>
              <w:sz w:val="17"/>
            </w:rPr>
            <w:t>DP/DCP/</w:t>
          </w:r>
          <w:r>
            <w:rPr>
              <w:b/>
              <w:noProof/>
              <w:sz w:val="17"/>
            </w:rPr>
            <w:t>GHA</w:t>
          </w:r>
          <w:r w:rsidRPr="00657A41">
            <w:rPr>
              <w:b/>
              <w:noProof/>
              <w:sz w:val="17"/>
            </w:rPr>
            <w:t>/4</w:t>
          </w:r>
        </w:p>
      </w:tc>
      <w:tc>
        <w:tcPr>
          <w:tcW w:w="4872" w:type="dxa"/>
          <w:shd w:val="clear" w:color="auto" w:fill="auto"/>
          <w:vAlign w:val="bottom"/>
        </w:tcPr>
        <w:p w14:paraId="32A484FF" w14:textId="77777777" w:rsidR="00BC69D9" w:rsidRPr="00657A41" w:rsidRDefault="00BC69D9" w:rsidP="00BC69D9">
          <w:pPr>
            <w:tabs>
              <w:tab w:val="center" w:pos="4320"/>
              <w:tab w:val="right" w:pos="8640"/>
            </w:tabs>
            <w:jc w:val="right"/>
            <w:rPr>
              <w:b/>
              <w:noProof/>
              <w:sz w:val="17"/>
            </w:rPr>
          </w:pPr>
        </w:p>
      </w:tc>
    </w:tr>
    <w:bookmarkEnd w:id="5"/>
  </w:tbl>
  <w:p w14:paraId="00066E83" w14:textId="77777777" w:rsidR="00BC69D9" w:rsidRPr="00BC69D9" w:rsidRDefault="00BC69D9">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2"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764"/>
    </w:tblGrid>
    <w:tr w:rsidR="00BC69D9" w:rsidRPr="00657A41" w14:paraId="0B6927BD" w14:textId="77777777" w:rsidTr="00BC69D9">
      <w:trPr>
        <w:trHeight w:hRule="exact" w:val="864"/>
      </w:trPr>
      <w:tc>
        <w:tcPr>
          <w:tcW w:w="4838" w:type="dxa"/>
          <w:shd w:val="clear" w:color="auto" w:fill="auto"/>
          <w:vAlign w:val="bottom"/>
        </w:tcPr>
        <w:p w14:paraId="05BAF8E6" w14:textId="77777777" w:rsidR="00BC69D9" w:rsidRPr="00657A41" w:rsidRDefault="00BC69D9" w:rsidP="00BC69D9">
          <w:pPr>
            <w:tabs>
              <w:tab w:val="center" w:pos="4320"/>
              <w:tab w:val="right" w:pos="8640"/>
            </w:tabs>
            <w:spacing w:after="80"/>
            <w:rPr>
              <w:b/>
              <w:noProof/>
              <w:sz w:val="17"/>
            </w:rPr>
          </w:pPr>
        </w:p>
      </w:tc>
      <w:tc>
        <w:tcPr>
          <w:tcW w:w="4764" w:type="dxa"/>
          <w:shd w:val="clear" w:color="auto" w:fill="auto"/>
          <w:vAlign w:val="bottom"/>
        </w:tcPr>
        <w:p w14:paraId="70EB3BFC" w14:textId="456DBAF8" w:rsidR="00BC69D9" w:rsidRPr="00657A41" w:rsidRDefault="00BC69D9" w:rsidP="00BC69D9">
          <w:pPr>
            <w:tabs>
              <w:tab w:val="center" w:pos="4320"/>
              <w:tab w:val="right" w:pos="8640"/>
            </w:tabs>
            <w:jc w:val="right"/>
            <w:rPr>
              <w:b/>
              <w:noProof/>
              <w:sz w:val="17"/>
            </w:rPr>
          </w:pPr>
          <w:r w:rsidRPr="00657A41">
            <w:rPr>
              <w:b/>
              <w:noProof/>
              <w:sz w:val="17"/>
            </w:rPr>
            <w:t>DP/DCP/</w:t>
          </w:r>
          <w:r>
            <w:rPr>
              <w:b/>
              <w:noProof/>
              <w:sz w:val="17"/>
            </w:rPr>
            <w:t>GHA</w:t>
          </w:r>
          <w:r w:rsidRPr="00657A41">
            <w:rPr>
              <w:b/>
              <w:noProof/>
              <w:sz w:val="17"/>
            </w:rPr>
            <w:t>/4</w:t>
          </w:r>
        </w:p>
      </w:tc>
    </w:tr>
  </w:tbl>
  <w:p w14:paraId="1A102CF2" w14:textId="77777777" w:rsidR="00BC69D9" w:rsidRPr="00BC69D9" w:rsidRDefault="00BC69D9">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7" w:type="dxa"/>
      <w:tblInd w:w="-4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BC69D9" w:rsidRPr="00657A41" w14:paraId="001207A7" w14:textId="77777777" w:rsidTr="00B9471B">
      <w:trPr>
        <w:trHeight w:hRule="exact" w:val="864"/>
      </w:trPr>
      <w:tc>
        <w:tcPr>
          <w:tcW w:w="1267" w:type="dxa"/>
          <w:tcBorders>
            <w:bottom w:val="single" w:sz="4" w:space="0" w:color="auto"/>
          </w:tcBorders>
          <w:shd w:val="clear" w:color="auto" w:fill="auto"/>
          <w:vAlign w:val="bottom"/>
        </w:tcPr>
        <w:p w14:paraId="3F188231" w14:textId="77777777" w:rsidR="00BC69D9" w:rsidRPr="00657A41" w:rsidRDefault="00BC69D9" w:rsidP="00BC69D9">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2A47723C" w14:textId="77777777" w:rsidR="00BC69D9" w:rsidRPr="00657A41" w:rsidRDefault="00BC69D9" w:rsidP="00BC69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r w:rsidRPr="00657A41">
            <w:rPr>
              <w:spacing w:val="2"/>
              <w:w w:val="96"/>
              <w:kern w:val="14"/>
              <w:sz w:val="28"/>
            </w:rPr>
            <w:t>United Nations</w:t>
          </w:r>
        </w:p>
      </w:tc>
      <w:tc>
        <w:tcPr>
          <w:tcW w:w="245" w:type="dxa"/>
          <w:tcBorders>
            <w:bottom w:val="single" w:sz="4" w:space="0" w:color="auto"/>
          </w:tcBorders>
          <w:shd w:val="clear" w:color="auto" w:fill="auto"/>
          <w:vAlign w:val="bottom"/>
        </w:tcPr>
        <w:p w14:paraId="11F638DF" w14:textId="77777777" w:rsidR="00BC69D9" w:rsidRPr="00657A41" w:rsidRDefault="00BC69D9" w:rsidP="00BC69D9">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2DF08B05" w14:textId="7B295865" w:rsidR="00BC69D9" w:rsidRPr="00657A41" w:rsidRDefault="00BC69D9" w:rsidP="00BC69D9">
          <w:pPr>
            <w:suppressAutoHyphens/>
            <w:spacing w:after="80"/>
            <w:jc w:val="right"/>
            <w:rPr>
              <w:spacing w:val="4"/>
              <w:w w:val="103"/>
              <w:kern w:val="14"/>
              <w:position w:val="-4"/>
            </w:rPr>
          </w:pPr>
          <w:r w:rsidRPr="00657A41">
            <w:rPr>
              <w:spacing w:val="4"/>
              <w:w w:val="103"/>
              <w:kern w:val="14"/>
              <w:position w:val="-4"/>
              <w:sz w:val="40"/>
            </w:rPr>
            <w:t>DP</w:t>
          </w:r>
          <w:r w:rsidRPr="00657A41">
            <w:rPr>
              <w:spacing w:val="4"/>
              <w:w w:val="103"/>
              <w:kern w:val="14"/>
              <w:position w:val="-4"/>
            </w:rPr>
            <w:t>/DCP/</w:t>
          </w:r>
          <w:r>
            <w:rPr>
              <w:spacing w:val="4"/>
              <w:w w:val="103"/>
              <w:kern w:val="14"/>
              <w:position w:val="-4"/>
            </w:rPr>
            <w:t>GHA</w:t>
          </w:r>
          <w:r w:rsidRPr="00657A41">
            <w:rPr>
              <w:spacing w:val="4"/>
              <w:w w:val="103"/>
              <w:kern w:val="14"/>
              <w:position w:val="-4"/>
            </w:rPr>
            <w:t>/4</w:t>
          </w:r>
        </w:p>
      </w:tc>
    </w:tr>
    <w:tr w:rsidR="00BC69D9" w:rsidRPr="00657A41" w14:paraId="46C5DFD1" w14:textId="77777777" w:rsidTr="00B9471B">
      <w:trPr>
        <w:gridAfter w:val="1"/>
        <w:wAfter w:w="28" w:type="dxa"/>
        <w:trHeight w:hRule="exact" w:val="2880"/>
      </w:trPr>
      <w:tc>
        <w:tcPr>
          <w:tcW w:w="1267" w:type="dxa"/>
          <w:tcBorders>
            <w:top w:val="single" w:sz="4" w:space="0" w:color="auto"/>
            <w:bottom w:val="single" w:sz="12" w:space="0" w:color="auto"/>
          </w:tcBorders>
          <w:shd w:val="clear" w:color="auto" w:fill="auto"/>
        </w:tcPr>
        <w:p w14:paraId="4EBC340F" w14:textId="77777777" w:rsidR="00BC69D9" w:rsidRPr="00657A41" w:rsidRDefault="00BC69D9" w:rsidP="00BC69D9">
          <w:pPr>
            <w:tabs>
              <w:tab w:val="center" w:pos="4320"/>
              <w:tab w:val="right" w:pos="8640"/>
            </w:tabs>
            <w:spacing w:before="109"/>
            <w:rPr>
              <w:noProof/>
              <w:sz w:val="17"/>
            </w:rPr>
          </w:pPr>
          <w:r w:rsidRPr="00657A41">
            <w:rPr>
              <w:noProof/>
              <w:sz w:val="17"/>
            </w:rPr>
            <w:t xml:space="preserve"> </w:t>
          </w:r>
          <w:r w:rsidRPr="00657A41">
            <w:rPr>
              <w:noProof/>
              <w:sz w:val="17"/>
              <w:lang w:eastAsia="en-GB"/>
            </w:rPr>
            <w:drawing>
              <wp:inline distT="0" distB="0" distL="0" distR="0" wp14:anchorId="302832E3" wp14:editId="1134FFC4">
                <wp:extent cx="702945" cy="592455"/>
                <wp:effectExtent l="0" t="0" r="1905" b="0"/>
                <wp:docPr id="9" name="Picture 9"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25260B9A" w14:textId="77777777" w:rsidR="00BC69D9" w:rsidRPr="00657A41" w:rsidRDefault="00BC69D9" w:rsidP="00BC69D9">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3F97E67E" w14:textId="77777777" w:rsidR="00BC69D9" w:rsidRPr="00657A41" w:rsidRDefault="00BC69D9" w:rsidP="00BC69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z w:val="34"/>
            </w:rPr>
          </w:pPr>
          <w:r w:rsidRPr="00657A41">
            <w:rPr>
              <w:b/>
              <w:sz w:val="34"/>
            </w:rPr>
            <w:t>Executive Board of the</w:t>
          </w:r>
          <w:r w:rsidRPr="00657A41">
            <w:rPr>
              <w:b/>
              <w:sz w:val="34"/>
            </w:rPr>
            <w:br/>
            <w:t>United Nations Development</w:t>
          </w:r>
          <w:r w:rsidRPr="00657A41">
            <w:rPr>
              <w:b/>
              <w:sz w:val="34"/>
            </w:rPr>
            <w:br/>
            <w:t xml:space="preserve">Programme, the United Nations Population Fund and the </w:t>
          </w:r>
        </w:p>
        <w:p w14:paraId="4172378E" w14:textId="77777777" w:rsidR="00BC69D9" w:rsidRPr="00657A41" w:rsidRDefault="00BC69D9" w:rsidP="00BC69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z w:val="34"/>
            </w:rPr>
          </w:pPr>
          <w:r w:rsidRPr="00657A41">
            <w:rPr>
              <w:b/>
              <w:sz w:val="34"/>
            </w:rPr>
            <w:t xml:space="preserve">United Nations Office for </w:t>
          </w:r>
        </w:p>
        <w:p w14:paraId="55CA1CE0" w14:textId="77777777" w:rsidR="00BC69D9" w:rsidRPr="00657A41" w:rsidRDefault="00BC69D9" w:rsidP="00BC69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rPr>
          </w:pPr>
          <w:r w:rsidRPr="00657A41">
            <w:rPr>
              <w:b/>
              <w:sz w:val="34"/>
            </w:rPr>
            <w:t>Project Services</w:t>
          </w:r>
        </w:p>
      </w:tc>
      <w:tc>
        <w:tcPr>
          <w:tcW w:w="245" w:type="dxa"/>
          <w:tcBorders>
            <w:top w:val="single" w:sz="4" w:space="0" w:color="auto"/>
            <w:bottom w:val="single" w:sz="12" w:space="0" w:color="auto"/>
          </w:tcBorders>
          <w:shd w:val="clear" w:color="auto" w:fill="auto"/>
        </w:tcPr>
        <w:p w14:paraId="45C2927E" w14:textId="77777777" w:rsidR="00BC69D9" w:rsidRPr="00657A41" w:rsidRDefault="00BC69D9" w:rsidP="00BC69D9">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547AD2CD" w14:textId="77777777" w:rsidR="00BC69D9" w:rsidRPr="00657A41" w:rsidRDefault="00BC69D9" w:rsidP="00BC69D9">
          <w:pPr>
            <w:suppressAutoHyphens/>
            <w:spacing w:before="240" w:line="240" w:lineRule="exact"/>
            <w:rPr>
              <w:spacing w:val="4"/>
              <w:w w:val="103"/>
              <w:kern w:val="14"/>
            </w:rPr>
          </w:pPr>
          <w:r w:rsidRPr="00657A41">
            <w:rPr>
              <w:spacing w:val="4"/>
              <w:w w:val="103"/>
              <w:kern w:val="14"/>
            </w:rPr>
            <w:t>Distr.: General</w:t>
          </w:r>
        </w:p>
        <w:p w14:paraId="06F5D2F3" w14:textId="7CBB71DC" w:rsidR="00BC69D9" w:rsidRPr="00657A41" w:rsidRDefault="00DF3441" w:rsidP="00BC69D9">
          <w:pPr>
            <w:suppressAutoHyphens/>
            <w:spacing w:line="240" w:lineRule="exact"/>
            <w:rPr>
              <w:spacing w:val="4"/>
              <w:w w:val="103"/>
              <w:kern w:val="14"/>
            </w:rPr>
          </w:pPr>
          <w:r>
            <w:rPr>
              <w:spacing w:val="4"/>
              <w:w w:val="103"/>
              <w:kern w:val="14"/>
            </w:rPr>
            <w:t>10</w:t>
          </w:r>
          <w:r w:rsidR="00145CB0">
            <w:rPr>
              <w:spacing w:val="4"/>
              <w:w w:val="103"/>
              <w:kern w:val="14"/>
            </w:rPr>
            <w:t xml:space="preserve"> June</w:t>
          </w:r>
          <w:r w:rsidR="00BC69D9">
            <w:rPr>
              <w:spacing w:val="4"/>
              <w:w w:val="103"/>
              <w:kern w:val="14"/>
            </w:rPr>
            <w:t xml:space="preserve"> 2022</w:t>
          </w:r>
        </w:p>
        <w:p w14:paraId="1FAA6AE7" w14:textId="77777777" w:rsidR="00BC69D9" w:rsidRPr="00657A41" w:rsidRDefault="00BC69D9" w:rsidP="00BC69D9">
          <w:pPr>
            <w:suppressAutoHyphens/>
            <w:spacing w:line="240" w:lineRule="exact"/>
            <w:rPr>
              <w:spacing w:val="4"/>
              <w:w w:val="103"/>
              <w:kern w:val="14"/>
            </w:rPr>
          </w:pPr>
        </w:p>
        <w:p w14:paraId="67D3E35A" w14:textId="77777777" w:rsidR="00BC69D9" w:rsidRPr="00657A41" w:rsidRDefault="00BC69D9" w:rsidP="00BC69D9">
          <w:pPr>
            <w:suppressAutoHyphens/>
            <w:spacing w:line="240" w:lineRule="exact"/>
            <w:rPr>
              <w:spacing w:val="4"/>
              <w:w w:val="103"/>
              <w:kern w:val="14"/>
            </w:rPr>
          </w:pPr>
          <w:r w:rsidRPr="00657A41">
            <w:rPr>
              <w:spacing w:val="4"/>
              <w:w w:val="103"/>
              <w:kern w:val="14"/>
            </w:rPr>
            <w:t>Original: English</w:t>
          </w:r>
        </w:p>
      </w:tc>
    </w:tr>
  </w:tbl>
  <w:p w14:paraId="7C7F644D" w14:textId="77777777" w:rsidR="00BC69D9" w:rsidRPr="00597CD2" w:rsidRDefault="00BC69D9">
    <w:pPr>
      <w:pStyle w:val="Header"/>
      <w:rPr>
        <w:sz w:val="6"/>
        <w:szCs w:val="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6A" w14:textId="0306CC95" w:rsidR="003D3682" w:rsidRDefault="00BD085F">
    <w:pPr>
      <w:pStyle w:val="Header"/>
    </w:pPr>
    <w:r>
      <w:rPr>
        <w:noProof/>
      </w:rPr>
      <mc:AlternateContent>
        <mc:Choice Requires="wps">
          <w:drawing>
            <wp:anchor distT="0" distB="0" distL="114300" distR="114300" simplePos="0" relativeHeight="251658752" behindDoc="0" locked="0" layoutInCell="0" allowOverlap="1" wp14:anchorId="7EA02003" wp14:editId="35D5053E">
              <wp:simplePos x="0" y="0"/>
              <wp:positionH relativeFrom="margin">
                <wp:align>left</wp:align>
              </wp:positionH>
              <wp:positionV relativeFrom="paragraph">
                <wp:posOffset>-304800</wp:posOffset>
              </wp:positionV>
              <wp:extent cx="8242300" cy="640080"/>
              <wp:effectExtent l="0" t="0" r="635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0" cy="640080"/>
                      </a:xfrm>
                      <a:prstGeom prst="rect">
                        <a:avLst/>
                      </a:prstGeom>
                      <a:solidFill>
                        <a:srgbClr val="FFFFFF"/>
                      </a:solidFill>
                      <a:ln>
                        <a:noFill/>
                      </a:ln>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3D3682" w:rsidRPr="005841A3" w14:paraId="2440D571" w14:textId="77777777">
                            <w:trPr>
                              <w:trHeight w:hRule="exact" w:val="864"/>
                            </w:trPr>
                            <w:tc>
                              <w:tcPr>
                                <w:tcW w:w="4838" w:type="dxa"/>
                                <w:tcBorders>
                                  <w:bottom w:val="single" w:sz="4" w:space="0" w:color="auto"/>
                                </w:tcBorders>
                                <w:vAlign w:val="bottom"/>
                              </w:tcPr>
                              <w:p w14:paraId="2440D56F" w14:textId="4C562E40" w:rsidR="003D3682" w:rsidRPr="007C6F85" w:rsidRDefault="003D3682"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sidR="00461411">
                                  <w:rPr>
                                    <w:rFonts w:ascii="Times New Roman" w:hAnsi="Times New Roman"/>
                                    <w:b/>
                                    <w:sz w:val="17"/>
                                    <w:szCs w:val="17"/>
                                    <w:lang w:val="en-US" w:eastAsia="en-US"/>
                                  </w:rPr>
                                  <w:t>GHA/4</w:t>
                                </w:r>
                              </w:p>
                            </w:tc>
                            <w:tc>
                              <w:tcPr>
                                <w:tcW w:w="8276" w:type="dxa"/>
                                <w:tcBorders>
                                  <w:bottom w:val="single" w:sz="4" w:space="0" w:color="auto"/>
                                </w:tcBorders>
                                <w:vAlign w:val="bottom"/>
                              </w:tcPr>
                              <w:p w14:paraId="2440D570" w14:textId="77777777" w:rsidR="003D3682" w:rsidRPr="007C6F85" w:rsidRDefault="003D3682">
                                <w:pPr>
                                  <w:pStyle w:val="Header"/>
                                  <w:rPr>
                                    <w:rFonts w:ascii="Times New Roman" w:hAnsi="Times New Roman"/>
                                    <w:sz w:val="17"/>
                                    <w:szCs w:val="17"/>
                                    <w:lang w:val="en-US" w:eastAsia="en-US"/>
                                  </w:rPr>
                                </w:pPr>
                              </w:p>
                            </w:tc>
                          </w:tr>
                        </w:tbl>
                        <w:p w14:paraId="2440D572" w14:textId="77777777" w:rsidR="003D3682" w:rsidRDefault="003D368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EA02003" id="_x0000_t202" coordsize="21600,21600" o:spt="202" path="m,l,21600r21600,l21600,xe">
              <v:stroke joinstyle="miter"/>
              <v:path gradientshapeok="t" o:connecttype="rect"/>
            </v:shapetype>
            <v:shape id="Text Box 1" o:spid="_x0000_s1026" type="#_x0000_t202" style="position:absolute;margin-left:0;margin-top:-24pt;width:649pt;height:50.4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3D3682" w:rsidRPr="005841A3" w14:paraId="2440D571" w14:textId="77777777">
                      <w:trPr>
                        <w:trHeight w:hRule="exact" w:val="864"/>
                      </w:trPr>
                      <w:tc>
                        <w:tcPr>
                          <w:tcW w:w="4838" w:type="dxa"/>
                          <w:tcBorders>
                            <w:bottom w:val="single" w:sz="4" w:space="0" w:color="auto"/>
                          </w:tcBorders>
                          <w:vAlign w:val="bottom"/>
                        </w:tcPr>
                        <w:p w14:paraId="2440D56F" w14:textId="4C562E40" w:rsidR="003D3682" w:rsidRPr="007C6F85" w:rsidRDefault="003D3682"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sidR="00461411">
                            <w:rPr>
                              <w:rFonts w:ascii="Times New Roman" w:hAnsi="Times New Roman"/>
                              <w:b/>
                              <w:sz w:val="17"/>
                              <w:szCs w:val="17"/>
                              <w:lang w:val="en-US" w:eastAsia="en-US"/>
                            </w:rPr>
                            <w:t>GHA/4</w:t>
                          </w:r>
                        </w:p>
                      </w:tc>
                      <w:tc>
                        <w:tcPr>
                          <w:tcW w:w="8276" w:type="dxa"/>
                          <w:tcBorders>
                            <w:bottom w:val="single" w:sz="4" w:space="0" w:color="auto"/>
                          </w:tcBorders>
                          <w:vAlign w:val="bottom"/>
                        </w:tcPr>
                        <w:p w14:paraId="2440D570" w14:textId="77777777" w:rsidR="003D3682" w:rsidRPr="007C6F85" w:rsidRDefault="003D3682">
                          <w:pPr>
                            <w:pStyle w:val="Header"/>
                            <w:rPr>
                              <w:rFonts w:ascii="Times New Roman" w:hAnsi="Times New Roman"/>
                              <w:sz w:val="17"/>
                              <w:szCs w:val="17"/>
                              <w:lang w:val="en-US" w:eastAsia="en-US"/>
                            </w:rPr>
                          </w:pPr>
                        </w:p>
                      </w:tc>
                    </w:tr>
                  </w:tbl>
                  <w:p w14:paraId="2440D572" w14:textId="77777777" w:rsidR="003D3682" w:rsidRDefault="003D3682"/>
                </w:txbxContent>
              </v:textbox>
              <w10:wrap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8382"/>
    </w:tblGrid>
    <w:tr w:rsidR="00CE2A86" w:rsidRPr="00657A41" w14:paraId="0755F833" w14:textId="77777777" w:rsidTr="00E022B9">
      <w:trPr>
        <w:trHeight w:hRule="exact" w:val="864"/>
      </w:trPr>
      <w:tc>
        <w:tcPr>
          <w:tcW w:w="4668" w:type="dxa"/>
          <w:shd w:val="clear" w:color="auto" w:fill="auto"/>
          <w:vAlign w:val="bottom"/>
        </w:tcPr>
        <w:p w14:paraId="74A7251A" w14:textId="77777777" w:rsidR="00CE2A86" w:rsidRPr="00657A41" w:rsidRDefault="00CE2A86" w:rsidP="00BC69D9">
          <w:pPr>
            <w:tabs>
              <w:tab w:val="center" w:pos="4320"/>
              <w:tab w:val="right" w:pos="8640"/>
            </w:tabs>
            <w:spacing w:after="80"/>
            <w:rPr>
              <w:b/>
              <w:noProof/>
              <w:sz w:val="17"/>
            </w:rPr>
          </w:pPr>
        </w:p>
      </w:tc>
      <w:tc>
        <w:tcPr>
          <w:tcW w:w="8382" w:type="dxa"/>
          <w:shd w:val="clear" w:color="auto" w:fill="auto"/>
          <w:vAlign w:val="bottom"/>
        </w:tcPr>
        <w:p w14:paraId="4B473F58" w14:textId="77777777" w:rsidR="00CE2A86" w:rsidRPr="00657A41" w:rsidRDefault="00CE2A86" w:rsidP="00BC69D9">
          <w:pPr>
            <w:tabs>
              <w:tab w:val="center" w:pos="4320"/>
              <w:tab w:val="right" w:pos="8640"/>
            </w:tabs>
            <w:jc w:val="right"/>
            <w:rPr>
              <w:b/>
              <w:noProof/>
              <w:sz w:val="17"/>
            </w:rPr>
          </w:pPr>
          <w:r w:rsidRPr="00657A41">
            <w:rPr>
              <w:b/>
              <w:noProof/>
              <w:sz w:val="17"/>
            </w:rPr>
            <w:t>DP/DCP/</w:t>
          </w:r>
          <w:r>
            <w:rPr>
              <w:b/>
              <w:noProof/>
              <w:sz w:val="17"/>
            </w:rPr>
            <w:t>GHA</w:t>
          </w:r>
          <w:r w:rsidRPr="00657A41">
            <w:rPr>
              <w:b/>
              <w:noProof/>
              <w:sz w:val="17"/>
            </w:rPr>
            <w:t>/4</w:t>
          </w:r>
        </w:p>
      </w:tc>
    </w:tr>
  </w:tbl>
  <w:p w14:paraId="081F7F38" w14:textId="77777777" w:rsidR="00CE2A86" w:rsidRPr="00BC69D9" w:rsidRDefault="00CE2A86">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3D3"/>
    <w:multiLevelType w:val="hybridMultilevel"/>
    <w:tmpl w:val="C80AE2B6"/>
    <w:lvl w:ilvl="0" w:tplc="0016ADC0">
      <w:start w:val="1"/>
      <w:numFmt w:val="decimal"/>
      <w:lvlText w:val="%1."/>
      <w:lvlJc w:val="left"/>
      <w:pPr>
        <w:ind w:left="720" w:hanging="360"/>
      </w:pPr>
      <w:rPr>
        <w:rFonts w:ascii="Times New Roman" w:hAnsi="Times New Roman" w:cs="Times New Roman" w:hint="default"/>
        <w:b w:val="0"/>
        <w:bCs w:val="0"/>
        <w:color w:val="auto"/>
      </w:rPr>
    </w:lvl>
    <w:lvl w:ilvl="1" w:tplc="04090019">
      <w:start w:val="1"/>
      <w:numFmt w:val="lowerLetter"/>
      <w:lvlText w:val="%2."/>
      <w:lvlJc w:val="left"/>
      <w:pPr>
        <w:ind w:left="1440" w:hanging="360"/>
      </w:pPr>
    </w:lvl>
    <w:lvl w:ilvl="2" w:tplc="0409000F">
      <w:start w:val="1"/>
      <w:numFmt w:val="decimal"/>
      <w:lvlText w:val="%3."/>
      <w:lvlJc w:val="left"/>
      <w:pPr>
        <w:ind w:left="2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F012BC"/>
    <w:multiLevelType w:val="hybridMultilevel"/>
    <w:tmpl w:val="AEBAA3C0"/>
    <w:lvl w:ilvl="0" w:tplc="4418B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AC72F0"/>
    <w:multiLevelType w:val="hybridMultilevel"/>
    <w:tmpl w:val="4B4ACAF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188C67E7"/>
    <w:multiLevelType w:val="hybridMultilevel"/>
    <w:tmpl w:val="C86A47E0"/>
    <w:lvl w:ilvl="0" w:tplc="0C8EE990">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561E8F"/>
    <w:multiLevelType w:val="hybridMultilevel"/>
    <w:tmpl w:val="1D082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10"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266A6F84"/>
    <w:multiLevelType w:val="hybridMultilevel"/>
    <w:tmpl w:val="FA1EDD9E"/>
    <w:lvl w:ilvl="0" w:tplc="A92EF7BA">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115FF"/>
    <w:multiLevelType w:val="hybridMultilevel"/>
    <w:tmpl w:val="03FE75F0"/>
    <w:lvl w:ilvl="0" w:tplc="AB4E437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6"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15:restartNumberingAfterBreak="0">
    <w:nsid w:val="37626662"/>
    <w:multiLevelType w:val="hybridMultilevel"/>
    <w:tmpl w:val="387A0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CF0082"/>
    <w:multiLevelType w:val="hybridMultilevel"/>
    <w:tmpl w:val="58C0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23"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4" w15:restartNumberingAfterBreak="0">
    <w:nsid w:val="42160598"/>
    <w:multiLevelType w:val="hybridMultilevel"/>
    <w:tmpl w:val="A404D00E"/>
    <w:lvl w:ilvl="0" w:tplc="FFFFFFFF">
      <w:start w:val="1"/>
      <w:numFmt w:val="decimal"/>
      <w:lvlText w:val="%1."/>
      <w:lvlJc w:val="left"/>
      <w:pPr>
        <w:ind w:left="720" w:hanging="360"/>
      </w:pPr>
      <w:rPr>
        <w:rFonts w:ascii="Times New Roman" w:hAnsi="Times New Roman" w:cs="Times New Roman" w:hint="default"/>
        <w:b w:val="0"/>
        <w:bCs w:val="0"/>
        <w:color w:val="auto"/>
      </w:rPr>
    </w:lvl>
    <w:lvl w:ilvl="1" w:tplc="FFFFFFFF">
      <w:start w:val="1"/>
      <w:numFmt w:val="lowerLetter"/>
      <w:lvlText w:val="%2."/>
      <w:lvlJc w:val="left"/>
      <w:pPr>
        <w:ind w:left="1440" w:hanging="360"/>
      </w:pPr>
    </w:lvl>
    <w:lvl w:ilvl="2" w:tplc="FFFFFFFF">
      <w:start w:val="1"/>
      <w:numFmt w:val="decimal"/>
      <w:lvlText w:val="%3."/>
      <w:lvlJc w:val="left"/>
      <w:pPr>
        <w:ind w:left="27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461C75DB"/>
    <w:multiLevelType w:val="hybridMultilevel"/>
    <w:tmpl w:val="CCDED580"/>
    <w:lvl w:ilvl="0" w:tplc="C4127B66">
      <w:start w:val="1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850"/>
        </w:tabs>
        <w:ind w:left="185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525E90"/>
    <w:multiLevelType w:val="hybridMultilevel"/>
    <w:tmpl w:val="010A180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2"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627CB3"/>
    <w:multiLevelType w:val="hybridMultilevel"/>
    <w:tmpl w:val="A404D00E"/>
    <w:lvl w:ilvl="0" w:tplc="FFFFFFFF">
      <w:start w:val="1"/>
      <w:numFmt w:val="decimal"/>
      <w:lvlText w:val="%1."/>
      <w:lvlJc w:val="left"/>
      <w:pPr>
        <w:ind w:left="720" w:hanging="360"/>
      </w:pPr>
      <w:rPr>
        <w:rFonts w:ascii="Times New Roman" w:hAnsi="Times New Roman" w:cs="Times New Roman" w:hint="default"/>
        <w:b w:val="0"/>
        <w:bCs w:val="0"/>
        <w:color w:val="auto"/>
      </w:rPr>
    </w:lvl>
    <w:lvl w:ilvl="1" w:tplc="FFFFFFFF">
      <w:start w:val="1"/>
      <w:numFmt w:val="lowerLetter"/>
      <w:lvlText w:val="%2."/>
      <w:lvlJc w:val="left"/>
      <w:pPr>
        <w:ind w:left="1440" w:hanging="360"/>
      </w:pPr>
    </w:lvl>
    <w:lvl w:ilvl="2" w:tplc="FFFFFFFF">
      <w:start w:val="1"/>
      <w:numFmt w:val="decimal"/>
      <w:lvlText w:val="%3."/>
      <w:lvlJc w:val="left"/>
      <w:pPr>
        <w:ind w:left="27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68F73E7"/>
    <w:multiLevelType w:val="hybridMultilevel"/>
    <w:tmpl w:val="4B94007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6"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9" w15:restartNumberingAfterBreak="0">
    <w:nsid w:val="620E7A4F"/>
    <w:multiLevelType w:val="hybridMultilevel"/>
    <w:tmpl w:val="80665A54"/>
    <w:lvl w:ilvl="0" w:tplc="1A9E85CC">
      <w:start w:val="1"/>
      <w:numFmt w:val="upperRoman"/>
      <w:lvlText w:val="%1."/>
      <w:lvlJc w:val="left"/>
      <w:pPr>
        <w:ind w:left="1620" w:hanging="720"/>
      </w:pPr>
      <w:rPr>
        <w:rFonts w:hint="default"/>
        <w:b/>
        <w:color w:val="00000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42" w15:restartNumberingAfterBreak="0">
    <w:nsid w:val="64B66A6F"/>
    <w:multiLevelType w:val="hybridMultilevel"/>
    <w:tmpl w:val="0220F4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3"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44"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46"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47" w15:restartNumberingAfterBreak="0">
    <w:nsid w:val="6AD2356B"/>
    <w:multiLevelType w:val="hybridMultilevel"/>
    <w:tmpl w:val="0DACEC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8"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49" w15:restartNumberingAfterBreak="0">
    <w:nsid w:val="70D73FD3"/>
    <w:multiLevelType w:val="hybridMultilevel"/>
    <w:tmpl w:val="894A85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FB06B2"/>
    <w:multiLevelType w:val="hybridMultilevel"/>
    <w:tmpl w:val="115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3294488"/>
    <w:multiLevelType w:val="hybridMultilevel"/>
    <w:tmpl w:val="8D52E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7E5E298B"/>
    <w:multiLevelType w:val="hybridMultilevel"/>
    <w:tmpl w:val="0BD8A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0"/>
  </w:num>
  <w:num w:numId="3">
    <w:abstractNumId w:val="32"/>
  </w:num>
  <w:num w:numId="4">
    <w:abstractNumId w:val="45"/>
  </w:num>
  <w:num w:numId="5">
    <w:abstractNumId w:val="34"/>
  </w:num>
  <w:num w:numId="6">
    <w:abstractNumId w:val="1"/>
  </w:num>
  <w:num w:numId="7">
    <w:abstractNumId w:val="20"/>
  </w:num>
  <w:num w:numId="8">
    <w:abstractNumId w:val="41"/>
  </w:num>
  <w:num w:numId="9">
    <w:abstractNumId w:val="54"/>
  </w:num>
  <w:num w:numId="10">
    <w:abstractNumId w:val="44"/>
  </w:num>
  <w:num w:numId="11">
    <w:abstractNumId w:val="53"/>
  </w:num>
  <w:num w:numId="12">
    <w:abstractNumId w:val="29"/>
  </w:num>
  <w:num w:numId="13">
    <w:abstractNumId w:val="9"/>
  </w:num>
  <w:num w:numId="14">
    <w:abstractNumId w:val="19"/>
  </w:num>
  <w:num w:numId="15">
    <w:abstractNumId w:val="48"/>
  </w:num>
  <w:num w:numId="16">
    <w:abstractNumId w:val="12"/>
  </w:num>
  <w:num w:numId="17">
    <w:abstractNumId w:val="16"/>
  </w:num>
  <w:num w:numId="18">
    <w:abstractNumId w:val="22"/>
  </w:num>
  <w:num w:numId="19">
    <w:abstractNumId w:val="51"/>
  </w:num>
  <w:num w:numId="20">
    <w:abstractNumId w:val="11"/>
  </w:num>
  <w:num w:numId="21">
    <w:abstractNumId w:val="10"/>
  </w:num>
  <w:num w:numId="22">
    <w:abstractNumId w:val="49"/>
  </w:num>
  <w:num w:numId="23">
    <w:abstractNumId w:val="18"/>
  </w:num>
  <w:num w:numId="24">
    <w:abstractNumId w:val="4"/>
  </w:num>
  <w:num w:numId="25">
    <w:abstractNumId w:val="46"/>
  </w:num>
  <w:num w:numId="26">
    <w:abstractNumId w:val="43"/>
  </w:num>
  <w:num w:numId="27">
    <w:abstractNumId w:val="37"/>
  </w:num>
  <w:num w:numId="28">
    <w:abstractNumId w:val="2"/>
  </w:num>
  <w:num w:numId="29">
    <w:abstractNumId w:val="30"/>
  </w:num>
  <w:num w:numId="30">
    <w:abstractNumId w:val="36"/>
  </w:num>
  <w:num w:numId="31">
    <w:abstractNumId w:val="15"/>
  </w:num>
  <w:num w:numId="32">
    <w:abstractNumId w:val="5"/>
  </w:num>
  <w:num w:numId="33">
    <w:abstractNumId w:val="28"/>
  </w:num>
  <w:num w:numId="3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7"/>
  </w:num>
  <w:num w:numId="37">
    <w:abstractNumId w:val="35"/>
  </w:num>
  <w:num w:numId="38">
    <w:abstractNumId w:val="14"/>
  </w:num>
  <w:num w:numId="39">
    <w:abstractNumId w:val="3"/>
  </w:num>
  <w:num w:numId="40">
    <w:abstractNumId w:val="25"/>
  </w:num>
  <w:num w:numId="41">
    <w:abstractNumId w:val="6"/>
  </w:num>
  <w:num w:numId="42">
    <w:abstractNumId w:val="21"/>
  </w:num>
  <w:num w:numId="43">
    <w:abstractNumId w:val="47"/>
  </w:num>
  <w:num w:numId="44">
    <w:abstractNumId w:val="42"/>
  </w:num>
  <w:num w:numId="45">
    <w:abstractNumId w:val="31"/>
  </w:num>
  <w:num w:numId="46">
    <w:abstractNumId w:val="50"/>
  </w:num>
  <w:num w:numId="47">
    <w:abstractNumId w:val="52"/>
  </w:num>
  <w:num w:numId="48">
    <w:abstractNumId w:val="55"/>
  </w:num>
  <w:num w:numId="49">
    <w:abstractNumId w:val="8"/>
  </w:num>
  <w:num w:numId="50">
    <w:abstractNumId w:val="0"/>
  </w:num>
  <w:num w:numId="51">
    <w:abstractNumId w:val="24"/>
  </w:num>
  <w:num w:numId="52">
    <w:abstractNumId w:val="17"/>
  </w:num>
  <w:num w:numId="53">
    <w:abstractNumId w:val="33"/>
  </w:num>
  <w:num w:numId="54">
    <w:abstractNumId w:val="13"/>
  </w:num>
  <w:num w:numId="55">
    <w:abstractNumId w:val="39"/>
  </w:num>
  <w:num w:numId="56">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3B"/>
    <w:rsid w:val="000010B5"/>
    <w:rsid w:val="0000185A"/>
    <w:rsid w:val="000027D2"/>
    <w:rsid w:val="0000312F"/>
    <w:rsid w:val="00003B30"/>
    <w:rsid w:val="00003E8B"/>
    <w:rsid w:val="00005E26"/>
    <w:rsid w:val="00006E59"/>
    <w:rsid w:val="00012E88"/>
    <w:rsid w:val="0001309E"/>
    <w:rsid w:val="00013410"/>
    <w:rsid w:val="00013BF7"/>
    <w:rsid w:val="00013F42"/>
    <w:rsid w:val="000153EB"/>
    <w:rsid w:val="00015875"/>
    <w:rsid w:val="00015FDE"/>
    <w:rsid w:val="00016217"/>
    <w:rsid w:val="00016861"/>
    <w:rsid w:val="00017D05"/>
    <w:rsid w:val="000200CF"/>
    <w:rsid w:val="000205F1"/>
    <w:rsid w:val="00022047"/>
    <w:rsid w:val="00023A8F"/>
    <w:rsid w:val="00023AEE"/>
    <w:rsid w:val="000274B9"/>
    <w:rsid w:val="0002758B"/>
    <w:rsid w:val="000276A0"/>
    <w:rsid w:val="00031B92"/>
    <w:rsid w:val="00031E57"/>
    <w:rsid w:val="0003257C"/>
    <w:rsid w:val="000330DB"/>
    <w:rsid w:val="0003429F"/>
    <w:rsid w:val="00034740"/>
    <w:rsid w:val="0003562A"/>
    <w:rsid w:val="00036095"/>
    <w:rsid w:val="000367E0"/>
    <w:rsid w:val="00036AF4"/>
    <w:rsid w:val="000372D6"/>
    <w:rsid w:val="00041C10"/>
    <w:rsid w:val="0004202A"/>
    <w:rsid w:val="00043804"/>
    <w:rsid w:val="000441A1"/>
    <w:rsid w:val="00044448"/>
    <w:rsid w:val="000449B5"/>
    <w:rsid w:val="00050869"/>
    <w:rsid w:val="00051E3C"/>
    <w:rsid w:val="00055596"/>
    <w:rsid w:val="00056014"/>
    <w:rsid w:val="000561C1"/>
    <w:rsid w:val="00056204"/>
    <w:rsid w:val="00056D08"/>
    <w:rsid w:val="000570D1"/>
    <w:rsid w:val="000571A9"/>
    <w:rsid w:val="00060243"/>
    <w:rsid w:val="00060290"/>
    <w:rsid w:val="000611AB"/>
    <w:rsid w:val="00063E24"/>
    <w:rsid w:val="000652EB"/>
    <w:rsid w:val="000657A1"/>
    <w:rsid w:val="00067466"/>
    <w:rsid w:val="00072229"/>
    <w:rsid w:val="000728F8"/>
    <w:rsid w:val="00073CF1"/>
    <w:rsid w:val="00074BD0"/>
    <w:rsid w:val="00074D9A"/>
    <w:rsid w:val="00074DB9"/>
    <w:rsid w:val="000753C4"/>
    <w:rsid w:val="00075DF0"/>
    <w:rsid w:val="000762CA"/>
    <w:rsid w:val="000800C0"/>
    <w:rsid w:val="000803A4"/>
    <w:rsid w:val="000805AE"/>
    <w:rsid w:val="000806E3"/>
    <w:rsid w:val="00080805"/>
    <w:rsid w:val="00081604"/>
    <w:rsid w:val="00081E9F"/>
    <w:rsid w:val="0008339E"/>
    <w:rsid w:val="000905D9"/>
    <w:rsid w:val="00090AD1"/>
    <w:rsid w:val="00090F4F"/>
    <w:rsid w:val="0009132A"/>
    <w:rsid w:val="00091476"/>
    <w:rsid w:val="00091984"/>
    <w:rsid w:val="00092879"/>
    <w:rsid w:val="00094E87"/>
    <w:rsid w:val="00095ACB"/>
    <w:rsid w:val="00097B45"/>
    <w:rsid w:val="00097FB2"/>
    <w:rsid w:val="000A0A05"/>
    <w:rsid w:val="000A151D"/>
    <w:rsid w:val="000A1CA0"/>
    <w:rsid w:val="000A24C5"/>
    <w:rsid w:val="000A2967"/>
    <w:rsid w:val="000A2ABD"/>
    <w:rsid w:val="000A30A1"/>
    <w:rsid w:val="000A3683"/>
    <w:rsid w:val="000A3A38"/>
    <w:rsid w:val="000A3F7F"/>
    <w:rsid w:val="000A47FD"/>
    <w:rsid w:val="000A5DFF"/>
    <w:rsid w:val="000A7192"/>
    <w:rsid w:val="000B0228"/>
    <w:rsid w:val="000B083D"/>
    <w:rsid w:val="000B2E16"/>
    <w:rsid w:val="000B3A13"/>
    <w:rsid w:val="000B4BB2"/>
    <w:rsid w:val="000B6379"/>
    <w:rsid w:val="000B739B"/>
    <w:rsid w:val="000C1E8D"/>
    <w:rsid w:val="000C4E54"/>
    <w:rsid w:val="000C58E0"/>
    <w:rsid w:val="000C76B0"/>
    <w:rsid w:val="000C7BBE"/>
    <w:rsid w:val="000D0A55"/>
    <w:rsid w:val="000D2475"/>
    <w:rsid w:val="000D442C"/>
    <w:rsid w:val="000D4DC4"/>
    <w:rsid w:val="000D7680"/>
    <w:rsid w:val="000E204A"/>
    <w:rsid w:val="000E55D6"/>
    <w:rsid w:val="000E5DE5"/>
    <w:rsid w:val="000E612D"/>
    <w:rsid w:val="000E6AB1"/>
    <w:rsid w:val="000E6CED"/>
    <w:rsid w:val="000E737D"/>
    <w:rsid w:val="000E745A"/>
    <w:rsid w:val="000E7E9E"/>
    <w:rsid w:val="000F0044"/>
    <w:rsid w:val="000F093A"/>
    <w:rsid w:val="000F0EFD"/>
    <w:rsid w:val="000F5541"/>
    <w:rsid w:val="000F703B"/>
    <w:rsid w:val="000F72ED"/>
    <w:rsid w:val="000F7A4C"/>
    <w:rsid w:val="00103698"/>
    <w:rsid w:val="00103EA9"/>
    <w:rsid w:val="00106EF8"/>
    <w:rsid w:val="001079BC"/>
    <w:rsid w:val="001079CD"/>
    <w:rsid w:val="001101A2"/>
    <w:rsid w:val="00110B74"/>
    <w:rsid w:val="00111489"/>
    <w:rsid w:val="00111792"/>
    <w:rsid w:val="00111797"/>
    <w:rsid w:val="00111B19"/>
    <w:rsid w:val="00114A64"/>
    <w:rsid w:val="00115F59"/>
    <w:rsid w:val="00116C1A"/>
    <w:rsid w:val="00120A5D"/>
    <w:rsid w:val="00121554"/>
    <w:rsid w:val="00121F3E"/>
    <w:rsid w:val="0012229E"/>
    <w:rsid w:val="00123849"/>
    <w:rsid w:val="00123A5E"/>
    <w:rsid w:val="00125010"/>
    <w:rsid w:val="001251C8"/>
    <w:rsid w:val="00125266"/>
    <w:rsid w:val="00125B82"/>
    <w:rsid w:val="001305E6"/>
    <w:rsid w:val="001315CD"/>
    <w:rsid w:val="00131C8D"/>
    <w:rsid w:val="0013239A"/>
    <w:rsid w:val="00132AC0"/>
    <w:rsid w:val="00132D93"/>
    <w:rsid w:val="001334D3"/>
    <w:rsid w:val="00135E6E"/>
    <w:rsid w:val="00136ABC"/>
    <w:rsid w:val="0013761A"/>
    <w:rsid w:val="001379F1"/>
    <w:rsid w:val="0014350A"/>
    <w:rsid w:val="0014423A"/>
    <w:rsid w:val="00145CB0"/>
    <w:rsid w:val="00147042"/>
    <w:rsid w:val="001471A7"/>
    <w:rsid w:val="001506F6"/>
    <w:rsid w:val="001508E6"/>
    <w:rsid w:val="00154032"/>
    <w:rsid w:val="001547D3"/>
    <w:rsid w:val="0015573A"/>
    <w:rsid w:val="001557A9"/>
    <w:rsid w:val="001557F6"/>
    <w:rsid w:val="001559BD"/>
    <w:rsid w:val="00157F09"/>
    <w:rsid w:val="00157F79"/>
    <w:rsid w:val="00163240"/>
    <w:rsid w:val="00163E84"/>
    <w:rsid w:val="00165A12"/>
    <w:rsid w:val="001668AA"/>
    <w:rsid w:val="001675B1"/>
    <w:rsid w:val="0016789D"/>
    <w:rsid w:val="00167C87"/>
    <w:rsid w:val="00171F01"/>
    <w:rsid w:val="0017218A"/>
    <w:rsid w:val="00172EE3"/>
    <w:rsid w:val="0017349A"/>
    <w:rsid w:val="00174F19"/>
    <w:rsid w:val="00175746"/>
    <w:rsid w:val="00177804"/>
    <w:rsid w:val="00177E7E"/>
    <w:rsid w:val="00180BB5"/>
    <w:rsid w:val="00181544"/>
    <w:rsid w:val="0018356F"/>
    <w:rsid w:val="001845F1"/>
    <w:rsid w:val="00184CBF"/>
    <w:rsid w:val="001874A7"/>
    <w:rsid w:val="001876C5"/>
    <w:rsid w:val="00187BA9"/>
    <w:rsid w:val="00187D68"/>
    <w:rsid w:val="00190155"/>
    <w:rsid w:val="001906B5"/>
    <w:rsid w:val="001913A7"/>
    <w:rsid w:val="00192198"/>
    <w:rsid w:val="00194163"/>
    <w:rsid w:val="00194359"/>
    <w:rsid w:val="00194881"/>
    <w:rsid w:val="00194FEB"/>
    <w:rsid w:val="001970A4"/>
    <w:rsid w:val="00197AD1"/>
    <w:rsid w:val="001A17DA"/>
    <w:rsid w:val="001A24AE"/>
    <w:rsid w:val="001A31ED"/>
    <w:rsid w:val="001B0020"/>
    <w:rsid w:val="001B3F87"/>
    <w:rsid w:val="001B4026"/>
    <w:rsid w:val="001B56AD"/>
    <w:rsid w:val="001B598C"/>
    <w:rsid w:val="001B6419"/>
    <w:rsid w:val="001B6A8B"/>
    <w:rsid w:val="001B6E76"/>
    <w:rsid w:val="001B76A6"/>
    <w:rsid w:val="001C07F8"/>
    <w:rsid w:val="001C1147"/>
    <w:rsid w:val="001C1BBD"/>
    <w:rsid w:val="001C2D7D"/>
    <w:rsid w:val="001C2F59"/>
    <w:rsid w:val="001C6C08"/>
    <w:rsid w:val="001D0646"/>
    <w:rsid w:val="001D1B55"/>
    <w:rsid w:val="001D2056"/>
    <w:rsid w:val="001D220F"/>
    <w:rsid w:val="001D42D1"/>
    <w:rsid w:val="001D547F"/>
    <w:rsid w:val="001D5B71"/>
    <w:rsid w:val="001D5D49"/>
    <w:rsid w:val="001D5F99"/>
    <w:rsid w:val="001D64E5"/>
    <w:rsid w:val="001D6634"/>
    <w:rsid w:val="001D6EB8"/>
    <w:rsid w:val="001E05EC"/>
    <w:rsid w:val="001E2165"/>
    <w:rsid w:val="001E25E9"/>
    <w:rsid w:val="001E2D18"/>
    <w:rsid w:val="001E4028"/>
    <w:rsid w:val="001E4809"/>
    <w:rsid w:val="001E4F4F"/>
    <w:rsid w:val="001E5847"/>
    <w:rsid w:val="001F27F4"/>
    <w:rsid w:val="001F3DBB"/>
    <w:rsid w:val="001F3DC0"/>
    <w:rsid w:val="001F4871"/>
    <w:rsid w:val="001F4C5A"/>
    <w:rsid w:val="001F4EA9"/>
    <w:rsid w:val="001F4F73"/>
    <w:rsid w:val="001F6425"/>
    <w:rsid w:val="001F6772"/>
    <w:rsid w:val="001F7421"/>
    <w:rsid w:val="00200195"/>
    <w:rsid w:val="00200B5F"/>
    <w:rsid w:val="00201EEF"/>
    <w:rsid w:val="00202476"/>
    <w:rsid w:val="00202B58"/>
    <w:rsid w:val="002032DC"/>
    <w:rsid w:val="002047C8"/>
    <w:rsid w:val="002052B3"/>
    <w:rsid w:val="00205453"/>
    <w:rsid w:val="002058F9"/>
    <w:rsid w:val="0020650A"/>
    <w:rsid w:val="0020799B"/>
    <w:rsid w:val="00207F32"/>
    <w:rsid w:val="00212B1F"/>
    <w:rsid w:val="00213340"/>
    <w:rsid w:val="00213D7C"/>
    <w:rsid w:val="00214513"/>
    <w:rsid w:val="00214EC6"/>
    <w:rsid w:val="002155B7"/>
    <w:rsid w:val="002156BB"/>
    <w:rsid w:val="0021766A"/>
    <w:rsid w:val="00220C88"/>
    <w:rsid w:val="002225D3"/>
    <w:rsid w:val="00222A35"/>
    <w:rsid w:val="0022301D"/>
    <w:rsid w:val="002236F0"/>
    <w:rsid w:val="00223F49"/>
    <w:rsid w:val="00224B2C"/>
    <w:rsid w:val="00226052"/>
    <w:rsid w:val="00226E3A"/>
    <w:rsid w:val="00226F3A"/>
    <w:rsid w:val="002272E2"/>
    <w:rsid w:val="00227E55"/>
    <w:rsid w:val="00232AA0"/>
    <w:rsid w:val="00232C75"/>
    <w:rsid w:val="00234CDF"/>
    <w:rsid w:val="00236B91"/>
    <w:rsid w:val="00236BF6"/>
    <w:rsid w:val="002413D3"/>
    <w:rsid w:val="00241D6B"/>
    <w:rsid w:val="002424C0"/>
    <w:rsid w:val="00242617"/>
    <w:rsid w:val="00242CAA"/>
    <w:rsid w:val="0024503B"/>
    <w:rsid w:val="0024573D"/>
    <w:rsid w:val="00245D74"/>
    <w:rsid w:val="00246D03"/>
    <w:rsid w:val="00246DDF"/>
    <w:rsid w:val="002470FF"/>
    <w:rsid w:val="00247854"/>
    <w:rsid w:val="00254256"/>
    <w:rsid w:val="002573CC"/>
    <w:rsid w:val="00260FAA"/>
    <w:rsid w:val="00262338"/>
    <w:rsid w:val="00263694"/>
    <w:rsid w:val="00263938"/>
    <w:rsid w:val="002646D7"/>
    <w:rsid w:val="00264990"/>
    <w:rsid w:val="0026538D"/>
    <w:rsid w:val="002671D7"/>
    <w:rsid w:val="0027259C"/>
    <w:rsid w:val="0027268F"/>
    <w:rsid w:val="00273122"/>
    <w:rsid w:val="00273543"/>
    <w:rsid w:val="00274C82"/>
    <w:rsid w:val="0027654D"/>
    <w:rsid w:val="00276B00"/>
    <w:rsid w:val="00277E29"/>
    <w:rsid w:val="002810DF"/>
    <w:rsid w:val="002812AB"/>
    <w:rsid w:val="002816D8"/>
    <w:rsid w:val="00281F8F"/>
    <w:rsid w:val="00282A8C"/>
    <w:rsid w:val="002854EE"/>
    <w:rsid w:val="0028565C"/>
    <w:rsid w:val="00286891"/>
    <w:rsid w:val="002875DE"/>
    <w:rsid w:val="00287914"/>
    <w:rsid w:val="00287E07"/>
    <w:rsid w:val="00290EB3"/>
    <w:rsid w:val="00292846"/>
    <w:rsid w:val="00292A90"/>
    <w:rsid w:val="0029458F"/>
    <w:rsid w:val="00294E89"/>
    <w:rsid w:val="002971D6"/>
    <w:rsid w:val="002A256A"/>
    <w:rsid w:val="002A26D9"/>
    <w:rsid w:val="002A2F08"/>
    <w:rsid w:val="002A3641"/>
    <w:rsid w:val="002A495F"/>
    <w:rsid w:val="002A4CE1"/>
    <w:rsid w:val="002A58D1"/>
    <w:rsid w:val="002A706F"/>
    <w:rsid w:val="002A70EA"/>
    <w:rsid w:val="002A7363"/>
    <w:rsid w:val="002A7F43"/>
    <w:rsid w:val="002B365E"/>
    <w:rsid w:val="002B3769"/>
    <w:rsid w:val="002B3E6C"/>
    <w:rsid w:val="002B489A"/>
    <w:rsid w:val="002B6341"/>
    <w:rsid w:val="002C031A"/>
    <w:rsid w:val="002C03C6"/>
    <w:rsid w:val="002C0526"/>
    <w:rsid w:val="002C27A8"/>
    <w:rsid w:val="002C333E"/>
    <w:rsid w:val="002C36C8"/>
    <w:rsid w:val="002C42E9"/>
    <w:rsid w:val="002C51A0"/>
    <w:rsid w:val="002C57E0"/>
    <w:rsid w:val="002C641D"/>
    <w:rsid w:val="002C78BA"/>
    <w:rsid w:val="002C7971"/>
    <w:rsid w:val="002D0584"/>
    <w:rsid w:val="002D11D4"/>
    <w:rsid w:val="002D2A07"/>
    <w:rsid w:val="002D2E2A"/>
    <w:rsid w:val="002D4274"/>
    <w:rsid w:val="002D4F19"/>
    <w:rsid w:val="002D5295"/>
    <w:rsid w:val="002D52BF"/>
    <w:rsid w:val="002D62B1"/>
    <w:rsid w:val="002D6630"/>
    <w:rsid w:val="002D68FA"/>
    <w:rsid w:val="002D79CC"/>
    <w:rsid w:val="002D7ECA"/>
    <w:rsid w:val="002E0141"/>
    <w:rsid w:val="002E0B5D"/>
    <w:rsid w:val="002E0B76"/>
    <w:rsid w:val="002E1495"/>
    <w:rsid w:val="002E1905"/>
    <w:rsid w:val="002E2466"/>
    <w:rsid w:val="002E2900"/>
    <w:rsid w:val="002E3C0D"/>
    <w:rsid w:val="002E43EC"/>
    <w:rsid w:val="002E4883"/>
    <w:rsid w:val="002E5B3C"/>
    <w:rsid w:val="002E7A79"/>
    <w:rsid w:val="002F0758"/>
    <w:rsid w:val="002F1D9E"/>
    <w:rsid w:val="002F2C6E"/>
    <w:rsid w:val="002F38EC"/>
    <w:rsid w:val="002F3C88"/>
    <w:rsid w:val="002F4067"/>
    <w:rsid w:val="002F47EB"/>
    <w:rsid w:val="002F71E8"/>
    <w:rsid w:val="002F7339"/>
    <w:rsid w:val="002F7461"/>
    <w:rsid w:val="003025E2"/>
    <w:rsid w:val="00303CB0"/>
    <w:rsid w:val="00304430"/>
    <w:rsid w:val="00306D24"/>
    <w:rsid w:val="00307712"/>
    <w:rsid w:val="00307B8C"/>
    <w:rsid w:val="0031404A"/>
    <w:rsid w:val="003143A4"/>
    <w:rsid w:val="00314B7C"/>
    <w:rsid w:val="00314E49"/>
    <w:rsid w:val="00315445"/>
    <w:rsid w:val="00317183"/>
    <w:rsid w:val="003204AE"/>
    <w:rsid w:val="003208EF"/>
    <w:rsid w:val="00321213"/>
    <w:rsid w:val="00323747"/>
    <w:rsid w:val="00323D35"/>
    <w:rsid w:val="00324846"/>
    <w:rsid w:val="00324ABD"/>
    <w:rsid w:val="00324D9B"/>
    <w:rsid w:val="003272A6"/>
    <w:rsid w:val="003273CB"/>
    <w:rsid w:val="0033125E"/>
    <w:rsid w:val="003323CE"/>
    <w:rsid w:val="00332ED2"/>
    <w:rsid w:val="0033325E"/>
    <w:rsid w:val="00335C99"/>
    <w:rsid w:val="00336913"/>
    <w:rsid w:val="0033718C"/>
    <w:rsid w:val="00337407"/>
    <w:rsid w:val="00337BB8"/>
    <w:rsid w:val="00340A68"/>
    <w:rsid w:val="00340E02"/>
    <w:rsid w:val="00341EC6"/>
    <w:rsid w:val="00341F33"/>
    <w:rsid w:val="00342E94"/>
    <w:rsid w:val="00343E6E"/>
    <w:rsid w:val="00343E9A"/>
    <w:rsid w:val="00344F07"/>
    <w:rsid w:val="003450C8"/>
    <w:rsid w:val="00345BA7"/>
    <w:rsid w:val="0034647A"/>
    <w:rsid w:val="0034782B"/>
    <w:rsid w:val="00351E5C"/>
    <w:rsid w:val="00351F5A"/>
    <w:rsid w:val="003538F7"/>
    <w:rsid w:val="0035580F"/>
    <w:rsid w:val="00357B24"/>
    <w:rsid w:val="00357CB4"/>
    <w:rsid w:val="003604EE"/>
    <w:rsid w:val="0036139C"/>
    <w:rsid w:val="00361842"/>
    <w:rsid w:val="00361CEE"/>
    <w:rsid w:val="0036286B"/>
    <w:rsid w:val="00363371"/>
    <w:rsid w:val="00364989"/>
    <w:rsid w:val="0036601B"/>
    <w:rsid w:val="003664C0"/>
    <w:rsid w:val="00366769"/>
    <w:rsid w:val="00367A28"/>
    <w:rsid w:val="00367E04"/>
    <w:rsid w:val="00370210"/>
    <w:rsid w:val="00370F9A"/>
    <w:rsid w:val="00375B64"/>
    <w:rsid w:val="00375ED2"/>
    <w:rsid w:val="003761F2"/>
    <w:rsid w:val="00376A05"/>
    <w:rsid w:val="003774FE"/>
    <w:rsid w:val="00377DA4"/>
    <w:rsid w:val="003815EB"/>
    <w:rsid w:val="0038525F"/>
    <w:rsid w:val="00390E30"/>
    <w:rsid w:val="00392823"/>
    <w:rsid w:val="003938AC"/>
    <w:rsid w:val="00393ABE"/>
    <w:rsid w:val="00393DCA"/>
    <w:rsid w:val="00393EB3"/>
    <w:rsid w:val="0039458D"/>
    <w:rsid w:val="00394D61"/>
    <w:rsid w:val="00395201"/>
    <w:rsid w:val="00395B45"/>
    <w:rsid w:val="00395B84"/>
    <w:rsid w:val="00395BDC"/>
    <w:rsid w:val="0039607A"/>
    <w:rsid w:val="003967E5"/>
    <w:rsid w:val="003A05FC"/>
    <w:rsid w:val="003A1F5A"/>
    <w:rsid w:val="003A20C4"/>
    <w:rsid w:val="003A2ECE"/>
    <w:rsid w:val="003A3606"/>
    <w:rsid w:val="003A4252"/>
    <w:rsid w:val="003A42A7"/>
    <w:rsid w:val="003A539A"/>
    <w:rsid w:val="003A62A4"/>
    <w:rsid w:val="003A7476"/>
    <w:rsid w:val="003A7D82"/>
    <w:rsid w:val="003A7D86"/>
    <w:rsid w:val="003B0AA1"/>
    <w:rsid w:val="003B243D"/>
    <w:rsid w:val="003B271D"/>
    <w:rsid w:val="003B304F"/>
    <w:rsid w:val="003B40C5"/>
    <w:rsid w:val="003B5D18"/>
    <w:rsid w:val="003B6928"/>
    <w:rsid w:val="003B795D"/>
    <w:rsid w:val="003C26A6"/>
    <w:rsid w:val="003C26C1"/>
    <w:rsid w:val="003C5C11"/>
    <w:rsid w:val="003C6A5A"/>
    <w:rsid w:val="003C6AAD"/>
    <w:rsid w:val="003C76E4"/>
    <w:rsid w:val="003D1D4D"/>
    <w:rsid w:val="003D2D68"/>
    <w:rsid w:val="003D3682"/>
    <w:rsid w:val="003D37DD"/>
    <w:rsid w:val="003D45DF"/>
    <w:rsid w:val="003D47C6"/>
    <w:rsid w:val="003D4ED8"/>
    <w:rsid w:val="003D7E38"/>
    <w:rsid w:val="003D7EAC"/>
    <w:rsid w:val="003E0A71"/>
    <w:rsid w:val="003E1AFA"/>
    <w:rsid w:val="003E2D1D"/>
    <w:rsid w:val="003E375F"/>
    <w:rsid w:val="003E379A"/>
    <w:rsid w:val="003E52B0"/>
    <w:rsid w:val="003E64DC"/>
    <w:rsid w:val="003E7A43"/>
    <w:rsid w:val="003F0B58"/>
    <w:rsid w:val="003F0D40"/>
    <w:rsid w:val="003F0EFA"/>
    <w:rsid w:val="003F2236"/>
    <w:rsid w:val="003F27B7"/>
    <w:rsid w:val="003F39B2"/>
    <w:rsid w:val="003F4051"/>
    <w:rsid w:val="003F5812"/>
    <w:rsid w:val="003F625A"/>
    <w:rsid w:val="003F6AA4"/>
    <w:rsid w:val="003F6EA1"/>
    <w:rsid w:val="00400E4A"/>
    <w:rsid w:val="004028E7"/>
    <w:rsid w:val="00402E9A"/>
    <w:rsid w:val="00403FA8"/>
    <w:rsid w:val="00404040"/>
    <w:rsid w:val="00404213"/>
    <w:rsid w:val="0040442F"/>
    <w:rsid w:val="004048AC"/>
    <w:rsid w:val="00404B8E"/>
    <w:rsid w:val="004068C2"/>
    <w:rsid w:val="00406E61"/>
    <w:rsid w:val="00407CF5"/>
    <w:rsid w:val="00407DD6"/>
    <w:rsid w:val="00412559"/>
    <w:rsid w:val="00412DBF"/>
    <w:rsid w:val="00414449"/>
    <w:rsid w:val="004145F0"/>
    <w:rsid w:val="00415E7F"/>
    <w:rsid w:val="004170C9"/>
    <w:rsid w:val="00417C6A"/>
    <w:rsid w:val="00420288"/>
    <w:rsid w:val="00421C78"/>
    <w:rsid w:val="004224CE"/>
    <w:rsid w:val="00423D5E"/>
    <w:rsid w:val="00424A78"/>
    <w:rsid w:val="004254DB"/>
    <w:rsid w:val="00427EEA"/>
    <w:rsid w:val="00431836"/>
    <w:rsid w:val="004321E6"/>
    <w:rsid w:val="004323A9"/>
    <w:rsid w:val="0043278E"/>
    <w:rsid w:val="004327FB"/>
    <w:rsid w:val="004332A4"/>
    <w:rsid w:val="004360AC"/>
    <w:rsid w:val="004367E0"/>
    <w:rsid w:val="004369FE"/>
    <w:rsid w:val="00436B83"/>
    <w:rsid w:val="00437C10"/>
    <w:rsid w:val="00437DC3"/>
    <w:rsid w:val="00441061"/>
    <w:rsid w:val="004411A3"/>
    <w:rsid w:val="00443AB3"/>
    <w:rsid w:val="0044560C"/>
    <w:rsid w:val="004501C9"/>
    <w:rsid w:val="0045086C"/>
    <w:rsid w:val="00450C70"/>
    <w:rsid w:val="00452612"/>
    <w:rsid w:val="00453344"/>
    <w:rsid w:val="00453F32"/>
    <w:rsid w:val="00454E76"/>
    <w:rsid w:val="00455E48"/>
    <w:rsid w:val="00456297"/>
    <w:rsid w:val="00457080"/>
    <w:rsid w:val="00460891"/>
    <w:rsid w:val="00461411"/>
    <w:rsid w:val="0046245F"/>
    <w:rsid w:val="00463969"/>
    <w:rsid w:val="004649C3"/>
    <w:rsid w:val="00464FB2"/>
    <w:rsid w:val="00465356"/>
    <w:rsid w:val="004660A4"/>
    <w:rsid w:val="004662A8"/>
    <w:rsid w:val="00466CDC"/>
    <w:rsid w:val="0046745E"/>
    <w:rsid w:val="004725ED"/>
    <w:rsid w:val="004736BE"/>
    <w:rsid w:val="0047556D"/>
    <w:rsid w:val="00475789"/>
    <w:rsid w:val="00475B5A"/>
    <w:rsid w:val="00476170"/>
    <w:rsid w:val="00477243"/>
    <w:rsid w:val="004801D4"/>
    <w:rsid w:val="00480284"/>
    <w:rsid w:val="004820B0"/>
    <w:rsid w:val="00482117"/>
    <w:rsid w:val="00482E2F"/>
    <w:rsid w:val="00484BE0"/>
    <w:rsid w:val="004859B4"/>
    <w:rsid w:val="00486ACD"/>
    <w:rsid w:val="00487210"/>
    <w:rsid w:val="004876A1"/>
    <w:rsid w:val="00490B8D"/>
    <w:rsid w:val="0049255A"/>
    <w:rsid w:val="00492C65"/>
    <w:rsid w:val="0049403F"/>
    <w:rsid w:val="00494323"/>
    <w:rsid w:val="00494349"/>
    <w:rsid w:val="00494485"/>
    <w:rsid w:val="00494A6F"/>
    <w:rsid w:val="0049682B"/>
    <w:rsid w:val="00496B32"/>
    <w:rsid w:val="0049762B"/>
    <w:rsid w:val="004A0F27"/>
    <w:rsid w:val="004A0F37"/>
    <w:rsid w:val="004A0F68"/>
    <w:rsid w:val="004A1172"/>
    <w:rsid w:val="004A24B2"/>
    <w:rsid w:val="004A3608"/>
    <w:rsid w:val="004A455D"/>
    <w:rsid w:val="004A4FBD"/>
    <w:rsid w:val="004A76FF"/>
    <w:rsid w:val="004A7810"/>
    <w:rsid w:val="004A7E93"/>
    <w:rsid w:val="004B021E"/>
    <w:rsid w:val="004B2A28"/>
    <w:rsid w:val="004B3171"/>
    <w:rsid w:val="004B3CFB"/>
    <w:rsid w:val="004B5105"/>
    <w:rsid w:val="004B5D6B"/>
    <w:rsid w:val="004B76F8"/>
    <w:rsid w:val="004C1327"/>
    <w:rsid w:val="004C1FA6"/>
    <w:rsid w:val="004C2869"/>
    <w:rsid w:val="004C3C88"/>
    <w:rsid w:val="004C45FF"/>
    <w:rsid w:val="004C4A0F"/>
    <w:rsid w:val="004C5CFD"/>
    <w:rsid w:val="004C7777"/>
    <w:rsid w:val="004D12C0"/>
    <w:rsid w:val="004D18EA"/>
    <w:rsid w:val="004D2B29"/>
    <w:rsid w:val="004D30EE"/>
    <w:rsid w:val="004D31E6"/>
    <w:rsid w:val="004D3713"/>
    <w:rsid w:val="004D44AA"/>
    <w:rsid w:val="004D59D7"/>
    <w:rsid w:val="004D6254"/>
    <w:rsid w:val="004D70FD"/>
    <w:rsid w:val="004D7E99"/>
    <w:rsid w:val="004E00CE"/>
    <w:rsid w:val="004E13C8"/>
    <w:rsid w:val="004E2BDB"/>
    <w:rsid w:val="004E307B"/>
    <w:rsid w:val="004F02E0"/>
    <w:rsid w:val="004F0966"/>
    <w:rsid w:val="004F3B24"/>
    <w:rsid w:val="004F435F"/>
    <w:rsid w:val="004F50AF"/>
    <w:rsid w:val="004F590C"/>
    <w:rsid w:val="004F681D"/>
    <w:rsid w:val="004F6E14"/>
    <w:rsid w:val="005020A1"/>
    <w:rsid w:val="0050228C"/>
    <w:rsid w:val="00502857"/>
    <w:rsid w:val="005044A9"/>
    <w:rsid w:val="00504A5F"/>
    <w:rsid w:val="00504F68"/>
    <w:rsid w:val="005054DC"/>
    <w:rsid w:val="00505994"/>
    <w:rsid w:val="00505FD4"/>
    <w:rsid w:val="005062F0"/>
    <w:rsid w:val="00506E25"/>
    <w:rsid w:val="005077AC"/>
    <w:rsid w:val="0051132C"/>
    <w:rsid w:val="005119D0"/>
    <w:rsid w:val="00513483"/>
    <w:rsid w:val="00513A5C"/>
    <w:rsid w:val="00514A55"/>
    <w:rsid w:val="00514EF5"/>
    <w:rsid w:val="0051782D"/>
    <w:rsid w:val="0052087E"/>
    <w:rsid w:val="00521BC4"/>
    <w:rsid w:val="0052315E"/>
    <w:rsid w:val="005238AE"/>
    <w:rsid w:val="00523B73"/>
    <w:rsid w:val="00530ED3"/>
    <w:rsid w:val="00532D58"/>
    <w:rsid w:val="00533D2D"/>
    <w:rsid w:val="00534013"/>
    <w:rsid w:val="0053438E"/>
    <w:rsid w:val="005343E5"/>
    <w:rsid w:val="005346B7"/>
    <w:rsid w:val="005355EE"/>
    <w:rsid w:val="00535B16"/>
    <w:rsid w:val="005366D0"/>
    <w:rsid w:val="00537E27"/>
    <w:rsid w:val="00540B4D"/>
    <w:rsid w:val="00540FFA"/>
    <w:rsid w:val="00542930"/>
    <w:rsid w:val="005435B3"/>
    <w:rsid w:val="00545568"/>
    <w:rsid w:val="00550849"/>
    <w:rsid w:val="00550866"/>
    <w:rsid w:val="00554BF3"/>
    <w:rsid w:val="0055655F"/>
    <w:rsid w:val="0055657D"/>
    <w:rsid w:val="005579B9"/>
    <w:rsid w:val="00560D0D"/>
    <w:rsid w:val="005632F1"/>
    <w:rsid w:val="00564418"/>
    <w:rsid w:val="005644AD"/>
    <w:rsid w:val="00565FB1"/>
    <w:rsid w:val="005662FB"/>
    <w:rsid w:val="00567781"/>
    <w:rsid w:val="00567ECC"/>
    <w:rsid w:val="0057019C"/>
    <w:rsid w:val="005713B1"/>
    <w:rsid w:val="0057363E"/>
    <w:rsid w:val="00575904"/>
    <w:rsid w:val="0057624B"/>
    <w:rsid w:val="0057644D"/>
    <w:rsid w:val="0057649A"/>
    <w:rsid w:val="00583090"/>
    <w:rsid w:val="005835F4"/>
    <w:rsid w:val="00583EFE"/>
    <w:rsid w:val="00584076"/>
    <w:rsid w:val="005841A3"/>
    <w:rsid w:val="00585D54"/>
    <w:rsid w:val="00586D9A"/>
    <w:rsid w:val="00590EAE"/>
    <w:rsid w:val="0059112A"/>
    <w:rsid w:val="0059116B"/>
    <w:rsid w:val="005914FD"/>
    <w:rsid w:val="00591B65"/>
    <w:rsid w:val="00592A14"/>
    <w:rsid w:val="00593216"/>
    <w:rsid w:val="005933D3"/>
    <w:rsid w:val="00594BC3"/>
    <w:rsid w:val="00594DD8"/>
    <w:rsid w:val="00596CA7"/>
    <w:rsid w:val="00596DC8"/>
    <w:rsid w:val="00596E16"/>
    <w:rsid w:val="00597A78"/>
    <w:rsid w:val="00597CD2"/>
    <w:rsid w:val="00597DC7"/>
    <w:rsid w:val="005A16A3"/>
    <w:rsid w:val="005A1C48"/>
    <w:rsid w:val="005A253A"/>
    <w:rsid w:val="005A2AD8"/>
    <w:rsid w:val="005A2DDF"/>
    <w:rsid w:val="005A3152"/>
    <w:rsid w:val="005A40AF"/>
    <w:rsid w:val="005A6064"/>
    <w:rsid w:val="005A64BF"/>
    <w:rsid w:val="005A72CC"/>
    <w:rsid w:val="005B0565"/>
    <w:rsid w:val="005B15A4"/>
    <w:rsid w:val="005B4421"/>
    <w:rsid w:val="005B513F"/>
    <w:rsid w:val="005B7483"/>
    <w:rsid w:val="005B7929"/>
    <w:rsid w:val="005C0643"/>
    <w:rsid w:val="005C23AF"/>
    <w:rsid w:val="005C25D1"/>
    <w:rsid w:val="005C35A9"/>
    <w:rsid w:val="005C464B"/>
    <w:rsid w:val="005C4E5F"/>
    <w:rsid w:val="005C74A0"/>
    <w:rsid w:val="005D052C"/>
    <w:rsid w:val="005D08AE"/>
    <w:rsid w:val="005D16FE"/>
    <w:rsid w:val="005D4084"/>
    <w:rsid w:val="005D4777"/>
    <w:rsid w:val="005D4C2B"/>
    <w:rsid w:val="005D5784"/>
    <w:rsid w:val="005D6B2B"/>
    <w:rsid w:val="005D6E0A"/>
    <w:rsid w:val="005E22CD"/>
    <w:rsid w:val="005E37AB"/>
    <w:rsid w:val="005E384D"/>
    <w:rsid w:val="005E4A4D"/>
    <w:rsid w:val="005E51FB"/>
    <w:rsid w:val="005E6B93"/>
    <w:rsid w:val="005E6F30"/>
    <w:rsid w:val="005E7953"/>
    <w:rsid w:val="005E7E82"/>
    <w:rsid w:val="005F2C42"/>
    <w:rsid w:val="005F5039"/>
    <w:rsid w:val="005F6BAB"/>
    <w:rsid w:val="005F6C28"/>
    <w:rsid w:val="005F717D"/>
    <w:rsid w:val="005F7AB6"/>
    <w:rsid w:val="005F7E3C"/>
    <w:rsid w:val="00600FA8"/>
    <w:rsid w:val="0060111D"/>
    <w:rsid w:val="006039A6"/>
    <w:rsid w:val="00604A08"/>
    <w:rsid w:val="006063DA"/>
    <w:rsid w:val="00606CD0"/>
    <w:rsid w:val="00606CE3"/>
    <w:rsid w:val="00607251"/>
    <w:rsid w:val="006119F8"/>
    <w:rsid w:val="00611DD3"/>
    <w:rsid w:val="00611EF0"/>
    <w:rsid w:val="00612219"/>
    <w:rsid w:val="00612E04"/>
    <w:rsid w:val="0061629E"/>
    <w:rsid w:val="006173A4"/>
    <w:rsid w:val="00617C44"/>
    <w:rsid w:val="00620086"/>
    <w:rsid w:val="00621639"/>
    <w:rsid w:val="00622074"/>
    <w:rsid w:val="00622CE4"/>
    <w:rsid w:val="006234A7"/>
    <w:rsid w:val="00623F8E"/>
    <w:rsid w:val="00625917"/>
    <w:rsid w:val="0062789F"/>
    <w:rsid w:val="006278BD"/>
    <w:rsid w:val="00627AB5"/>
    <w:rsid w:val="006301BE"/>
    <w:rsid w:val="0063096E"/>
    <w:rsid w:val="00632DB2"/>
    <w:rsid w:val="00633349"/>
    <w:rsid w:val="006337AF"/>
    <w:rsid w:val="00633D61"/>
    <w:rsid w:val="0063402B"/>
    <w:rsid w:val="00634E8B"/>
    <w:rsid w:val="006364A9"/>
    <w:rsid w:val="00636570"/>
    <w:rsid w:val="00636F40"/>
    <w:rsid w:val="00637859"/>
    <w:rsid w:val="00637901"/>
    <w:rsid w:val="00637E1B"/>
    <w:rsid w:val="006402DF"/>
    <w:rsid w:val="0064164B"/>
    <w:rsid w:val="0064416A"/>
    <w:rsid w:val="00644468"/>
    <w:rsid w:val="00645F5E"/>
    <w:rsid w:val="00647B1E"/>
    <w:rsid w:val="00647C55"/>
    <w:rsid w:val="0065008B"/>
    <w:rsid w:val="00651443"/>
    <w:rsid w:val="00653721"/>
    <w:rsid w:val="00653A3B"/>
    <w:rsid w:val="00653FD9"/>
    <w:rsid w:val="006543A2"/>
    <w:rsid w:val="00654D42"/>
    <w:rsid w:val="006556BB"/>
    <w:rsid w:val="00656226"/>
    <w:rsid w:val="00656328"/>
    <w:rsid w:val="00656606"/>
    <w:rsid w:val="006569B6"/>
    <w:rsid w:val="00656D0E"/>
    <w:rsid w:val="006601FA"/>
    <w:rsid w:val="00660279"/>
    <w:rsid w:val="00660A94"/>
    <w:rsid w:val="00660D13"/>
    <w:rsid w:val="006610B7"/>
    <w:rsid w:val="006622B9"/>
    <w:rsid w:val="00662E1E"/>
    <w:rsid w:val="0066371E"/>
    <w:rsid w:val="0066455B"/>
    <w:rsid w:val="006647BE"/>
    <w:rsid w:val="00666744"/>
    <w:rsid w:val="006707A0"/>
    <w:rsid w:val="00670BC4"/>
    <w:rsid w:val="006718ED"/>
    <w:rsid w:val="006724AD"/>
    <w:rsid w:val="00672BAB"/>
    <w:rsid w:val="0067314A"/>
    <w:rsid w:val="00673D1E"/>
    <w:rsid w:val="00673EE5"/>
    <w:rsid w:val="0067557E"/>
    <w:rsid w:val="00675E9D"/>
    <w:rsid w:val="006779CF"/>
    <w:rsid w:val="00677A8F"/>
    <w:rsid w:val="00677D63"/>
    <w:rsid w:val="00677F8A"/>
    <w:rsid w:val="006821E3"/>
    <w:rsid w:val="00683AD6"/>
    <w:rsid w:val="006842AE"/>
    <w:rsid w:val="006866C9"/>
    <w:rsid w:val="006875BA"/>
    <w:rsid w:val="0069097D"/>
    <w:rsid w:val="00693FEA"/>
    <w:rsid w:val="006945EC"/>
    <w:rsid w:val="00694C68"/>
    <w:rsid w:val="00694E8A"/>
    <w:rsid w:val="00695BC7"/>
    <w:rsid w:val="006A0952"/>
    <w:rsid w:val="006A511D"/>
    <w:rsid w:val="006A5773"/>
    <w:rsid w:val="006A5804"/>
    <w:rsid w:val="006A58F0"/>
    <w:rsid w:val="006A6262"/>
    <w:rsid w:val="006A7CE7"/>
    <w:rsid w:val="006B0372"/>
    <w:rsid w:val="006B0764"/>
    <w:rsid w:val="006B081C"/>
    <w:rsid w:val="006B4467"/>
    <w:rsid w:val="006B6C46"/>
    <w:rsid w:val="006B6E78"/>
    <w:rsid w:val="006B76AB"/>
    <w:rsid w:val="006B7970"/>
    <w:rsid w:val="006C0039"/>
    <w:rsid w:val="006C1927"/>
    <w:rsid w:val="006C2585"/>
    <w:rsid w:val="006C4008"/>
    <w:rsid w:val="006C4E2C"/>
    <w:rsid w:val="006C5931"/>
    <w:rsid w:val="006C73EF"/>
    <w:rsid w:val="006D1723"/>
    <w:rsid w:val="006D3B21"/>
    <w:rsid w:val="006D5D3F"/>
    <w:rsid w:val="006D5D99"/>
    <w:rsid w:val="006D60ED"/>
    <w:rsid w:val="006E1166"/>
    <w:rsid w:val="006E24D9"/>
    <w:rsid w:val="006E25BA"/>
    <w:rsid w:val="006E27C6"/>
    <w:rsid w:val="006E4834"/>
    <w:rsid w:val="006E596E"/>
    <w:rsid w:val="006E65E0"/>
    <w:rsid w:val="006F033F"/>
    <w:rsid w:val="006F24D8"/>
    <w:rsid w:val="006F33B8"/>
    <w:rsid w:val="006F4C9C"/>
    <w:rsid w:val="006F640F"/>
    <w:rsid w:val="006F64B8"/>
    <w:rsid w:val="006F6ECF"/>
    <w:rsid w:val="006F762A"/>
    <w:rsid w:val="00701B6B"/>
    <w:rsid w:val="007026CB"/>
    <w:rsid w:val="00702D07"/>
    <w:rsid w:val="0070384F"/>
    <w:rsid w:val="00703A9E"/>
    <w:rsid w:val="00703D6D"/>
    <w:rsid w:val="00704095"/>
    <w:rsid w:val="00704152"/>
    <w:rsid w:val="00704284"/>
    <w:rsid w:val="00704FB5"/>
    <w:rsid w:val="00706B71"/>
    <w:rsid w:val="0071022A"/>
    <w:rsid w:val="00711062"/>
    <w:rsid w:val="00711D06"/>
    <w:rsid w:val="00711F79"/>
    <w:rsid w:val="0071277A"/>
    <w:rsid w:val="00712EE5"/>
    <w:rsid w:val="00713493"/>
    <w:rsid w:val="00713494"/>
    <w:rsid w:val="00713EA7"/>
    <w:rsid w:val="00714031"/>
    <w:rsid w:val="0071466E"/>
    <w:rsid w:val="00714843"/>
    <w:rsid w:val="00714A6C"/>
    <w:rsid w:val="00714CD3"/>
    <w:rsid w:val="0071582C"/>
    <w:rsid w:val="00716174"/>
    <w:rsid w:val="007203D8"/>
    <w:rsid w:val="007206A8"/>
    <w:rsid w:val="0072070F"/>
    <w:rsid w:val="0072116D"/>
    <w:rsid w:val="0072226F"/>
    <w:rsid w:val="00722B3F"/>
    <w:rsid w:val="0072318D"/>
    <w:rsid w:val="00725618"/>
    <w:rsid w:val="00725B78"/>
    <w:rsid w:val="00727082"/>
    <w:rsid w:val="00731936"/>
    <w:rsid w:val="0073233C"/>
    <w:rsid w:val="00732D0C"/>
    <w:rsid w:val="00733EAD"/>
    <w:rsid w:val="00734A93"/>
    <w:rsid w:val="00734F54"/>
    <w:rsid w:val="007358C1"/>
    <w:rsid w:val="00736D93"/>
    <w:rsid w:val="00737C04"/>
    <w:rsid w:val="00737F64"/>
    <w:rsid w:val="007422C9"/>
    <w:rsid w:val="00742553"/>
    <w:rsid w:val="00743EC6"/>
    <w:rsid w:val="00744110"/>
    <w:rsid w:val="00744595"/>
    <w:rsid w:val="00744C3C"/>
    <w:rsid w:val="0074695A"/>
    <w:rsid w:val="00747A52"/>
    <w:rsid w:val="00750F1E"/>
    <w:rsid w:val="00751AE4"/>
    <w:rsid w:val="00751C12"/>
    <w:rsid w:val="00752691"/>
    <w:rsid w:val="007528F2"/>
    <w:rsid w:val="007543C1"/>
    <w:rsid w:val="007575C4"/>
    <w:rsid w:val="00757D63"/>
    <w:rsid w:val="00760699"/>
    <w:rsid w:val="00760987"/>
    <w:rsid w:val="00760C36"/>
    <w:rsid w:val="007610D4"/>
    <w:rsid w:val="00762A1B"/>
    <w:rsid w:val="00762D6D"/>
    <w:rsid w:val="00763700"/>
    <w:rsid w:val="0076427C"/>
    <w:rsid w:val="00765217"/>
    <w:rsid w:val="007655C0"/>
    <w:rsid w:val="007659AA"/>
    <w:rsid w:val="00766334"/>
    <w:rsid w:val="007670F2"/>
    <w:rsid w:val="00767F22"/>
    <w:rsid w:val="00771A6A"/>
    <w:rsid w:val="0077266C"/>
    <w:rsid w:val="00772802"/>
    <w:rsid w:val="00772DE3"/>
    <w:rsid w:val="00775066"/>
    <w:rsid w:val="00776406"/>
    <w:rsid w:val="007770EE"/>
    <w:rsid w:val="0078005A"/>
    <w:rsid w:val="00781B6F"/>
    <w:rsid w:val="00781F9C"/>
    <w:rsid w:val="007820ED"/>
    <w:rsid w:val="00782A7C"/>
    <w:rsid w:val="00782DFD"/>
    <w:rsid w:val="00784424"/>
    <w:rsid w:val="00785474"/>
    <w:rsid w:val="00787235"/>
    <w:rsid w:val="0078772C"/>
    <w:rsid w:val="00787B99"/>
    <w:rsid w:val="0079046A"/>
    <w:rsid w:val="007907C8"/>
    <w:rsid w:val="00791D3F"/>
    <w:rsid w:val="007925B6"/>
    <w:rsid w:val="00792ABF"/>
    <w:rsid w:val="007934F5"/>
    <w:rsid w:val="0079421C"/>
    <w:rsid w:val="0079526D"/>
    <w:rsid w:val="00795A2C"/>
    <w:rsid w:val="00797309"/>
    <w:rsid w:val="00797390"/>
    <w:rsid w:val="007A0015"/>
    <w:rsid w:val="007A05B6"/>
    <w:rsid w:val="007A1C0A"/>
    <w:rsid w:val="007A1C59"/>
    <w:rsid w:val="007A1D4E"/>
    <w:rsid w:val="007A4397"/>
    <w:rsid w:val="007A5B41"/>
    <w:rsid w:val="007B15B4"/>
    <w:rsid w:val="007B3372"/>
    <w:rsid w:val="007B3A76"/>
    <w:rsid w:val="007B5792"/>
    <w:rsid w:val="007B6AAE"/>
    <w:rsid w:val="007C1032"/>
    <w:rsid w:val="007C2934"/>
    <w:rsid w:val="007C31E2"/>
    <w:rsid w:val="007C3402"/>
    <w:rsid w:val="007C5CE1"/>
    <w:rsid w:val="007C5F8D"/>
    <w:rsid w:val="007C6F85"/>
    <w:rsid w:val="007D0569"/>
    <w:rsid w:val="007D16B1"/>
    <w:rsid w:val="007D19E4"/>
    <w:rsid w:val="007D2001"/>
    <w:rsid w:val="007D2C1F"/>
    <w:rsid w:val="007D3A64"/>
    <w:rsid w:val="007D5591"/>
    <w:rsid w:val="007D7400"/>
    <w:rsid w:val="007D7761"/>
    <w:rsid w:val="007D79FF"/>
    <w:rsid w:val="007E02A7"/>
    <w:rsid w:val="007E283B"/>
    <w:rsid w:val="007E468A"/>
    <w:rsid w:val="007E4CA1"/>
    <w:rsid w:val="007E51A5"/>
    <w:rsid w:val="007E557A"/>
    <w:rsid w:val="007E5629"/>
    <w:rsid w:val="007E5E62"/>
    <w:rsid w:val="007E69E6"/>
    <w:rsid w:val="007E7F4C"/>
    <w:rsid w:val="007F067D"/>
    <w:rsid w:val="007F2EC6"/>
    <w:rsid w:val="007F3018"/>
    <w:rsid w:val="007F3BD5"/>
    <w:rsid w:val="007F3D70"/>
    <w:rsid w:val="007F5E06"/>
    <w:rsid w:val="007F6862"/>
    <w:rsid w:val="008013FC"/>
    <w:rsid w:val="008060C3"/>
    <w:rsid w:val="008063A1"/>
    <w:rsid w:val="008079CD"/>
    <w:rsid w:val="00807F00"/>
    <w:rsid w:val="00812095"/>
    <w:rsid w:val="008134BD"/>
    <w:rsid w:val="008139A5"/>
    <w:rsid w:val="00814656"/>
    <w:rsid w:val="008169A8"/>
    <w:rsid w:val="00816DA8"/>
    <w:rsid w:val="00820E45"/>
    <w:rsid w:val="00821E2C"/>
    <w:rsid w:val="00822835"/>
    <w:rsid w:val="00823836"/>
    <w:rsid w:val="0082459B"/>
    <w:rsid w:val="00824902"/>
    <w:rsid w:val="00826758"/>
    <w:rsid w:val="00826A13"/>
    <w:rsid w:val="008313D1"/>
    <w:rsid w:val="00833045"/>
    <w:rsid w:val="00833261"/>
    <w:rsid w:val="008344AE"/>
    <w:rsid w:val="00834A7F"/>
    <w:rsid w:val="00834CEC"/>
    <w:rsid w:val="008353E0"/>
    <w:rsid w:val="008365F0"/>
    <w:rsid w:val="00836AF0"/>
    <w:rsid w:val="00836B6F"/>
    <w:rsid w:val="00841534"/>
    <w:rsid w:val="008423C3"/>
    <w:rsid w:val="00843F2E"/>
    <w:rsid w:val="008462C7"/>
    <w:rsid w:val="008462F1"/>
    <w:rsid w:val="00846930"/>
    <w:rsid w:val="0085066C"/>
    <w:rsid w:val="00850FDE"/>
    <w:rsid w:val="00852876"/>
    <w:rsid w:val="008543F5"/>
    <w:rsid w:val="00855004"/>
    <w:rsid w:val="00855994"/>
    <w:rsid w:val="00855CD1"/>
    <w:rsid w:val="008572C4"/>
    <w:rsid w:val="0085733E"/>
    <w:rsid w:val="0085765A"/>
    <w:rsid w:val="008604A8"/>
    <w:rsid w:val="00860E64"/>
    <w:rsid w:val="008613CE"/>
    <w:rsid w:val="008616F7"/>
    <w:rsid w:val="00861AFA"/>
    <w:rsid w:val="00863C61"/>
    <w:rsid w:val="00865522"/>
    <w:rsid w:val="008658B6"/>
    <w:rsid w:val="00865ADF"/>
    <w:rsid w:val="0086644C"/>
    <w:rsid w:val="008666B5"/>
    <w:rsid w:val="008703B3"/>
    <w:rsid w:val="00871F13"/>
    <w:rsid w:val="0087202F"/>
    <w:rsid w:val="00872B72"/>
    <w:rsid w:val="008749AE"/>
    <w:rsid w:val="00875665"/>
    <w:rsid w:val="00876985"/>
    <w:rsid w:val="008771AF"/>
    <w:rsid w:val="008808E6"/>
    <w:rsid w:val="00883780"/>
    <w:rsid w:val="00883856"/>
    <w:rsid w:val="00883B99"/>
    <w:rsid w:val="00885066"/>
    <w:rsid w:val="00885AAD"/>
    <w:rsid w:val="00885F85"/>
    <w:rsid w:val="0088665E"/>
    <w:rsid w:val="008876DF"/>
    <w:rsid w:val="00887F48"/>
    <w:rsid w:val="00891DA4"/>
    <w:rsid w:val="008923C8"/>
    <w:rsid w:val="008924B5"/>
    <w:rsid w:val="00893260"/>
    <w:rsid w:val="008932A8"/>
    <w:rsid w:val="00893756"/>
    <w:rsid w:val="00893E9A"/>
    <w:rsid w:val="00894A9E"/>
    <w:rsid w:val="008950F6"/>
    <w:rsid w:val="00895175"/>
    <w:rsid w:val="008961E1"/>
    <w:rsid w:val="00896815"/>
    <w:rsid w:val="008A0744"/>
    <w:rsid w:val="008A0A6E"/>
    <w:rsid w:val="008A0D0F"/>
    <w:rsid w:val="008A2F49"/>
    <w:rsid w:val="008A2FB3"/>
    <w:rsid w:val="008A398B"/>
    <w:rsid w:val="008A39AD"/>
    <w:rsid w:val="008A4A79"/>
    <w:rsid w:val="008A5601"/>
    <w:rsid w:val="008A58EB"/>
    <w:rsid w:val="008A59AD"/>
    <w:rsid w:val="008B0EEB"/>
    <w:rsid w:val="008B431D"/>
    <w:rsid w:val="008B4504"/>
    <w:rsid w:val="008B4DD0"/>
    <w:rsid w:val="008B51FD"/>
    <w:rsid w:val="008B6269"/>
    <w:rsid w:val="008B6766"/>
    <w:rsid w:val="008B70F5"/>
    <w:rsid w:val="008B7186"/>
    <w:rsid w:val="008B7192"/>
    <w:rsid w:val="008B7D40"/>
    <w:rsid w:val="008C1939"/>
    <w:rsid w:val="008C2130"/>
    <w:rsid w:val="008C3396"/>
    <w:rsid w:val="008C621C"/>
    <w:rsid w:val="008C697C"/>
    <w:rsid w:val="008C7448"/>
    <w:rsid w:val="008C75ED"/>
    <w:rsid w:val="008C7649"/>
    <w:rsid w:val="008C7AC7"/>
    <w:rsid w:val="008E01B3"/>
    <w:rsid w:val="008E03B0"/>
    <w:rsid w:val="008E0991"/>
    <w:rsid w:val="008E1FCD"/>
    <w:rsid w:val="008E338E"/>
    <w:rsid w:val="008E37D6"/>
    <w:rsid w:val="008E43EB"/>
    <w:rsid w:val="008E4444"/>
    <w:rsid w:val="008E57FE"/>
    <w:rsid w:val="008E5C54"/>
    <w:rsid w:val="008E5DB7"/>
    <w:rsid w:val="008E6B56"/>
    <w:rsid w:val="008F14CC"/>
    <w:rsid w:val="008F1818"/>
    <w:rsid w:val="008F2665"/>
    <w:rsid w:val="008F446B"/>
    <w:rsid w:val="008F507E"/>
    <w:rsid w:val="008F5251"/>
    <w:rsid w:val="008F5971"/>
    <w:rsid w:val="008F6376"/>
    <w:rsid w:val="00900CC2"/>
    <w:rsid w:val="00901770"/>
    <w:rsid w:val="009019FB"/>
    <w:rsid w:val="00902AA5"/>
    <w:rsid w:val="009052B7"/>
    <w:rsid w:val="00905B05"/>
    <w:rsid w:val="0090753C"/>
    <w:rsid w:val="00907579"/>
    <w:rsid w:val="0090759D"/>
    <w:rsid w:val="0091156F"/>
    <w:rsid w:val="00911B66"/>
    <w:rsid w:val="009122D4"/>
    <w:rsid w:val="00912A7E"/>
    <w:rsid w:val="00915330"/>
    <w:rsid w:val="00916E69"/>
    <w:rsid w:val="00917525"/>
    <w:rsid w:val="0091777D"/>
    <w:rsid w:val="00917C39"/>
    <w:rsid w:val="0092057D"/>
    <w:rsid w:val="00920E6D"/>
    <w:rsid w:val="0092113B"/>
    <w:rsid w:val="009218DE"/>
    <w:rsid w:val="00922D00"/>
    <w:rsid w:val="009233CC"/>
    <w:rsid w:val="00923F17"/>
    <w:rsid w:val="009266DA"/>
    <w:rsid w:val="00927F35"/>
    <w:rsid w:val="00930DE8"/>
    <w:rsid w:val="009318DD"/>
    <w:rsid w:val="009352C3"/>
    <w:rsid w:val="00935413"/>
    <w:rsid w:val="009355C2"/>
    <w:rsid w:val="00935F5D"/>
    <w:rsid w:val="0093669F"/>
    <w:rsid w:val="009368E0"/>
    <w:rsid w:val="0094260B"/>
    <w:rsid w:val="00942661"/>
    <w:rsid w:val="00945307"/>
    <w:rsid w:val="0094558D"/>
    <w:rsid w:val="0094697C"/>
    <w:rsid w:val="00946FCE"/>
    <w:rsid w:val="00950334"/>
    <w:rsid w:val="009515BC"/>
    <w:rsid w:val="0095349A"/>
    <w:rsid w:val="00953B5B"/>
    <w:rsid w:val="00953ED0"/>
    <w:rsid w:val="0095492E"/>
    <w:rsid w:val="00955F7D"/>
    <w:rsid w:val="00960FDF"/>
    <w:rsid w:val="0096242F"/>
    <w:rsid w:val="00962E3B"/>
    <w:rsid w:val="00962FF5"/>
    <w:rsid w:val="0096341C"/>
    <w:rsid w:val="00964A4E"/>
    <w:rsid w:val="00965B02"/>
    <w:rsid w:val="00965C07"/>
    <w:rsid w:val="00965D2D"/>
    <w:rsid w:val="00967C86"/>
    <w:rsid w:val="00970A16"/>
    <w:rsid w:val="00971847"/>
    <w:rsid w:val="00972964"/>
    <w:rsid w:val="0097762F"/>
    <w:rsid w:val="00977B11"/>
    <w:rsid w:val="00977C0A"/>
    <w:rsid w:val="009806D2"/>
    <w:rsid w:val="009816B8"/>
    <w:rsid w:val="00983B45"/>
    <w:rsid w:val="00983B5C"/>
    <w:rsid w:val="00985E6B"/>
    <w:rsid w:val="00986177"/>
    <w:rsid w:val="0098709A"/>
    <w:rsid w:val="0098766F"/>
    <w:rsid w:val="00993912"/>
    <w:rsid w:val="00993ABC"/>
    <w:rsid w:val="00994050"/>
    <w:rsid w:val="0099556F"/>
    <w:rsid w:val="009962CF"/>
    <w:rsid w:val="009969D6"/>
    <w:rsid w:val="009A0CF2"/>
    <w:rsid w:val="009A12D7"/>
    <w:rsid w:val="009A4268"/>
    <w:rsid w:val="009A4543"/>
    <w:rsid w:val="009A5DB1"/>
    <w:rsid w:val="009A7C5A"/>
    <w:rsid w:val="009A7E51"/>
    <w:rsid w:val="009B2040"/>
    <w:rsid w:val="009B21B9"/>
    <w:rsid w:val="009B2FAD"/>
    <w:rsid w:val="009B3494"/>
    <w:rsid w:val="009B4CD0"/>
    <w:rsid w:val="009B4DA7"/>
    <w:rsid w:val="009C21C6"/>
    <w:rsid w:val="009C383B"/>
    <w:rsid w:val="009C3A80"/>
    <w:rsid w:val="009C41EC"/>
    <w:rsid w:val="009C45B8"/>
    <w:rsid w:val="009C5238"/>
    <w:rsid w:val="009C5D8F"/>
    <w:rsid w:val="009C79C9"/>
    <w:rsid w:val="009D12B4"/>
    <w:rsid w:val="009D1E70"/>
    <w:rsid w:val="009D2135"/>
    <w:rsid w:val="009D21BF"/>
    <w:rsid w:val="009D2FA7"/>
    <w:rsid w:val="009D3673"/>
    <w:rsid w:val="009D4166"/>
    <w:rsid w:val="009D4CAE"/>
    <w:rsid w:val="009D55F9"/>
    <w:rsid w:val="009D5837"/>
    <w:rsid w:val="009D5A11"/>
    <w:rsid w:val="009D752D"/>
    <w:rsid w:val="009D765F"/>
    <w:rsid w:val="009D7760"/>
    <w:rsid w:val="009E16E6"/>
    <w:rsid w:val="009E1C0D"/>
    <w:rsid w:val="009E1E62"/>
    <w:rsid w:val="009E2953"/>
    <w:rsid w:val="009E30CE"/>
    <w:rsid w:val="009E3414"/>
    <w:rsid w:val="009E4BA2"/>
    <w:rsid w:val="009E4CDF"/>
    <w:rsid w:val="009E738D"/>
    <w:rsid w:val="009F04C3"/>
    <w:rsid w:val="009F0760"/>
    <w:rsid w:val="009F0DA4"/>
    <w:rsid w:val="009F102B"/>
    <w:rsid w:val="009F3B29"/>
    <w:rsid w:val="009F3DC7"/>
    <w:rsid w:val="009F4860"/>
    <w:rsid w:val="009F4BF4"/>
    <w:rsid w:val="009F5BF2"/>
    <w:rsid w:val="009F783C"/>
    <w:rsid w:val="009F7FF4"/>
    <w:rsid w:val="00A00057"/>
    <w:rsid w:val="00A00485"/>
    <w:rsid w:val="00A00EBA"/>
    <w:rsid w:val="00A01432"/>
    <w:rsid w:val="00A01690"/>
    <w:rsid w:val="00A01A5F"/>
    <w:rsid w:val="00A025AC"/>
    <w:rsid w:val="00A026B2"/>
    <w:rsid w:val="00A02C96"/>
    <w:rsid w:val="00A02E65"/>
    <w:rsid w:val="00A0340A"/>
    <w:rsid w:val="00A0440C"/>
    <w:rsid w:val="00A047AE"/>
    <w:rsid w:val="00A04C82"/>
    <w:rsid w:val="00A0585F"/>
    <w:rsid w:val="00A0694A"/>
    <w:rsid w:val="00A075C0"/>
    <w:rsid w:val="00A077AC"/>
    <w:rsid w:val="00A07A33"/>
    <w:rsid w:val="00A106D9"/>
    <w:rsid w:val="00A10A30"/>
    <w:rsid w:val="00A110DE"/>
    <w:rsid w:val="00A1137C"/>
    <w:rsid w:val="00A113D7"/>
    <w:rsid w:val="00A11F0F"/>
    <w:rsid w:val="00A149C2"/>
    <w:rsid w:val="00A1575C"/>
    <w:rsid w:val="00A16126"/>
    <w:rsid w:val="00A165DB"/>
    <w:rsid w:val="00A20043"/>
    <w:rsid w:val="00A2083D"/>
    <w:rsid w:val="00A21C6C"/>
    <w:rsid w:val="00A2365A"/>
    <w:rsid w:val="00A24133"/>
    <w:rsid w:val="00A24B81"/>
    <w:rsid w:val="00A262BF"/>
    <w:rsid w:val="00A27809"/>
    <w:rsid w:val="00A30533"/>
    <w:rsid w:val="00A3087F"/>
    <w:rsid w:val="00A3122E"/>
    <w:rsid w:val="00A317B0"/>
    <w:rsid w:val="00A31BF6"/>
    <w:rsid w:val="00A34591"/>
    <w:rsid w:val="00A34E44"/>
    <w:rsid w:val="00A35B8F"/>
    <w:rsid w:val="00A3640F"/>
    <w:rsid w:val="00A37ECF"/>
    <w:rsid w:val="00A40CE2"/>
    <w:rsid w:val="00A41F05"/>
    <w:rsid w:val="00A42FAE"/>
    <w:rsid w:val="00A43175"/>
    <w:rsid w:val="00A43553"/>
    <w:rsid w:val="00A47176"/>
    <w:rsid w:val="00A475C5"/>
    <w:rsid w:val="00A4768C"/>
    <w:rsid w:val="00A47E50"/>
    <w:rsid w:val="00A50A68"/>
    <w:rsid w:val="00A50D3B"/>
    <w:rsid w:val="00A50E38"/>
    <w:rsid w:val="00A510C6"/>
    <w:rsid w:val="00A518AA"/>
    <w:rsid w:val="00A525E7"/>
    <w:rsid w:val="00A52C60"/>
    <w:rsid w:val="00A52F9E"/>
    <w:rsid w:val="00A539ED"/>
    <w:rsid w:val="00A54658"/>
    <w:rsid w:val="00A56348"/>
    <w:rsid w:val="00A5703F"/>
    <w:rsid w:val="00A57D39"/>
    <w:rsid w:val="00A60B95"/>
    <w:rsid w:val="00A61825"/>
    <w:rsid w:val="00A61E2D"/>
    <w:rsid w:val="00A6316B"/>
    <w:rsid w:val="00A633C6"/>
    <w:rsid w:val="00A65316"/>
    <w:rsid w:val="00A674FF"/>
    <w:rsid w:val="00A70F69"/>
    <w:rsid w:val="00A72113"/>
    <w:rsid w:val="00A72611"/>
    <w:rsid w:val="00A7312E"/>
    <w:rsid w:val="00A73ABB"/>
    <w:rsid w:val="00A751A1"/>
    <w:rsid w:val="00A76D2C"/>
    <w:rsid w:val="00A77746"/>
    <w:rsid w:val="00A806AA"/>
    <w:rsid w:val="00A8224E"/>
    <w:rsid w:val="00A83594"/>
    <w:rsid w:val="00A83BF6"/>
    <w:rsid w:val="00A84BAC"/>
    <w:rsid w:val="00A84CBA"/>
    <w:rsid w:val="00A85BA3"/>
    <w:rsid w:val="00A87B4F"/>
    <w:rsid w:val="00A87F31"/>
    <w:rsid w:val="00A90D27"/>
    <w:rsid w:val="00A9103B"/>
    <w:rsid w:val="00A91284"/>
    <w:rsid w:val="00A918A7"/>
    <w:rsid w:val="00A92871"/>
    <w:rsid w:val="00A950DA"/>
    <w:rsid w:val="00A955EB"/>
    <w:rsid w:val="00A9591E"/>
    <w:rsid w:val="00AA1F49"/>
    <w:rsid w:val="00AA3A2E"/>
    <w:rsid w:val="00AA4099"/>
    <w:rsid w:val="00AA4619"/>
    <w:rsid w:val="00AA4D5A"/>
    <w:rsid w:val="00AA6835"/>
    <w:rsid w:val="00AA688A"/>
    <w:rsid w:val="00AA6913"/>
    <w:rsid w:val="00AB00F3"/>
    <w:rsid w:val="00AB0650"/>
    <w:rsid w:val="00AB1D9C"/>
    <w:rsid w:val="00AB2190"/>
    <w:rsid w:val="00AB2CA0"/>
    <w:rsid w:val="00AB39EB"/>
    <w:rsid w:val="00AB3F27"/>
    <w:rsid w:val="00AB3FD9"/>
    <w:rsid w:val="00AB7DE7"/>
    <w:rsid w:val="00AC01D4"/>
    <w:rsid w:val="00AC03AB"/>
    <w:rsid w:val="00AC0650"/>
    <w:rsid w:val="00AC07E0"/>
    <w:rsid w:val="00AC1BE7"/>
    <w:rsid w:val="00AC1F02"/>
    <w:rsid w:val="00AC275F"/>
    <w:rsid w:val="00AC3ADE"/>
    <w:rsid w:val="00AC3EE4"/>
    <w:rsid w:val="00AC4D72"/>
    <w:rsid w:val="00AC50A4"/>
    <w:rsid w:val="00AC5647"/>
    <w:rsid w:val="00AC5A95"/>
    <w:rsid w:val="00AC6074"/>
    <w:rsid w:val="00AC6471"/>
    <w:rsid w:val="00AD1751"/>
    <w:rsid w:val="00AD2B6E"/>
    <w:rsid w:val="00AD340D"/>
    <w:rsid w:val="00AD3443"/>
    <w:rsid w:val="00AD34F6"/>
    <w:rsid w:val="00AD3E9B"/>
    <w:rsid w:val="00AD4B3C"/>
    <w:rsid w:val="00AD5047"/>
    <w:rsid w:val="00AD66C0"/>
    <w:rsid w:val="00AD68A5"/>
    <w:rsid w:val="00AD73EF"/>
    <w:rsid w:val="00AD7E63"/>
    <w:rsid w:val="00AE147F"/>
    <w:rsid w:val="00AE185D"/>
    <w:rsid w:val="00AE1BFE"/>
    <w:rsid w:val="00AE22F5"/>
    <w:rsid w:val="00AE3842"/>
    <w:rsid w:val="00AE3D83"/>
    <w:rsid w:val="00AE4374"/>
    <w:rsid w:val="00AE466A"/>
    <w:rsid w:val="00AE47E9"/>
    <w:rsid w:val="00AE485C"/>
    <w:rsid w:val="00AE7D4F"/>
    <w:rsid w:val="00AE7FE4"/>
    <w:rsid w:val="00AF0117"/>
    <w:rsid w:val="00AF17D3"/>
    <w:rsid w:val="00AF1D77"/>
    <w:rsid w:val="00AF1E50"/>
    <w:rsid w:val="00AF286A"/>
    <w:rsid w:val="00AF38BA"/>
    <w:rsid w:val="00AF4808"/>
    <w:rsid w:val="00AF4F67"/>
    <w:rsid w:val="00AF5811"/>
    <w:rsid w:val="00AF6509"/>
    <w:rsid w:val="00B00BBE"/>
    <w:rsid w:val="00B016C9"/>
    <w:rsid w:val="00B02F19"/>
    <w:rsid w:val="00B04449"/>
    <w:rsid w:val="00B0456E"/>
    <w:rsid w:val="00B06A05"/>
    <w:rsid w:val="00B06BF6"/>
    <w:rsid w:val="00B06F7F"/>
    <w:rsid w:val="00B100F0"/>
    <w:rsid w:val="00B13078"/>
    <w:rsid w:val="00B1402E"/>
    <w:rsid w:val="00B142FD"/>
    <w:rsid w:val="00B14865"/>
    <w:rsid w:val="00B1561B"/>
    <w:rsid w:val="00B206A5"/>
    <w:rsid w:val="00B20B93"/>
    <w:rsid w:val="00B21D50"/>
    <w:rsid w:val="00B229BE"/>
    <w:rsid w:val="00B22F9B"/>
    <w:rsid w:val="00B23747"/>
    <w:rsid w:val="00B23E0A"/>
    <w:rsid w:val="00B24090"/>
    <w:rsid w:val="00B257E3"/>
    <w:rsid w:val="00B260C7"/>
    <w:rsid w:val="00B27494"/>
    <w:rsid w:val="00B279B9"/>
    <w:rsid w:val="00B27BFD"/>
    <w:rsid w:val="00B304BF"/>
    <w:rsid w:val="00B307CA"/>
    <w:rsid w:val="00B30FD0"/>
    <w:rsid w:val="00B34F48"/>
    <w:rsid w:val="00B37F84"/>
    <w:rsid w:val="00B4117C"/>
    <w:rsid w:val="00B4151A"/>
    <w:rsid w:val="00B45DF2"/>
    <w:rsid w:val="00B47780"/>
    <w:rsid w:val="00B51BA0"/>
    <w:rsid w:val="00B535BD"/>
    <w:rsid w:val="00B53701"/>
    <w:rsid w:val="00B53910"/>
    <w:rsid w:val="00B539F7"/>
    <w:rsid w:val="00B5509D"/>
    <w:rsid w:val="00B56A26"/>
    <w:rsid w:val="00B56C5F"/>
    <w:rsid w:val="00B573E6"/>
    <w:rsid w:val="00B6110A"/>
    <w:rsid w:val="00B6176A"/>
    <w:rsid w:val="00B6301A"/>
    <w:rsid w:val="00B642FB"/>
    <w:rsid w:val="00B64799"/>
    <w:rsid w:val="00B64845"/>
    <w:rsid w:val="00B64CAD"/>
    <w:rsid w:val="00B651FA"/>
    <w:rsid w:val="00B66751"/>
    <w:rsid w:val="00B66B7C"/>
    <w:rsid w:val="00B66CD7"/>
    <w:rsid w:val="00B67AA6"/>
    <w:rsid w:val="00B7066C"/>
    <w:rsid w:val="00B717D8"/>
    <w:rsid w:val="00B718E0"/>
    <w:rsid w:val="00B72DF3"/>
    <w:rsid w:val="00B74146"/>
    <w:rsid w:val="00B747A3"/>
    <w:rsid w:val="00B753D3"/>
    <w:rsid w:val="00B75A27"/>
    <w:rsid w:val="00B75E52"/>
    <w:rsid w:val="00B76F6C"/>
    <w:rsid w:val="00B8080B"/>
    <w:rsid w:val="00B811EF"/>
    <w:rsid w:val="00B81568"/>
    <w:rsid w:val="00B82740"/>
    <w:rsid w:val="00B8310D"/>
    <w:rsid w:val="00B831B9"/>
    <w:rsid w:val="00B8431A"/>
    <w:rsid w:val="00B85791"/>
    <w:rsid w:val="00B86EF1"/>
    <w:rsid w:val="00B87671"/>
    <w:rsid w:val="00B90487"/>
    <w:rsid w:val="00B90674"/>
    <w:rsid w:val="00B91F77"/>
    <w:rsid w:val="00B91FFF"/>
    <w:rsid w:val="00B934E3"/>
    <w:rsid w:val="00B93CCF"/>
    <w:rsid w:val="00B94323"/>
    <w:rsid w:val="00B94444"/>
    <w:rsid w:val="00B9566B"/>
    <w:rsid w:val="00B95F92"/>
    <w:rsid w:val="00B961B7"/>
    <w:rsid w:val="00B963D4"/>
    <w:rsid w:val="00B975C8"/>
    <w:rsid w:val="00B9772B"/>
    <w:rsid w:val="00BA1C01"/>
    <w:rsid w:val="00BA2DEF"/>
    <w:rsid w:val="00BA35F2"/>
    <w:rsid w:val="00BA42FB"/>
    <w:rsid w:val="00BA4768"/>
    <w:rsid w:val="00BA4861"/>
    <w:rsid w:val="00BA4A92"/>
    <w:rsid w:val="00BA516F"/>
    <w:rsid w:val="00BA628C"/>
    <w:rsid w:val="00BA7059"/>
    <w:rsid w:val="00BB0051"/>
    <w:rsid w:val="00BB02C6"/>
    <w:rsid w:val="00BB0EB7"/>
    <w:rsid w:val="00BB1082"/>
    <w:rsid w:val="00BB2127"/>
    <w:rsid w:val="00BB3805"/>
    <w:rsid w:val="00BB4109"/>
    <w:rsid w:val="00BB4589"/>
    <w:rsid w:val="00BB52A5"/>
    <w:rsid w:val="00BB5893"/>
    <w:rsid w:val="00BB6740"/>
    <w:rsid w:val="00BB7EA1"/>
    <w:rsid w:val="00BB7EDA"/>
    <w:rsid w:val="00BB7F81"/>
    <w:rsid w:val="00BC045B"/>
    <w:rsid w:val="00BC2059"/>
    <w:rsid w:val="00BC261E"/>
    <w:rsid w:val="00BC269B"/>
    <w:rsid w:val="00BC27D2"/>
    <w:rsid w:val="00BC299D"/>
    <w:rsid w:val="00BC44BA"/>
    <w:rsid w:val="00BC4D71"/>
    <w:rsid w:val="00BC5C65"/>
    <w:rsid w:val="00BC69D9"/>
    <w:rsid w:val="00BC6D0F"/>
    <w:rsid w:val="00BD085F"/>
    <w:rsid w:val="00BD35E1"/>
    <w:rsid w:val="00BD3A56"/>
    <w:rsid w:val="00BD54FC"/>
    <w:rsid w:val="00BD63C3"/>
    <w:rsid w:val="00BD67CE"/>
    <w:rsid w:val="00BD76A4"/>
    <w:rsid w:val="00BE0186"/>
    <w:rsid w:val="00BE1C8A"/>
    <w:rsid w:val="00BE2069"/>
    <w:rsid w:val="00BE4857"/>
    <w:rsid w:val="00BE5847"/>
    <w:rsid w:val="00BE5BE0"/>
    <w:rsid w:val="00BE5D1D"/>
    <w:rsid w:val="00BE697B"/>
    <w:rsid w:val="00BE70E8"/>
    <w:rsid w:val="00BF0E76"/>
    <w:rsid w:val="00BF19DC"/>
    <w:rsid w:val="00BF2B3E"/>
    <w:rsid w:val="00BF2DAF"/>
    <w:rsid w:val="00BF2F39"/>
    <w:rsid w:val="00BF4E1B"/>
    <w:rsid w:val="00BF5AB9"/>
    <w:rsid w:val="00BF79A3"/>
    <w:rsid w:val="00BF7A36"/>
    <w:rsid w:val="00C01083"/>
    <w:rsid w:val="00C041D5"/>
    <w:rsid w:val="00C044F7"/>
    <w:rsid w:val="00C0480F"/>
    <w:rsid w:val="00C04C9A"/>
    <w:rsid w:val="00C05E12"/>
    <w:rsid w:val="00C06A2F"/>
    <w:rsid w:val="00C1043C"/>
    <w:rsid w:val="00C10D90"/>
    <w:rsid w:val="00C12A51"/>
    <w:rsid w:val="00C12C65"/>
    <w:rsid w:val="00C12CD1"/>
    <w:rsid w:val="00C1591E"/>
    <w:rsid w:val="00C15EDD"/>
    <w:rsid w:val="00C173EE"/>
    <w:rsid w:val="00C20D36"/>
    <w:rsid w:val="00C21038"/>
    <w:rsid w:val="00C2286B"/>
    <w:rsid w:val="00C2396B"/>
    <w:rsid w:val="00C26865"/>
    <w:rsid w:val="00C26E4B"/>
    <w:rsid w:val="00C2785F"/>
    <w:rsid w:val="00C30BA6"/>
    <w:rsid w:val="00C31467"/>
    <w:rsid w:val="00C32E6D"/>
    <w:rsid w:val="00C33B06"/>
    <w:rsid w:val="00C33CB1"/>
    <w:rsid w:val="00C33F0C"/>
    <w:rsid w:val="00C34CCB"/>
    <w:rsid w:val="00C34D57"/>
    <w:rsid w:val="00C35515"/>
    <w:rsid w:val="00C35807"/>
    <w:rsid w:val="00C35A4B"/>
    <w:rsid w:val="00C36696"/>
    <w:rsid w:val="00C36720"/>
    <w:rsid w:val="00C36777"/>
    <w:rsid w:val="00C36FA8"/>
    <w:rsid w:val="00C37518"/>
    <w:rsid w:val="00C37F00"/>
    <w:rsid w:val="00C421C9"/>
    <w:rsid w:val="00C42A27"/>
    <w:rsid w:val="00C42A3A"/>
    <w:rsid w:val="00C42D47"/>
    <w:rsid w:val="00C437C6"/>
    <w:rsid w:val="00C4517F"/>
    <w:rsid w:val="00C45232"/>
    <w:rsid w:val="00C46646"/>
    <w:rsid w:val="00C46AA1"/>
    <w:rsid w:val="00C46E94"/>
    <w:rsid w:val="00C4704E"/>
    <w:rsid w:val="00C4713F"/>
    <w:rsid w:val="00C5090C"/>
    <w:rsid w:val="00C51509"/>
    <w:rsid w:val="00C52097"/>
    <w:rsid w:val="00C52BA5"/>
    <w:rsid w:val="00C52F47"/>
    <w:rsid w:val="00C53323"/>
    <w:rsid w:val="00C53F9A"/>
    <w:rsid w:val="00C5400B"/>
    <w:rsid w:val="00C54D8C"/>
    <w:rsid w:val="00C55296"/>
    <w:rsid w:val="00C55398"/>
    <w:rsid w:val="00C56828"/>
    <w:rsid w:val="00C56AF6"/>
    <w:rsid w:val="00C56F43"/>
    <w:rsid w:val="00C56F74"/>
    <w:rsid w:val="00C57493"/>
    <w:rsid w:val="00C605E6"/>
    <w:rsid w:val="00C64533"/>
    <w:rsid w:val="00C64693"/>
    <w:rsid w:val="00C64D07"/>
    <w:rsid w:val="00C66CEF"/>
    <w:rsid w:val="00C670FE"/>
    <w:rsid w:val="00C6758A"/>
    <w:rsid w:val="00C70DE0"/>
    <w:rsid w:val="00C71087"/>
    <w:rsid w:val="00C71E3C"/>
    <w:rsid w:val="00C73C17"/>
    <w:rsid w:val="00C75492"/>
    <w:rsid w:val="00C76F93"/>
    <w:rsid w:val="00C77037"/>
    <w:rsid w:val="00C77C78"/>
    <w:rsid w:val="00C8146C"/>
    <w:rsid w:val="00C8231E"/>
    <w:rsid w:val="00C846DD"/>
    <w:rsid w:val="00C85CA6"/>
    <w:rsid w:val="00C85E3F"/>
    <w:rsid w:val="00C8658F"/>
    <w:rsid w:val="00C873DA"/>
    <w:rsid w:val="00C90A7F"/>
    <w:rsid w:val="00C9147E"/>
    <w:rsid w:val="00C925ED"/>
    <w:rsid w:val="00C9339F"/>
    <w:rsid w:val="00C95976"/>
    <w:rsid w:val="00C96618"/>
    <w:rsid w:val="00C96A10"/>
    <w:rsid w:val="00C9753B"/>
    <w:rsid w:val="00CA0C87"/>
    <w:rsid w:val="00CA19CD"/>
    <w:rsid w:val="00CA1F28"/>
    <w:rsid w:val="00CA20F3"/>
    <w:rsid w:val="00CA2747"/>
    <w:rsid w:val="00CA2BE4"/>
    <w:rsid w:val="00CA4A62"/>
    <w:rsid w:val="00CA561E"/>
    <w:rsid w:val="00CA5B58"/>
    <w:rsid w:val="00CA659E"/>
    <w:rsid w:val="00CA6A39"/>
    <w:rsid w:val="00CA7DAD"/>
    <w:rsid w:val="00CB0E83"/>
    <w:rsid w:val="00CB23DD"/>
    <w:rsid w:val="00CB2757"/>
    <w:rsid w:val="00CB2FE7"/>
    <w:rsid w:val="00CB3B57"/>
    <w:rsid w:val="00CB42AE"/>
    <w:rsid w:val="00CB5100"/>
    <w:rsid w:val="00CB6768"/>
    <w:rsid w:val="00CB768F"/>
    <w:rsid w:val="00CC0848"/>
    <w:rsid w:val="00CC17DB"/>
    <w:rsid w:val="00CC20D5"/>
    <w:rsid w:val="00CC2CF9"/>
    <w:rsid w:val="00CC2F01"/>
    <w:rsid w:val="00CC5661"/>
    <w:rsid w:val="00CC586C"/>
    <w:rsid w:val="00CC5BCB"/>
    <w:rsid w:val="00CC6453"/>
    <w:rsid w:val="00CD2D8A"/>
    <w:rsid w:val="00CD31EA"/>
    <w:rsid w:val="00CD4B6F"/>
    <w:rsid w:val="00CD5817"/>
    <w:rsid w:val="00CD692F"/>
    <w:rsid w:val="00CE0392"/>
    <w:rsid w:val="00CE184D"/>
    <w:rsid w:val="00CE2303"/>
    <w:rsid w:val="00CE2604"/>
    <w:rsid w:val="00CE2A86"/>
    <w:rsid w:val="00CE34B8"/>
    <w:rsid w:val="00CE392B"/>
    <w:rsid w:val="00CE46E3"/>
    <w:rsid w:val="00CE5481"/>
    <w:rsid w:val="00CE5866"/>
    <w:rsid w:val="00CF003F"/>
    <w:rsid w:val="00CF0045"/>
    <w:rsid w:val="00CF019D"/>
    <w:rsid w:val="00CF7194"/>
    <w:rsid w:val="00CF744B"/>
    <w:rsid w:val="00CF74AE"/>
    <w:rsid w:val="00CF75E6"/>
    <w:rsid w:val="00CF7C90"/>
    <w:rsid w:val="00CF7EA0"/>
    <w:rsid w:val="00D00393"/>
    <w:rsid w:val="00D00600"/>
    <w:rsid w:val="00D00A29"/>
    <w:rsid w:val="00D02612"/>
    <w:rsid w:val="00D0329F"/>
    <w:rsid w:val="00D041D1"/>
    <w:rsid w:val="00D04372"/>
    <w:rsid w:val="00D04F9C"/>
    <w:rsid w:val="00D05DB1"/>
    <w:rsid w:val="00D06299"/>
    <w:rsid w:val="00D07781"/>
    <w:rsid w:val="00D1045D"/>
    <w:rsid w:val="00D133AA"/>
    <w:rsid w:val="00D13B0B"/>
    <w:rsid w:val="00D13CCF"/>
    <w:rsid w:val="00D14CF7"/>
    <w:rsid w:val="00D1576E"/>
    <w:rsid w:val="00D15943"/>
    <w:rsid w:val="00D15BBC"/>
    <w:rsid w:val="00D15E67"/>
    <w:rsid w:val="00D170C5"/>
    <w:rsid w:val="00D17767"/>
    <w:rsid w:val="00D17F09"/>
    <w:rsid w:val="00D2057B"/>
    <w:rsid w:val="00D20ABB"/>
    <w:rsid w:val="00D24AEE"/>
    <w:rsid w:val="00D25315"/>
    <w:rsid w:val="00D26A33"/>
    <w:rsid w:val="00D27CA4"/>
    <w:rsid w:val="00D3073E"/>
    <w:rsid w:val="00D30EC2"/>
    <w:rsid w:val="00D31676"/>
    <w:rsid w:val="00D316C8"/>
    <w:rsid w:val="00D337D5"/>
    <w:rsid w:val="00D33FB9"/>
    <w:rsid w:val="00D34817"/>
    <w:rsid w:val="00D3504E"/>
    <w:rsid w:val="00D365BB"/>
    <w:rsid w:val="00D36F8C"/>
    <w:rsid w:val="00D3795A"/>
    <w:rsid w:val="00D37AB5"/>
    <w:rsid w:val="00D404D9"/>
    <w:rsid w:val="00D40C74"/>
    <w:rsid w:val="00D43282"/>
    <w:rsid w:val="00D43EA4"/>
    <w:rsid w:val="00D44508"/>
    <w:rsid w:val="00D44776"/>
    <w:rsid w:val="00D476E4"/>
    <w:rsid w:val="00D47810"/>
    <w:rsid w:val="00D50FB8"/>
    <w:rsid w:val="00D5128E"/>
    <w:rsid w:val="00D52FD0"/>
    <w:rsid w:val="00D535E4"/>
    <w:rsid w:val="00D53C9E"/>
    <w:rsid w:val="00D53D9D"/>
    <w:rsid w:val="00D54385"/>
    <w:rsid w:val="00D606D9"/>
    <w:rsid w:val="00D61591"/>
    <w:rsid w:val="00D6259C"/>
    <w:rsid w:val="00D63630"/>
    <w:rsid w:val="00D63B91"/>
    <w:rsid w:val="00D64A4A"/>
    <w:rsid w:val="00D657C5"/>
    <w:rsid w:val="00D659F7"/>
    <w:rsid w:val="00D6679C"/>
    <w:rsid w:val="00D66B09"/>
    <w:rsid w:val="00D67C3D"/>
    <w:rsid w:val="00D72F5D"/>
    <w:rsid w:val="00D7309F"/>
    <w:rsid w:val="00D7370C"/>
    <w:rsid w:val="00D73EE6"/>
    <w:rsid w:val="00D742D2"/>
    <w:rsid w:val="00D744DC"/>
    <w:rsid w:val="00D74556"/>
    <w:rsid w:val="00D7552E"/>
    <w:rsid w:val="00D75CF7"/>
    <w:rsid w:val="00D75F59"/>
    <w:rsid w:val="00D776C3"/>
    <w:rsid w:val="00D80153"/>
    <w:rsid w:val="00D814BC"/>
    <w:rsid w:val="00D81AC7"/>
    <w:rsid w:val="00D83E45"/>
    <w:rsid w:val="00D842C5"/>
    <w:rsid w:val="00D842CD"/>
    <w:rsid w:val="00D8495C"/>
    <w:rsid w:val="00D86737"/>
    <w:rsid w:val="00D8696A"/>
    <w:rsid w:val="00D90419"/>
    <w:rsid w:val="00D90551"/>
    <w:rsid w:val="00D90F5A"/>
    <w:rsid w:val="00D9153B"/>
    <w:rsid w:val="00D9160A"/>
    <w:rsid w:val="00D9193A"/>
    <w:rsid w:val="00D95903"/>
    <w:rsid w:val="00D95D78"/>
    <w:rsid w:val="00DA0810"/>
    <w:rsid w:val="00DA12D6"/>
    <w:rsid w:val="00DA37B7"/>
    <w:rsid w:val="00DA3FCE"/>
    <w:rsid w:val="00DA4B42"/>
    <w:rsid w:val="00DA57DA"/>
    <w:rsid w:val="00DA7865"/>
    <w:rsid w:val="00DB0673"/>
    <w:rsid w:val="00DB2BE7"/>
    <w:rsid w:val="00DB40EF"/>
    <w:rsid w:val="00DB4203"/>
    <w:rsid w:val="00DB428C"/>
    <w:rsid w:val="00DB6B88"/>
    <w:rsid w:val="00DB6CCB"/>
    <w:rsid w:val="00DB7CA1"/>
    <w:rsid w:val="00DC094F"/>
    <w:rsid w:val="00DC24B5"/>
    <w:rsid w:val="00DC25DA"/>
    <w:rsid w:val="00DC410C"/>
    <w:rsid w:val="00DC4325"/>
    <w:rsid w:val="00DC4915"/>
    <w:rsid w:val="00DC4C59"/>
    <w:rsid w:val="00DC5149"/>
    <w:rsid w:val="00DC5B77"/>
    <w:rsid w:val="00DC5D9A"/>
    <w:rsid w:val="00DC68E1"/>
    <w:rsid w:val="00DC7FCE"/>
    <w:rsid w:val="00DD0452"/>
    <w:rsid w:val="00DD1663"/>
    <w:rsid w:val="00DD1B88"/>
    <w:rsid w:val="00DD334C"/>
    <w:rsid w:val="00DD34F8"/>
    <w:rsid w:val="00DD3C08"/>
    <w:rsid w:val="00DE0476"/>
    <w:rsid w:val="00DE1189"/>
    <w:rsid w:val="00DE1B2F"/>
    <w:rsid w:val="00DE1C5A"/>
    <w:rsid w:val="00DE2AAC"/>
    <w:rsid w:val="00DE3889"/>
    <w:rsid w:val="00DE5E04"/>
    <w:rsid w:val="00DE6634"/>
    <w:rsid w:val="00DE7872"/>
    <w:rsid w:val="00DF1125"/>
    <w:rsid w:val="00DF2088"/>
    <w:rsid w:val="00DF22E5"/>
    <w:rsid w:val="00DF27AC"/>
    <w:rsid w:val="00DF28E7"/>
    <w:rsid w:val="00DF2FD1"/>
    <w:rsid w:val="00DF3441"/>
    <w:rsid w:val="00DF399A"/>
    <w:rsid w:val="00DF39FB"/>
    <w:rsid w:val="00DF447B"/>
    <w:rsid w:val="00DF4DCA"/>
    <w:rsid w:val="00DF6280"/>
    <w:rsid w:val="00DF7B14"/>
    <w:rsid w:val="00DF7B16"/>
    <w:rsid w:val="00E00009"/>
    <w:rsid w:val="00E01EF4"/>
    <w:rsid w:val="00E022B9"/>
    <w:rsid w:val="00E02A90"/>
    <w:rsid w:val="00E02CF2"/>
    <w:rsid w:val="00E035EE"/>
    <w:rsid w:val="00E04947"/>
    <w:rsid w:val="00E064D9"/>
    <w:rsid w:val="00E069F7"/>
    <w:rsid w:val="00E06C35"/>
    <w:rsid w:val="00E0710D"/>
    <w:rsid w:val="00E07F71"/>
    <w:rsid w:val="00E101C6"/>
    <w:rsid w:val="00E10317"/>
    <w:rsid w:val="00E10658"/>
    <w:rsid w:val="00E114D8"/>
    <w:rsid w:val="00E116ED"/>
    <w:rsid w:val="00E1256E"/>
    <w:rsid w:val="00E1347F"/>
    <w:rsid w:val="00E1621B"/>
    <w:rsid w:val="00E16BC4"/>
    <w:rsid w:val="00E21114"/>
    <w:rsid w:val="00E22B84"/>
    <w:rsid w:val="00E25363"/>
    <w:rsid w:val="00E25E8A"/>
    <w:rsid w:val="00E26045"/>
    <w:rsid w:val="00E26BDB"/>
    <w:rsid w:val="00E26DF9"/>
    <w:rsid w:val="00E27298"/>
    <w:rsid w:val="00E27304"/>
    <w:rsid w:val="00E304D5"/>
    <w:rsid w:val="00E30CC7"/>
    <w:rsid w:val="00E33084"/>
    <w:rsid w:val="00E337F5"/>
    <w:rsid w:val="00E339E4"/>
    <w:rsid w:val="00E34EBC"/>
    <w:rsid w:val="00E3529F"/>
    <w:rsid w:val="00E352D0"/>
    <w:rsid w:val="00E37211"/>
    <w:rsid w:val="00E37848"/>
    <w:rsid w:val="00E4034D"/>
    <w:rsid w:val="00E404B3"/>
    <w:rsid w:val="00E41EE7"/>
    <w:rsid w:val="00E42084"/>
    <w:rsid w:val="00E44854"/>
    <w:rsid w:val="00E4540D"/>
    <w:rsid w:val="00E46CA7"/>
    <w:rsid w:val="00E47C56"/>
    <w:rsid w:val="00E50B82"/>
    <w:rsid w:val="00E5135E"/>
    <w:rsid w:val="00E51630"/>
    <w:rsid w:val="00E542AD"/>
    <w:rsid w:val="00E543FB"/>
    <w:rsid w:val="00E552CC"/>
    <w:rsid w:val="00E55808"/>
    <w:rsid w:val="00E559EA"/>
    <w:rsid w:val="00E55EFC"/>
    <w:rsid w:val="00E5696D"/>
    <w:rsid w:val="00E56C91"/>
    <w:rsid w:val="00E56E45"/>
    <w:rsid w:val="00E6161C"/>
    <w:rsid w:val="00E62DEC"/>
    <w:rsid w:val="00E63233"/>
    <w:rsid w:val="00E63FE6"/>
    <w:rsid w:val="00E65960"/>
    <w:rsid w:val="00E65F8A"/>
    <w:rsid w:val="00E66ECB"/>
    <w:rsid w:val="00E67486"/>
    <w:rsid w:val="00E7055E"/>
    <w:rsid w:val="00E71139"/>
    <w:rsid w:val="00E727CE"/>
    <w:rsid w:val="00E73D84"/>
    <w:rsid w:val="00E749E1"/>
    <w:rsid w:val="00E8007A"/>
    <w:rsid w:val="00E803C0"/>
    <w:rsid w:val="00E80578"/>
    <w:rsid w:val="00E80B43"/>
    <w:rsid w:val="00E82872"/>
    <w:rsid w:val="00E833CB"/>
    <w:rsid w:val="00E83995"/>
    <w:rsid w:val="00E83CBA"/>
    <w:rsid w:val="00E83D2E"/>
    <w:rsid w:val="00E83FB2"/>
    <w:rsid w:val="00E844D4"/>
    <w:rsid w:val="00E85FEA"/>
    <w:rsid w:val="00E90615"/>
    <w:rsid w:val="00E916E6"/>
    <w:rsid w:val="00E91FE0"/>
    <w:rsid w:val="00E95AC2"/>
    <w:rsid w:val="00E97167"/>
    <w:rsid w:val="00E97787"/>
    <w:rsid w:val="00E97DBB"/>
    <w:rsid w:val="00EA0169"/>
    <w:rsid w:val="00EA093A"/>
    <w:rsid w:val="00EA3781"/>
    <w:rsid w:val="00EA4040"/>
    <w:rsid w:val="00EA5017"/>
    <w:rsid w:val="00EA5023"/>
    <w:rsid w:val="00EA7061"/>
    <w:rsid w:val="00EA74ED"/>
    <w:rsid w:val="00EA7C5B"/>
    <w:rsid w:val="00EB13FE"/>
    <w:rsid w:val="00EB254B"/>
    <w:rsid w:val="00EB25FC"/>
    <w:rsid w:val="00EB2A8B"/>
    <w:rsid w:val="00EB39F1"/>
    <w:rsid w:val="00EB3F53"/>
    <w:rsid w:val="00EB460F"/>
    <w:rsid w:val="00EB472E"/>
    <w:rsid w:val="00EB5434"/>
    <w:rsid w:val="00EB5D6C"/>
    <w:rsid w:val="00EB6A9B"/>
    <w:rsid w:val="00EB76D6"/>
    <w:rsid w:val="00EB7770"/>
    <w:rsid w:val="00EC0178"/>
    <w:rsid w:val="00EC049F"/>
    <w:rsid w:val="00EC11E3"/>
    <w:rsid w:val="00EC12B4"/>
    <w:rsid w:val="00EC2011"/>
    <w:rsid w:val="00ED024E"/>
    <w:rsid w:val="00ED0615"/>
    <w:rsid w:val="00ED194C"/>
    <w:rsid w:val="00ED2C26"/>
    <w:rsid w:val="00ED3898"/>
    <w:rsid w:val="00ED38BF"/>
    <w:rsid w:val="00ED5DB2"/>
    <w:rsid w:val="00ED5EC2"/>
    <w:rsid w:val="00EE009D"/>
    <w:rsid w:val="00EE0A9C"/>
    <w:rsid w:val="00EE0DF2"/>
    <w:rsid w:val="00EE1124"/>
    <w:rsid w:val="00EE21DD"/>
    <w:rsid w:val="00EE4131"/>
    <w:rsid w:val="00EE56DF"/>
    <w:rsid w:val="00EE587F"/>
    <w:rsid w:val="00EE5ED7"/>
    <w:rsid w:val="00EE64CC"/>
    <w:rsid w:val="00EE6D6B"/>
    <w:rsid w:val="00EE70C7"/>
    <w:rsid w:val="00EF1A24"/>
    <w:rsid w:val="00EF1BF1"/>
    <w:rsid w:val="00EF35FC"/>
    <w:rsid w:val="00EF5716"/>
    <w:rsid w:val="00EF71E1"/>
    <w:rsid w:val="00F003B9"/>
    <w:rsid w:val="00F01BD5"/>
    <w:rsid w:val="00F024E3"/>
    <w:rsid w:val="00F0264E"/>
    <w:rsid w:val="00F02815"/>
    <w:rsid w:val="00F041B2"/>
    <w:rsid w:val="00F0505F"/>
    <w:rsid w:val="00F05EAF"/>
    <w:rsid w:val="00F0656F"/>
    <w:rsid w:val="00F069F3"/>
    <w:rsid w:val="00F06D7C"/>
    <w:rsid w:val="00F079F3"/>
    <w:rsid w:val="00F1049D"/>
    <w:rsid w:val="00F119F0"/>
    <w:rsid w:val="00F147FD"/>
    <w:rsid w:val="00F1559F"/>
    <w:rsid w:val="00F15C8C"/>
    <w:rsid w:val="00F15FC1"/>
    <w:rsid w:val="00F166CE"/>
    <w:rsid w:val="00F16D07"/>
    <w:rsid w:val="00F17762"/>
    <w:rsid w:val="00F23C5A"/>
    <w:rsid w:val="00F23E91"/>
    <w:rsid w:val="00F24F77"/>
    <w:rsid w:val="00F261BC"/>
    <w:rsid w:val="00F277D4"/>
    <w:rsid w:val="00F30466"/>
    <w:rsid w:val="00F30A70"/>
    <w:rsid w:val="00F31104"/>
    <w:rsid w:val="00F31D17"/>
    <w:rsid w:val="00F33E65"/>
    <w:rsid w:val="00F34E93"/>
    <w:rsid w:val="00F358F0"/>
    <w:rsid w:val="00F43F5A"/>
    <w:rsid w:val="00F44511"/>
    <w:rsid w:val="00F4474B"/>
    <w:rsid w:val="00F44FCF"/>
    <w:rsid w:val="00F45197"/>
    <w:rsid w:val="00F45708"/>
    <w:rsid w:val="00F475FD"/>
    <w:rsid w:val="00F5097D"/>
    <w:rsid w:val="00F513E5"/>
    <w:rsid w:val="00F5219B"/>
    <w:rsid w:val="00F527A6"/>
    <w:rsid w:val="00F53138"/>
    <w:rsid w:val="00F534C0"/>
    <w:rsid w:val="00F54930"/>
    <w:rsid w:val="00F5523B"/>
    <w:rsid w:val="00F561ED"/>
    <w:rsid w:val="00F57FBE"/>
    <w:rsid w:val="00F623B6"/>
    <w:rsid w:val="00F6280F"/>
    <w:rsid w:val="00F62819"/>
    <w:rsid w:val="00F6394B"/>
    <w:rsid w:val="00F642FE"/>
    <w:rsid w:val="00F6481F"/>
    <w:rsid w:val="00F65BD0"/>
    <w:rsid w:val="00F660D6"/>
    <w:rsid w:val="00F6653B"/>
    <w:rsid w:val="00F67170"/>
    <w:rsid w:val="00F67B1D"/>
    <w:rsid w:val="00F708D9"/>
    <w:rsid w:val="00F70F76"/>
    <w:rsid w:val="00F720FB"/>
    <w:rsid w:val="00F721C2"/>
    <w:rsid w:val="00F73DFB"/>
    <w:rsid w:val="00F80602"/>
    <w:rsid w:val="00F81376"/>
    <w:rsid w:val="00F814DF"/>
    <w:rsid w:val="00F81E48"/>
    <w:rsid w:val="00F83AF1"/>
    <w:rsid w:val="00F84C20"/>
    <w:rsid w:val="00F85D2B"/>
    <w:rsid w:val="00F87614"/>
    <w:rsid w:val="00F87F8F"/>
    <w:rsid w:val="00F91FFB"/>
    <w:rsid w:val="00F92112"/>
    <w:rsid w:val="00F9230A"/>
    <w:rsid w:val="00F92366"/>
    <w:rsid w:val="00F92753"/>
    <w:rsid w:val="00F9598E"/>
    <w:rsid w:val="00F96B32"/>
    <w:rsid w:val="00F9735A"/>
    <w:rsid w:val="00FA42F4"/>
    <w:rsid w:val="00FA4EBA"/>
    <w:rsid w:val="00FA6502"/>
    <w:rsid w:val="00FA6AFC"/>
    <w:rsid w:val="00FA7B72"/>
    <w:rsid w:val="00FB0139"/>
    <w:rsid w:val="00FB0730"/>
    <w:rsid w:val="00FB0BC1"/>
    <w:rsid w:val="00FB14A0"/>
    <w:rsid w:val="00FB34A3"/>
    <w:rsid w:val="00FB3EF1"/>
    <w:rsid w:val="00FB4E4A"/>
    <w:rsid w:val="00FB6D3A"/>
    <w:rsid w:val="00FB760E"/>
    <w:rsid w:val="00FB7924"/>
    <w:rsid w:val="00FB7B83"/>
    <w:rsid w:val="00FB7F35"/>
    <w:rsid w:val="00FC11D6"/>
    <w:rsid w:val="00FC48DD"/>
    <w:rsid w:val="00FC569E"/>
    <w:rsid w:val="00FC67E5"/>
    <w:rsid w:val="00FC6BFF"/>
    <w:rsid w:val="00FC7B5F"/>
    <w:rsid w:val="00FD04EB"/>
    <w:rsid w:val="00FD1036"/>
    <w:rsid w:val="00FD1062"/>
    <w:rsid w:val="00FD131D"/>
    <w:rsid w:val="00FD1865"/>
    <w:rsid w:val="00FD1BE6"/>
    <w:rsid w:val="00FD3049"/>
    <w:rsid w:val="00FD3151"/>
    <w:rsid w:val="00FD5177"/>
    <w:rsid w:val="00FD5398"/>
    <w:rsid w:val="00FD6A47"/>
    <w:rsid w:val="00FE0E12"/>
    <w:rsid w:val="00FE35E1"/>
    <w:rsid w:val="00FE3AFC"/>
    <w:rsid w:val="00FE4D5E"/>
    <w:rsid w:val="00FE6D86"/>
    <w:rsid w:val="00FE7385"/>
    <w:rsid w:val="00FE7FB0"/>
    <w:rsid w:val="00FF0DA7"/>
    <w:rsid w:val="00FF252B"/>
    <w:rsid w:val="00FF290C"/>
    <w:rsid w:val="00FF3276"/>
    <w:rsid w:val="00FF4397"/>
    <w:rsid w:val="00FF50BA"/>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40D39D"/>
  <w15:docId w15:val="{968918DC-DBDC-430F-8C5E-64FA706A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single space,footnote text,Fodnotetekst Tegn,fn,ALTS FOOTNOTE,FOOTNOTES,Texte de note de bas de page,Fußnotentext arial,Footnote Text Char Char Char Char Char Char,WB-Fußnotentext,Fußnote,ADB,Char,Footnote Text Char Char Char,ft Char"/>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16 Point,Superscript 6 Point,BVI fnr Char Char Char Char,BVI fnr Car Car Char Char Char Char,BVI fnr Car Char Char Char Char,BVI fnr Car Car Car Car Char Char Char1 Char Char,BVI fnr Char Char Char Char Char,R,BVI fnr"/>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WB Para,Bulle"/>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uiPriority w:val="9"/>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single space Char,footnote text Char,Fodnotetekst Tegn Char,fn Char,ALTS FOOTNOTE Char,FOOTNOTES Char,Texte de note de bas de page Char,Fußnotentext arial Char,Footnote Text Char Char Char Char Char Char Char,WB-Fußnotentext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styleId="UnresolvedMention">
    <w:name w:val="Unresolved Mention"/>
    <w:basedOn w:val="DefaultParagraphFont"/>
    <w:uiPriority w:val="99"/>
    <w:semiHidden/>
    <w:unhideWhenUsed/>
    <w:rsid w:val="00523B73"/>
    <w:rPr>
      <w:color w:val="605E5C"/>
      <w:shd w:val="clear" w:color="auto" w:fill="E1DFDD"/>
    </w:rPr>
  </w:style>
  <w:style w:type="paragraph" w:customStyle="1" w:styleId="Char2">
    <w:name w:val="Char2"/>
    <w:basedOn w:val="Normal"/>
    <w:link w:val="FootnoteReference"/>
    <w:uiPriority w:val="99"/>
    <w:rsid w:val="00C33B06"/>
    <w:pPr>
      <w:spacing w:after="160" w:line="240" w:lineRule="exact"/>
      <w:jc w:val="both"/>
    </w:pPr>
    <w:rPr>
      <w:vertAlign w:val="superscript"/>
      <w:lang w:val="en-GB" w:eastAsia="en-GB"/>
    </w:rPr>
  </w:style>
  <w:style w:type="paragraph" w:styleId="NormalWeb">
    <w:name w:val="Normal (Web)"/>
    <w:basedOn w:val="Normal"/>
    <w:uiPriority w:val="99"/>
    <w:unhideWhenUsed/>
    <w:rsid w:val="002156BB"/>
    <w:pPr>
      <w:spacing w:before="100" w:beforeAutospacing="1" w:after="100" w:afterAutospacing="1"/>
    </w:pPr>
    <w:rPr>
      <w:sz w:val="24"/>
      <w:szCs w:val="24"/>
      <w:lang w:val="en-ZW" w:eastAsia="en-GB"/>
    </w:rPr>
  </w:style>
  <w:style w:type="table" w:styleId="GridTable4-Accent1">
    <w:name w:val="Grid Table 4 Accent 1"/>
    <w:basedOn w:val="TableNormal"/>
    <w:uiPriority w:val="49"/>
    <w:rsid w:val="00D17F09"/>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D17F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977B11"/>
    <w:pPr>
      <w:spacing w:before="100" w:beforeAutospacing="1" w:after="100" w:afterAutospacing="1"/>
    </w:pPr>
    <w:rPr>
      <w:sz w:val="24"/>
      <w:szCs w:val="24"/>
      <w:lang w:val="en-GB" w:eastAsia="en-GB"/>
    </w:rPr>
  </w:style>
  <w:style w:type="character" w:customStyle="1" w:styleId="cf01">
    <w:name w:val="cf01"/>
    <w:basedOn w:val="DefaultParagraphFont"/>
    <w:rsid w:val="0028791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891964460">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775513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SitePages/POPPSubject.aspx?SBJID=7&amp;Menu=BusinessUni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ttps://popp.undp.org/"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inff.org/report/governance-and-coordination-repor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UNITOFFICE-440-2260</_dlc_DocId>
    <_dlc_DocIdUrl xmlns="5ebeba3d-fd60-4dcb-8548-a9fd3c51d9ff">
      <Url>https://intranet.undp.org/unit/office/exo/sp2014/SP201417/_layouts/15/DocIdRedir.aspx?ID=UNITOFFICE-440-2260</Url>
      <Description>UNITOFFICE-440-2260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AAABAED-BA44-4E77-8C93-B400AA3B3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3.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4.xml><?xml version="1.0" encoding="utf-8"?>
<ds:datastoreItem xmlns:ds="http://schemas.openxmlformats.org/officeDocument/2006/customXml" ds:itemID="{11D33306-29E9-411A-847B-F501ECEE3EBD}">
  <ds:schemaRefs>
    <ds:schemaRef ds:uri="http://schemas.openxmlformats.org/officeDocument/2006/bibliography"/>
  </ds:schemaRefs>
</ds:datastoreItem>
</file>

<file path=customXml/itemProps5.xml><?xml version="1.0" encoding="utf-8"?>
<ds:datastoreItem xmlns:ds="http://schemas.openxmlformats.org/officeDocument/2006/customXml" ds:itemID="{15225299-70F4-444F-B236-44270C4DFCA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6451</Words>
  <Characters>36777</Characters>
  <Application>Microsoft Office Word</Application>
  <DocSecurity>0</DocSecurity>
  <Lines>306</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Second/First/Annual session of (year)</vt:lpstr>
      <vt:lpstr>Second/First/Annual session of (year)</vt:lpstr>
    </vt:vector>
  </TitlesOfParts>
  <Company>Microsoft</Company>
  <LinksUpToDate>false</LinksUpToDate>
  <CharactersWithSpaces>43142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dc:description/>
  <cp:lastModifiedBy>Svetlana Iazykova</cp:lastModifiedBy>
  <cp:revision>3</cp:revision>
  <cp:lastPrinted>2014-09-17T01:01:00Z</cp:lastPrinted>
  <dcterms:created xsi:type="dcterms:W3CDTF">2022-06-04T17:01:00Z</dcterms:created>
  <dcterms:modified xsi:type="dcterms:W3CDTF">2022-06-10T19:12:00Z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19972b41-cb75-4480-a2b1-0ce0bb25c0bd</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