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CACF4" w14:textId="03A64B09" w:rsidR="00B436CC" w:rsidRPr="003C26C1" w:rsidRDefault="00B436CC" w:rsidP="00B436CC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 w:rsidRPr="003C26C1">
        <w:rPr>
          <w:b/>
          <w:color w:val="000000"/>
        </w:rPr>
        <w:t xml:space="preserve">COSTED EVALUATION PLAN </w:t>
      </w:r>
      <w:r w:rsidR="00EF334B">
        <w:rPr>
          <w:b/>
          <w:color w:val="000000"/>
        </w:rPr>
        <w:t>– TRINIDAD AND TOBAGO 2022-2026</w:t>
      </w:r>
    </w:p>
    <w:p w14:paraId="5C23FEE8" w14:textId="0F18DBDD" w:rsidR="00B436CC" w:rsidRDefault="00B436CC" w:rsidP="00B436CC">
      <w:pPr>
        <w:rPr>
          <w:color w:val="000000"/>
        </w:rPr>
      </w:pPr>
    </w:p>
    <w:p w14:paraId="2986FF59" w14:textId="387F9334" w:rsidR="00A337F6" w:rsidRDefault="00927EE9" w:rsidP="00B436CC">
      <w:pPr>
        <w:rPr>
          <w:color w:val="000000"/>
        </w:rPr>
      </w:pPr>
      <w:r>
        <w:rPr>
          <w:color w:val="000000"/>
        </w:rPr>
        <w:t xml:space="preserve">The </w:t>
      </w:r>
      <w:r w:rsidR="008A6DD1">
        <w:rPr>
          <w:color w:val="000000"/>
        </w:rPr>
        <w:t>Multi-Country Office</w:t>
      </w:r>
      <w:r>
        <w:rPr>
          <w:color w:val="000000"/>
        </w:rPr>
        <w:t xml:space="preserve"> recognizes the importance of monitoring and evaluation in programme management.</w:t>
      </w:r>
      <w:r w:rsidR="00B121A0">
        <w:rPr>
          <w:color w:val="000000"/>
        </w:rPr>
        <w:t xml:space="preserve"> I</w:t>
      </w:r>
      <w:r w:rsidR="00E91FC2">
        <w:rPr>
          <w:color w:val="000000"/>
        </w:rPr>
        <w:t>n</w:t>
      </w:r>
      <w:r w:rsidR="00B121A0">
        <w:rPr>
          <w:color w:val="000000"/>
        </w:rPr>
        <w:t xml:space="preserve"> its attempt to assess programmatic effectiveness the </w:t>
      </w:r>
      <w:r w:rsidR="008A6DD1">
        <w:rPr>
          <w:color w:val="000000"/>
        </w:rPr>
        <w:t>M</w:t>
      </w:r>
      <w:r w:rsidR="00B121A0">
        <w:rPr>
          <w:color w:val="000000"/>
        </w:rPr>
        <w:t>CO has developed an evaluation plan for the period 2022-2026</w:t>
      </w:r>
      <w:r w:rsidR="00BB4025">
        <w:rPr>
          <w:color w:val="000000"/>
        </w:rPr>
        <w:t>,</w:t>
      </w:r>
      <w:r w:rsidR="00B121A0">
        <w:rPr>
          <w:color w:val="000000"/>
        </w:rPr>
        <w:t xml:space="preserve"> </w:t>
      </w:r>
      <w:r w:rsidR="00E91FC2">
        <w:rPr>
          <w:color w:val="000000"/>
        </w:rPr>
        <w:t xml:space="preserve">focusing on the MSDF areas of </w:t>
      </w:r>
      <w:proofErr w:type="spellStart"/>
      <w:r w:rsidR="004B295C">
        <w:rPr>
          <w:color w:val="000000"/>
        </w:rPr>
        <w:t>i</w:t>
      </w:r>
      <w:proofErr w:type="spellEnd"/>
      <w:r w:rsidR="004B295C">
        <w:rPr>
          <w:color w:val="000000"/>
        </w:rPr>
        <w:t>)</w:t>
      </w:r>
      <w:r w:rsidR="00E91FC2" w:rsidRPr="00E91FC2">
        <w:rPr>
          <w:i/>
          <w:iCs/>
          <w:color w:val="000000"/>
        </w:rPr>
        <w:t>“Equality and Well-being”</w:t>
      </w:r>
      <w:r w:rsidR="00E91FC2">
        <w:rPr>
          <w:color w:val="000000"/>
        </w:rPr>
        <w:t xml:space="preserve"> and </w:t>
      </w:r>
      <w:r w:rsidR="004B295C">
        <w:rPr>
          <w:color w:val="000000"/>
        </w:rPr>
        <w:t>ii)</w:t>
      </w:r>
      <w:r w:rsidR="00E91FC2" w:rsidRPr="00E91FC2">
        <w:rPr>
          <w:i/>
          <w:iCs/>
          <w:color w:val="000000"/>
        </w:rPr>
        <w:t>“Resilience to Climate Change and Sustainable Resource Management”</w:t>
      </w:r>
      <w:r w:rsidR="00B121A0">
        <w:rPr>
          <w:color w:val="000000"/>
        </w:rPr>
        <w:t>.</w:t>
      </w:r>
      <w:r w:rsidR="00293A1B">
        <w:rPr>
          <w:color w:val="000000"/>
        </w:rPr>
        <w:t xml:space="preserve"> The choice of evaluations to be conducted within the period were chosen </w:t>
      </w:r>
      <w:r w:rsidR="004B295C">
        <w:rPr>
          <w:color w:val="000000"/>
        </w:rPr>
        <w:t>based on</w:t>
      </w:r>
      <w:r w:rsidR="00293A1B">
        <w:rPr>
          <w:color w:val="000000"/>
        </w:rPr>
        <w:t xml:space="preserve"> relevance to the attainment of C</w:t>
      </w:r>
      <w:r w:rsidR="00BB4025">
        <w:rPr>
          <w:color w:val="000000"/>
        </w:rPr>
        <w:t xml:space="preserve">ountry </w:t>
      </w:r>
      <w:r w:rsidR="00293A1B">
        <w:rPr>
          <w:color w:val="000000"/>
        </w:rPr>
        <w:t>P</w:t>
      </w:r>
      <w:r w:rsidR="00BB4025">
        <w:rPr>
          <w:color w:val="000000"/>
        </w:rPr>
        <w:t xml:space="preserve">rogramme </w:t>
      </w:r>
      <w:r w:rsidR="00293A1B">
        <w:rPr>
          <w:color w:val="000000"/>
        </w:rPr>
        <w:t>D</w:t>
      </w:r>
      <w:r w:rsidR="00BB4025">
        <w:rPr>
          <w:color w:val="000000"/>
        </w:rPr>
        <w:t>ocument (CPD)</w:t>
      </w:r>
      <w:r w:rsidR="00293A1B">
        <w:rPr>
          <w:color w:val="000000"/>
        </w:rPr>
        <w:t xml:space="preserve"> outcomes, available funding, and </w:t>
      </w:r>
      <w:r w:rsidR="004B295C">
        <w:rPr>
          <w:color w:val="000000"/>
        </w:rPr>
        <w:t>whether</w:t>
      </w:r>
      <w:r w:rsidR="00293A1B">
        <w:rPr>
          <w:color w:val="000000"/>
        </w:rPr>
        <w:t xml:space="preserve"> the projects fell within the criteria for mandatory evaluations. </w:t>
      </w:r>
      <w:r>
        <w:rPr>
          <w:color w:val="000000"/>
        </w:rPr>
        <w:t xml:space="preserve">It should be noted that the list of planned evaluations as presented below </w:t>
      </w:r>
      <w:r w:rsidR="00293A1B">
        <w:rPr>
          <w:color w:val="000000"/>
        </w:rPr>
        <w:t xml:space="preserve">will not be limited to </w:t>
      </w:r>
      <w:r w:rsidR="00D93E00">
        <w:rPr>
          <w:color w:val="000000"/>
        </w:rPr>
        <w:t>those</w:t>
      </w:r>
      <w:r w:rsidR="00293A1B">
        <w:rPr>
          <w:color w:val="000000"/>
        </w:rPr>
        <w:t xml:space="preserve"> identified in plan</w:t>
      </w:r>
      <w:r w:rsidR="00BB4025">
        <w:rPr>
          <w:color w:val="000000"/>
        </w:rPr>
        <w:t>. The</w:t>
      </w:r>
      <w:r w:rsidR="00D73B3B">
        <w:rPr>
          <w:color w:val="000000"/>
        </w:rPr>
        <w:t xml:space="preserve"> </w:t>
      </w:r>
      <w:r w:rsidR="008A6DD1">
        <w:rPr>
          <w:color w:val="000000"/>
        </w:rPr>
        <w:t>M</w:t>
      </w:r>
      <w:r w:rsidR="00D73B3B">
        <w:rPr>
          <w:color w:val="000000"/>
        </w:rPr>
        <w:t>CO will reserve t</w:t>
      </w:r>
      <w:r w:rsidR="00293A1B">
        <w:rPr>
          <w:color w:val="000000"/>
        </w:rPr>
        <w:t>he</w:t>
      </w:r>
      <w:r w:rsidR="00D73B3B">
        <w:rPr>
          <w:color w:val="000000"/>
        </w:rPr>
        <w:t xml:space="preserve"> right to append additional evaluations to the plan </w:t>
      </w:r>
      <w:r w:rsidR="00BB4025">
        <w:rPr>
          <w:color w:val="000000"/>
        </w:rPr>
        <w:t xml:space="preserve">over the course of the CPD period </w:t>
      </w:r>
      <w:r w:rsidR="00D73B3B">
        <w:rPr>
          <w:color w:val="000000"/>
        </w:rPr>
        <w:t>if other evaluations arise due to pipeline projects coming to fruition</w:t>
      </w:r>
      <w:r w:rsidR="00BB4025">
        <w:rPr>
          <w:color w:val="000000"/>
        </w:rPr>
        <w:t>. As an NCC Country Office</w:t>
      </w:r>
      <w:r w:rsidR="004B295C">
        <w:rPr>
          <w:color w:val="000000"/>
        </w:rPr>
        <w:t xml:space="preserve"> with limited dedicated resources available for the purpose of monitoring and evaluation</w:t>
      </w:r>
      <w:r w:rsidR="00BB4025">
        <w:rPr>
          <w:color w:val="000000"/>
        </w:rPr>
        <w:t xml:space="preserve">, the </w:t>
      </w:r>
      <w:r w:rsidR="008A6DD1">
        <w:rPr>
          <w:color w:val="000000"/>
        </w:rPr>
        <w:t>M</w:t>
      </w:r>
      <w:r w:rsidR="00BB4025">
        <w:rPr>
          <w:color w:val="000000"/>
        </w:rPr>
        <w:t xml:space="preserve">CO has decided, at this time, to omit from the evaluation plan any thematic or outcome evaluations. However, the </w:t>
      </w:r>
      <w:r w:rsidR="008A6DD1">
        <w:rPr>
          <w:color w:val="000000"/>
        </w:rPr>
        <w:t>M</w:t>
      </w:r>
      <w:r w:rsidR="00BB4025">
        <w:rPr>
          <w:color w:val="000000"/>
        </w:rPr>
        <w:t xml:space="preserve">CO will reconsider this decision </w:t>
      </w:r>
      <w:r w:rsidR="004B295C">
        <w:rPr>
          <w:color w:val="000000"/>
        </w:rPr>
        <w:t xml:space="preserve">if over the course of the 2022-2026 programmatic period funding sources become available </w:t>
      </w:r>
      <w:r w:rsidR="00BB4025">
        <w:rPr>
          <w:color w:val="000000"/>
        </w:rPr>
        <w:t>that would allow for a comprehensive outcome evaluation</w:t>
      </w:r>
      <w:r w:rsidR="00E90887">
        <w:rPr>
          <w:color w:val="000000"/>
        </w:rPr>
        <w:t>.</w:t>
      </w:r>
    </w:p>
    <w:p w14:paraId="3103600B" w14:textId="3661A9BA" w:rsidR="00927EE9" w:rsidRPr="003C26C1" w:rsidRDefault="00927EE9" w:rsidP="00B436CC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000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12"/>
        <w:gridCol w:w="1349"/>
        <w:gridCol w:w="1979"/>
        <w:gridCol w:w="1349"/>
        <w:gridCol w:w="1531"/>
        <w:gridCol w:w="1147"/>
        <w:gridCol w:w="1191"/>
        <w:gridCol w:w="1166"/>
      </w:tblGrid>
      <w:tr w:rsidR="0062524E" w:rsidRPr="00974593" w14:paraId="37C0C3CF" w14:textId="77777777" w:rsidTr="0062524E">
        <w:trPr>
          <w:trHeight w:val="845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BF6E445" w14:textId="77777777" w:rsidR="00B436CC" w:rsidRPr="00974593" w:rsidRDefault="00B436CC" w:rsidP="00DA54AB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93">
              <w:rPr>
                <w:b/>
                <w:bCs/>
                <w:sz w:val="16"/>
                <w:szCs w:val="16"/>
              </w:rPr>
              <w:t>UNDAF (or equivalent)</w:t>
            </w:r>
          </w:p>
          <w:p w14:paraId="79A00AAC" w14:textId="77777777" w:rsidR="00B436CC" w:rsidRPr="00974593" w:rsidRDefault="00B436CC" w:rsidP="00DA54AB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93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BC66000" w14:textId="77777777" w:rsidR="00B436CC" w:rsidRPr="00974593" w:rsidRDefault="00B436CC" w:rsidP="00DA54AB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93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45D88AF" w14:textId="77777777" w:rsidR="00B436CC" w:rsidRPr="00974593" w:rsidRDefault="00B436CC" w:rsidP="00DA54AB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93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351939E" w14:textId="77777777" w:rsidR="00B436CC" w:rsidRPr="00974593" w:rsidDel="00BA628C" w:rsidRDefault="00B436CC" w:rsidP="00DA54AB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93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B98D969" w14:textId="77777777" w:rsidR="00B436CC" w:rsidRPr="00974593" w:rsidRDefault="00B436CC" w:rsidP="00DA54AB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93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1D94FCA" w14:textId="77777777" w:rsidR="00B436CC" w:rsidRPr="00974593" w:rsidRDefault="00B436CC" w:rsidP="00DA54AB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93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D6A62B" w14:textId="77777777" w:rsidR="00B436CC" w:rsidRPr="00974593" w:rsidRDefault="00B436CC" w:rsidP="00DA54AB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93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DB1726D" w14:textId="77777777" w:rsidR="00B436CC" w:rsidRPr="00974593" w:rsidRDefault="00B436CC" w:rsidP="00DA54AB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93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7F8FEA" w14:textId="77777777" w:rsidR="00B436CC" w:rsidRPr="00974593" w:rsidRDefault="00B436CC" w:rsidP="00DA54AB">
            <w:pPr>
              <w:jc w:val="center"/>
              <w:rPr>
                <w:b/>
                <w:bCs/>
                <w:sz w:val="16"/>
                <w:szCs w:val="16"/>
              </w:rPr>
            </w:pPr>
            <w:r w:rsidRPr="00974593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62524E" w:rsidRPr="00974593" w14:paraId="21217945" w14:textId="77777777" w:rsidTr="0062524E">
        <w:trPr>
          <w:trHeight w:val="139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61721" w14:textId="77777777" w:rsidR="002B0BCB" w:rsidRPr="00974593" w:rsidRDefault="002B0BCB" w:rsidP="002B0BC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 xml:space="preserve">MSDF Area: </w:t>
            </w:r>
          </w:p>
          <w:p w14:paraId="1D7D0EF9" w14:textId="77122254" w:rsidR="00B436CC" w:rsidRPr="00974593" w:rsidRDefault="002B0BCB" w:rsidP="002B0BC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People- Equality and well-being (Leave No One Behind)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14:paraId="61B417D5" w14:textId="33BA27D4" w:rsidR="00B436CC" w:rsidRPr="00974593" w:rsidRDefault="00C409E4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Outcome 2. Accelerate Structural Transformations for Sustainable Development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14:paraId="55033B1E" w14:textId="6F3D33EA" w:rsidR="00B436CC" w:rsidRPr="00974593" w:rsidRDefault="00D97ED8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Project Evaluation: Building a Nation: Sint Maarten NDP and Institutional Strengthening</w:t>
            </w:r>
          </w:p>
        </w:tc>
        <w:tc>
          <w:tcPr>
            <w:tcW w:w="764" w:type="pct"/>
            <w:tcBorders>
              <w:top w:val="single" w:sz="4" w:space="0" w:color="auto"/>
            </w:tcBorders>
          </w:tcPr>
          <w:p w14:paraId="77FFC796" w14:textId="03501414" w:rsidR="00B436CC" w:rsidRPr="00974593" w:rsidRDefault="00D97ED8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Ministry of General Affairs, Department of Interior and Kingdom Relations (BAK)</w:t>
            </w:r>
          </w:p>
        </w:tc>
        <w:tc>
          <w:tcPr>
            <w:tcW w:w="521" w:type="pct"/>
            <w:tcBorders>
              <w:top w:val="single" w:sz="4" w:space="0" w:color="auto"/>
            </w:tcBorders>
          </w:tcPr>
          <w:p w14:paraId="2A98AF98" w14:textId="3FFD3D0D" w:rsidR="00B436CC" w:rsidRPr="00974593" w:rsidRDefault="005D7718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UNDP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14:paraId="4A17BE56" w14:textId="77777777" w:rsidR="00B436CC" w:rsidRPr="00974593" w:rsidRDefault="005D7718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Project Evaluation</w:t>
            </w:r>
          </w:p>
          <w:p w14:paraId="3E95157D" w14:textId="7F383838" w:rsidR="00FE2580" w:rsidRPr="00974593" w:rsidRDefault="00FE2580" w:rsidP="00DA54AB">
            <w:pPr>
              <w:rPr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786629E2" w14:textId="7AFAF8A8" w:rsidR="00B436CC" w:rsidRPr="00974593" w:rsidRDefault="005D7718" w:rsidP="00DA54AB">
            <w:pPr>
              <w:spacing w:before="40" w:after="40"/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April 2022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14:paraId="0261BC44" w14:textId="11DB3020" w:rsidR="00B436CC" w:rsidRPr="00974593" w:rsidRDefault="00FE2580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USD15,000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253C" w14:textId="2AD1B74D" w:rsidR="00B436CC" w:rsidRPr="00974593" w:rsidRDefault="005D7718" w:rsidP="00DA54A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74593">
              <w:rPr>
                <w:rStyle w:val="CommentReference"/>
                <w:sz w:val="16"/>
                <w:szCs w:val="16"/>
                <w:lang w:eastAsia="uk-UA"/>
              </w:rPr>
              <w:t xml:space="preserve">Office M&amp;E Budget </w:t>
            </w:r>
          </w:p>
        </w:tc>
      </w:tr>
      <w:tr w:rsidR="0062524E" w:rsidRPr="00974593" w14:paraId="32197D6C" w14:textId="77777777" w:rsidTr="0062524E">
        <w:trPr>
          <w:trHeight w:val="124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3BE5D" w14:textId="77777777" w:rsidR="00B4639F" w:rsidRPr="00974593" w:rsidRDefault="00613478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MSDF Area:</w:t>
            </w:r>
          </w:p>
          <w:p w14:paraId="114E0AAE" w14:textId="6AC4C238" w:rsidR="00146178" w:rsidRPr="00974593" w:rsidRDefault="00146178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Planet- Resilience to Climate Change and Sustainable National Resource Management</w:t>
            </w:r>
          </w:p>
        </w:tc>
        <w:tc>
          <w:tcPr>
            <w:tcW w:w="661" w:type="pct"/>
          </w:tcPr>
          <w:p w14:paraId="79FC8229" w14:textId="53C6ADA7" w:rsidR="00B4639F" w:rsidRPr="00974593" w:rsidRDefault="00C409E4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 xml:space="preserve">Outcome 2. </w:t>
            </w:r>
            <w:r w:rsidR="00613478" w:rsidRPr="00974593">
              <w:rPr>
                <w:sz w:val="16"/>
                <w:szCs w:val="16"/>
              </w:rPr>
              <w:t>Accelerate Structural Transformations for Sustainable Development</w:t>
            </w:r>
          </w:p>
        </w:tc>
        <w:tc>
          <w:tcPr>
            <w:tcW w:w="521" w:type="pct"/>
          </w:tcPr>
          <w:p w14:paraId="671A4DA3" w14:textId="0D938F46" w:rsidR="00B4639F" w:rsidRPr="00974593" w:rsidRDefault="00743590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Project Evaluation: Global Climate Change Alliance +</w:t>
            </w:r>
          </w:p>
        </w:tc>
        <w:tc>
          <w:tcPr>
            <w:tcW w:w="764" w:type="pct"/>
          </w:tcPr>
          <w:p w14:paraId="77215209" w14:textId="1F5818C3" w:rsidR="00B4639F" w:rsidRPr="00974593" w:rsidRDefault="00743590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Ministry of Planning and Development; Ministry of Energy and Energy Industries</w:t>
            </w:r>
          </w:p>
        </w:tc>
        <w:tc>
          <w:tcPr>
            <w:tcW w:w="521" w:type="pct"/>
          </w:tcPr>
          <w:p w14:paraId="54550BB8" w14:textId="20A76EB7" w:rsidR="00B4639F" w:rsidRPr="00974593" w:rsidRDefault="00743590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UNDP</w:t>
            </w:r>
          </w:p>
        </w:tc>
        <w:tc>
          <w:tcPr>
            <w:tcW w:w="591" w:type="pct"/>
          </w:tcPr>
          <w:p w14:paraId="5DAF73C6" w14:textId="16C82C64" w:rsidR="00B4639F" w:rsidRPr="00974593" w:rsidRDefault="00743590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Project Evaluation</w:t>
            </w:r>
          </w:p>
        </w:tc>
        <w:tc>
          <w:tcPr>
            <w:tcW w:w="443" w:type="pct"/>
          </w:tcPr>
          <w:p w14:paraId="2EF95C48" w14:textId="1AEA84EA" w:rsidR="00B4639F" w:rsidRPr="00974593" w:rsidRDefault="00743590" w:rsidP="00DA54AB">
            <w:pPr>
              <w:spacing w:before="40" w:after="40"/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June 2023</w:t>
            </w:r>
          </w:p>
        </w:tc>
        <w:tc>
          <w:tcPr>
            <w:tcW w:w="460" w:type="pct"/>
          </w:tcPr>
          <w:p w14:paraId="2F55F878" w14:textId="6C9EED8B" w:rsidR="00B4639F" w:rsidRPr="00974593" w:rsidRDefault="00743590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USD25,000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E3EC" w14:textId="1446053F" w:rsidR="00B4639F" w:rsidRPr="00974593" w:rsidRDefault="00743590" w:rsidP="00DA54A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74593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02549E" w:rsidRPr="00974593" w14:paraId="02D89C3A" w14:textId="77777777" w:rsidTr="0062524E">
        <w:trPr>
          <w:trHeight w:val="124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4E7404" w14:textId="77777777" w:rsidR="002B0BCB" w:rsidRPr="00974593" w:rsidRDefault="002B0BCB" w:rsidP="002B0BC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MSDF Area:</w:t>
            </w:r>
          </w:p>
          <w:p w14:paraId="498F3318" w14:textId="1CC5A335" w:rsidR="00627563" w:rsidRPr="00974593" w:rsidRDefault="002B0BCB" w:rsidP="002B0BC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Planet- Resilience to Climate Change and Sustainable National Resource Management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</w:tcPr>
          <w:p w14:paraId="15A8051A" w14:textId="68158CBB" w:rsidR="00627563" w:rsidRPr="00974593" w:rsidRDefault="00627563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Outcome 2. Accelerate Structural Transformations for Sustainable Development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14:paraId="69D860B4" w14:textId="51D45440" w:rsidR="00627563" w:rsidRPr="00974593" w:rsidRDefault="003354B1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 xml:space="preserve">Mid-term </w:t>
            </w:r>
            <w:r w:rsidR="00627563" w:rsidRPr="00974593">
              <w:rPr>
                <w:sz w:val="16"/>
                <w:szCs w:val="16"/>
              </w:rPr>
              <w:t>Project Evaluation: Aruba SISSTEMS Faculty Initiative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</w:tcPr>
          <w:p w14:paraId="2D02C451" w14:textId="3D311ACB" w:rsidR="00627563" w:rsidRPr="00974593" w:rsidRDefault="00627563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 xml:space="preserve">Department of Economic Affairs, Commerce and Industry; Department of Public Works; Monuments Bureau of Aruba; University of Aruba 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auto" w:fill="auto"/>
          </w:tcPr>
          <w:p w14:paraId="5E32129E" w14:textId="33BD645F" w:rsidR="00627563" w:rsidRPr="00974593" w:rsidRDefault="00627563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UNDP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</w:tcPr>
          <w:p w14:paraId="42012445" w14:textId="17623B52" w:rsidR="00627563" w:rsidRPr="00974593" w:rsidRDefault="00627563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Project Evaluation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14:paraId="40D941FC" w14:textId="1665ED8D" w:rsidR="00627563" w:rsidRPr="00974593" w:rsidRDefault="002B0BCB" w:rsidP="00DA54AB">
            <w:pPr>
              <w:spacing w:before="40" w:after="40"/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March 2022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shd w:val="clear" w:color="auto" w:fill="auto"/>
          </w:tcPr>
          <w:p w14:paraId="69C52EFF" w14:textId="6EF0754A" w:rsidR="00627563" w:rsidRPr="00974593" w:rsidRDefault="002B0BCB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USD12,000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CD4B" w14:textId="4C0E6607" w:rsidR="00627563" w:rsidRPr="00974593" w:rsidRDefault="002B0BCB" w:rsidP="00DA54A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74593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62524E" w:rsidRPr="00974593" w14:paraId="651A6B86" w14:textId="77777777" w:rsidTr="0062524E">
        <w:trPr>
          <w:trHeight w:val="6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2F55A" w14:textId="77777777" w:rsidR="002B0BCB" w:rsidRPr="00974593" w:rsidRDefault="002B0BCB" w:rsidP="002B0BC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MSDF Area:</w:t>
            </w:r>
          </w:p>
          <w:p w14:paraId="5DEF38E0" w14:textId="235B7A61" w:rsidR="002B0BCB" w:rsidRPr="00974593" w:rsidRDefault="002B0BCB" w:rsidP="002B0BC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Planet- Resilience to Climate Change and Sustainable National Resource Management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5D951" w14:textId="15E656A2" w:rsidR="002B0BCB" w:rsidRPr="00974593" w:rsidRDefault="002B0BCB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Outcome 2. Accelerate Structural Transformations for Sustainable Development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EE081" w14:textId="5251000E" w:rsidR="002B0BCB" w:rsidRPr="00974593" w:rsidRDefault="002B0BCB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Final Project Evaluation: Aruba SISSTEMS Faculty Initiative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773CD" w14:textId="02CEFEBE" w:rsidR="002B0BCB" w:rsidRPr="00974593" w:rsidRDefault="002B0BCB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Department of Economic Affairs, Commerce and Industry; Department of Public Works; Monuments Bureau of Aruba; University of Aruba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26F7D" w14:textId="18994755" w:rsidR="002B0BCB" w:rsidRPr="00974593" w:rsidRDefault="002B0BCB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UNDP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ABFD86" w14:textId="1384B7BA" w:rsidR="002B0BCB" w:rsidRPr="00974593" w:rsidRDefault="002B0BCB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Project Evaluation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A0C33" w14:textId="0E62AFDB" w:rsidR="002B0BCB" w:rsidRPr="00974593" w:rsidRDefault="002B0BCB" w:rsidP="00DA54AB">
            <w:pPr>
              <w:spacing w:before="40" w:after="40"/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October 2022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2A038" w14:textId="4FC87028" w:rsidR="002B0BCB" w:rsidRPr="00974593" w:rsidRDefault="002B0BCB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USD12,000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7E2E" w14:textId="6BB5CF8C" w:rsidR="002B0BCB" w:rsidRPr="00974593" w:rsidRDefault="002B0BCB" w:rsidP="00DA54A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74593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62524E" w:rsidRPr="00974593" w14:paraId="60FF0273" w14:textId="77777777" w:rsidTr="0062524E">
        <w:trPr>
          <w:trHeight w:val="2150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19E7C9" w14:textId="77777777" w:rsidR="00A13267" w:rsidRPr="00974593" w:rsidRDefault="00A13267" w:rsidP="00A13267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lastRenderedPageBreak/>
              <w:t>MSDF Area:</w:t>
            </w:r>
          </w:p>
          <w:p w14:paraId="5188CB37" w14:textId="31DDD792" w:rsidR="00A13267" w:rsidRPr="00974593" w:rsidRDefault="00A13267" w:rsidP="00A13267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Planet- Resilience to Climate Change and Sustainable National Resource Management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8D852" w14:textId="2AF72DA5" w:rsidR="00A13267" w:rsidRPr="00974593" w:rsidRDefault="00A13267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Outcome 2. Accelerate Structural Transformations for Sustainable Development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AB347" w14:textId="39AE4FD6" w:rsidR="00A13267" w:rsidRPr="00974593" w:rsidRDefault="00A13267" w:rsidP="00A13267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 xml:space="preserve">Final Project Evaluation:  Energy Efficiency through the Development of Low Carbon RAC Technologies in Trinidad and Tobago (GEF 6)  </w:t>
            </w:r>
          </w:p>
          <w:p w14:paraId="0ABF8561" w14:textId="02AC9FD6" w:rsidR="00A13267" w:rsidRPr="00974593" w:rsidRDefault="00A13267" w:rsidP="00DA54AB">
            <w:pPr>
              <w:rPr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C8791" w14:textId="431AC9E2" w:rsidR="00A13267" w:rsidRPr="00974593" w:rsidRDefault="00A13267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Ministry of Planning and Development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9C1C3" w14:textId="3BDC50EA" w:rsidR="00A13267" w:rsidRPr="00974593" w:rsidRDefault="00A13267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UNDP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B0186" w14:textId="31DF0E93" w:rsidR="00A13267" w:rsidRPr="00974593" w:rsidRDefault="00A13267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Project Evaluation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6478D" w14:textId="12AC5064" w:rsidR="00A13267" w:rsidRPr="00974593" w:rsidRDefault="00A13267" w:rsidP="00DA54AB">
            <w:pPr>
              <w:spacing w:before="40" w:after="40"/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June 2025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3A5D8" w14:textId="65848AE0" w:rsidR="00A13267" w:rsidRPr="00974593" w:rsidRDefault="00DF5E4A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USD25,000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1D18" w14:textId="6AAFD04E" w:rsidR="00A13267" w:rsidRPr="00974593" w:rsidRDefault="00A13267" w:rsidP="00DA54A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74593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  <w:tr w:rsidR="0062524E" w:rsidRPr="00974593" w14:paraId="23F99523" w14:textId="77777777" w:rsidTr="0062524E">
        <w:trPr>
          <w:trHeight w:val="128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B04EA" w14:textId="77777777" w:rsidR="004075F9" w:rsidRPr="00974593" w:rsidRDefault="004075F9" w:rsidP="004075F9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MSDF Area:</w:t>
            </w:r>
          </w:p>
          <w:p w14:paraId="12955A1B" w14:textId="6D686D3B" w:rsidR="00B4639F" w:rsidRPr="00974593" w:rsidRDefault="004075F9" w:rsidP="004075F9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Planet- Resilience to Climate Change and Sustainable National Resource Management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</w:tcPr>
          <w:p w14:paraId="06AE6779" w14:textId="0CC51B62" w:rsidR="00B4639F" w:rsidRPr="00974593" w:rsidRDefault="00C409E4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Outcome 3. Strengthen Resilience to Shocks and Crises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6BC44021" w14:textId="6BA58838" w:rsidR="00B4639F" w:rsidRPr="00974593" w:rsidRDefault="004075F9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Final Project Evaluation: Community Flood Early Warning System (CFEWS) project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</w:tcPr>
          <w:p w14:paraId="62DD3483" w14:textId="3006E913" w:rsidR="00B4639F" w:rsidRPr="00974593" w:rsidRDefault="004075F9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 xml:space="preserve">Office of Disaster Preparedness and Management; 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</w:tcPr>
          <w:p w14:paraId="5B346F9D" w14:textId="428695BA" w:rsidR="00B4639F" w:rsidRPr="00974593" w:rsidRDefault="004075F9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UNDP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</w:tcPr>
          <w:p w14:paraId="05AAB4B4" w14:textId="79A57611" w:rsidR="00B4639F" w:rsidRPr="00974593" w:rsidRDefault="004075F9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Project Evaluation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</w:tcPr>
          <w:p w14:paraId="00E308A1" w14:textId="6A8C1BDE" w:rsidR="00B4639F" w:rsidRPr="00974593" w:rsidRDefault="00C942BB" w:rsidP="00DA54AB">
            <w:pPr>
              <w:spacing w:before="40" w:after="40"/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June</w:t>
            </w:r>
            <w:r w:rsidR="004075F9" w:rsidRPr="00974593">
              <w:rPr>
                <w:sz w:val="16"/>
                <w:szCs w:val="16"/>
              </w:rPr>
              <w:t xml:space="preserve"> 2024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14:paraId="20CEB48C" w14:textId="3D868297" w:rsidR="00B4639F" w:rsidRPr="00974593" w:rsidRDefault="004075F9" w:rsidP="00DA54AB">
            <w:pPr>
              <w:rPr>
                <w:sz w:val="16"/>
                <w:szCs w:val="16"/>
              </w:rPr>
            </w:pPr>
            <w:r w:rsidRPr="00974593">
              <w:rPr>
                <w:sz w:val="16"/>
                <w:szCs w:val="16"/>
              </w:rPr>
              <w:t>USD10,000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3135" w14:textId="116E7571" w:rsidR="00B4639F" w:rsidRPr="00974593" w:rsidRDefault="004075F9" w:rsidP="00DA54AB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974593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</w:p>
        </w:tc>
      </w:tr>
    </w:tbl>
    <w:p w14:paraId="3FBF1300" w14:textId="77777777" w:rsidR="00122B69" w:rsidRPr="00974593" w:rsidRDefault="00122B69">
      <w:pPr>
        <w:rPr>
          <w:sz w:val="16"/>
          <w:szCs w:val="16"/>
        </w:rPr>
      </w:pPr>
    </w:p>
    <w:sectPr w:rsidR="00122B69" w:rsidRPr="00974593" w:rsidSect="00B436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2951C" w14:textId="77777777" w:rsidR="00E7393D" w:rsidRDefault="00E7393D" w:rsidP="00974593">
      <w:r>
        <w:separator/>
      </w:r>
    </w:p>
  </w:endnote>
  <w:endnote w:type="continuationSeparator" w:id="0">
    <w:p w14:paraId="71BDCA5C" w14:textId="77777777" w:rsidR="00E7393D" w:rsidRDefault="00E7393D" w:rsidP="0097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75EB9" w14:textId="77777777" w:rsidR="00E7393D" w:rsidRDefault="00E7393D" w:rsidP="00974593">
      <w:r>
        <w:separator/>
      </w:r>
    </w:p>
  </w:footnote>
  <w:footnote w:type="continuationSeparator" w:id="0">
    <w:p w14:paraId="5B0CBE3A" w14:textId="77777777" w:rsidR="00E7393D" w:rsidRDefault="00E7393D" w:rsidP="00974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C55D4"/>
    <w:multiLevelType w:val="hybridMultilevel"/>
    <w:tmpl w:val="FAF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NjIyMTQ0sjCyMDVW0lEKTi0uzszPAykwrgUA0WFqtCwAAAA="/>
  </w:docVars>
  <w:rsids>
    <w:rsidRoot w:val="00B436CC"/>
    <w:rsid w:val="0002549E"/>
    <w:rsid w:val="00122B69"/>
    <w:rsid w:val="00146178"/>
    <w:rsid w:val="00194B23"/>
    <w:rsid w:val="001E628D"/>
    <w:rsid w:val="00217F5A"/>
    <w:rsid w:val="002452CE"/>
    <w:rsid w:val="00281CFB"/>
    <w:rsid w:val="00293A1B"/>
    <w:rsid w:val="00296380"/>
    <w:rsid w:val="002B0BCB"/>
    <w:rsid w:val="00305739"/>
    <w:rsid w:val="00313D45"/>
    <w:rsid w:val="003354B1"/>
    <w:rsid w:val="003536C2"/>
    <w:rsid w:val="003D344C"/>
    <w:rsid w:val="0040536A"/>
    <w:rsid w:val="004075F9"/>
    <w:rsid w:val="004B295C"/>
    <w:rsid w:val="005346F0"/>
    <w:rsid w:val="005D7718"/>
    <w:rsid w:val="005E21A7"/>
    <w:rsid w:val="005F233C"/>
    <w:rsid w:val="00613478"/>
    <w:rsid w:val="0062524E"/>
    <w:rsid w:val="00627563"/>
    <w:rsid w:val="00653C7E"/>
    <w:rsid w:val="006631B9"/>
    <w:rsid w:val="006A4F2C"/>
    <w:rsid w:val="006B5F33"/>
    <w:rsid w:val="00743590"/>
    <w:rsid w:val="00786CEF"/>
    <w:rsid w:val="007A19DE"/>
    <w:rsid w:val="008A6DD1"/>
    <w:rsid w:val="00927EE9"/>
    <w:rsid w:val="0093236B"/>
    <w:rsid w:val="0096561A"/>
    <w:rsid w:val="0096665B"/>
    <w:rsid w:val="00974593"/>
    <w:rsid w:val="00A13267"/>
    <w:rsid w:val="00A337F6"/>
    <w:rsid w:val="00AD372E"/>
    <w:rsid w:val="00B121A0"/>
    <w:rsid w:val="00B436CC"/>
    <w:rsid w:val="00B4639F"/>
    <w:rsid w:val="00BB4025"/>
    <w:rsid w:val="00BC171F"/>
    <w:rsid w:val="00C409E4"/>
    <w:rsid w:val="00C942BB"/>
    <w:rsid w:val="00C9634E"/>
    <w:rsid w:val="00D3768D"/>
    <w:rsid w:val="00D4761C"/>
    <w:rsid w:val="00D73B3B"/>
    <w:rsid w:val="00D93E00"/>
    <w:rsid w:val="00D97ED8"/>
    <w:rsid w:val="00DE453D"/>
    <w:rsid w:val="00DF5E4A"/>
    <w:rsid w:val="00E04F37"/>
    <w:rsid w:val="00E7393D"/>
    <w:rsid w:val="00E90887"/>
    <w:rsid w:val="00E91FC2"/>
    <w:rsid w:val="00EF334B"/>
    <w:rsid w:val="00F22597"/>
    <w:rsid w:val="00FE2580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CF02"/>
  <w15:chartTrackingRefBased/>
  <w15:docId w15:val="{ABAFEB39-3F48-4F92-BD00-2D28094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B436CC"/>
    <w:rPr>
      <w:rFonts w:cs="Times New Roman"/>
      <w:sz w:val="6"/>
      <w:szCs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1A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3267"/>
    <w:pPr>
      <w:ind w:left="720"/>
    </w:pPr>
    <w:rPr>
      <w:rFonts w:ascii="Calibri" w:eastAsiaTheme="minorHAnsi" w:hAnsi="Calibri" w:cs="Calibri"/>
      <w:sz w:val="22"/>
      <w:szCs w:val="22"/>
      <w:lang w:val="en-TT" w:eastAsia="en-TT"/>
    </w:rPr>
  </w:style>
  <w:style w:type="paragraph" w:styleId="Header">
    <w:name w:val="header"/>
    <w:basedOn w:val="Normal"/>
    <w:link w:val="HeaderChar"/>
    <w:uiPriority w:val="99"/>
    <w:unhideWhenUsed/>
    <w:rsid w:val="00974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5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4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5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422cd661a7fd286c2c6c482de215dd65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3ea964148df72575aa99416149104b54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UNITOFFICE-440-2119</_dlc_DocId>
    <_dlc_DocIdUrl xmlns="5ebeba3d-fd60-4dcb-8548-a9fd3c51d9ff">
      <Url>https://intranet.undp.org/unit/office/exo/sp2014/SP201417/_layouts/15/DocIdRedir.aspx?ID=UNITOFFICE-440-2119</Url>
      <Description>UNITOFFICE-440-2119</Description>
    </_dlc_DocIdUrl>
  </documentManagement>
</p:properties>
</file>

<file path=customXml/itemProps1.xml><?xml version="1.0" encoding="utf-8"?>
<ds:datastoreItem xmlns:ds="http://schemas.openxmlformats.org/officeDocument/2006/customXml" ds:itemID="{E5290BE9-6B7E-48DB-8096-E52A595568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4FA1D-7566-4BBC-9598-88DAF1347D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37F9E62-19A2-48B1-BA2C-151B00EC3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BDA82-88CC-434C-9190-4AB6A45E8B8E}">
  <ds:schemaRefs>
    <ds:schemaRef ds:uri="http://purl.org/dc/dcmitype/"/>
    <ds:schemaRef ds:uri="5ebeba3d-fd60-4dcb-8548-a9fd3c51d9f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3413</Characters>
  <Application>Microsoft Office Word</Application>
  <DocSecurity>4</DocSecurity>
  <Lines>121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Guerra</dc:creator>
  <cp:keywords/>
  <dc:description/>
  <cp:lastModifiedBy>Svetlana Iazykova</cp:lastModifiedBy>
  <cp:revision>2</cp:revision>
  <dcterms:created xsi:type="dcterms:W3CDTF">2021-10-23T20:22:00Z</dcterms:created>
  <dcterms:modified xsi:type="dcterms:W3CDTF">2021-10-23T20:22:00Z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5cf316a5-f084-46ca-92fb-14d5aab3f4f9</vt:lpwstr>
  </property>
</Properties>
</file>